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F55" w:rsidRDefault="00BC0F55">
      <w:pPr>
        <w:rPr>
          <w:rFonts w:ascii="Times New Roman" w:eastAsia="Times New Roman" w:hAnsi="Times New Roman" w:cs="Times New Roman"/>
          <w:sz w:val="20"/>
          <w:szCs w:val="20"/>
        </w:rPr>
      </w:pPr>
    </w:p>
    <w:p w:rsidR="00BC0F55" w:rsidRDefault="00BC0F55">
      <w:pPr>
        <w:rPr>
          <w:rFonts w:ascii="Times New Roman" w:eastAsia="Times New Roman" w:hAnsi="Times New Roman" w:cs="Times New Roman"/>
          <w:sz w:val="20"/>
          <w:szCs w:val="20"/>
        </w:rPr>
      </w:pPr>
    </w:p>
    <w:p w:rsidR="00BC0F55" w:rsidRDefault="00BC0F55">
      <w:pPr>
        <w:rPr>
          <w:rFonts w:ascii="Times New Roman" w:eastAsia="Times New Roman" w:hAnsi="Times New Roman" w:cs="Times New Roman"/>
          <w:sz w:val="20"/>
          <w:szCs w:val="20"/>
        </w:rPr>
      </w:pPr>
    </w:p>
    <w:p w:rsidR="00BC0F55" w:rsidRDefault="00BC0F55">
      <w:pPr>
        <w:rPr>
          <w:rFonts w:ascii="Times New Roman" w:eastAsia="Times New Roman" w:hAnsi="Times New Roman" w:cs="Times New Roman"/>
          <w:sz w:val="20"/>
          <w:szCs w:val="20"/>
        </w:rPr>
      </w:pPr>
    </w:p>
    <w:p w:rsidR="0084201C" w:rsidRDefault="0084201C">
      <w:pPr>
        <w:rPr>
          <w:rFonts w:ascii="Times New Roman" w:eastAsia="Times New Roman" w:hAnsi="Times New Roman" w:cs="Times New Roman"/>
          <w:sz w:val="20"/>
          <w:szCs w:val="20"/>
        </w:rPr>
      </w:pPr>
    </w:p>
    <w:p w:rsidR="00BC0F55" w:rsidRDefault="00BC0F55">
      <w:pPr>
        <w:spacing w:before="5"/>
        <w:rPr>
          <w:rFonts w:ascii="Times New Roman" w:eastAsia="Times New Roman" w:hAnsi="Times New Roman" w:cs="Times New Roman"/>
          <w:sz w:val="23"/>
          <w:szCs w:val="23"/>
        </w:rPr>
      </w:pPr>
    </w:p>
    <w:p w:rsidR="00BC0F55" w:rsidRPr="00C22240" w:rsidRDefault="00DA64AC">
      <w:pPr>
        <w:spacing w:before="44"/>
        <w:ind w:left="810" w:right="811"/>
        <w:jc w:val="center"/>
        <w:rPr>
          <w:rFonts w:asciiTheme="minorHAnsi" w:eastAsia="Cambria" w:hAnsiTheme="minorHAnsi" w:cs="Cambria"/>
          <w:sz w:val="40"/>
          <w:szCs w:val="40"/>
        </w:rPr>
      </w:pPr>
      <w:r w:rsidRPr="00C22240">
        <w:rPr>
          <w:rFonts w:asciiTheme="minorHAnsi" w:hAnsiTheme="minorHAnsi"/>
          <w:b/>
          <w:sz w:val="40"/>
        </w:rPr>
        <w:t xml:space="preserve">2015 </w:t>
      </w:r>
      <w:r w:rsidR="0048023B" w:rsidRPr="00C22240">
        <w:rPr>
          <w:rFonts w:asciiTheme="minorHAnsi" w:hAnsiTheme="minorHAnsi"/>
          <w:b/>
          <w:spacing w:val="-2"/>
          <w:sz w:val="40"/>
        </w:rPr>
        <w:t xml:space="preserve">Northeastern </w:t>
      </w:r>
      <w:r w:rsidR="0048023B" w:rsidRPr="00C22240">
        <w:rPr>
          <w:rFonts w:asciiTheme="minorHAnsi" w:hAnsiTheme="minorHAnsi"/>
          <w:b/>
          <w:spacing w:val="-1"/>
          <w:sz w:val="40"/>
        </w:rPr>
        <w:t>Coordinated System</w:t>
      </w:r>
      <w:r w:rsidR="0048023B" w:rsidRPr="00C22240">
        <w:rPr>
          <w:rFonts w:asciiTheme="minorHAnsi" w:hAnsiTheme="minorHAnsi"/>
          <w:b/>
          <w:spacing w:val="1"/>
          <w:sz w:val="40"/>
        </w:rPr>
        <w:t xml:space="preserve"> </w:t>
      </w:r>
      <w:r w:rsidR="0048023B" w:rsidRPr="00C22240">
        <w:rPr>
          <w:rFonts w:asciiTheme="minorHAnsi" w:hAnsiTheme="minorHAnsi"/>
          <w:b/>
          <w:spacing w:val="-2"/>
          <w:sz w:val="40"/>
        </w:rPr>
        <w:t>Plan</w:t>
      </w:r>
    </w:p>
    <w:p w:rsidR="00BC0F55" w:rsidRPr="00C22240" w:rsidRDefault="0048023B">
      <w:pPr>
        <w:spacing w:before="152"/>
        <w:ind w:left="810" w:right="811"/>
        <w:jc w:val="center"/>
        <w:rPr>
          <w:rFonts w:asciiTheme="minorHAnsi" w:eastAsia="Cambria" w:hAnsiTheme="minorHAnsi" w:cs="Cambria"/>
          <w:sz w:val="32"/>
          <w:szCs w:val="32"/>
        </w:rPr>
      </w:pPr>
      <w:r w:rsidRPr="00C22240">
        <w:rPr>
          <w:rFonts w:asciiTheme="minorHAnsi" w:hAnsiTheme="minorHAnsi"/>
          <w:b/>
          <w:spacing w:val="-1"/>
          <w:sz w:val="32"/>
        </w:rPr>
        <w:t>ISO</w:t>
      </w:r>
      <w:r w:rsidRPr="00C22240">
        <w:rPr>
          <w:rFonts w:asciiTheme="minorHAnsi" w:hAnsiTheme="minorHAnsi"/>
          <w:b/>
          <w:spacing w:val="-8"/>
          <w:sz w:val="32"/>
        </w:rPr>
        <w:t xml:space="preserve"> </w:t>
      </w:r>
      <w:r w:rsidRPr="00C22240">
        <w:rPr>
          <w:rFonts w:asciiTheme="minorHAnsi" w:hAnsiTheme="minorHAnsi"/>
          <w:b/>
          <w:sz w:val="32"/>
        </w:rPr>
        <w:t>New</w:t>
      </w:r>
      <w:r w:rsidRPr="00C22240">
        <w:rPr>
          <w:rFonts w:asciiTheme="minorHAnsi" w:hAnsiTheme="minorHAnsi"/>
          <w:b/>
          <w:spacing w:val="-10"/>
          <w:sz w:val="32"/>
        </w:rPr>
        <w:t xml:space="preserve"> </w:t>
      </w:r>
      <w:r w:rsidRPr="00C22240">
        <w:rPr>
          <w:rFonts w:asciiTheme="minorHAnsi" w:hAnsiTheme="minorHAnsi"/>
          <w:b/>
          <w:sz w:val="32"/>
        </w:rPr>
        <w:t>England,</w:t>
      </w:r>
      <w:r w:rsidRPr="00C22240">
        <w:rPr>
          <w:rFonts w:asciiTheme="minorHAnsi" w:hAnsiTheme="minorHAnsi"/>
          <w:b/>
          <w:spacing w:val="-8"/>
          <w:sz w:val="32"/>
        </w:rPr>
        <w:t xml:space="preserve"> </w:t>
      </w:r>
      <w:r w:rsidRPr="00C22240">
        <w:rPr>
          <w:rFonts w:asciiTheme="minorHAnsi" w:hAnsiTheme="minorHAnsi"/>
          <w:b/>
          <w:sz w:val="32"/>
        </w:rPr>
        <w:t>New</w:t>
      </w:r>
      <w:r w:rsidRPr="00C22240">
        <w:rPr>
          <w:rFonts w:asciiTheme="minorHAnsi" w:hAnsiTheme="minorHAnsi"/>
          <w:b/>
          <w:spacing w:val="-7"/>
          <w:sz w:val="32"/>
        </w:rPr>
        <w:t xml:space="preserve"> </w:t>
      </w:r>
      <w:r w:rsidRPr="00C22240">
        <w:rPr>
          <w:rFonts w:asciiTheme="minorHAnsi" w:hAnsiTheme="minorHAnsi"/>
          <w:b/>
          <w:spacing w:val="-1"/>
          <w:sz w:val="32"/>
        </w:rPr>
        <w:t>York</w:t>
      </w:r>
      <w:r w:rsidRPr="00C22240">
        <w:rPr>
          <w:rFonts w:asciiTheme="minorHAnsi" w:hAnsiTheme="minorHAnsi"/>
          <w:b/>
          <w:spacing w:val="-6"/>
          <w:sz w:val="32"/>
        </w:rPr>
        <w:t xml:space="preserve"> </w:t>
      </w:r>
      <w:r w:rsidRPr="00C22240">
        <w:rPr>
          <w:rFonts w:asciiTheme="minorHAnsi" w:hAnsiTheme="minorHAnsi"/>
          <w:b/>
          <w:spacing w:val="-1"/>
          <w:sz w:val="32"/>
        </w:rPr>
        <w:t>ISO</w:t>
      </w:r>
      <w:r w:rsidR="00867C75" w:rsidRPr="00C22240">
        <w:rPr>
          <w:rFonts w:asciiTheme="minorHAnsi" w:hAnsiTheme="minorHAnsi"/>
          <w:b/>
          <w:spacing w:val="-1"/>
          <w:sz w:val="32"/>
        </w:rPr>
        <w:t>,</w:t>
      </w:r>
      <w:r w:rsidRPr="00C22240">
        <w:rPr>
          <w:rFonts w:asciiTheme="minorHAnsi" w:hAnsiTheme="minorHAnsi"/>
          <w:b/>
          <w:spacing w:val="-6"/>
          <w:sz w:val="32"/>
        </w:rPr>
        <w:t xml:space="preserve"> </w:t>
      </w:r>
      <w:r w:rsidRPr="00C22240">
        <w:rPr>
          <w:rFonts w:asciiTheme="minorHAnsi" w:hAnsiTheme="minorHAnsi"/>
          <w:b/>
          <w:spacing w:val="-1"/>
          <w:sz w:val="32"/>
        </w:rPr>
        <w:t>and</w:t>
      </w:r>
      <w:r w:rsidRPr="00C22240">
        <w:rPr>
          <w:rFonts w:asciiTheme="minorHAnsi" w:hAnsiTheme="minorHAnsi"/>
          <w:b/>
          <w:spacing w:val="-7"/>
          <w:sz w:val="32"/>
        </w:rPr>
        <w:t xml:space="preserve"> </w:t>
      </w:r>
      <w:r w:rsidRPr="00C22240">
        <w:rPr>
          <w:rFonts w:asciiTheme="minorHAnsi" w:hAnsiTheme="minorHAnsi"/>
          <w:b/>
          <w:spacing w:val="-1"/>
          <w:sz w:val="32"/>
        </w:rPr>
        <w:t>PJM</w:t>
      </w:r>
    </w:p>
    <w:p w:rsidR="00BC0F55" w:rsidRPr="00C22240" w:rsidRDefault="00BC0F55">
      <w:pPr>
        <w:spacing w:before="6"/>
        <w:rPr>
          <w:rFonts w:asciiTheme="minorHAnsi" w:eastAsia="Cambria" w:hAnsiTheme="minorHAnsi" w:cs="Cambria"/>
          <w:b/>
          <w:bCs/>
          <w:sz w:val="17"/>
          <w:szCs w:val="17"/>
        </w:rPr>
      </w:pPr>
    </w:p>
    <w:p w:rsidR="00BC0F55" w:rsidRDefault="00BC0F55">
      <w:pPr>
        <w:rPr>
          <w:rFonts w:eastAsia="Cambria" w:cs="Cambria"/>
          <w:b/>
          <w:bCs/>
        </w:rPr>
      </w:pPr>
    </w:p>
    <w:p w:rsidR="00BC0F55" w:rsidRDefault="00BC0F55">
      <w:pPr>
        <w:spacing w:before="3"/>
        <w:rPr>
          <w:rFonts w:eastAsia="Cambria" w:cs="Cambria"/>
          <w:b/>
          <w:bCs/>
          <w:sz w:val="26"/>
          <w:szCs w:val="26"/>
        </w:rPr>
      </w:pPr>
    </w:p>
    <w:p w:rsidR="00C35773" w:rsidRDefault="00CB2BBB">
      <w:pPr>
        <w:ind w:left="808" w:right="811"/>
        <w:jc w:val="center"/>
        <w:rPr>
          <w:rFonts w:asciiTheme="minorHAnsi" w:hAnsiTheme="minorHAnsi"/>
          <w:b/>
          <w:spacing w:val="-2"/>
        </w:rPr>
        <w:sectPr w:rsidR="00C35773" w:rsidSect="00FD54A5">
          <w:headerReference w:type="default" r:id="rId9"/>
          <w:type w:val="continuous"/>
          <w:pgSz w:w="12240" w:h="15840" w:code="1"/>
          <w:pgMar w:top="1440" w:right="1440" w:bottom="1440" w:left="1440" w:header="720" w:footer="720" w:gutter="0"/>
          <w:pgNumType w:fmt="lowerRoman"/>
          <w:cols w:space="720"/>
        </w:sectPr>
      </w:pPr>
      <w:r w:rsidRPr="000F2023">
        <w:rPr>
          <w:rFonts w:asciiTheme="minorHAnsi" w:hAnsiTheme="minorHAnsi"/>
          <w:b/>
          <w:spacing w:val="-1"/>
        </w:rPr>
        <w:t xml:space="preserve">April </w:t>
      </w:r>
      <w:r w:rsidR="000F2023" w:rsidRPr="000F2023">
        <w:rPr>
          <w:rFonts w:asciiTheme="minorHAnsi" w:hAnsiTheme="minorHAnsi"/>
          <w:b/>
          <w:spacing w:val="-1"/>
        </w:rPr>
        <w:t>11</w:t>
      </w:r>
      <w:r w:rsidR="0048023B" w:rsidRPr="000F2023">
        <w:rPr>
          <w:rFonts w:asciiTheme="minorHAnsi" w:hAnsiTheme="minorHAnsi"/>
          <w:b/>
          <w:spacing w:val="-2"/>
        </w:rPr>
        <w:t>,</w:t>
      </w:r>
      <w:r w:rsidR="0048023B" w:rsidRPr="00D25FA1">
        <w:rPr>
          <w:rFonts w:asciiTheme="minorHAnsi" w:hAnsiTheme="minorHAnsi"/>
          <w:b/>
          <w:spacing w:val="-2"/>
        </w:rPr>
        <w:t xml:space="preserve"> </w:t>
      </w:r>
      <w:r w:rsidR="00DA64AC" w:rsidRPr="00D25FA1">
        <w:rPr>
          <w:rFonts w:asciiTheme="minorHAnsi" w:hAnsiTheme="minorHAnsi"/>
          <w:b/>
          <w:spacing w:val="-2"/>
        </w:rPr>
        <w:t>2016</w:t>
      </w:r>
    </w:p>
    <w:p w:rsidR="00C35773" w:rsidRDefault="00C35773">
      <w:pPr>
        <w:ind w:left="808" w:right="811"/>
        <w:jc w:val="center"/>
        <w:rPr>
          <w:rFonts w:asciiTheme="minorHAnsi" w:hAnsiTheme="minorHAnsi"/>
          <w:b/>
          <w:spacing w:val="-2"/>
        </w:rPr>
        <w:sectPr w:rsidR="00C35773" w:rsidSect="00E92FF3">
          <w:headerReference w:type="default" r:id="rId10"/>
          <w:footerReference w:type="default" r:id="rId11"/>
          <w:pgSz w:w="12240" w:h="15840" w:code="1"/>
          <w:pgMar w:top="1440" w:right="1440" w:bottom="1440" w:left="1440" w:header="720" w:footer="720" w:gutter="0"/>
          <w:pgNumType w:fmt="lowerRoman"/>
          <w:cols w:space="720"/>
        </w:sectPr>
      </w:pPr>
    </w:p>
    <w:p w:rsidR="00BC0F55" w:rsidRPr="00C22240" w:rsidRDefault="00BC0F55">
      <w:pPr>
        <w:ind w:left="808" w:right="811"/>
        <w:jc w:val="center"/>
        <w:rPr>
          <w:rFonts w:asciiTheme="minorHAnsi" w:eastAsia="Cambria" w:hAnsiTheme="minorHAnsi" w:cs="Cambria"/>
        </w:rPr>
      </w:pPr>
    </w:p>
    <w:p w:rsidR="00C35773" w:rsidRDefault="0048023B" w:rsidP="00307A17">
      <w:pPr>
        <w:pStyle w:val="TOC1"/>
        <w:tabs>
          <w:tab w:val="right" w:leader="dot" w:pos="9350"/>
        </w:tabs>
        <w:rPr>
          <w:rFonts w:asciiTheme="minorHAnsi" w:hAnsiTheme="minorHAnsi"/>
          <w:b/>
          <w:bCs/>
          <w:color w:val="365F91"/>
          <w:spacing w:val="-1"/>
          <w:sz w:val="36"/>
          <w:szCs w:val="36"/>
        </w:rPr>
      </w:pPr>
      <w:r w:rsidRPr="00C22240">
        <w:rPr>
          <w:rFonts w:asciiTheme="minorHAnsi" w:hAnsiTheme="minorHAnsi"/>
          <w:b/>
          <w:bCs/>
          <w:color w:val="365F91"/>
          <w:spacing w:val="-1"/>
          <w:sz w:val="36"/>
          <w:szCs w:val="36"/>
        </w:rPr>
        <w:t>Contents</w:t>
      </w:r>
    </w:p>
    <w:p w:rsidR="00307A17" w:rsidRPr="00C05AB5" w:rsidRDefault="00307A17" w:rsidP="00C05AB5">
      <w:pPr>
        <w:pStyle w:val="TOC1"/>
        <w:tabs>
          <w:tab w:val="right" w:leader="dot" w:pos="9350"/>
        </w:tabs>
        <w:rPr>
          <w:rFonts w:asciiTheme="minorHAnsi" w:hAnsiTheme="minorHAnsi"/>
          <w:b/>
        </w:rPr>
      </w:pPr>
      <w:r w:rsidRPr="00C05AB5">
        <w:rPr>
          <w:rFonts w:asciiTheme="minorHAnsi" w:hAnsiTheme="minorHAnsi"/>
          <w:b/>
        </w:rPr>
        <w:t>Preface</w:t>
      </w:r>
      <w:r w:rsidRPr="00C05AB5">
        <w:rPr>
          <w:rFonts w:asciiTheme="minorHAnsi" w:hAnsiTheme="minorHAnsi"/>
          <w:b/>
        </w:rPr>
        <w:tab/>
        <w:t>i</w:t>
      </w:r>
      <w:r w:rsidR="00C35773" w:rsidRPr="00C05AB5">
        <w:rPr>
          <w:rFonts w:asciiTheme="minorHAnsi" w:hAnsiTheme="minorHAnsi"/>
          <w:b/>
        </w:rPr>
        <w:t>v</w:t>
      </w:r>
    </w:p>
    <w:p w:rsidR="00C05AB5" w:rsidRPr="00C05AB5" w:rsidRDefault="002A40C6" w:rsidP="00C05AB5">
      <w:pPr>
        <w:pStyle w:val="TOC1"/>
        <w:tabs>
          <w:tab w:val="right" w:leader="dot" w:pos="9350"/>
        </w:tabs>
        <w:rPr>
          <w:rFonts w:asciiTheme="minorHAnsi" w:eastAsiaTheme="minorEastAsia" w:hAnsiTheme="minorHAnsi"/>
          <w:b/>
          <w:noProof/>
        </w:rPr>
      </w:pPr>
      <w:r w:rsidRPr="00C05AB5">
        <w:rPr>
          <w:rFonts w:asciiTheme="minorHAnsi" w:hAnsiTheme="minorHAnsi"/>
        </w:rPr>
        <w:fldChar w:fldCharType="begin"/>
      </w:r>
      <w:r w:rsidR="00307A17" w:rsidRPr="00C05AB5">
        <w:rPr>
          <w:rFonts w:asciiTheme="minorHAnsi" w:hAnsiTheme="minorHAnsi"/>
        </w:rPr>
        <w:instrText xml:space="preserve"> TOC \o "1-3" \h \z \u </w:instrText>
      </w:r>
      <w:r w:rsidRPr="00C05AB5">
        <w:rPr>
          <w:rFonts w:asciiTheme="minorHAnsi" w:hAnsiTheme="minorHAnsi"/>
        </w:rPr>
        <w:fldChar w:fldCharType="separate"/>
      </w:r>
      <w:hyperlink w:anchor="_Toc443909841" w:history="1">
        <w:r w:rsidR="00C05AB5" w:rsidRPr="00C05AB5">
          <w:rPr>
            <w:rStyle w:val="Hyperlink"/>
            <w:rFonts w:asciiTheme="minorHAnsi" w:hAnsiTheme="minorHAnsi"/>
            <w:b/>
            <w:noProof/>
          </w:rPr>
          <w:t>1. Executive Summary</w:t>
        </w:r>
        <w:r w:rsidR="00C05AB5" w:rsidRPr="00C05AB5">
          <w:rPr>
            <w:rFonts w:asciiTheme="minorHAnsi" w:hAnsiTheme="minorHAnsi"/>
            <w:b/>
            <w:noProof/>
            <w:webHidden/>
          </w:rPr>
          <w:tab/>
        </w:r>
        <w:r w:rsidR="00C05AB5" w:rsidRPr="00C05AB5">
          <w:rPr>
            <w:rFonts w:asciiTheme="minorHAnsi" w:hAnsiTheme="minorHAnsi"/>
            <w:b/>
            <w:noProof/>
            <w:webHidden/>
          </w:rPr>
          <w:fldChar w:fldCharType="begin"/>
        </w:r>
        <w:r w:rsidR="00C05AB5" w:rsidRPr="00C05AB5">
          <w:rPr>
            <w:rFonts w:asciiTheme="minorHAnsi" w:hAnsiTheme="minorHAnsi"/>
            <w:b/>
            <w:noProof/>
            <w:webHidden/>
          </w:rPr>
          <w:instrText xml:space="preserve"> PAGEREF _Toc443909841 \h </w:instrText>
        </w:r>
        <w:r w:rsidR="00C05AB5" w:rsidRPr="00C05AB5">
          <w:rPr>
            <w:rFonts w:asciiTheme="minorHAnsi" w:hAnsiTheme="minorHAnsi"/>
            <w:b/>
            <w:noProof/>
            <w:webHidden/>
          </w:rPr>
        </w:r>
        <w:r w:rsidR="00C05AB5" w:rsidRPr="00C05AB5">
          <w:rPr>
            <w:rFonts w:asciiTheme="minorHAnsi" w:hAnsiTheme="minorHAnsi"/>
            <w:b/>
            <w:noProof/>
            <w:webHidden/>
          </w:rPr>
          <w:fldChar w:fldCharType="separate"/>
        </w:r>
        <w:r w:rsidR="00CC45C7">
          <w:rPr>
            <w:rFonts w:asciiTheme="minorHAnsi" w:hAnsiTheme="minorHAnsi"/>
            <w:b/>
            <w:noProof/>
            <w:webHidden/>
          </w:rPr>
          <w:t>1</w:t>
        </w:r>
        <w:r w:rsidR="00C05AB5" w:rsidRPr="00C05AB5">
          <w:rPr>
            <w:rFonts w:asciiTheme="minorHAnsi" w:hAnsiTheme="minorHAnsi"/>
            <w:b/>
            <w:noProof/>
            <w:webHidden/>
          </w:rPr>
          <w:fldChar w:fldCharType="end"/>
        </w:r>
      </w:hyperlink>
    </w:p>
    <w:p w:rsidR="00C05AB5" w:rsidRPr="00C05AB5" w:rsidRDefault="000F2023" w:rsidP="00C05AB5">
      <w:pPr>
        <w:pStyle w:val="TOC1"/>
        <w:tabs>
          <w:tab w:val="right" w:leader="dot" w:pos="9350"/>
        </w:tabs>
        <w:rPr>
          <w:rFonts w:asciiTheme="minorHAnsi" w:eastAsiaTheme="minorEastAsia" w:hAnsiTheme="minorHAnsi"/>
          <w:b/>
          <w:noProof/>
        </w:rPr>
      </w:pPr>
      <w:hyperlink w:anchor="_Toc443909842" w:history="1">
        <w:r w:rsidR="00C05AB5" w:rsidRPr="00C05AB5">
          <w:rPr>
            <w:rStyle w:val="Hyperlink"/>
            <w:rFonts w:asciiTheme="minorHAnsi" w:hAnsiTheme="minorHAnsi"/>
            <w:b/>
            <w:noProof/>
          </w:rPr>
          <w:t>2. FERC Order No. 1000: Transmission Planning and Cost Allocation</w:t>
        </w:r>
        <w:r w:rsidR="00C05AB5" w:rsidRPr="00C05AB5">
          <w:rPr>
            <w:rFonts w:asciiTheme="minorHAnsi" w:hAnsiTheme="minorHAnsi"/>
            <w:b/>
            <w:noProof/>
            <w:webHidden/>
          </w:rPr>
          <w:tab/>
        </w:r>
        <w:r w:rsidR="00C05AB5" w:rsidRPr="00C05AB5">
          <w:rPr>
            <w:rFonts w:asciiTheme="minorHAnsi" w:hAnsiTheme="minorHAnsi"/>
            <w:b/>
            <w:noProof/>
            <w:webHidden/>
          </w:rPr>
          <w:fldChar w:fldCharType="begin"/>
        </w:r>
        <w:r w:rsidR="00C05AB5" w:rsidRPr="00C05AB5">
          <w:rPr>
            <w:rFonts w:asciiTheme="minorHAnsi" w:hAnsiTheme="minorHAnsi"/>
            <w:b/>
            <w:noProof/>
            <w:webHidden/>
          </w:rPr>
          <w:instrText xml:space="preserve"> PAGEREF _Toc443909842 \h </w:instrText>
        </w:r>
        <w:r w:rsidR="00C05AB5" w:rsidRPr="00C05AB5">
          <w:rPr>
            <w:rFonts w:asciiTheme="minorHAnsi" w:hAnsiTheme="minorHAnsi"/>
            <w:b/>
            <w:noProof/>
            <w:webHidden/>
          </w:rPr>
        </w:r>
        <w:r w:rsidR="00C05AB5" w:rsidRPr="00C05AB5">
          <w:rPr>
            <w:rFonts w:asciiTheme="minorHAnsi" w:hAnsiTheme="minorHAnsi"/>
            <w:b/>
            <w:noProof/>
            <w:webHidden/>
          </w:rPr>
          <w:fldChar w:fldCharType="separate"/>
        </w:r>
        <w:r w:rsidR="00CC45C7">
          <w:rPr>
            <w:rFonts w:asciiTheme="minorHAnsi" w:hAnsiTheme="minorHAnsi"/>
            <w:b/>
            <w:noProof/>
            <w:webHidden/>
          </w:rPr>
          <w:t>2</w:t>
        </w:r>
        <w:r w:rsidR="00C05AB5" w:rsidRPr="00C05AB5">
          <w:rPr>
            <w:rFonts w:asciiTheme="minorHAnsi" w:hAnsiTheme="minorHAnsi"/>
            <w:b/>
            <w:noProof/>
            <w:webHidden/>
          </w:rPr>
          <w:fldChar w:fldCharType="end"/>
        </w:r>
      </w:hyperlink>
    </w:p>
    <w:p w:rsidR="00C05AB5" w:rsidRPr="00C05AB5" w:rsidRDefault="000F2023" w:rsidP="00C05AB5">
      <w:pPr>
        <w:pStyle w:val="TOC2"/>
        <w:tabs>
          <w:tab w:val="right" w:leader="dot" w:pos="9350"/>
        </w:tabs>
        <w:spacing w:before="0" w:after="120" w:line="240" w:lineRule="auto"/>
        <w:rPr>
          <w:rFonts w:asciiTheme="minorHAnsi" w:eastAsiaTheme="minorEastAsia" w:hAnsiTheme="minorHAnsi"/>
          <w:noProof/>
        </w:rPr>
      </w:pPr>
      <w:hyperlink w:anchor="_Toc443909843" w:history="1">
        <w:r w:rsidR="00C05AB5" w:rsidRPr="00C05AB5">
          <w:rPr>
            <w:rStyle w:val="Hyperlink"/>
            <w:rFonts w:asciiTheme="minorHAnsi" w:hAnsiTheme="minorHAnsi"/>
            <w:noProof/>
          </w:rPr>
          <w:t>2.1 Interregional Coordination Requirements</w:t>
        </w:r>
        <w:r w:rsidR="00C05AB5" w:rsidRPr="00C05AB5">
          <w:rPr>
            <w:rFonts w:asciiTheme="minorHAnsi" w:hAnsiTheme="minorHAnsi"/>
            <w:noProof/>
            <w:webHidden/>
          </w:rPr>
          <w:tab/>
        </w:r>
        <w:r w:rsidR="00C05AB5" w:rsidRPr="00C05AB5">
          <w:rPr>
            <w:rFonts w:asciiTheme="minorHAnsi" w:hAnsiTheme="minorHAnsi"/>
            <w:noProof/>
            <w:webHidden/>
          </w:rPr>
          <w:fldChar w:fldCharType="begin"/>
        </w:r>
        <w:r w:rsidR="00C05AB5" w:rsidRPr="00C05AB5">
          <w:rPr>
            <w:rFonts w:asciiTheme="minorHAnsi" w:hAnsiTheme="minorHAnsi"/>
            <w:noProof/>
            <w:webHidden/>
          </w:rPr>
          <w:instrText xml:space="preserve"> PAGEREF _Toc443909843 \h </w:instrText>
        </w:r>
        <w:r w:rsidR="00C05AB5" w:rsidRPr="00C05AB5">
          <w:rPr>
            <w:rFonts w:asciiTheme="minorHAnsi" w:hAnsiTheme="minorHAnsi"/>
            <w:noProof/>
            <w:webHidden/>
          </w:rPr>
        </w:r>
        <w:r w:rsidR="00C05AB5" w:rsidRPr="00C05AB5">
          <w:rPr>
            <w:rFonts w:asciiTheme="minorHAnsi" w:hAnsiTheme="minorHAnsi"/>
            <w:noProof/>
            <w:webHidden/>
          </w:rPr>
          <w:fldChar w:fldCharType="separate"/>
        </w:r>
        <w:r w:rsidR="00CC45C7">
          <w:rPr>
            <w:rFonts w:asciiTheme="minorHAnsi" w:hAnsiTheme="minorHAnsi"/>
            <w:noProof/>
            <w:webHidden/>
          </w:rPr>
          <w:t>3</w:t>
        </w:r>
        <w:r w:rsidR="00C05AB5" w:rsidRPr="00C05AB5">
          <w:rPr>
            <w:rFonts w:asciiTheme="minorHAnsi" w:hAnsiTheme="minorHAnsi"/>
            <w:noProof/>
            <w:webHidden/>
          </w:rPr>
          <w:fldChar w:fldCharType="end"/>
        </w:r>
      </w:hyperlink>
    </w:p>
    <w:p w:rsidR="00C05AB5" w:rsidRPr="00C05AB5" w:rsidRDefault="000F2023" w:rsidP="00C05AB5">
      <w:pPr>
        <w:pStyle w:val="TOC2"/>
        <w:tabs>
          <w:tab w:val="right" w:leader="dot" w:pos="9350"/>
        </w:tabs>
        <w:spacing w:before="0" w:after="120" w:line="240" w:lineRule="auto"/>
        <w:rPr>
          <w:rFonts w:asciiTheme="minorHAnsi" w:eastAsiaTheme="minorEastAsia" w:hAnsiTheme="minorHAnsi"/>
          <w:noProof/>
        </w:rPr>
      </w:pPr>
      <w:hyperlink w:anchor="_Toc443909844" w:history="1">
        <w:r w:rsidR="00C05AB5" w:rsidRPr="00C05AB5">
          <w:rPr>
            <w:rStyle w:val="Hyperlink"/>
            <w:rFonts w:asciiTheme="minorHAnsi" w:hAnsiTheme="minorHAnsi"/>
            <w:noProof/>
          </w:rPr>
          <w:t>2.2 Cost-Allocation Requirements</w:t>
        </w:r>
        <w:r w:rsidR="00C05AB5" w:rsidRPr="00C05AB5">
          <w:rPr>
            <w:rFonts w:asciiTheme="minorHAnsi" w:hAnsiTheme="minorHAnsi"/>
            <w:noProof/>
            <w:webHidden/>
          </w:rPr>
          <w:tab/>
        </w:r>
        <w:r w:rsidR="00C05AB5" w:rsidRPr="00C05AB5">
          <w:rPr>
            <w:rFonts w:asciiTheme="minorHAnsi" w:hAnsiTheme="minorHAnsi"/>
            <w:noProof/>
            <w:webHidden/>
          </w:rPr>
          <w:fldChar w:fldCharType="begin"/>
        </w:r>
        <w:r w:rsidR="00C05AB5" w:rsidRPr="00C05AB5">
          <w:rPr>
            <w:rFonts w:asciiTheme="minorHAnsi" w:hAnsiTheme="minorHAnsi"/>
            <w:noProof/>
            <w:webHidden/>
          </w:rPr>
          <w:instrText xml:space="preserve"> PAGEREF _Toc443909844 \h </w:instrText>
        </w:r>
        <w:r w:rsidR="00C05AB5" w:rsidRPr="00C05AB5">
          <w:rPr>
            <w:rFonts w:asciiTheme="minorHAnsi" w:hAnsiTheme="minorHAnsi"/>
            <w:noProof/>
            <w:webHidden/>
          </w:rPr>
        </w:r>
        <w:r w:rsidR="00C05AB5" w:rsidRPr="00C05AB5">
          <w:rPr>
            <w:rFonts w:asciiTheme="minorHAnsi" w:hAnsiTheme="minorHAnsi"/>
            <w:noProof/>
            <w:webHidden/>
          </w:rPr>
          <w:fldChar w:fldCharType="separate"/>
        </w:r>
        <w:r w:rsidR="00CC45C7">
          <w:rPr>
            <w:rFonts w:asciiTheme="minorHAnsi" w:hAnsiTheme="minorHAnsi"/>
            <w:noProof/>
            <w:webHidden/>
          </w:rPr>
          <w:t>3</w:t>
        </w:r>
        <w:r w:rsidR="00C05AB5" w:rsidRPr="00C05AB5">
          <w:rPr>
            <w:rFonts w:asciiTheme="minorHAnsi" w:hAnsiTheme="minorHAnsi"/>
            <w:noProof/>
            <w:webHidden/>
          </w:rPr>
          <w:fldChar w:fldCharType="end"/>
        </w:r>
      </w:hyperlink>
    </w:p>
    <w:p w:rsidR="00C05AB5" w:rsidRPr="00C05AB5" w:rsidRDefault="000F2023" w:rsidP="00C05AB5">
      <w:pPr>
        <w:pStyle w:val="TOC2"/>
        <w:tabs>
          <w:tab w:val="right" w:leader="dot" w:pos="9350"/>
        </w:tabs>
        <w:spacing w:before="0" w:after="120" w:line="240" w:lineRule="auto"/>
        <w:rPr>
          <w:rFonts w:asciiTheme="minorHAnsi" w:eastAsiaTheme="minorEastAsia" w:hAnsiTheme="minorHAnsi"/>
          <w:noProof/>
        </w:rPr>
      </w:pPr>
      <w:hyperlink w:anchor="_Toc443909845" w:history="1">
        <w:r w:rsidR="00C05AB5" w:rsidRPr="00C05AB5">
          <w:rPr>
            <w:rStyle w:val="Hyperlink"/>
            <w:rFonts w:asciiTheme="minorHAnsi" w:hAnsiTheme="minorHAnsi"/>
            <w:noProof/>
          </w:rPr>
          <w:t>2.3 Compliance Filings for Interregional Order No. 1000</w:t>
        </w:r>
        <w:r w:rsidR="00C05AB5" w:rsidRPr="00C05AB5">
          <w:rPr>
            <w:rFonts w:asciiTheme="minorHAnsi" w:hAnsiTheme="minorHAnsi"/>
            <w:noProof/>
            <w:webHidden/>
          </w:rPr>
          <w:tab/>
        </w:r>
        <w:r w:rsidR="00C05AB5" w:rsidRPr="00C05AB5">
          <w:rPr>
            <w:rFonts w:asciiTheme="minorHAnsi" w:hAnsiTheme="minorHAnsi"/>
            <w:noProof/>
            <w:webHidden/>
          </w:rPr>
          <w:fldChar w:fldCharType="begin"/>
        </w:r>
        <w:r w:rsidR="00C05AB5" w:rsidRPr="00C05AB5">
          <w:rPr>
            <w:rFonts w:asciiTheme="minorHAnsi" w:hAnsiTheme="minorHAnsi"/>
            <w:noProof/>
            <w:webHidden/>
          </w:rPr>
          <w:instrText xml:space="preserve"> PAGEREF _Toc443909845 \h </w:instrText>
        </w:r>
        <w:r w:rsidR="00C05AB5" w:rsidRPr="00C05AB5">
          <w:rPr>
            <w:rFonts w:asciiTheme="minorHAnsi" w:hAnsiTheme="minorHAnsi"/>
            <w:noProof/>
            <w:webHidden/>
          </w:rPr>
        </w:r>
        <w:r w:rsidR="00C05AB5" w:rsidRPr="00C05AB5">
          <w:rPr>
            <w:rFonts w:asciiTheme="minorHAnsi" w:hAnsiTheme="minorHAnsi"/>
            <w:noProof/>
            <w:webHidden/>
          </w:rPr>
          <w:fldChar w:fldCharType="separate"/>
        </w:r>
        <w:r w:rsidR="00CC45C7">
          <w:rPr>
            <w:rFonts w:asciiTheme="minorHAnsi" w:hAnsiTheme="minorHAnsi"/>
            <w:noProof/>
            <w:webHidden/>
          </w:rPr>
          <w:t>4</w:t>
        </w:r>
        <w:r w:rsidR="00C05AB5" w:rsidRPr="00C05AB5">
          <w:rPr>
            <w:rFonts w:asciiTheme="minorHAnsi" w:hAnsiTheme="minorHAnsi"/>
            <w:noProof/>
            <w:webHidden/>
          </w:rPr>
          <w:fldChar w:fldCharType="end"/>
        </w:r>
      </w:hyperlink>
    </w:p>
    <w:p w:rsidR="00C05AB5" w:rsidRPr="00C05AB5" w:rsidRDefault="000F2023" w:rsidP="00C05AB5">
      <w:pPr>
        <w:pStyle w:val="TOC1"/>
        <w:tabs>
          <w:tab w:val="right" w:leader="dot" w:pos="9350"/>
        </w:tabs>
        <w:rPr>
          <w:rFonts w:asciiTheme="minorHAnsi" w:eastAsiaTheme="minorEastAsia" w:hAnsiTheme="minorHAnsi"/>
          <w:b/>
          <w:noProof/>
        </w:rPr>
      </w:pPr>
      <w:hyperlink w:anchor="_Toc443909846" w:history="1">
        <w:r w:rsidR="00C05AB5" w:rsidRPr="00C05AB5">
          <w:rPr>
            <w:rStyle w:val="Hyperlink"/>
            <w:rFonts w:asciiTheme="minorHAnsi" w:hAnsiTheme="minorHAnsi"/>
            <w:b/>
            <w:noProof/>
          </w:rPr>
          <w:t>3. Implementation of the Interregional Planning Process under Order No. 1000</w:t>
        </w:r>
        <w:r w:rsidR="00C05AB5" w:rsidRPr="00C05AB5">
          <w:rPr>
            <w:rFonts w:asciiTheme="minorHAnsi" w:hAnsiTheme="minorHAnsi"/>
            <w:b/>
            <w:noProof/>
            <w:webHidden/>
          </w:rPr>
          <w:tab/>
        </w:r>
        <w:r w:rsidR="00C05AB5" w:rsidRPr="00C05AB5">
          <w:rPr>
            <w:rFonts w:asciiTheme="minorHAnsi" w:hAnsiTheme="minorHAnsi"/>
            <w:b/>
            <w:noProof/>
            <w:webHidden/>
          </w:rPr>
          <w:fldChar w:fldCharType="begin"/>
        </w:r>
        <w:r w:rsidR="00C05AB5" w:rsidRPr="00C05AB5">
          <w:rPr>
            <w:rFonts w:asciiTheme="minorHAnsi" w:hAnsiTheme="minorHAnsi"/>
            <w:b/>
            <w:noProof/>
            <w:webHidden/>
          </w:rPr>
          <w:instrText xml:space="preserve"> PAGEREF _Toc443909846 \h </w:instrText>
        </w:r>
        <w:r w:rsidR="00C05AB5" w:rsidRPr="00C05AB5">
          <w:rPr>
            <w:rFonts w:asciiTheme="minorHAnsi" w:hAnsiTheme="minorHAnsi"/>
            <w:b/>
            <w:noProof/>
            <w:webHidden/>
          </w:rPr>
        </w:r>
        <w:r w:rsidR="00C05AB5" w:rsidRPr="00C05AB5">
          <w:rPr>
            <w:rFonts w:asciiTheme="minorHAnsi" w:hAnsiTheme="minorHAnsi"/>
            <w:b/>
            <w:noProof/>
            <w:webHidden/>
          </w:rPr>
          <w:fldChar w:fldCharType="separate"/>
        </w:r>
        <w:r w:rsidR="00CC45C7">
          <w:rPr>
            <w:rFonts w:asciiTheme="minorHAnsi" w:hAnsiTheme="minorHAnsi"/>
            <w:b/>
            <w:noProof/>
            <w:webHidden/>
          </w:rPr>
          <w:t>5</w:t>
        </w:r>
        <w:r w:rsidR="00C05AB5" w:rsidRPr="00C05AB5">
          <w:rPr>
            <w:rFonts w:asciiTheme="minorHAnsi" w:hAnsiTheme="minorHAnsi"/>
            <w:b/>
            <w:noProof/>
            <w:webHidden/>
          </w:rPr>
          <w:fldChar w:fldCharType="end"/>
        </w:r>
      </w:hyperlink>
    </w:p>
    <w:p w:rsidR="00C05AB5" w:rsidRPr="00C05AB5" w:rsidRDefault="000F2023" w:rsidP="00C05AB5">
      <w:pPr>
        <w:pStyle w:val="TOC2"/>
        <w:tabs>
          <w:tab w:val="right" w:leader="dot" w:pos="9350"/>
        </w:tabs>
        <w:spacing w:before="0" w:after="120" w:line="240" w:lineRule="auto"/>
        <w:rPr>
          <w:rFonts w:asciiTheme="minorHAnsi" w:eastAsiaTheme="minorEastAsia" w:hAnsiTheme="minorHAnsi"/>
          <w:noProof/>
        </w:rPr>
      </w:pPr>
      <w:hyperlink w:anchor="_Toc443909847" w:history="1">
        <w:r w:rsidR="00C05AB5" w:rsidRPr="00C05AB5">
          <w:rPr>
            <w:rStyle w:val="Hyperlink"/>
            <w:rFonts w:asciiTheme="minorHAnsi" w:hAnsiTheme="minorHAnsi"/>
            <w:noProof/>
          </w:rPr>
          <w:t>3.1 PJM</w:t>
        </w:r>
        <w:r w:rsidR="00C05AB5" w:rsidRPr="00C05AB5">
          <w:rPr>
            <w:rFonts w:asciiTheme="minorHAnsi" w:hAnsiTheme="minorHAnsi"/>
            <w:noProof/>
            <w:webHidden/>
          </w:rPr>
          <w:tab/>
        </w:r>
        <w:r w:rsidR="00C05AB5" w:rsidRPr="00C05AB5">
          <w:rPr>
            <w:rFonts w:asciiTheme="minorHAnsi" w:hAnsiTheme="minorHAnsi"/>
            <w:noProof/>
            <w:webHidden/>
          </w:rPr>
          <w:fldChar w:fldCharType="begin"/>
        </w:r>
        <w:r w:rsidR="00C05AB5" w:rsidRPr="00C05AB5">
          <w:rPr>
            <w:rFonts w:asciiTheme="minorHAnsi" w:hAnsiTheme="minorHAnsi"/>
            <w:noProof/>
            <w:webHidden/>
          </w:rPr>
          <w:instrText xml:space="preserve"> PAGEREF _Toc443909847 \h </w:instrText>
        </w:r>
        <w:r w:rsidR="00C05AB5" w:rsidRPr="00C05AB5">
          <w:rPr>
            <w:rFonts w:asciiTheme="minorHAnsi" w:hAnsiTheme="minorHAnsi"/>
            <w:noProof/>
            <w:webHidden/>
          </w:rPr>
        </w:r>
        <w:r w:rsidR="00C05AB5" w:rsidRPr="00C05AB5">
          <w:rPr>
            <w:rFonts w:asciiTheme="minorHAnsi" w:hAnsiTheme="minorHAnsi"/>
            <w:noProof/>
            <w:webHidden/>
          </w:rPr>
          <w:fldChar w:fldCharType="separate"/>
        </w:r>
        <w:r w:rsidR="00CC45C7">
          <w:rPr>
            <w:rFonts w:asciiTheme="minorHAnsi" w:hAnsiTheme="minorHAnsi"/>
            <w:noProof/>
            <w:webHidden/>
          </w:rPr>
          <w:t>5</w:t>
        </w:r>
        <w:r w:rsidR="00C05AB5" w:rsidRPr="00C05AB5">
          <w:rPr>
            <w:rFonts w:asciiTheme="minorHAnsi" w:hAnsiTheme="minorHAnsi"/>
            <w:noProof/>
            <w:webHidden/>
          </w:rPr>
          <w:fldChar w:fldCharType="end"/>
        </w:r>
      </w:hyperlink>
    </w:p>
    <w:p w:rsidR="00C05AB5" w:rsidRPr="00C05AB5" w:rsidRDefault="000F2023" w:rsidP="00C05AB5">
      <w:pPr>
        <w:pStyle w:val="TOC2"/>
        <w:tabs>
          <w:tab w:val="right" w:leader="dot" w:pos="9350"/>
        </w:tabs>
        <w:spacing w:before="0" w:after="120" w:line="240" w:lineRule="auto"/>
        <w:rPr>
          <w:rFonts w:asciiTheme="minorHAnsi" w:eastAsiaTheme="minorEastAsia" w:hAnsiTheme="minorHAnsi"/>
          <w:noProof/>
        </w:rPr>
      </w:pPr>
      <w:hyperlink w:anchor="_Toc443909848" w:history="1">
        <w:r w:rsidR="00C05AB5" w:rsidRPr="00C05AB5">
          <w:rPr>
            <w:rStyle w:val="Hyperlink"/>
            <w:rFonts w:asciiTheme="minorHAnsi" w:hAnsiTheme="minorHAnsi"/>
            <w:noProof/>
          </w:rPr>
          <w:t>3.2 NYISO</w:t>
        </w:r>
        <w:r w:rsidR="00C05AB5" w:rsidRPr="00C05AB5">
          <w:rPr>
            <w:rFonts w:asciiTheme="minorHAnsi" w:hAnsiTheme="minorHAnsi"/>
            <w:noProof/>
            <w:webHidden/>
          </w:rPr>
          <w:tab/>
        </w:r>
        <w:r w:rsidR="00C05AB5" w:rsidRPr="00C05AB5">
          <w:rPr>
            <w:rFonts w:asciiTheme="minorHAnsi" w:hAnsiTheme="minorHAnsi"/>
            <w:noProof/>
            <w:webHidden/>
          </w:rPr>
          <w:fldChar w:fldCharType="begin"/>
        </w:r>
        <w:r w:rsidR="00C05AB5" w:rsidRPr="00C05AB5">
          <w:rPr>
            <w:rFonts w:asciiTheme="minorHAnsi" w:hAnsiTheme="minorHAnsi"/>
            <w:noProof/>
            <w:webHidden/>
          </w:rPr>
          <w:instrText xml:space="preserve"> PAGEREF _Toc443909848 \h </w:instrText>
        </w:r>
        <w:r w:rsidR="00C05AB5" w:rsidRPr="00C05AB5">
          <w:rPr>
            <w:rFonts w:asciiTheme="minorHAnsi" w:hAnsiTheme="minorHAnsi"/>
            <w:noProof/>
            <w:webHidden/>
          </w:rPr>
        </w:r>
        <w:r w:rsidR="00C05AB5" w:rsidRPr="00C05AB5">
          <w:rPr>
            <w:rFonts w:asciiTheme="minorHAnsi" w:hAnsiTheme="minorHAnsi"/>
            <w:noProof/>
            <w:webHidden/>
          </w:rPr>
          <w:fldChar w:fldCharType="separate"/>
        </w:r>
        <w:r w:rsidR="00CC45C7">
          <w:rPr>
            <w:rFonts w:asciiTheme="minorHAnsi" w:hAnsiTheme="minorHAnsi"/>
            <w:noProof/>
            <w:webHidden/>
          </w:rPr>
          <w:t>8</w:t>
        </w:r>
        <w:r w:rsidR="00C05AB5" w:rsidRPr="00C05AB5">
          <w:rPr>
            <w:rFonts w:asciiTheme="minorHAnsi" w:hAnsiTheme="minorHAnsi"/>
            <w:noProof/>
            <w:webHidden/>
          </w:rPr>
          <w:fldChar w:fldCharType="end"/>
        </w:r>
      </w:hyperlink>
    </w:p>
    <w:p w:rsidR="00C05AB5" w:rsidRPr="00C05AB5" w:rsidRDefault="000F2023" w:rsidP="00C05AB5">
      <w:pPr>
        <w:pStyle w:val="TOC2"/>
        <w:tabs>
          <w:tab w:val="right" w:leader="dot" w:pos="9350"/>
        </w:tabs>
        <w:spacing w:before="0" w:after="120" w:line="240" w:lineRule="auto"/>
        <w:rPr>
          <w:rFonts w:asciiTheme="minorHAnsi" w:eastAsiaTheme="minorEastAsia" w:hAnsiTheme="minorHAnsi"/>
          <w:noProof/>
        </w:rPr>
      </w:pPr>
      <w:hyperlink w:anchor="_Toc443909849" w:history="1">
        <w:r w:rsidR="00C05AB5" w:rsidRPr="00C05AB5">
          <w:rPr>
            <w:rStyle w:val="Hyperlink"/>
            <w:rFonts w:asciiTheme="minorHAnsi" w:hAnsiTheme="minorHAnsi"/>
            <w:noProof/>
          </w:rPr>
          <w:t>3.3 ISO New England</w:t>
        </w:r>
        <w:r w:rsidR="00C05AB5" w:rsidRPr="00C05AB5">
          <w:rPr>
            <w:rFonts w:asciiTheme="minorHAnsi" w:hAnsiTheme="minorHAnsi"/>
            <w:noProof/>
            <w:webHidden/>
          </w:rPr>
          <w:tab/>
        </w:r>
        <w:r w:rsidR="00C05AB5" w:rsidRPr="00C05AB5">
          <w:rPr>
            <w:rFonts w:asciiTheme="minorHAnsi" w:hAnsiTheme="minorHAnsi"/>
            <w:noProof/>
            <w:webHidden/>
          </w:rPr>
          <w:fldChar w:fldCharType="begin"/>
        </w:r>
        <w:r w:rsidR="00C05AB5" w:rsidRPr="00C05AB5">
          <w:rPr>
            <w:rFonts w:asciiTheme="minorHAnsi" w:hAnsiTheme="minorHAnsi"/>
            <w:noProof/>
            <w:webHidden/>
          </w:rPr>
          <w:instrText xml:space="preserve"> PAGEREF _Toc443909849 \h </w:instrText>
        </w:r>
        <w:r w:rsidR="00C05AB5" w:rsidRPr="00C05AB5">
          <w:rPr>
            <w:rFonts w:asciiTheme="minorHAnsi" w:hAnsiTheme="minorHAnsi"/>
            <w:noProof/>
            <w:webHidden/>
          </w:rPr>
        </w:r>
        <w:r w:rsidR="00C05AB5" w:rsidRPr="00C05AB5">
          <w:rPr>
            <w:rFonts w:asciiTheme="minorHAnsi" w:hAnsiTheme="minorHAnsi"/>
            <w:noProof/>
            <w:webHidden/>
          </w:rPr>
          <w:fldChar w:fldCharType="separate"/>
        </w:r>
        <w:r w:rsidR="00CC45C7">
          <w:rPr>
            <w:rFonts w:asciiTheme="minorHAnsi" w:hAnsiTheme="minorHAnsi"/>
            <w:noProof/>
            <w:webHidden/>
          </w:rPr>
          <w:t>9</w:t>
        </w:r>
        <w:r w:rsidR="00C05AB5" w:rsidRPr="00C05AB5">
          <w:rPr>
            <w:rFonts w:asciiTheme="minorHAnsi" w:hAnsiTheme="minorHAnsi"/>
            <w:noProof/>
            <w:webHidden/>
          </w:rPr>
          <w:fldChar w:fldCharType="end"/>
        </w:r>
      </w:hyperlink>
    </w:p>
    <w:p w:rsidR="00C05AB5" w:rsidRPr="00C05AB5" w:rsidRDefault="000F2023" w:rsidP="00B156E6">
      <w:pPr>
        <w:pStyle w:val="TOC1"/>
        <w:tabs>
          <w:tab w:val="right" w:leader="dot" w:pos="9350"/>
        </w:tabs>
        <w:ind w:left="360" w:hanging="360"/>
        <w:rPr>
          <w:rFonts w:asciiTheme="minorHAnsi" w:eastAsiaTheme="minorEastAsia" w:hAnsiTheme="minorHAnsi"/>
          <w:b/>
          <w:noProof/>
        </w:rPr>
      </w:pPr>
      <w:hyperlink w:anchor="_Toc443909850" w:history="1">
        <w:r w:rsidR="00C05AB5" w:rsidRPr="00C05AB5">
          <w:rPr>
            <w:rStyle w:val="Hyperlink"/>
            <w:rFonts w:asciiTheme="minorHAnsi" w:hAnsiTheme="minorHAnsi"/>
            <w:b/>
            <w:noProof/>
          </w:rPr>
          <w:t>4. Coordination</w:t>
        </w:r>
        <w:r w:rsidR="00C05AB5" w:rsidRPr="00C05AB5">
          <w:rPr>
            <w:rStyle w:val="Hyperlink"/>
            <w:rFonts w:asciiTheme="minorHAnsi" w:hAnsiTheme="minorHAnsi"/>
            <w:b/>
            <w:noProof/>
            <w:spacing w:val="-12"/>
          </w:rPr>
          <w:t xml:space="preserve"> </w:t>
        </w:r>
        <w:r w:rsidR="00C05AB5" w:rsidRPr="00C05AB5">
          <w:rPr>
            <w:rStyle w:val="Hyperlink"/>
            <w:rFonts w:asciiTheme="minorHAnsi" w:hAnsiTheme="minorHAnsi"/>
            <w:b/>
            <w:noProof/>
          </w:rPr>
          <w:t>of</w:t>
        </w:r>
        <w:r w:rsidR="00C05AB5" w:rsidRPr="00C05AB5">
          <w:rPr>
            <w:rStyle w:val="Hyperlink"/>
            <w:rFonts w:asciiTheme="minorHAnsi" w:hAnsiTheme="minorHAnsi"/>
            <w:b/>
            <w:noProof/>
            <w:spacing w:val="-13"/>
          </w:rPr>
          <w:t xml:space="preserve"> the Needs of the ISO/RTO Systems with </w:t>
        </w:r>
        <w:r w:rsidR="00C05AB5" w:rsidRPr="00C05AB5">
          <w:rPr>
            <w:rStyle w:val="Hyperlink"/>
            <w:rFonts w:asciiTheme="minorHAnsi" w:hAnsiTheme="minorHAnsi"/>
            <w:b/>
            <w:noProof/>
          </w:rPr>
          <w:t>Transmission</w:t>
        </w:r>
        <w:r w:rsidR="00C05AB5" w:rsidRPr="00C05AB5">
          <w:rPr>
            <w:rStyle w:val="Hyperlink"/>
            <w:rFonts w:asciiTheme="minorHAnsi" w:hAnsiTheme="minorHAnsi"/>
            <w:b/>
            <w:noProof/>
            <w:spacing w:val="-11"/>
          </w:rPr>
          <w:t xml:space="preserve"> </w:t>
        </w:r>
        <w:r w:rsidR="00C05AB5" w:rsidRPr="00C05AB5">
          <w:rPr>
            <w:rStyle w:val="Hyperlink"/>
            <w:rFonts w:asciiTheme="minorHAnsi" w:hAnsiTheme="minorHAnsi"/>
            <w:b/>
            <w:noProof/>
          </w:rPr>
          <w:t>Projects</w:t>
        </w:r>
        <w:r w:rsidR="00C05AB5" w:rsidRPr="00C05AB5">
          <w:rPr>
            <w:rStyle w:val="Hyperlink"/>
            <w:rFonts w:asciiTheme="minorHAnsi" w:hAnsiTheme="minorHAnsi"/>
            <w:b/>
            <w:noProof/>
          </w:rPr>
          <w:br/>
          <w:t>with</w:t>
        </w:r>
        <w:r w:rsidR="00C05AB5" w:rsidRPr="00C05AB5">
          <w:rPr>
            <w:rStyle w:val="Hyperlink"/>
            <w:rFonts w:asciiTheme="minorHAnsi" w:hAnsiTheme="minorHAnsi"/>
            <w:b/>
            <w:noProof/>
            <w:spacing w:val="-14"/>
          </w:rPr>
          <w:t xml:space="preserve"> </w:t>
        </w:r>
        <w:r w:rsidR="00C05AB5" w:rsidRPr="00C05AB5">
          <w:rPr>
            <w:rStyle w:val="Hyperlink"/>
            <w:rFonts w:asciiTheme="minorHAnsi" w:hAnsiTheme="minorHAnsi"/>
            <w:b/>
            <w:noProof/>
          </w:rPr>
          <w:t>Potential</w:t>
        </w:r>
        <w:r w:rsidR="00C05AB5" w:rsidRPr="00C05AB5">
          <w:rPr>
            <w:rStyle w:val="Hyperlink"/>
            <w:rFonts w:asciiTheme="minorHAnsi" w:hAnsiTheme="minorHAnsi"/>
            <w:b/>
            <w:noProof/>
            <w:spacing w:val="-13"/>
          </w:rPr>
          <w:t xml:space="preserve"> </w:t>
        </w:r>
        <w:r w:rsidR="00C05AB5" w:rsidRPr="00C05AB5">
          <w:rPr>
            <w:rStyle w:val="Hyperlink"/>
            <w:rFonts w:asciiTheme="minorHAnsi" w:hAnsiTheme="minorHAnsi"/>
            <w:b/>
            <w:noProof/>
          </w:rPr>
          <w:t>Interregional</w:t>
        </w:r>
        <w:r w:rsidR="00C05AB5" w:rsidRPr="00C05AB5">
          <w:rPr>
            <w:rStyle w:val="Hyperlink"/>
            <w:rFonts w:asciiTheme="minorHAnsi" w:hAnsiTheme="minorHAnsi"/>
            <w:b/>
            <w:noProof/>
            <w:spacing w:val="57"/>
            <w:w w:val="99"/>
          </w:rPr>
          <w:t xml:space="preserve"> </w:t>
        </w:r>
        <w:r w:rsidR="00C05AB5" w:rsidRPr="00C05AB5">
          <w:rPr>
            <w:rStyle w:val="Hyperlink"/>
            <w:rFonts w:asciiTheme="minorHAnsi" w:hAnsiTheme="minorHAnsi"/>
            <w:b/>
            <w:noProof/>
          </w:rPr>
          <w:t>Impacts</w:t>
        </w:r>
        <w:r w:rsidR="00C05AB5" w:rsidRPr="00C05AB5">
          <w:rPr>
            <w:rFonts w:asciiTheme="minorHAnsi" w:hAnsiTheme="minorHAnsi"/>
            <w:b/>
            <w:noProof/>
            <w:webHidden/>
          </w:rPr>
          <w:tab/>
        </w:r>
        <w:r w:rsidR="00C05AB5" w:rsidRPr="00C05AB5">
          <w:rPr>
            <w:rFonts w:asciiTheme="minorHAnsi" w:hAnsiTheme="minorHAnsi"/>
            <w:b/>
            <w:noProof/>
            <w:webHidden/>
          </w:rPr>
          <w:fldChar w:fldCharType="begin"/>
        </w:r>
        <w:r w:rsidR="00C05AB5" w:rsidRPr="00C05AB5">
          <w:rPr>
            <w:rFonts w:asciiTheme="minorHAnsi" w:hAnsiTheme="minorHAnsi"/>
            <w:b/>
            <w:noProof/>
            <w:webHidden/>
          </w:rPr>
          <w:instrText xml:space="preserve"> PAGEREF _Toc443909850 \h </w:instrText>
        </w:r>
        <w:r w:rsidR="00C05AB5" w:rsidRPr="00C05AB5">
          <w:rPr>
            <w:rFonts w:asciiTheme="minorHAnsi" w:hAnsiTheme="minorHAnsi"/>
            <w:b/>
            <w:noProof/>
            <w:webHidden/>
          </w:rPr>
        </w:r>
        <w:r w:rsidR="00C05AB5" w:rsidRPr="00C05AB5">
          <w:rPr>
            <w:rFonts w:asciiTheme="minorHAnsi" w:hAnsiTheme="minorHAnsi"/>
            <w:b/>
            <w:noProof/>
            <w:webHidden/>
          </w:rPr>
          <w:fldChar w:fldCharType="separate"/>
        </w:r>
        <w:r w:rsidR="00CC45C7">
          <w:rPr>
            <w:rFonts w:asciiTheme="minorHAnsi" w:hAnsiTheme="minorHAnsi"/>
            <w:b/>
            <w:noProof/>
            <w:webHidden/>
          </w:rPr>
          <w:t>11</w:t>
        </w:r>
        <w:r w:rsidR="00C05AB5" w:rsidRPr="00C05AB5">
          <w:rPr>
            <w:rFonts w:asciiTheme="minorHAnsi" w:hAnsiTheme="minorHAnsi"/>
            <w:b/>
            <w:noProof/>
            <w:webHidden/>
          </w:rPr>
          <w:fldChar w:fldCharType="end"/>
        </w:r>
      </w:hyperlink>
    </w:p>
    <w:p w:rsidR="00C05AB5" w:rsidRPr="00C05AB5" w:rsidRDefault="000F2023" w:rsidP="00C05AB5">
      <w:pPr>
        <w:pStyle w:val="TOC1"/>
        <w:tabs>
          <w:tab w:val="right" w:leader="dot" w:pos="9350"/>
        </w:tabs>
        <w:rPr>
          <w:rFonts w:asciiTheme="minorHAnsi" w:eastAsiaTheme="minorEastAsia" w:hAnsiTheme="minorHAnsi"/>
          <w:b/>
          <w:noProof/>
        </w:rPr>
      </w:pPr>
      <w:hyperlink w:anchor="_Toc443909851" w:history="1">
        <w:r w:rsidR="00C05AB5" w:rsidRPr="00C05AB5">
          <w:rPr>
            <w:rStyle w:val="Hyperlink"/>
            <w:rFonts w:asciiTheme="minorHAnsi" w:hAnsiTheme="minorHAnsi"/>
            <w:b/>
            <w:noProof/>
          </w:rPr>
          <w:t>5. Other Coordinated Planning Activities</w:t>
        </w:r>
        <w:r w:rsidR="00C05AB5" w:rsidRPr="00C05AB5">
          <w:rPr>
            <w:rFonts w:asciiTheme="minorHAnsi" w:hAnsiTheme="minorHAnsi"/>
            <w:b/>
            <w:noProof/>
            <w:webHidden/>
          </w:rPr>
          <w:tab/>
        </w:r>
        <w:r w:rsidR="00C05AB5" w:rsidRPr="00C05AB5">
          <w:rPr>
            <w:rFonts w:asciiTheme="minorHAnsi" w:hAnsiTheme="minorHAnsi"/>
            <w:b/>
            <w:noProof/>
            <w:webHidden/>
          </w:rPr>
          <w:fldChar w:fldCharType="begin"/>
        </w:r>
        <w:r w:rsidR="00C05AB5" w:rsidRPr="00C05AB5">
          <w:rPr>
            <w:rFonts w:asciiTheme="minorHAnsi" w:hAnsiTheme="minorHAnsi"/>
            <w:b/>
            <w:noProof/>
            <w:webHidden/>
          </w:rPr>
          <w:instrText xml:space="preserve"> PAGEREF _Toc443909851 \h </w:instrText>
        </w:r>
        <w:r w:rsidR="00C05AB5" w:rsidRPr="00C05AB5">
          <w:rPr>
            <w:rFonts w:asciiTheme="minorHAnsi" w:hAnsiTheme="minorHAnsi"/>
            <w:b/>
            <w:noProof/>
            <w:webHidden/>
          </w:rPr>
        </w:r>
        <w:r w:rsidR="00C05AB5" w:rsidRPr="00C05AB5">
          <w:rPr>
            <w:rFonts w:asciiTheme="minorHAnsi" w:hAnsiTheme="minorHAnsi"/>
            <w:b/>
            <w:noProof/>
            <w:webHidden/>
          </w:rPr>
          <w:fldChar w:fldCharType="separate"/>
        </w:r>
        <w:r w:rsidR="00CC45C7">
          <w:rPr>
            <w:rFonts w:asciiTheme="minorHAnsi" w:hAnsiTheme="minorHAnsi"/>
            <w:b/>
            <w:noProof/>
            <w:webHidden/>
          </w:rPr>
          <w:t>13</w:t>
        </w:r>
        <w:r w:rsidR="00C05AB5" w:rsidRPr="00C05AB5">
          <w:rPr>
            <w:rFonts w:asciiTheme="minorHAnsi" w:hAnsiTheme="minorHAnsi"/>
            <w:b/>
            <w:noProof/>
            <w:webHidden/>
          </w:rPr>
          <w:fldChar w:fldCharType="end"/>
        </w:r>
      </w:hyperlink>
    </w:p>
    <w:p w:rsidR="00C05AB5" w:rsidRPr="00C05AB5" w:rsidRDefault="000F2023" w:rsidP="00C05AB5">
      <w:pPr>
        <w:pStyle w:val="TOC2"/>
        <w:tabs>
          <w:tab w:val="right" w:leader="dot" w:pos="9350"/>
        </w:tabs>
        <w:spacing w:before="0" w:after="120" w:line="240" w:lineRule="auto"/>
        <w:rPr>
          <w:rFonts w:asciiTheme="minorHAnsi" w:eastAsiaTheme="minorEastAsia" w:hAnsiTheme="minorHAnsi"/>
          <w:noProof/>
        </w:rPr>
      </w:pPr>
      <w:hyperlink w:anchor="_Toc443909852" w:history="1">
        <w:r w:rsidR="00C05AB5" w:rsidRPr="00C05AB5">
          <w:rPr>
            <w:rStyle w:val="Hyperlink"/>
            <w:rFonts w:asciiTheme="minorHAnsi" w:hAnsiTheme="minorHAnsi"/>
            <w:noProof/>
          </w:rPr>
          <w:t>5.1 Electric Reliability Organization (NERC) Overview, Long-Term Reliability Assessments,</w:t>
        </w:r>
        <w:r w:rsidR="00C05AB5">
          <w:rPr>
            <w:rStyle w:val="Hyperlink"/>
            <w:rFonts w:asciiTheme="minorHAnsi" w:hAnsiTheme="minorHAnsi"/>
            <w:noProof/>
          </w:rPr>
          <w:br/>
        </w:r>
        <w:r w:rsidR="00C05AB5" w:rsidRPr="00C05AB5">
          <w:rPr>
            <w:rStyle w:val="Hyperlink"/>
            <w:rFonts w:asciiTheme="minorHAnsi" w:hAnsiTheme="minorHAnsi"/>
            <w:noProof/>
          </w:rPr>
          <w:t>and Other Studies</w:t>
        </w:r>
        <w:r w:rsidR="00C05AB5" w:rsidRPr="00C05AB5">
          <w:rPr>
            <w:rFonts w:asciiTheme="minorHAnsi" w:hAnsiTheme="minorHAnsi"/>
            <w:noProof/>
            <w:webHidden/>
          </w:rPr>
          <w:tab/>
        </w:r>
        <w:r w:rsidR="00C05AB5" w:rsidRPr="00C05AB5">
          <w:rPr>
            <w:rFonts w:asciiTheme="minorHAnsi" w:hAnsiTheme="minorHAnsi"/>
            <w:noProof/>
            <w:webHidden/>
          </w:rPr>
          <w:fldChar w:fldCharType="begin"/>
        </w:r>
        <w:r w:rsidR="00C05AB5" w:rsidRPr="00C05AB5">
          <w:rPr>
            <w:rFonts w:asciiTheme="minorHAnsi" w:hAnsiTheme="minorHAnsi"/>
            <w:noProof/>
            <w:webHidden/>
          </w:rPr>
          <w:instrText xml:space="preserve"> PAGEREF _Toc443909852 \h </w:instrText>
        </w:r>
        <w:r w:rsidR="00C05AB5" w:rsidRPr="00C05AB5">
          <w:rPr>
            <w:rFonts w:asciiTheme="minorHAnsi" w:hAnsiTheme="minorHAnsi"/>
            <w:noProof/>
            <w:webHidden/>
          </w:rPr>
        </w:r>
        <w:r w:rsidR="00C05AB5" w:rsidRPr="00C05AB5">
          <w:rPr>
            <w:rFonts w:asciiTheme="minorHAnsi" w:hAnsiTheme="minorHAnsi"/>
            <w:noProof/>
            <w:webHidden/>
          </w:rPr>
          <w:fldChar w:fldCharType="separate"/>
        </w:r>
        <w:r w:rsidR="00CC45C7">
          <w:rPr>
            <w:rFonts w:asciiTheme="minorHAnsi" w:hAnsiTheme="minorHAnsi"/>
            <w:noProof/>
            <w:webHidden/>
          </w:rPr>
          <w:t>13</w:t>
        </w:r>
        <w:r w:rsidR="00C05AB5" w:rsidRPr="00C05AB5">
          <w:rPr>
            <w:rFonts w:asciiTheme="minorHAnsi" w:hAnsiTheme="minorHAnsi"/>
            <w:noProof/>
            <w:webHidden/>
          </w:rPr>
          <w:fldChar w:fldCharType="end"/>
        </w:r>
      </w:hyperlink>
    </w:p>
    <w:p w:rsidR="00C05AB5" w:rsidRPr="00C05AB5" w:rsidRDefault="000F2023" w:rsidP="00C05AB5">
      <w:pPr>
        <w:pStyle w:val="TOC2"/>
        <w:tabs>
          <w:tab w:val="right" w:leader="dot" w:pos="9350"/>
        </w:tabs>
        <w:spacing w:before="0" w:after="120" w:line="240" w:lineRule="auto"/>
        <w:rPr>
          <w:rFonts w:asciiTheme="minorHAnsi" w:eastAsiaTheme="minorEastAsia" w:hAnsiTheme="minorHAnsi"/>
          <w:noProof/>
        </w:rPr>
      </w:pPr>
      <w:hyperlink w:anchor="_Toc443909853" w:history="1">
        <w:r w:rsidR="00C05AB5" w:rsidRPr="00C05AB5">
          <w:rPr>
            <w:rStyle w:val="Hyperlink"/>
            <w:rFonts w:asciiTheme="minorHAnsi" w:hAnsiTheme="minorHAnsi"/>
            <w:noProof/>
          </w:rPr>
          <w:t>5.2</w:t>
        </w:r>
        <w:r w:rsidR="00C05AB5" w:rsidRPr="00C05AB5">
          <w:rPr>
            <w:rStyle w:val="Hyperlink"/>
            <w:rFonts w:asciiTheme="minorHAnsi" w:eastAsiaTheme="minorHAnsi" w:hAnsiTheme="minorHAnsi"/>
            <w:noProof/>
          </w:rPr>
          <w:t xml:space="preserve"> </w:t>
        </w:r>
        <w:r w:rsidR="00C05AB5" w:rsidRPr="00C05AB5">
          <w:rPr>
            <w:rStyle w:val="Hyperlink"/>
            <w:rFonts w:asciiTheme="minorHAnsi" w:hAnsiTheme="minorHAnsi"/>
            <w:noProof/>
          </w:rPr>
          <w:t>Eastern Interconnection Planning Collaborative</w:t>
        </w:r>
        <w:r w:rsidR="00C05AB5" w:rsidRPr="00C05AB5">
          <w:rPr>
            <w:rFonts w:asciiTheme="minorHAnsi" w:hAnsiTheme="minorHAnsi"/>
            <w:noProof/>
            <w:webHidden/>
          </w:rPr>
          <w:tab/>
        </w:r>
        <w:r w:rsidR="00C05AB5" w:rsidRPr="00C05AB5">
          <w:rPr>
            <w:rFonts w:asciiTheme="minorHAnsi" w:hAnsiTheme="minorHAnsi"/>
            <w:noProof/>
            <w:webHidden/>
          </w:rPr>
          <w:fldChar w:fldCharType="begin"/>
        </w:r>
        <w:r w:rsidR="00C05AB5" w:rsidRPr="00C05AB5">
          <w:rPr>
            <w:rFonts w:asciiTheme="minorHAnsi" w:hAnsiTheme="minorHAnsi"/>
            <w:noProof/>
            <w:webHidden/>
          </w:rPr>
          <w:instrText xml:space="preserve"> PAGEREF _Toc443909853 \h </w:instrText>
        </w:r>
        <w:r w:rsidR="00C05AB5" w:rsidRPr="00C05AB5">
          <w:rPr>
            <w:rFonts w:asciiTheme="minorHAnsi" w:hAnsiTheme="minorHAnsi"/>
            <w:noProof/>
            <w:webHidden/>
          </w:rPr>
        </w:r>
        <w:r w:rsidR="00C05AB5" w:rsidRPr="00C05AB5">
          <w:rPr>
            <w:rFonts w:asciiTheme="minorHAnsi" w:hAnsiTheme="minorHAnsi"/>
            <w:noProof/>
            <w:webHidden/>
          </w:rPr>
          <w:fldChar w:fldCharType="separate"/>
        </w:r>
        <w:r w:rsidR="00CC45C7">
          <w:rPr>
            <w:rFonts w:asciiTheme="minorHAnsi" w:hAnsiTheme="minorHAnsi"/>
            <w:noProof/>
            <w:webHidden/>
          </w:rPr>
          <w:t>14</w:t>
        </w:r>
        <w:r w:rsidR="00C05AB5" w:rsidRPr="00C05AB5">
          <w:rPr>
            <w:rFonts w:asciiTheme="minorHAnsi" w:hAnsiTheme="minorHAnsi"/>
            <w:noProof/>
            <w:webHidden/>
          </w:rPr>
          <w:fldChar w:fldCharType="end"/>
        </w:r>
      </w:hyperlink>
    </w:p>
    <w:p w:rsidR="00C05AB5" w:rsidRPr="00C05AB5" w:rsidRDefault="000F2023" w:rsidP="00C05AB5">
      <w:pPr>
        <w:pStyle w:val="TOC2"/>
        <w:tabs>
          <w:tab w:val="right" w:leader="dot" w:pos="9350"/>
        </w:tabs>
        <w:spacing w:before="0" w:after="120" w:line="240" w:lineRule="auto"/>
        <w:rPr>
          <w:rFonts w:asciiTheme="minorHAnsi" w:eastAsiaTheme="minorEastAsia" w:hAnsiTheme="minorHAnsi"/>
          <w:noProof/>
        </w:rPr>
      </w:pPr>
      <w:hyperlink w:anchor="_Toc443909854" w:history="1">
        <w:r w:rsidR="00C05AB5" w:rsidRPr="00C05AB5">
          <w:rPr>
            <w:rStyle w:val="Hyperlink"/>
            <w:rFonts w:asciiTheme="minorHAnsi" w:hAnsiTheme="minorHAnsi"/>
            <w:noProof/>
          </w:rPr>
          <w:t>5.3 IRC Activities</w:t>
        </w:r>
        <w:r w:rsidR="00C05AB5" w:rsidRPr="00C05AB5">
          <w:rPr>
            <w:rFonts w:asciiTheme="minorHAnsi" w:hAnsiTheme="minorHAnsi"/>
            <w:noProof/>
            <w:webHidden/>
          </w:rPr>
          <w:tab/>
        </w:r>
        <w:r w:rsidR="00C05AB5" w:rsidRPr="00C05AB5">
          <w:rPr>
            <w:rFonts w:asciiTheme="minorHAnsi" w:hAnsiTheme="minorHAnsi"/>
            <w:noProof/>
            <w:webHidden/>
          </w:rPr>
          <w:fldChar w:fldCharType="begin"/>
        </w:r>
        <w:r w:rsidR="00C05AB5" w:rsidRPr="00C05AB5">
          <w:rPr>
            <w:rFonts w:asciiTheme="minorHAnsi" w:hAnsiTheme="minorHAnsi"/>
            <w:noProof/>
            <w:webHidden/>
          </w:rPr>
          <w:instrText xml:space="preserve"> PAGEREF _Toc443909854 \h </w:instrText>
        </w:r>
        <w:r w:rsidR="00C05AB5" w:rsidRPr="00C05AB5">
          <w:rPr>
            <w:rFonts w:asciiTheme="minorHAnsi" w:hAnsiTheme="minorHAnsi"/>
            <w:noProof/>
            <w:webHidden/>
          </w:rPr>
        </w:r>
        <w:r w:rsidR="00C05AB5" w:rsidRPr="00C05AB5">
          <w:rPr>
            <w:rFonts w:asciiTheme="minorHAnsi" w:hAnsiTheme="minorHAnsi"/>
            <w:noProof/>
            <w:webHidden/>
          </w:rPr>
          <w:fldChar w:fldCharType="separate"/>
        </w:r>
        <w:r w:rsidR="00CC45C7">
          <w:rPr>
            <w:rFonts w:asciiTheme="minorHAnsi" w:hAnsiTheme="minorHAnsi"/>
            <w:noProof/>
            <w:webHidden/>
          </w:rPr>
          <w:t>15</w:t>
        </w:r>
        <w:r w:rsidR="00C05AB5" w:rsidRPr="00C05AB5">
          <w:rPr>
            <w:rFonts w:asciiTheme="minorHAnsi" w:hAnsiTheme="minorHAnsi"/>
            <w:noProof/>
            <w:webHidden/>
          </w:rPr>
          <w:fldChar w:fldCharType="end"/>
        </w:r>
      </w:hyperlink>
    </w:p>
    <w:p w:rsidR="00C05AB5" w:rsidRPr="00C05AB5" w:rsidRDefault="000F2023" w:rsidP="00C05AB5">
      <w:pPr>
        <w:pStyle w:val="TOC2"/>
        <w:tabs>
          <w:tab w:val="right" w:leader="dot" w:pos="9350"/>
        </w:tabs>
        <w:spacing w:before="0" w:after="120" w:line="240" w:lineRule="auto"/>
        <w:rPr>
          <w:rFonts w:asciiTheme="minorHAnsi" w:eastAsiaTheme="minorEastAsia" w:hAnsiTheme="minorHAnsi"/>
          <w:noProof/>
        </w:rPr>
      </w:pPr>
      <w:hyperlink w:anchor="_Toc443909855" w:history="1">
        <w:r w:rsidR="00C05AB5" w:rsidRPr="00C05AB5">
          <w:rPr>
            <w:rStyle w:val="Hyperlink"/>
            <w:rFonts w:asciiTheme="minorHAnsi" w:hAnsiTheme="minorHAnsi"/>
            <w:noProof/>
          </w:rPr>
          <w:t>5.4 Northeast Power Coordinating Council</w:t>
        </w:r>
        <w:r w:rsidR="00C05AB5" w:rsidRPr="00C05AB5">
          <w:rPr>
            <w:rFonts w:asciiTheme="minorHAnsi" w:hAnsiTheme="minorHAnsi"/>
            <w:noProof/>
            <w:webHidden/>
          </w:rPr>
          <w:tab/>
        </w:r>
        <w:r w:rsidR="00C05AB5" w:rsidRPr="00C05AB5">
          <w:rPr>
            <w:rFonts w:asciiTheme="minorHAnsi" w:hAnsiTheme="minorHAnsi"/>
            <w:noProof/>
            <w:webHidden/>
          </w:rPr>
          <w:fldChar w:fldCharType="begin"/>
        </w:r>
        <w:r w:rsidR="00C05AB5" w:rsidRPr="00C05AB5">
          <w:rPr>
            <w:rFonts w:asciiTheme="minorHAnsi" w:hAnsiTheme="minorHAnsi"/>
            <w:noProof/>
            <w:webHidden/>
          </w:rPr>
          <w:instrText xml:space="preserve"> PAGEREF _Toc443909855 \h </w:instrText>
        </w:r>
        <w:r w:rsidR="00C05AB5" w:rsidRPr="00C05AB5">
          <w:rPr>
            <w:rFonts w:asciiTheme="minorHAnsi" w:hAnsiTheme="minorHAnsi"/>
            <w:noProof/>
            <w:webHidden/>
          </w:rPr>
        </w:r>
        <w:r w:rsidR="00C05AB5" w:rsidRPr="00C05AB5">
          <w:rPr>
            <w:rFonts w:asciiTheme="minorHAnsi" w:hAnsiTheme="minorHAnsi"/>
            <w:noProof/>
            <w:webHidden/>
          </w:rPr>
          <w:fldChar w:fldCharType="separate"/>
        </w:r>
        <w:r w:rsidR="00CC45C7">
          <w:rPr>
            <w:rFonts w:asciiTheme="minorHAnsi" w:hAnsiTheme="minorHAnsi"/>
            <w:noProof/>
            <w:webHidden/>
          </w:rPr>
          <w:t>16</w:t>
        </w:r>
        <w:r w:rsidR="00C05AB5" w:rsidRPr="00C05AB5">
          <w:rPr>
            <w:rFonts w:asciiTheme="minorHAnsi" w:hAnsiTheme="minorHAnsi"/>
            <w:noProof/>
            <w:webHidden/>
          </w:rPr>
          <w:fldChar w:fldCharType="end"/>
        </w:r>
      </w:hyperlink>
    </w:p>
    <w:p w:rsidR="00C05AB5" w:rsidRPr="00C05AB5" w:rsidRDefault="000F2023" w:rsidP="00C05AB5">
      <w:pPr>
        <w:pStyle w:val="TOC2"/>
        <w:tabs>
          <w:tab w:val="right" w:leader="dot" w:pos="9350"/>
        </w:tabs>
        <w:spacing w:before="0" w:after="120" w:line="240" w:lineRule="auto"/>
        <w:rPr>
          <w:rFonts w:asciiTheme="minorHAnsi" w:eastAsiaTheme="minorEastAsia" w:hAnsiTheme="minorHAnsi"/>
          <w:noProof/>
        </w:rPr>
      </w:pPr>
      <w:hyperlink w:anchor="_Toc443909856" w:history="1">
        <w:r w:rsidR="00C05AB5" w:rsidRPr="00C05AB5">
          <w:rPr>
            <w:rStyle w:val="Hyperlink"/>
            <w:rFonts w:asciiTheme="minorHAnsi" w:hAnsiTheme="minorHAnsi"/>
            <w:noProof/>
          </w:rPr>
          <w:t>5.5 Reliability</w:t>
        </w:r>
        <w:r w:rsidR="00C05AB5" w:rsidRPr="00C05AB5">
          <w:rPr>
            <w:rStyle w:val="Hyperlink"/>
            <w:rFonts w:asciiTheme="minorHAnsi" w:hAnsiTheme="minorHAnsi"/>
            <w:i/>
            <w:noProof/>
          </w:rPr>
          <w:t>First</w:t>
        </w:r>
        <w:r w:rsidR="00C05AB5" w:rsidRPr="00C05AB5">
          <w:rPr>
            <w:rFonts w:asciiTheme="minorHAnsi" w:hAnsiTheme="minorHAnsi"/>
            <w:noProof/>
            <w:webHidden/>
          </w:rPr>
          <w:tab/>
        </w:r>
        <w:r w:rsidR="00C05AB5" w:rsidRPr="00C05AB5">
          <w:rPr>
            <w:rFonts w:asciiTheme="minorHAnsi" w:hAnsiTheme="minorHAnsi"/>
            <w:noProof/>
            <w:webHidden/>
          </w:rPr>
          <w:fldChar w:fldCharType="begin"/>
        </w:r>
        <w:r w:rsidR="00C05AB5" w:rsidRPr="00C05AB5">
          <w:rPr>
            <w:rFonts w:asciiTheme="minorHAnsi" w:hAnsiTheme="minorHAnsi"/>
            <w:noProof/>
            <w:webHidden/>
          </w:rPr>
          <w:instrText xml:space="preserve"> PAGEREF _Toc443909856 \h </w:instrText>
        </w:r>
        <w:r w:rsidR="00C05AB5" w:rsidRPr="00C05AB5">
          <w:rPr>
            <w:rFonts w:asciiTheme="minorHAnsi" w:hAnsiTheme="minorHAnsi"/>
            <w:noProof/>
            <w:webHidden/>
          </w:rPr>
        </w:r>
        <w:r w:rsidR="00C05AB5" w:rsidRPr="00C05AB5">
          <w:rPr>
            <w:rFonts w:asciiTheme="minorHAnsi" w:hAnsiTheme="minorHAnsi"/>
            <w:noProof/>
            <w:webHidden/>
          </w:rPr>
          <w:fldChar w:fldCharType="separate"/>
        </w:r>
        <w:r w:rsidR="00CC45C7">
          <w:rPr>
            <w:rFonts w:asciiTheme="minorHAnsi" w:hAnsiTheme="minorHAnsi"/>
            <w:noProof/>
            <w:webHidden/>
          </w:rPr>
          <w:t>16</w:t>
        </w:r>
        <w:r w:rsidR="00C05AB5" w:rsidRPr="00C05AB5">
          <w:rPr>
            <w:rFonts w:asciiTheme="minorHAnsi" w:hAnsiTheme="minorHAnsi"/>
            <w:noProof/>
            <w:webHidden/>
          </w:rPr>
          <w:fldChar w:fldCharType="end"/>
        </w:r>
      </w:hyperlink>
    </w:p>
    <w:p w:rsidR="00C05AB5" w:rsidRPr="00C05AB5" w:rsidRDefault="000F2023" w:rsidP="00C05AB5">
      <w:pPr>
        <w:pStyle w:val="TOC1"/>
        <w:tabs>
          <w:tab w:val="right" w:leader="dot" w:pos="9350"/>
        </w:tabs>
        <w:rPr>
          <w:rFonts w:asciiTheme="minorHAnsi" w:eastAsiaTheme="minorEastAsia" w:hAnsiTheme="minorHAnsi"/>
          <w:b/>
          <w:noProof/>
        </w:rPr>
      </w:pPr>
      <w:hyperlink w:anchor="_Toc443909857" w:history="1">
        <w:r w:rsidR="00C05AB5" w:rsidRPr="00C05AB5">
          <w:rPr>
            <w:rStyle w:val="Hyperlink"/>
            <w:rFonts w:asciiTheme="minorHAnsi" w:hAnsiTheme="minorHAnsi"/>
            <w:b/>
            <w:noProof/>
          </w:rPr>
          <w:t>6. Summary and Conclusions</w:t>
        </w:r>
        <w:r w:rsidR="00C05AB5" w:rsidRPr="00C05AB5">
          <w:rPr>
            <w:rFonts w:asciiTheme="minorHAnsi" w:hAnsiTheme="minorHAnsi"/>
            <w:b/>
            <w:noProof/>
            <w:webHidden/>
          </w:rPr>
          <w:tab/>
        </w:r>
        <w:r w:rsidR="00C05AB5" w:rsidRPr="00C05AB5">
          <w:rPr>
            <w:rFonts w:asciiTheme="minorHAnsi" w:hAnsiTheme="minorHAnsi"/>
            <w:b/>
            <w:noProof/>
            <w:webHidden/>
          </w:rPr>
          <w:fldChar w:fldCharType="begin"/>
        </w:r>
        <w:r w:rsidR="00C05AB5" w:rsidRPr="00C05AB5">
          <w:rPr>
            <w:rFonts w:asciiTheme="minorHAnsi" w:hAnsiTheme="minorHAnsi"/>
            <w:b/>
            <w:noProof/>
            <w:webHidden/>
          </w:rPr>
          <w:instrText xml:space="preserve"> PAGEREF _Toc443909857 \h </w:instrText>
        </w:r>
        <w:r w:rsidR="00C05AB5" w:rsidRPr="00C05AB5">
          <w:rPr>
            <w:rFonts w:asciiTheme="minorHAnsi" w:hAnsiTheme="minorHAnsi"/>
            <w:b/>
            <w:noProof/>
            <w:webHidden/>
          </w:rPr>
        </w:r>
        <w:r w:rsidR="00C05AB5" w:rsidRPr="00C05AB5">
          <w:rPr>
            <w:rFonts w:asciiTheme="minorHAnsi" w:hAnsiTheme="minorHAnsi"/>
            <w:b/>
            <w:noProof/>
            <w:webHidden/>
          </w:rPr>
          <w:fldChar w:fldCharType="separate"/>
        </w:r>
        <w:r w:rsidR="00CC45C7">
          <w:rPr>
            <w:rFonts w:asciiTheme="minorHAnsi" w:hAnsiTheme="minorHAnsi"/>
            <w:b/>
            <w:noProof/>
            <w:webHidden/>
          </w:rPr>
          <w:t>17</w:t>
        </w:r>
        <w:r w:rsidR="00C05AB5" w:rsidRPr="00C05AB5">
          <w:rPr>
            <w:rFonts w:asciiTheme="minorHAnsi" w:hAnsiTheme="minorHAnsi"/>
            <w:b/>
            <w:noProof/>
            <w:webHidden/>
          </w:rPr>
          <w:fldChar w:fldCharType="end"/>
        </w:r>
      </w:hyperlink>
    </w:p>
    <w:p w:rsidR="00C05AB5" w:rsidRPr="00C05AB5" w:rsidRDefault="000F2023" w:rsidP="00C05AB5">
      <w:pPr>
        <w:pStyle w:val="TOC1"/>
        <w:tabs>
          <w:tab w:val="right" w:leader="dot" w:pos="9350"/>
        </w:tabs>
        <w:rPr>
          <w:rFonts w:asciiTheme="minorHAnsi" w:eastAsiaTheme="minorEastAsia" w:hAnsiTheme="minorHAnsi"/>
          <w:b/>
          <w:noProof/>
        </w:rPr>
      </w:pPr>
      <w:hyperlink w:anchor="_Toc443909858" w:history="1">
        <w:r w:rsidR="00C05AB5" w:rsidRPr="00E92FF3">
          <w:rPr>
            <w:rStyle w:val="Hyperlink"/>
            <w:rFonts w:asciiTheme="minorHAnsi" w:hAnsiTheme="minorHAnsi"/>
            <w:b/>
            <w:noProof/>
          </w:rPr>
          <w:t>7. Acronyms</w:t>
        </w:r>
        <w:r w:rsidR="00C05AB5" w:rsidRPr="00E92FF3">
          <w:rPr>
            <w:rFonts w:asciiTheme="minorHAnsi" w:hAnsiTheme="minorHAnsi"/>
            <w:b/>
            <w:noProof/>
            <w:webHidden/>
          </w:rPr>
          <w:tab/>
        </w:r>
        <w:r w:rsidR="00C05AB5" w:rsidRPr="00E92FF3">
          <w:rPr>
            <w:rFonts w:asciiTheme="minorHAnsi" w:hAnsiTheme="minorHAnsi"/>
            <w:b/>
            <w:noProof/>
            <w:webHidden/>
          </w:rPr>
          <w:fldChar w:fldCharType="begin"/>
        </w:r>
        <w:r w:rsidR="00C05AB5" w:rsidRPr="00E92FF3">
          <w:rPr>
            <w:rFonts w:asciiTheme="minorHAnsi" w:hAnsiTheme="minorHAnsi"/>
            <w:b/>
            <w:noProof/>
            <w:webHidden/>
          </w:rPr>
          <w:instrText xml:space="preserve"> PAGEREF _Toc443909858 \h </w:instrText>
        </w:r>
        <w:r w:rsidR="00C05AB5" w:rsidRPr="00E92FF3">
          <w:rPr>
            <w:rFonts w:asciiTheme="minorHAnsi" w:hAnsiTheme="minorHAnsi"/>
            <w:b/>
            <w:noProof/>
            <w:webHidden/>
          </w:rPr>
        </w:r>
        <w:r w:rsidR="00C05AB5" w:rsidRPr="00E92FF3">
          <w:rPr>
            <w:rFonts w:asciiTheme="minorHAnsi" w:hAnsiTheme="minorHAnsi"/>
            <w:b/>
            <w:noProof/>
            <w:webHidden/>
          </w:rPr>
          <w:fldChar w:fldCharType="separate"/>
        </w:r>
        <w:r w:rsidR="00CC45C7">
          <w:rPr>
            <w:rFonts w:asciiTheme="minorHAnsi" w:hAnsiTheme="minorHAnsi"/>
            <w:b/>
            <w:noProof/>
            <w:webHidden/>
          </w:rPr>
          <w:t>19</w:t>
        </w:r>
        <w:r w:rsidR="00C05AB5" w:rsidRPr="00E92FF3">
          <w:rPr>
            <w:rFonts w:asciiTheme="minorHAnsi" w:hAnsiTheme="minorHAnsi"/>
            <w:b/>
            <w:noProof/>
            <w:webHidden/>
          </w:rPr>
          <w:fldChar w:fldCharType="end"/>
        </w:r>
      </w:hyperlink>
    </w:p>
    <w:p w:rsidR="00A84AFA" w:rsidRDefault="002A40C6" w:rsidP="00C05AB5">
      <w:pPr>
        <w:pStyle w:val="TOC1"/>
        <w:tabs>
          <w:tab w:val="right" w:leader="dot" w:pos="9350"/>
        </w:tabs>
        <w:rPr>
          <w:rFonts w:asciiTheme="minorHAnsi" w:hAnsiTheme="minorHAnsi"/>
        </w:rPr>
      </w:pPr>
      <w:r w:rsidRPr="00C05AB5">
        <w:rPr>
          <w:rFonts w:asciiTheme="minorHAnsi" w:hAnsiTheme="minorHAnsi"/>
        </w:rPr>
        <w:fldChar w:fldCharType="end"/>
      </w:r>
    </w:p>
    <w:p w:rsidR="00307A17" w:rsidRDefault="00A84AFA" w:rsidP="00A84AFA">
      <w:pPr>
        <w:pStyle w:val="TOC1"/>
        <w:tabs>
          <w:tab w:val="right" w:leader="dot" w:pos="9350"/>
        </w:tabs>
        <w:rPr>
          <w:rFonts w:asciiTheme="minorHAnsi" w:hAnsiTheme="minorHAnsi"/>
          <w:b/>
          <w:bCs/>
          <w:color w:val="365F91"/>
          <w:spacing w:val="-1"/>
          <w:sz w:val="36"/>
          <w:szCs w:val="36"/>
        </w:rPr>
      </w:pPr>
      <w:r>
        <w:rPr>
          <w:rFonts w:asciiTheme="minorHAnsi" w:hAnsiTheme="minorHAnsi"/>
          <w:b/>
          <w:bCs/>
          <w:color w:val="365F91"/>
          <w:spacing w:val="-1"/>
          <w:sz w:val="36"/>
          <w:szCs w:val="36"/>
        </w:rPr>
        <w:t>F</w:t>
      </w:r>
      <w:r w:rsidR="00B156E6">
        <w:rPr>
          <w:rFonts w:asciiTheme="minorHAnsi" w:hAnsiTheme="minorHAnsi"/>
          <w:b/>
          <w:bCs/>
          <w:color w:val="365F91"/>
          <w:spacing w:val="-1"/>
          <w:sz w:val="36"/>
          <w:szCs w:val="36"/>
        </w:rPr>
        <w:t>igures</w:t>
      </w:r>
      <w:r>
        <w:rPr>
          <w:rFonts w:asciiTheme="minorHAnsi" w:hAnsiTheme="minorHAnsi"/>
          <w:b/>
          <w:bCs/>
          <w:color w:val="365F91"/>
          <w:spacing w:val="-1"/>
          <w:sz w:val="36"/>
          <w:szCs w:val="36"/>
        </w:rPr>
        <w:t xml:space="preserve"> </w:t>
      </w:r>
    </w:p>
    <w:p w:rsidR="00C05AB5" w:rsidRPr="00C05AB5" w:rsidRDefault="002A40C6" w:rsidP="00C05AB5">
      <w:pPr>
        <w:pStyle w:val="TableofFigures"/>
        <w:tabs>
          <w:tab w:val="right" w:leader="dot" w:pos="9350"/>
        </w:tabs>
        <w:spacing w:after="120" w:line="240" w:lineRule="auto"/>
        <w:rPr>
          <w:rFonts w:asciiTheme="minorHAnsi" w:eastAsiaTheme="minorEastAsia" w:hAnsiTheme="minorHAnsi"/>
          <w:noProof/>
        </w:rPr>
      </w:pPr>
      <w:r w:rsidRPr="00C05AB5">
        <w:rPr>
          <w:rFonts w:asciiTheme="minorHAnsi" w:eastAsia="Cambria" w:hAnsiTheme="minorHAnsi"/>
        </w:rPr>
        <w:fldChar w:fldCharType="begin"/>
      </w:r>
      <w:r w:rsidR="00A84AFA" w:rsidRPr="00C05AB5">
        <w:rPr>
          <w:rFonts w:asciiTheme="minorHAnsi" w:eastAsia="Cambria" w:hAnsiTheme="minorHAnsi"/>
        </w:rPr>
        <w:instrText xml:space="preserve"> TOC \h \z \c "Figure" </w:instrText>
      </w:r>
      <w:r w:rsidRPr="00C05AB5">
        <w:rPr>
          <w:rFonts w:asciiTheme="minorHAnsi" w:eastAsia="Cambria" w:hAnsiTheme="minorHAnsi"/>
        </w:rPr>
        <w:fldChar w:fldCharType="separate"/>
      </w:r>
      <w:hyperlink w:anchor="_Toc443909859" w:history="1">
        <w:r w:rsidR="00C05AB5" w:rsidRPr="00C05AB5">
          <w:rPr>
            <w:rStyle w:val="Hyperlink"/>
            <w:rFonts w:asciiTheme="minorHAnsi" w:hAnsiTheme="minorHAnsi"/>
            <w:noProof/>
          </w:rPr>
          <w:t>Figure 3</w:t>
        </w:r>
        <w:r w:rsidR="00C05AB5" w:rsidRPr="00C05AB5">
          <w:rPr>
            <w:rStyle w:val="Hyperlink"/>
            <w:rFonts w:asciiTheme="minorHAnsi" w:hAnsiTheme="minorHAnsi"/>
            <w:noProof/>
          </w:rPr>
          <w:noBreakHyphen/>
          <w:t>1</w:t>
        </w:r>
        <w:r w:rsidR="00C05AB5" w:rsidRPr="00C05AB5">
          <w:rPr>
            <w:rStyle w:val="Hyperlink"/>
            <w:rFonts w:asciiTheme="minorHAnsi" w:eastAsia="Cambria" w:hAnsiTheme="minorHAnsi" w:cs="Cambria"/>
            <w:noProof/>
          </w:rPr>
          <w:t>: PJM’s Two-Year Reliability Planning Cycle.</w:t>
        </w:r>
        <w:r w:rsidR="00C05AB5" w:rsidRPr="00C05AB5">
          <w:rPr>
            <w:rFonts w:asciiTheme="minorHAnsi" w:hAnsiTheme="minorHAnsi"/>
            <w:noProof/>
            <w:webHidden/>
          </w:rPr>
          <w:tab/>
        </w:r>
        <w:r w:rsidR="00C05AB5" w:rsidRPr="00C05AB5">
          <w:rPr>
            <w:rFonts w:asciiTheme="minorHAnsi" w:hAnsiTheme="minorHAnsi"/>
            <w:noProof/>
            <w:webHidden/>
          </w:rPr>
          <w:fldChar w:fldCharType="begin"/>
        </w:r>
        <w:r w:rsidR="00C05AB5" w:rsidRPr="00C05AB5">
          <w:rPr>
            <w:rFonts w:asciiTheme="minorHAnsi" w:hAnsiTheme="minorHAnsi"/>
            <w:noProof/>
            <w:webHidden/>
          </w:rPr>
          <w:instrText xml:space="preserve"> PAGEREF _Toc443909859 \h </w:instrText>
        </w:r>
        <w:r w:rsidR="00C05AB5" w:rsidRPr="00C05AB5">
          <w:rPr>
            <w:rFonts w:asciiTheme="minorHAnsi" w:hAnsiTheme="minorHAnsi"/>
            <w:noProof/>
            <w:webHidden/>
          </w:rPr>
        </w:r>
        <w:r w:rsidR="00C05AB5" w:rsidRPr="00C05AB5">
          <w:rPr>
            <w:rFonts w:asciiTheme="minorHAnsi" w:hAnsiTheme="minorHAnsi"/>
            <w:noProof/>
            <w:webHidden/>
          </w:rPr>
          <w:fldChar w:fldCharType="separate"/>
        </w:r>
        <w:r w:rsidR="00CC45C7">
          <w:rPr>
            <w:rFonts w:asciiTheme="minorHAnsi" w:hAnsiTheme="minorHAnsi"/>
            <w:noProof/>
            <w:webHidden/>
          </w:rPr>
          <w:t>7</w:t>
        </w:r>
        <w:r w:rsidR="00C05AB5" w:rsidRPr="00C05AB5">
          <w:rPr>
            <w:rFonts w:asciiTheme="minorHAnsi" w:hAnsiTheme="minorHAnsi"/>
            <w:noProof/>
            <w:webHidden/>
          </w:rPr>
          <w:fldChar w:fldCharType="end"/>
        </w:r>
      </w:hyperlink>
    </w:p>
    <w:p w:rsidR="00C05AB5" w:rsidRPr="00C05AB5" w:rsidRDefault="000F2023" w:rsidP="00C05AB5">
      <w:pPr>
        <w:pStyle w:val="TableofFigures"/>
        <w:tabs>
          <w:tab w:val="right" w:leader="dot" w:pos="9350"/>
        </w:tabs>
        <w:spacing w:after="120" w:line="240" w:lineRule="auto"/>
        <w:rPr>
          <w:rFonts w:asciiTheme="minorHAnsi" w:eastAsiaTheme="minorEastAsia" w:hAnsiTheme="minorHAnsi"/>
          <w:noProof/>
        </w:rPr>
      </w:pPr>
      <w:hyperlink w:anchor="_Toc443909860" w:history="1">
        <w:r w:rsidR="00C05AB5" w:rsidRPr="00C05AB5">
          <w:rPr>
            <w:rStyle w:val="Hyperlink"/>
            <w:rFonts w:asciiTheme="minorHAnsi" w:hAnsiTheme="minorHAnsi"/>
            <w:noProof/>
          </w:rPr>
          <w:t>Figure 3</w:t>
        </w:r>
        <w:r w:rsidR="00C05AB5" w:rsidRPr="00C05AB5">
          <w:rPr>
            <w:rStyle w:val="Hyperlink"/>
            <w:rFonts w:asciiTheme="minorHAnsi" w:hAnsiTheme="minorHAnsi"/>
            <w:noProof/>
          </w:rPr>
          <w:noBreakHyphen/>
          <w:t>2: PJM’s Two-Year Market-Efficiency Planning Cycle.</w:t>
        </w:r>
        <w:r w:rsidR="00C05AB5" w:rsidRPr="00C05AB5">
          <w:rPr>
            <w:rFonts w:asciiTheme="minorHAnsi" w:hAnsiTheme="minorHAnsi"/>
            <w:noProof/>
            <w:webHidden/>
          </w:rPr>
          <w:tab/>
        </w:r>
        <w:r w:rsidR="00C05AB5" w:rsidRPr="00C05AB5">
          <w:rPr>
            <w:rFonts w:asciiTheme="minorHAnsi" w:hAnsiTheme="minorHAnsi"/>
            <w:noProof/>
            <w:webHidden/>
          </w:rPr>
          <w:fldChar w:fldCharType="begin"/>
        </w:r>
        <w:r w:rsidR="00C05AB5" w:rsidRPr="00C05AB5">
          <w:rPr>
            <w:rFonts w:asciiTheme="minorHAnsi" w:hAnsiTheme="minorHAnsi"/>
            <w:noProof/>
            <w:webHidden/>
          </w:rPr>
          <w:instrText xml:space="preserve"> PAGEREF _Toc443909860 \h </w:instrText>
        </w:r>
        <w:r w:rsidR="00C05AB5" w:rsidRPr="00C05AB5">
          <w:rPr>
            <w:rFonts w:asciiTheme="minorHAnsi" w:hAnsiTheme="minorHAnsi"/>
            <w:noProof/>
            <w:webHidden/>
          </w:rPr>
        </w:r>
        <w:r w:rsidR="00C05AB5" w:rsidRPr="00C05AB5">
          <w:rPr>
            <w:rFonts w:asciiTheme="minorHAnsi" w:hAnsiTheme="minorHAnsi"/>
            <w:noProof/>
            <w:webHidden/>
          </w:rPr>
          <w:fldChar w:fldCharType="separate"/>
        </w:r>
        <w:r w:rsidR="00CC45C7">
          <w:rPr>
            <w:rFonts w:asciiTheme="minorHAnsi" w:hAnsiTheme="minorHAnsi"/>
            <w:noProof/>
            <w:webHidden/>
          </w:rPr>
          <w:t>7</w:t>
        </w:r>
        <w:r w:rsidR="00C05AB5" w:rsidRPr="00C05AB5">
          <w:rPr>
            <w:rFonts w:asciiTheme="minorHAnsi" w:hAnsiTheme="minorHAnsi"/>
            <w:noProof/>
            <w:webHidden/>
          </w:rPr>
          <w:fldChar w:fldCharType="end"/>
        </w:r>
      </w:hyperlink>
    </w:p>
    <w:p w:rsidR="00A84AFA" w:rsidRPr="00C05AB5" w:rsidRDefault="002A40C6" w:rsidP="00C05AB5">
      <w:pPr>
        <w:pStyle w:val="TOC1"/>
        <w:tabs>
          <w:tab w:val="right" w:leader="dot" w:pos="9350"/>
        </w:tabs>
        <w:rPr>
          <w:rFonts w:asciiTheme="minorHAnsi" w:hAnsiTheme="minorHAnsi"/>
        </w:rPr>
      </w:pPr>
      <w:r w:rsidRPr="00C05AB5">
        <w:rPr>
          <w:rFonts w:asciiTheme="minorHAnsi" w:hAnsiTheme="minorHAnsi"/>
        </w:rPr>
        <w:fldChar w:fldCharType="end"/>
      </w:r>
    </w:p>
    <w:p w:rsidR="00C05AB5" w:rsidRDefault="00C05AB5" w:rsidP="00C05AB5">
      <w:pPr>
        <w:pStyle w:val="TableofFigures"/>
        <w:tabs>
          <w:tab w:val="right" w:leader="dot" w:pos="9350"/>
        </w:tabs>
        <w:spacing w:after="120" w:line="240" w:lineRule="auto"/>
        <w:rPr>
          <w:rFonts w:asciiTheme="minorHAnsi" w:hAnsiTheme="minorHAnsi"/>
          <w:b/>
          <w:bCs/>
          <w:color w:val="365F91"/>
          <w:spacing w:val="-1"/>
        </w:rPr>
      </w:pPr>
      <w:r w:rsidRPr="00A84AFA">
        <w:rPr>
          <w:rFonts w:asciiTheme="minorHAnsi" w:hAnsiTheme="minorHAnsi"/>
          <w:b/>
          <w:bCs/>
          <w:color w:val="365F91"/>
          <w:spacing w:val="-1"/>
          <w:sz w:val="36"/>
          <w:szCs w:val="36"/>
        </w:rPr>
        <w:t>T</w:t>
      </w:r>
      <w:r w:rsidR="00B156E6">
        <w:rPr>
          <w:rFonts w:asciiTheme="minorHAnsi" w:hAnsiTheme="minorHAnsi"/>
          <w:b/>
          <w:bCs/>
          <w:color w:val="365F91"/>
          <w:spacing w:val="-1"/>
          <w:sz w:val="36"/>
          <w:szCs w:val="36"/>
        </w:rPr>
        <w:t>able</w:t>
      </w:r>
    </w:p>
    <w:p w:rsidR="00A84AFA" w:rsidRPr="00C05AB5" w:rsidRDefault="002A40C6" w:rsidP="00C05AB5">
      <w:pPr>
        <w:pStyle w:val="TableofFigures"/>
        <w:tabs>
          <w:tab w:val="right" w:leader="dot" w:pos="9350"/>
        </w:tabs>
        <w:spacing w:after="120" w:line="240" w:lineRule="auto"/>
        <w:rPr>
          <w:rFonts w:asciiTheme="minorHAnsi" w:hAnsiTheme="minorHAnsi"/>
          <w:noProof/>
        </w:rPr>
      </w:pPr>
      <w:r w:rsidRPr="00C05AB5">
        <w:rPr>
          <w:rFonts w:asciiTheme="minorHAnsi" w:hAnsiTheme="minorHAnsi"/>
          <w:b/>
          <w:bCs/>
          <w:color w:val="365F91"/>
          <w:spacing w:val="-1"/>
        </w:rPr>
        <w:fldChar w:fldCharType="begin"/>
      </w:r>
      <w:r w:rsidR="00A84AFA" w:rsidRPr="00C05AB5">
        <w:rPr>
          <w:rFonts w:asciiTheme="minorHAnsi" w:hAnsiTheme="minorHAnsi"/>
          <w:b/>
          <w:bCs/>
          <w:color w:val="365F91"/>
          <w:spacing w:val="-1"/>
        </w:rPr>
        <w:instrText xml:space="preserve"> TOC \h \z \c "Table" </w:instrText>
      </w:r>
      <w:r w:rsidRPr="00C05AB5">
        <w:rPr>
          <w:rFonts w:asciiTheme="minorHAnsi" w:hAnsiTheme="minorHAnsi"/>
          <w:b/>
          <w:bCs/>
          <w:color w:val="365F91"/>
          <w:spacing w:val="-1"/>
        </w:rPr>
        <w:fldChar w:fldCharType="separate"/>
      </w:r>
      <w:hyperlink w:anchor="_Toc442794444" w:history="1">
        <w:r w:rsidR="00A84AFA" w:rsidRPr="00C05AB5">
          <w:rPr>
            <w:rStyle w:val="Hyperlink"/>
            <w:rFonts w:asciiTheme="minorHAnsi" w:hAnsiTheme="minorHAnsi"/>
            <w:noProof/>
          </w:rPr>
          <w:t>Table 4</w:t>
        </w:r>
        <w:r w:rsidR="00A84AFA" w:rsidRPr="00C05AB5">
          <w:rPr>
            <w:rStyle w:val="Hyperlink"/>
            <w:rFonts w:asciiTheme="minorHAnsi" w:hAnsiTheme="minorHAnsi"/>
            <w:noProof/>
          </w:rPr>
          <w:noBreakHyphen/>
          <w:t xml:space="preserve">1 </w:t>
        </w:r>
        <w:r w:rsidR="00A84AFA" w:rsidRPr="00C05AB5">
          <w:rPr>
            <w:rStyle w:val="Hyperlink"/>
            <w:rFonts w:asciiTheme="minorHAnsi" w:eastAsia="Cambria" w:hAnsiTheme="minorHAnsi"/>
            <w:noProof/>
            <w:spacing w:val="-2"/>
          </w:rPr>
          <w:t xml:space="preserve">Timing of Regional Planning Activities with Interregional Planning Requirements </w:t>
        </w:r>
        <w:r w:rsidR="00A84AFA" w:rsidRPr="00C05AB5">
          <w:rPr>
            <w:rFonts w:asciiTheme="minorHAnsi" w:hAnsiTheme="minorHAnsi"/>
            <w:noProof/>
            <w:webHidden/>
          </w:rPr>
          <w:tab/>
        </w:r>
        <w:r w:rsidRPr="00C05AB5">
          <w:rPr>
            <w:rFonts w:asciiTheme="minorHAnsi" w:hAnsiTheme="minorHAnsi"/>
            <w:noProof/>
            <w:webHidden/>
          </w:rPr>
          <w:fldChar w:fldCharType="begin"/>
        </w:r>
        <w:r w:rsidR="00A84AFA" w:rsidRPr="00C05AB5">
          <w:rPr>
            <w:rFonts w:asciiTheme="minorHAnsi" w:hAnsiTheme="minorHAnsi"/>
            <w:noProof/>
            <w:webHidden/>
          </w:rPr>
          <w:instrText xml:space="preserve"> PAGEREF _Toc442794444 \h </w:instrText>
        </w:r>
        <w:r w:rsidRPr="00C05AB5">
          <w:rPr>
            <w:rFonts w:asciiTheme="minorHAnsi" w:hAnsiTheme="minorHAnsi"/>
            <w:noProof/>
            <w:webHidden/>
          </w:rPr>
        </w:r>
        <w:r w:rsidRPr="00C05AB5">
          <w:rPr>
            <w:rFonts w:asciiTheme="minorHAnsi" w:hAnsiTheme="minorHAnsi"/>
            <w:noProof/>
            <w:webHidden/>
          </w:rPr>
          <w:fldChar w:fldCharType="separate"/>
        </w:r>
        <w:r w:rsidR="00CC45C7">
          <w:rPr>
            <w:rFonts w:asciiTheme="minorHAnsi" w:hAnsiTheme="minorHAnsi"/>
            <w:noProof/>
            <w:webHidden/>
          </w:rPr>
          <w:t>12</w:t>
        </w:r>
        <w:r w:rsidRPr="00C05AB5">
          <w:rPr>
            <w:rFonts w:asciiTheme="minorHAnsi" w:hAnsiTheme="minorHAnsi"/>
            <w:noProof/>
            <w:webHidden/>
          </w:rPr>
          <w:fldChar w:fldCharType="end"/>
        </w:r>
      </w:hyperlink>
    </w:p>
    <w:p w:rsidR="00A84AFA" w:rsidRPr="00A84AFA" w:rsidRDefault="002A40C6" w:rsidP="00C05AB5">
      <w:pPr>
        <w:pStyle w:val="TOC1"/>
        <w:tabs>
          <w:tab w:val="right" w:leader="dot" w:pos="9350"/>
        </w:tabs>
        <w:rPr>
          <w:rFonts w:asciiTheme="minorHAnsi" w:hAnsiTheme="minorHAnsi"/>
          <w:b/>
          <w:bCs/>
          <w:color w:val="365F91"/>
          <w:spacing w:val="-1"/>
        </w:rPr>
        <w:sectPr w:rsidR="00A84AFA" w:rsidRPr="00A84AFA" w:rsidSect="00E92FF3">
          <w:headerReference w:type="default" r:id="rId12"/>
          <w:footerReference w:type="default" r:id="rId13"/>
          <w:pgSz w:w="12240" w:h="15840" w:code="1"/>
          <w:pgMar w:top="1440" w:right="1440" w:bottom="1440" w:left="1440" w:header="720" w:footer="720" w:gutter="0"/>
          <w:pgNumType w:fmt="lowerRoman"/>
          <w:cols w:space="720"/>
        </w:sectPr>
      </w:pPr>
      <w:r w:rsidRPr="00C05AB5">
        <w:rPr>
          <w:rFonts w:asciiTheme="minorHAnsi" w:hAnsiTheme="minorHAnsi"/>
          <w:b/>
          <w:bCs/>
          <w:color w:val="365F91"/>
          <w:spacing w:val="-1"/>
        </w:rPr>
        <w:fldChar w:fldCharType="end"/>
      </w:r>
    </w:p>
    <w:p w:rsidR="00BC0F55" w:rsidRPr="0076493F" w:rsidRDefault="0048023B" w:rsidP="0076493F">
      <w:pPr>
        <w:spacing w:line="240" w:lineRule="auto"/>
        <w:rPr>
          <w:rFonts w:asciiTheme="minorHAnsi" w:eastAsia="Cambria" w:hAnsiTheme="minorHAnsi"/>
          <w:b/>
          <w:bCs/>
          <w:color w:val="365F91"/>
          <w:spacing w:val="-1"/>
          <w:sz w:val="36"/>
          <w:szCs w:val="36"/>
        </w:rPr>
      </w:pPr>
      <w:r w:rsidRPr="0076493F">
        <w:rPr>
          <w:rFonts w:asciiTheme="minorHAnsi" w:eastAsia="Cambria" w:hAnsiTheme="minorHAnsi"/>
          <w:b/>
          <w:bCs/>
          <w:color w:val="365F91"/>
          <w:spacing w:val="-1"/>
          <w:sz w:val="36"/>
          <w:szCs w:val="36"/>
        </w:rPr>
        <w:lastRenderedPageBreak/>
        <w:t>Preface</w:t>
      </w:r>
    </w:p>
    <w:p w:rsidR="0022014C" w:rsidRDefault="00C72C38" w:rsidP="00954934">
      <w:r>
        <w:t>T</w:t>
      </w:r>
      <w:r w:rsidR="00811ADF" w:rsidRPr="008A2470">
        <w:t xml:space="preserve">he New York </w:t>
      </w:r>
      <w:r w:rsidR="00586ED2">
        <w:t>Independent System Operator</w:t>
      </w:r>
      <w:r w:rsidR="00586ED2" w:rsidRPr="008A2470">
        <w:t xml:space="preserve"> </w:t>
      </w:r>
      <w:r w:rsidR="007721E8" w:rsidRPr="008A2470">
        <w:t>(NYISO)</w:t>
      </w:r>
      <w:r>
        <w:t>;</w:t>
      </w:r>
      <w:r w:rsidR="00811ADF" w:rsidRPr="008A2470">
        <w:t xml:space="preserve"> </w:t>
      </w:r>
      <w:r w:rsidR="0022014C" w:rsidRPr="008A2470">
        <w:t>PJM</w:t>
      </w:r>
      <w:r w:rsidR="00C8236D" w:rsidRPr="008A2470">
        <w:t xml:space="preserve"> (i.e., the Regional Transmission O</w:t>
      </w:r>
      <w:r>
        <w:t>rganization</w:t>
      </w:r>
      <w:r w:rsidR="00C8236D" w:rsidRPr="008A2470">
        <w:t xml:space="preserve"> [RTO] for all or parts of Delaware, Illinois, Indiana, Kentucky, Maryland, Michigan, New Jersey, North Carolina, Ohio, Pennsylvania, Tennessee, Virginia, West Virginia, and the District of Columbia)</w:t>
      </w:r>
      <w:r>
        <w:t>; and ISO New England (ISO-NE), t</w:t>
      </w:r>
      <w:r w:rsidRPr="008A2470">
        <w:t xml:space="preserve">he </w:t>
      </w:r>
      <w:r>
        <w:t>RTO for New England</w:t>
      </w:r>
      <w:r w:rsidRPr="008A2470">
        <w:t>,</w:t>
      </w:r>
      <w:r w:rsidR="0022014C" w:rsidRPr="008A2470">
        <w:t xml:space="preserve"> coordinate</w:t>
      </w:r>
      <w:r w:rsidR="0022014C" w:rsidRPr="00C22240">
        <w:t xml:space="preserve"> planning </w:t>
      </w:r>
      <w:r w:rsidR="00BB4503" w:rsidRPr="00C22240">
        <w:t>under the Northeastern ISO/RTO Planning Coordination</w:t>
      </w:r>
      <w:r w:rsidR="00BB4503">
        <w:t xml:space="preserve"> </w:t>
      </w:r>
      <w:r w:rsidR="00095D4C">
        <w:t>Protocol</w:t>
      </w:r>
      <w:r w:rsidR="00BB4503">
        <w:t xml:space="preserve"> and other joint agreements</w:t>
      </w:r>
      <w:r w:rsidR="00811ADF">
        <w:t xml:space="preserve">. </w:t>
      </w:r>
      <w:r w:rsidR="0022014C">
        <w:t xml:space="preserve">The </w:t>
      </w:r>
      <w:r w:rsidR="00811ADF">
        <w:t xml:space="preserve">protocol includes the following </w:t>
      </w:r>
      <w:r w:rsidR="0022014C">
        <w:t xml:space="preserve">requirements: </w:t>
      </w:r>
    </w:p>
    <w:p w:rsidR="0022014C" w:rsidRPr="00954934" w:rsidRDefault="0022014C" w:rsidP="00954934">
      <w:pPr>
        <w:pStyle w:val="ListParagraph"/>
      </w:pPr>
      <w:r w:rsidRPr="00954934">
        <w:t xml:space="preserve">Exchanging data and information </w:t>
      </w:r>
    </w:p>
    <w:p w:rsidR="0022014C" w:rsidRPr="00954934" w:rsidRDefault="0022014C" w:rsidP="00954934">
      <w:pPr>
        <w:pStyle w:val="ListParagraph"/>
      </w:pPr>
      <w:r w:rsidRPr="00954934">
        <w:t>Coordinating interconnection requests and transmission requests with cross-border impacts</w:t>
      </w:r>
    </w:p>
    <w:p w:rsidR="0022014C" w:rsidRPr="00954934" w:rsidRDefault="0022014C" w:rsidP="00954934">
      <w:pPr>
        <w:pStyle w:val="ListParagraph"/>
      </w:pPr>
      <w:r w:rsidRPr="00954934">
        <w:t>Developing a Northeastern Coordinated System Plan</w:t>
      </w:r>
    </w:p>
    <w:p w:rsidR="0022014C" w:rsidRPr="00954934" w:rsidRDefault="0022014C" w:rsidP="00954934">
      <w:pPr>
        <w:pStyle w:val="ListParagraph"/>
      </w:pPr>
      <w:r w:rsidRPr="00954934">
        <w:t>Performing planning studies through an open stakeholder process</w:t>
      </w:r>
    </w:p>
    <w:p w:rsidR="0022014C" w:rsidRPr="00954934" w:rsidRDefault="0022014C" w:rsidP="00BC74A7">
      <w:pPr>
        <w:pStyle w:val="ListParagraph"/>
        <w:spacing w:after="240"/>
      </w:pPr>
      <w:r w:rsidRPr="00954934">
        <w:t>Allocating the costs associated with projects having a cross-border impact consistent with each party’s tariff and applicable federal regulatory policy</w:t>
      </w:r>
    </w:p>
    <w:p w:rsidR="0076493F" w:rsidRPr="0076493F" w:rsidRDefault="0022014C" w:rsidP="001E1AC1">
      <w:r w:rsidRPr="0076493F">
        <w:t xml:space="preserve">The ISO/RTOs implement the </w:t>
      </w:r>
      <w:r w:rsidR="00E30C92" w:rsidRPr="0076493F">
        <w:t>p</w:t>
      </w:r>
      <w:r w:rsidRPr="0076493F">
        <w:t xml:space="preserve">rotocol consistent with interregional </w:t>
      </w:r>
      <w:r w:rsidR="00453DF0">
        <w:t xml:space="preserve">planning </w:t>
      </w:r>
      <w:r w:rsidRPr="0076493F">
        <w:t xml:space="preserve">requirements of </w:t>
      </w:r>
      <w:r w:rsidR="007721E8">
        <w:t>the Federal Energy Regulatory Commission (</w:t>
      </w:r>
      <w:r w:rsidRPr="0076493F">
        <w:t>FERC</w:t>
      </w:r>
      <w:r w:rsidR="007721E8">
        <w:t>)</w:t>
      </w:r>
      <w:r w:rsidRPr="0076493F">
        <w:t xml:space="preserve"> Order </w:t>
      </w:r>
      <w:r w:rsidR="001E1AC1" w:rsidRPr="0076493F">
        <w:t xml:space="preserve">No. </w:t>
      </w:r>
      <w:r w:rsidRPr="0076493F">
        <w:t>1000</w:t>
      </w:r>
      <w:r w:rsidR="00453DF0">
        <w:t>, including</w:t>
      </w:r>
      <w:r w:rsidR="001E1AC1" w:rsidRPr="0076493F">
        <w:t xml:space="preserve"> </w:t>
      </w:r>
      <w:r w:rsidR="0076493F" w:rsidRPr="0076493F">
        <w:t>the following:</w:t>
      </w:r>
    </w:p>
    <w:p w:rsidR="0076493F" w:rsidRPr="0076493F" w:rsidRDefault="0076493F" w:rsidP="0076493F">
      <w:pPr>
        <w:pStyle w:val="ListParagraph"/>
      </w:pPr>
      <w:r w:rsidRPr="0076493F">
        <w:t>T</w:t>
      </w:r>
      <w:r w:rsidR="0022014C" w:rsidRPr="0076493F">
        <w:t xml:space="preserve">he sharing of information </w:t>
      </w:r>
      <w:r w:rsidR="001E1AC1" w:rsidRPr="0076493F">
        <w:t xml:space="preserve">about </w:t>
      </w:r>
      <w:r w:rsidR="0022014C" w:rsidRPr="0076493F">
        <w:t>the respective needs of each region</w:t>
      </w:r>
      <w:r w:rsidR="00540152">
        <w:t xml:space="preserve"> and </w:t>
      </w:r>
      <w:r w:rsidR="0022014C" w:rsidRPr="0076493F">
        <w:t>potential solutions to th</w:t>
      </w:r>
      <w:r w:rsidR="00E30C92" w:rsidRPr="0076493F">
        <w:t>e</w:t>
      </w:r>
      <w:r w:rsidR="0022014C" w:rsidRPr="0076493F">
        <w:t>se needs</w:t>
      </w:r>
    </w:p>
    <w:p w:rsidR="0022014C" w:rsidRPr="00514D36" w:rsidRDefault="0076493F" w:rsidP="0076493F">
      <w:pPr>
        <w:pStyle w:val="ListParagraph"/>
        <w:spacing w:after="240"/>
      </w:pPr>
      <w:r w:rsidRPr="0076493F">
        <w:t>T</w:t>
      </w:r>
      <w:r w:rsidR="0022014C" w:rsidRPr="0076493F">
        <w:t xml:space="preserve">he identification and joint evaluation of interregional transmission facilities that may be </w:t>
      </w:r>
      <w:r w:rsidR="0022014C" w:rsidRPr="00514D36">
        <w:t>more efficient or cost-effective solutions to th</w:t>
      </w:r>
      <w:r w:rsidR="001E1AC1" w:rsidRPr="00514D36">
        <w:t>e</w:t>
      </w:r>
      <w:r w:rsidR="0022014C" w:rsidRPr="00514D36">
        <w:t>se regional needs</w:t>
      </w:r>
    </w:p>
    <w:p w:rsidR="0022014C" w:rsidRDefault="0048023B" w:rsidP="0076493F">
      <w:r w:rsidRPr="00514D36">
        <w:t>This report summari</w:t>
      </w:r>
      <w:r w:rsidR="00BB4503" w:rsidRPr="00514D36">
        <w:t xml:space="preserve">zes the </w:t>
      </w:r>
      <w:r w:rsidR="0076493F" w:rsidRPr="00514D36">
        <w:t xml:space="preserve">2014 and 2015 </w:t>
      </w:r>
      <w:r w:rsidR="0022014C" w:rsidRPr="00514D36">
        <w:t xml:space="preserve">interregional planning </w:t>
      </w:r>
      <w:r w:rsidRPr="00514D36">
        <w:t xml:space="preserve">activities </w:t>
      </w:r>
      <w:r w:rsidR="00BB4503" w:rsidRPr="00514D36">
        <w:t xml:space="preserve">under the responsibilities of </w:t>
      </w:r>
      <w:r w:rsidR="0022014C" w:rsidRPr="00514D36">
        <w:t>t</w:t>
      </w:r>
      <w:r w:rsidRPr="00514D36">
        <w:t>he Joint ISO/RTO Planning</w:t>
      </w:r>
      <w:r w:rsidRPr="00514D36">
        <w:rPr>
          <w:spacing w:val="-2"/>
        </w:rPr>
        <w:t xml:space="preserve"> </w:t>
      </w:r>
      <w:r w:rsidRPr="00514D36">
        <w:t>Committee (JIPC). The</w:t>
      </w:r>
      <w:r w:rsidR="00BC74A7" w:rsidRPr="00514D36">
        <w:t xml:space="preserve"> report</w:t>
      </w:r>
      <w:r w:rsidRPr="00514D36">
        <w:t xml:space="preserve"> also </w:t>
      </w:r>
      <w:r w:rsidR="00BB4503" w:rsidRPr="00514D36">
        <w:t xml:space="preserve">references other interregional planning activities, </w:t>
      </w:r>
      <w:r w:rsidRPr="00514D36">
        <w:t>includ</w:t>
      </w:r>
      <w:r w:rsidR="00BB4503" w:rsidRPr="00514D36">
        <w:t xml:space="preserve">ing those </w:t>
      </w:r>
      <w:r w:rsidR="0076493F" w:rsidRPr="00514D36">
        <w:t xml:space="preserve">associated with </w:t>
      </w:r>
      <w:r w:rsidR="00BB4503" w:rsidRPr="00514D36">
        <w:t xml:space="preserve">the work of </w:t>
      </w:r>
      <w:r w:rsidRPr="00514D36">
        <w:t>the North American</w:t>
      </w:r>
      <w:r w:rsidRPr="00514D36">
        <w:rPr>
          <w:spacing w:val="-2"/>
        </w:rPr>
        <w:t xml:space="preserve"> </w:t>
      </w:r>
      <w:r w:rsidRPr="00514D36">
        <w:t>Electric Reliability</w:t>
      </w:r>
      <w:r w:rsidRPr="00514D36">
        <w:rPr>
          <w:spacing w:val="-2"/>
        </w:rPr>
        <w:t xml:space="preserve"> </w:t>
      </w:r>
      <w:r w:rsidRPr="00514D36">
        <w:t>Corporation</w:t>
      </w:r>
      <w:r w:rsidRPr="00514D36">
        <w:rPr>
          <w:spacing w:val="-2"/>
        </w:rPr>
        <w:t xml:space="preserve"> </w:t>
      </w:r>
      <w:r w:rsidRPr="00514D36">
        <w:t>(NERC).</w:t>
      </w:r>
    </w:p>
    <w:p w:rsidR="00BC74A7" w:rsidRDefault="00BC74A7" w:rsidP="0076493F"/>
    <w:p w:rsidR="00BC0F55" w:rsidRDefault="00BC0F55">
      <w:pPr>
        <w:spacing w:line="276" w:lineRule="auto"/>
        <w:sectPr w:rsidR="00BC0F55" w:rsidSect="00E92FF3">
          <w:headerReference w:type="default" r:id="rId14"/>
          <w:pgSz w:w="12240" w:h="15840" w:code="1"/>
          <w:pgMar w:top="1440" w:right="1440" w:bottom="1440" w:left="1440" w:header="720" w:footer="720" w:gutter="0"/>
          <w:pgNumType w:fmt="lowerRoman"/>
          <w:cols w:space="720"/>
        </w:sectPr>
      </w:pPr>
    </w:p>
    <w:p w:rsidR="00BC0F55" w:rsidRPr="00C8236D" w:rsidRDefault="0048023B" w:rsidP="00B57A81">
      <w:pPr>
        <w:pStyle w:val="Heading1"/>
      </w:pPr>
      <w:bookmarkStart w:id="0" w:name="1_Executive_Summary"/>
      <w:bookmarkStart w:id="1" w:name="_Toc442631669"/>
      <w:bookmarkStart w:id="2" w:name="_Toc443909841"/>
      <w:bookmarkEnd w:id="0"/>
      <w:r w:rsidRPr="002C46BB">
        <w:lastRenderedPageBreak/>
        <w:t xml:space="preserve">Executive </w:t>
      </w:r>
      <w:r w:rsidRPr="00C8236D">
        <w:t>Summary</w:t>
      </w:r>
      <w:bookmarkEnd w:id="1"/>
      <w:bookmarkEnd w:id="2"/>
      <w:r w:rsidR="00544C43" w:rsidRPr="00C8236D">
        <w:t xml:space="preserve"> </w:t>
      </w:r>
    </w:p>
    <w:p w:rsidR="007721E8" w:rsidRPr="00B9099F" w:rsidRDefault="007721E8" w:rsidP="00A17B5E">
      <w:r w:rsidRPr="00B9099F">
        <w:t>Through their interregional processes, the New York I</w:t>
      </w:r>
      <w:r w:rsidR="002D4CBA" w:rsidRPr="00B9099F">
        <w:t>ndependent System Operator</w:t>
      </w:r>
      <w:r w:rsidRPr="00B9099F">
        <w:t xml:space="preserve"> </w:t>
      </w:r>
      <w:r w:rsidR="002D4CBA" w:rsidRPr="00B9099F">
        <w:t>(</w:t>
      </w:r>
      <w:r w:rsidRPr="00B9099F">
        <w:t xml:space="preserve">NYISO), </w:t>
      </w:r>
      <w:r w:rsidR="002D4CBA" w:rsidRPr="00B9099F">
        <w:t xml:space="preserve">ISO New England (ISO-NE), </w:t>
      </w:r>
      <w:r w:rsidRPr="00B9099F">
        <w:t>and PJM must identify and resolve planning issues with potential interregional impacts, consistent with North American Electric Reliability Corporation (NERC) reliability requirements and other applicable state and local reliability criteria.</w:t>
      </w:r>
      <w:r w:rsidRPr="00B9099F">
        <w:rPr>
          <w:rFonts w:cs="Times New Roman"/>
          <w:sz w:val="20"/>
          <w:vertAlign w:val="superscript"/>
        </w:rPr>
        <w:footnoteReference w:id="2"/>
      </w:r>
      <w:r w:rsidRPr="00B9099F">
        <w:t xml:space="preserve"> Inter</w:t>
      </w:r>
      <w:hyperlink w:anchor="_bookmark3" w:history="1">
        <w:r w:rsidRPr="00B9099F">
          <w:t>co</w:t>
        </w:r>
      </w:hyperlink>
      <w:r w:rsidRPr="00B9099F">
        <w:t>nnections with neighboring systems provide opportunities for the exchange of capacity and energy, and tie lines facilitate access to a diversity of resources and potential economic opportunities for energy exchange.</w:t>
      </w:r>
      <w:r w:rsidRPr="00B9099F">
        <w:rPr>
          <w:rFonts w:cs="Times New Roman"/>
          <w:sz w:val="20"/>
          <w:vertAlign w:val="superscript"/>
        </w:rPr>
        <w:footnoteReference w:id="3"/>
      </w:r>
      <w:r w:rsidRPr="00B9099F">
        <w:t xml:space="preserve"> </w:t>
      </w:r>
      <w:r w:rsidR="00453DF0">
        <w:t>In its Order N</w:t>
      </w:r>
      <w:r w:rsidR="000B094A">
        <w:t>o</w:t>
      </w:r>
      <w:r w:rsidR="00453DF0">
        <w:t>. 1000, the Federal Energy Regulatory Commission (FERC) emphasized the importance of implementing processes for id</w:t>
      </w:r>
      <w:r w:rsidRPr="00B9099F">
        <w:t xml:space="preserve">entifying and quantifying the potential benefits </w:t>
      </w:r>
      <w:r w:rsidR="00A84AFA" w:rsidRPr="00B9099F">
        <w:t xml:space="preserve">and other impacts </w:t>
      </w:r>
      <w:r w:rsidRPr="00B9099F">
        <w:t>of interregional transmission projects and system reinforcements and coordinating the planning of the interconnected system.</w:t>
      </w:r>
      <w:r w:rsidR="00453DF0">
        <w:rPr>
          <w:rStyle w:val="FootnoteReference"/>
        </w:rPr>
        <w:footnoteReference w:id="4"/>
      </w:r>
      <w:r w:rsidRPr="00B9099F">
        <w:t xml:space="preserve"> </w:t>
      </w:r>
    </w:p>
    <w:p w:rsidR="00EE7C7B" w:rsidRPr="00B9099F" w:rsidRDefault="0048023B" w:rsidP="00A17B5E">
      <w:r w:rsidRPr="00B9099F">
        <w:t>PJM</w:t>
      </w:r>
      <w:r w:rsidR="007721E8" w:rsidRPr="00B9099F">
        <w:t>, ISO-NE</w:t>
      </w:r>
      <w:r w:rsidR="002D4CBA" w:rsidRPr="00B9099F">
        <w:t>, and NYISO</w:t>
      </w:r>
      <w:r w:rsidRPr="00B9099F">
        <w:t xml:space="preserve"> participate in numerous national and interregional planning activities with </w:t>
      </w:r>
      <w:r w:rsidR="00C8236D" w:rsidRPr="00B9099F">
        <w:t>NERC</w:t>
      </w:r>
      <w:r w:rsidR="00812CDB" w:rsidRPr="00B9099F">
        <w:t xml:space="preserve"> and its regional entities—</w:t>
      </w:r>
      <w:r w:rsidRPr="00B9099F">
        <w:t>the Northeast Power Coordinating Council</w:t>
      </w:r>
      <w:r w:rsidR="005A55B3" w:rsidRPr="00B9099F">
        <w:t xml:space="preserve"> (NPCC)</w:t>
      </w:r>
      <w:r w:rsidR="00812CDB" w:rsidRPr="00B9099F">
        <w:t xml:space="preserve"> and Reliability</w:t>
      </w:r>
      <w:r w:rsidR="00812CDB" w:rsidRPr="00B9099F">
        <w:rPr>
          <w:i/>
        </w:rPr>
        <w:t>First</w:t>
      </w:r>
      <w:r w:rsidR="00812CDB" w:rsidRPr="00B9099F">
        <w:t xml:space="preserve"> Corporation</w:t>
      </w:r>
      <w:r w:rsidR="00BA590C" w:rsidRPr="00B9099F">
        <w:t xml:space="preserve"> </w:t>
      </w:r>
      <w:r w:rsidR="00812CDB" w:rsidRPr="00B9099F">
        <w:t>(RFC)—</w:t>
      </w:r>
      <w:r w:rsidRPr="00B9099F">
        <w:t>and other balancing authority areas in the United States and Canada.</w:t>
      </w:r>
      <w:r w:rsidR="008A2470" w:rsidRPr="00B9099F">
        <w:rPr>
          <w:rStyle w:val="FootnoteReference"/>
        </w:rPr>
        <w:footnoteReference w:id="5"/>
      </w:r>
      <w:r w:rsidRPr="00B9099F">
        <w:t xml:space="preserve"> </w:t>
      </w:r>
      <w:r w:rsidR="00EE7C7B" w:rsidRPr="00B9099F">
        <w:t>The three entities proactively coordinate planning activities</w:t>
      </w:r>
      <w:r w:rsidR="00812CDB" w:rsidRPr="00B9099F">
        <w:t xml:space="preserve">, such as interconnection and transmission studies, </w:t>
      </w:r>
      <w:r w:rsidR="00EE7C7B" w:rsidRPr="00B9099F">
        <w:t>with neighboring ISO/RTO</w:t>
      </w:r>
      <w:r w:rsidR="008D005A" w:rsidRPr="00B9099F">
        <w:t xml:space="preserve"> systems</w:t>
      </w:r>
      <w:r w:rsidR="00EE7C7B" w:rsidRPr="00B9099F">
        <w:t xml:space="preserve"> across the Eastern Interconnection</w:t>
      </w:r>
      <w:r w:rsidR="00812CDB" w:rsidRPr="00B9099F">
        <w:t xml:space="preserve"> </w:t>
      </w:r>
      <w:r w:rsidR="00453DF0">
        <w:t xml:space="preserve">through the Eastern Interconnection Planning Collaborative (EIPC) </w:t>
      </w:r>
      <w:r w:rsidR="00812CDB" w:rsidRPr="00B9099F">
        <w:t>and w</w:t>
      </w:r>
      <w:r w:rsidR="00AF2138" w:rsidRPr="00B9099F">
        <w:t xml:space="preserve">ork closely </w:t>
      </w:r>
      <w:r w:rsidR="00812CDB" w:rsidRPr="00B9099F">
        <w:t>with each other as needed t</w:t>
      </w:r>
      <w:r w:rsidR="00AF2138" w:rsidRPr="00B9099F">
        <w:t>o conduct interregional reliability and production cost studies.</w:t>
      </w:r>
      <w:r w:rsidR="00812CDB" w:rsidRPr="00B9099F">
        <w:t xml:space="preserve"> </w:t>
      </w:r>
      <w:r w:rsidRPr="00B9099F">
        <w:t xml:space="preserve">The aim of these </w:t>
      </w:r>
      <w:r w:rsidR="00812CDB" w:rsidRPr="00B9099F">
        <w:t xml:space="preserve">coordinated planning efforts </w:t>
      </w:r>
      <w:r w:rsidRPr="00B9099F">
        <w:t>is to enhanc</w:t>
      </w:r>
      <w:r w:rsidR="00812CDB" w:rsidRPr="00B9099F">
        <w:t>e</w:t>
      </w:r>
      <w:r w:rsidRPr="00B9099F">
        <w:t xml:space="preserve"> the widespread reliability </w:t>
      </w:r>
      <w:r w:rsidR="003A05EA" w:rsidRPr="00B9099F">
        <w:t xml:space="preserve">and efficiency </w:t>
      </w:r>
      <w:r w:rsidRPr="00B9099F">
        <w:t>of the interregional electric power system</w:t>
      </w:r>
      <w:r w:rsidR="00811ADF" w:rsidRPr="00B9099F">
        <w:t>.</w:t>
      </w:r>
    </w:p>
    <w:p w:rsidR="00BC0F55" w:rsidRPr="00B9099F" w:rsidRDefault="002D4CBA" w:rsidP="00B47DF5">
      <w:r w:rsidRPr="00B9099F">
        <w:t xml:space="preserve">The three entities </w:t>
      </w:r>
      <w:r w:rsidR="00A17B5E" w:rsidRPr="00B9099F">
        <w:t xml:space="preserve">follow the </w:t>
      </w:r>
      <w:r w:rsidR="00A641F4" w:rsidRPr="00B9099F">
        <w:rPr>
          <w:i/>
        </w:rPr>
        <w:t xml:space="preserve">Amended and Restated </w:t>
      </w:r>
      <w:r w:rsidR="00A17B5E" w:rsidRPr="00B9099F">
        <w:rPr>
          <w:i/>
        </w:rPr>
        <w:t>Northeastern ISO/RTO Planning Coordination Protocol</w:t>
      </w:r>
      <w:r w:rsidR="00A17B5E" w:rsidRPr="00B9099F">
        <w:t xml:space="preserve"> </w:t>
      </w:r>
      <w:r w:rsidR="00A641F4" w:rsidRPr="00B9099F">
        <w:t xml:space="preserve">(Amended Planning Protocol) </w:t>
      </w:r>
      <w:r w:rsidR="00A17B5E" w:rsidRPr="00B9099F">
        <w:t xml:space="preserve">to enhance the coordination of </w:t>
      </w:r>
      <w:r w:rsidR="00B01290" w:rsidRPr="00B9099F">
        <w:t xml:space="preserve">their </w:t>
      </w:r>
      <w:r w:rsidR="00A17B5E" w:rsidRPr="00B9099F">
        <w:t>planning activities and address interregional planning issues.</w:t>
      </w:r>
      <w:r w:rsidR="00B47DF5" w:rsidRPr="00B9099F">
        <w:rPr>
          <w:rStyle w:val="FootnoteReference"/>
        </w:rPr>
        <w:footnoteReference w:id="6"/>
      </w:r>
      <w:r w:rsidR="00811ADF" w:rsidRPr="00B9099F">
        <w:t xml:space="preserve"> </w:t>
      </w:r>
      <w:r w:rsidR="0048023B" w:rsidRPr="00B9099F">
        <w:t xml:space="preserve">To implement the </w:t>
      </w:r>
      <w:r w:rsidR="00A641F4" w:rsidRPr="00B9099F">
        <w:t xml:space="preserve">original </w:t>
      </w:r>
      <w:r w:rsidR="0048023B" w:rsidRPr="00B9099F">
        <w:t>protocol</w:t>
      </w:r>
      <w:r w:rsidR="00A641F4" w:rsidRPr="00B9099F">
        <w:t xml:space="preserve"> (effective in </w:t>
      </w:r>
      <w:r w:rsidR="00C06C49" w:rsidRPr="00B9099F">
        <w:t>2004</w:t>
      </w:r>
      <w:r w:rsidR="00A641F4" w:rsidRPr="00B9099F">
        <w:t>)</w:t>
      </w:r>
      <w:r w:rsidR="0048023B" w:rsidRPr="00B9099F">
        <w:t xml:space="preserve">, the </w:t>
      </w:r>
      <w:r w:rsidR="0048023B" w:rsidRPr="00B9099F">
        <w:lastRenderedPageBreak/>
        <w:t>group formed the Joint ISO/RTO Planning Committee (J</w:t>
      </w:r>
      <w:hyperlink w:anchor="_bookmark2" w:history="1">
        <w:r w:rsidR="0048023B" w:rsidRPr="00B9099F">
          <w:t>I</w:t>
        </w:r>
      </w:hyperlink>
      <w:r w:rsidR="0048023B" w:rsidRPr="00B9099F">
        <w:t>PC) and the Inter</w:t>
      </w:r>
      <w:r w:rsidR="00867C75" w:rsidRPr="00B9099F">
        <w:t>regional</w:t>
      </w:r>
      <w:r w:rsidR="0048023B" w:rsidRPr="00B9099F">
        <w:t xml:space="preserve"> Planning Stakeholder Advisory Committee (IPSAC) open stakeholder group.</w:t>
      </w:r>
      <w:r w:rsidR="00132217" w:rsidRPr="00B9099F">
        <w:rPr>
          <w:rStyle w:val="FootnoteReference"/>
        </w:rPr>
        <w:footnoteReference w:id="7"/>
      </w:r>
      <w:r w:rsidR="00132217" w:rsidRPr="00B9099F">
        <w:t xml:space="preserve"> </w:t>
      </w:r>
      <w:r w:rsidR="0048023B" w:rsidRPr="00B9099F">
        <w:t>Through the open stakeholder process, the JIPC addresses interregional issues, including system needs and proposed system improvements</w:t>
      </w:r>
      <w:r w:rsidR="00AF2138" w:rsidRPr="00B9099F">
        <w:t>, resource diversity, environmental compliance obligations, and resource retirements, in addition to the integration of distributed and variable energy resources.</w:t>
      </w:r>
    </w:p>
    <w:p w:rsidR="0052086E" w:rsidRPr="00B9099F" w:rsidRDefault="00EE7C7B" w:rsidP="00B47DF5">
      <w:r w:rsidRPr="00B9099F">
        <w:t xml:space="preserve">The </w:t>
      </w:r>
      <w:r w:rsidRPr="00B9099F">
        <w:rPr>
          <w:i/>
        </w:rPr>
        <w:t>2015 Northeast Coordinated System Plan</w:t>
      </w:r>
      <w:r w:rsidRPr="00B9099F">
        <w:t xml:space="preserve"> (NCSP15) documents activities during 2014 and 2015 under the provisions of </w:t>
      </w:r>
      <w:r w:rsidR="003162A0" w:rsidRPr="00B9099F">
        <w:t>the original and amended p</w:t>
      </w:r>
      <w:r w:rsidRPr="00B9099F">
        <w:t>rotocol</w:t>
      </w:r>
      <w:r w:rsidR="003162A0" w:rsidRPr="00B9099F">
        <w:t xml:space="preserve">s </w:t>
      </w:r>
      <w:r w:rsidRPr="00B9099F">
        <w:t>and other</w:t>
      </w:r>
      <w:r w:rsidR="00B9099F" w:rsidRPr="00B9099F">
        <w:t xml:space="preserve"> documents</w:t>
      </w:r>
      <w:r w:rsidRPr="00B9099F">
        <w:t xml:space="preserve"> </w:t>
      </w:r>
      <w:r w:rsidR="00AF2138" w:rsidRPr="00B9099F">
        <w:t xml:space="preserve">FERC </w:t>
      </w:r>
      <w:r w:rsidRPr="00B9099F">
        <w:t xml:space="preserve">accepted in response to the interregional requirements of </w:t>
      </w:r>
      <w:r w:rsidR="002D4CBA" w:rsidRPr="00B9099F">
        <w:t xml:space="preserve">its </w:t>
      </w:r>
      <w:r w:rsidRPr="00B9099F">
        <w:t xml:space="preserve">Order </w:t>
      </w:r>
      <w:r w:rsidR="00AF2138" w:rsidRPr="00B9099F">
        <w:t xml:space="preserve">No. </w:t>
      </w:r>
      <w:r w:rsidRPr="00B9099F">
        <w:t>1000.</w:t>
      </w:r>
      <w:r w:rsidR="00AF2138" w:rsidRPr="00B9099F">
        <w:rPr>
          <w:rFonts w:cs="Times New Roman"/>
          <w:sz w:val="20"/>
          <w:vertAlign w:val="superscript"/>
        </w:rPr>
        <w:footnoteReference w:id="8"/>
      </w:r>
      <w:r w:rsidR="00AF2138" w:rsidRPr="00B9099F">
        <w:t xml:space="preserve"> </w:t>
      </w:r>
      <w:r w:rsidR="00E1174F" w:rsidRPr="00B9099F">
        <w:t xml:space="preserve">NCSP15 builds on the interregional planning activities summarized in the 2013 </w:t>
      </w:r>
      <w:r w:rsidR="00E1174F" w:rsidRPr="00B9099F">
        <w:rPr>
          <w:i/>
        </w:rPr>
        <w:t xml:space="preserve">Northeast Coordinated System Plan </w:t>
      </w:r>
      <w:r w:rsidR="00E1174F" w:rsidRPr="00B9099F">
        <w:t xml:space="preserve">(NCSP13), </w:t>
      </w:r>
      <w:r w:rsidR="0052086E" w:rsidRPr="00B9099F">
        <w:t xml:space="preserve">emphasizing interregional planning activities under the </w:t>
      </w:r>
      <w:r w:rsidR="003162A0" w:rsidRPr="00B9099F">
        <w:t>A</w:t>
      </w:r>
      <w:r w:rsidR="003A1EA6" w:rsidRPr="00B9099F">
        <w:t xml:space="preserve">mended </w:t>
      </w:r>
      <w:r w:rsidR="003162A0" w:rsidRPr="00B9099F">
        <w:t>Planning P</w:t>
      </w:r>
      <w:r w:rsidR="0052086E" w:rsidRPr="00B9099F">
        <w:t xml:space="preserve">rotocol and </w:t>
      </w:r>
      <w:r w:rsidRPr="00B9099F">
        <w:t>summariz</w:t>
      </w:r>
      <w:r w:rsidR="00E1174F" w:rsidRPr="00B9099F">
        <w:t xml:space="preserve">ing </w:t>
      </w:r>
      <w:r w:rsidR="00AF2138" w:rsidRPr="00B9099F">
        <w:t xml:space="preserve">several of the planning issues the </w:t>
      </w:r>
      <w:r w:rsidR="00E1174F" w:rsidRPr="00B9099F">
        <w:t xml:space="preserve">three </w:t>
      </w:r>
      <w:r w:rsidR="00AF2138" w:rsidRPr="00B9099F">
        <w:t>ISO/RTOs are addressing</w:t>
      </w:r>
      <w:r w:rsidR="0052086E" w:rsidRPr="00B9099F">
        <w:t>.</w:t>
      </w:r>
    </w:p>
    <w:p w:rsidR="00253629" w:rsidRDefault="0052086E">
      <w:r>
        <w:t>The i</w:t>
      </w:r>
      <w:r w:rsidR="00E1174F">
        <w:t xml:space="preserve">nterregional planning </w:t>
      </w:r>
      <w:r w:rsidR="003A1EA6">
        <w:t xml:space="preserve">activities </w:t>
      </w:r>
      <w:r w:rsidR="00E1174F">
        <w:t xml:space="preserve">under the protocol during 2014 and 2015 </w:t>
      </w:r>
      <w:r w:rsidR="003A1EA6">
        <w:t xml:space="preserve">did </w:t>
      </w:r>
      <w:r w:rsidR="00E1174F">
        <w:t>not identif</w:t>
      </w:r>
      <w:r w:rsidR="003A1EA6">
        <w:t xml:space="preserve">y any </w:t>
      </w:r>
      <w:r w:rsidR="00E1174F">
        <w:t>need for new interregional transmission facilities</w:t>
      </w:r>
      <w:r>
        <w:t xml:space="preserve">, although </w:t>
      </w:r>
      <w:r w:rsidR="00A84AFA">
        <w:t>t</w:t>
      </w:r>
      <w:r w:rsidR="00E1174F" w:rsidRPr="00A7565E">
        <w:t xml:space="preserve">he </w:t>
      </w:r>
      <w:r w:rsidR="00E1174F" w:rsidRPr="00A7565E">
        <w:rPr>
          <w:spacing w:val="-2"/>
        </w:rPr>
        <w:t>ISO/RTOs</w:t>
      </w:r>
      <w:r w:rsidR="00E1174F" w:rsidRPr="00A7565E">
        <w:t xml:space="preserve"> continue to evaluate</w:t>
      </w:r>
      <w:r w:rsidR="00E1174F" w:rsidRPr="00A7565E">
        <w:rPr>
          <w:spacing w:val="-3"/>
        </w:rPr>
        <w:t xml:space="preserve"> </w:t>
      </w:r>
      <w:r w:rsidR="00E1174F" w:rsidRPr="00A7565E">
        <w:t>interregional needs that arise</w:t>
      </w:r>
      <w:r w:rsidR="00E1174F">
        <w:t xml:space="preserve">. </w:t>
      </w:r>
      <w:bookmarkStart w:id="3" w:name="_bookmark1"/>
      <w:bookmarkStart w:id="4" w:name="_bookmark2"/>
      <w:bookmarkStart w:id="5" w:name="_bookmark3"/>
      <w:bookmarkStart w:id="6" w:name="_bookmark4"/>
      <w:bookmarkEnd w:id="3"/>
      <w:bookmarkEnd w:id="4"/>
      <w:bookmarkEnd w:id="5"/>
      <w:bookmarkEnd w:id="6"/>
    </w:p>
    <w:p w:rsidR="00BC0F55" w:rsidRPr="00E1174F" w:rsidRDefault="0048023B" w:rsidP="00E1174F">
      <w:pPr>
        <w:pStyle w:val="Heading1"/>
      </w:pPr>
      <w:bookmarkStart w:id="7" w:name="_Toc442631670"/>
      <w:bookmarkStart w:id="8" w:name="_Toc442631954"/>
      <w:bookmarkStart w:id="9" w:name="2_Compliance_with_FERC_Order_1000:_Trans"/>
      <w:bookmarkStart w:id="10" w:name="_Toc442631671"/>
      <w:bookmarkStart w:id="11" w:name="_Toc443909842"/>
      <w:bookmarkEnd w:id="7"/>
      <w:bookmarkEnd w:id="8"/>
      <w:bookmarkEnd w:id="9"/>
      <w:r w:rsidRPr="00E1174F">
        <w:t xml:space="preserve">FERC Order </w:t>
      </w:r>
      <w:r w:rsidR="00423446">
        <w:t xml:space="preserve">No. </w:t>
      </w:r>
      <w:r w:rsidRPr="00E1174F">
        <w:t xml:space="preserve">1000: Transmission Planning </w:t>
      </w:r>
      <w:r w:rsidR="00423446">
        <w:t>and</w:t>
      </w:r>
      <w:r w:rsidRPr="00E1174F">
        <w:t xml:space="preserve"> Cost Allocation</w:t>
      </w:r>
      <w:bookmarkEnd w:id="10"/>
      <w:bookmarkEnd w:id="11"/>
      <w:r w:rsidR="00544C43" w:rsidRPr="00E1174F">
        <w:t xml:space="preserve"> </w:t>
      </w:r>
    </w:p>
    <w:p w:rsidR="006C0809" w:rsidRDefault="0048023B" w:rsidP="00E1174F">
      <w:r>
        <w:t xml:space="preserve">FERC Order </w:t>
      </w:r>
      <w:r w:rsidR="00E1174F">
        <w:t xml:space="preserve">No. </w:t>
      </w:r>
      <w:r>
        <w:t>1000, issued</w:t>
      </w:r>
      <w:r>
        <w:rPr>
          <w:spacing w:val="-3"/>
        </w:rPr>
        <w:t xml:space="preserve"> </w:t>
      </w:r>
      <w:r>
        <w:t>on</w:t>
      </w:r>
      <w:r>
        <w:rPr>
          <w:spacing w:val="-2"/>
        </w:rPr>
        <w:t xml:space="preserve"> </w:t>
      </w:r>
      <w:r>
        <w:t>July</w:t>
      </w:r>
      <w:r>
        <w:rPr>
          <w:spacing w:val="-2"/>
        </w:rPr>
        <w:t xml:space="preserve"> </w:t>
      </w:r>
      <w:r>
        <w:t xml:space="preserve">21, 2011, </w:t>
      </w:r>
      <w:r w:rsidR="00357AB0">
        <w:t>includes planning</w:t>
      </w:r>
      <w:r>
        <w:t xml:space="preserve"> requirements</w:t>
      </w:r>
      <w:r w:rsidR="00423446">
        <w:t>, as follows,</w:t>
      </w:r>
      <w:r>
        <w:t xml:space="preserve"> </w:t>
      </w:r>
      <w:r w:rsidR="00357AB0">
        <w:t>for all jurisdictional transmission providers, including ISOs and RTOs</w:t>
      </w:r>
      <w:r w:rsidR="009C47BE">
        <w:t>:</w:t>
      </w:r>
      <w:r w:rsidR="00B9099F" w:rsidRPr="00B9099F">
        <w:rPr>
          <w:rFonts w:cs="Times New Roman"/>
          <w:sz w:val="20"/>
          <w:vertAlign w:val="superscript"/>
        </w:rPr>
        <w:t xml:space="preserve"> </w:t>
      </w:r>
      <w:r w:rsidR="00B9099F" w:rsidRPr="00B9099F">
        <w:rPr>
          <w:rFonts w:cs="Times New Roman"/>
          <w:sz w:val="20"/>
          <w:vertAlign w:val="superscript"/>
        </w:rPr>
        <w:footnoteReference w:id="9"/>
      </w:r>
    </w:p>
    <w:p w:rsidR="006C0809" w:rsidRPr="00F172D2" w:rsidRDefault="002A40C6" w:rsidP="00954934">
      <w:pPr>
        <w:pStyle w:val="ListParagraph"/>
      </w:pPr>
      <w:r w:rsidRPr="00F172D2">
        <w:t>Establish interregional planning procedures and cost allocation between neighboring regions</w:t>
      </w:r>
    </w:p>
    <w:p w:rsidR="006C0809" w:rsidRPr="00894400" w:rsidRDefault="009C47BE" w:rsidP="00954934">
      <w:pPr>
        <w:pStyle w:val="ListParagraph"/>
      </w:pPr>
      <w:r w:rsidRPr="00954934">
        <w:t xml:space="preserve">Remove tariff provisions </w:t>
      </w:r>
      <w:r w:rsidR="00954934">
        <w:t xml:space="preserve">that </w:t>
      </w:r>
      <w:r w:rsidRPr="00954934">
        <w:t xml:space="preserve">may provide a federal right of first refusal (ROFR) for </w:t>
      </w:r>
      <w:r w:rsidR="00357AB0" w:rsidRPr="00954934">
        <w:t xml:space="preserve">incumbent </w:t>
      </w:r>
      <w:r w:rsidRPr="009353A5">
        <w:t xml:space="preserve">transmission owners </w:t>
      </w:r>
    </w:p>
    <w:p w:rsidR="006C0809" w:rsidRPr="00894400" w:rsidRDefault="009C47BE" w:rsidP="00954934">
      <w:pPr>
        <w:pStyle w:val="ListParagraph"/>
      </w:pPr>
      <w:r w:rsidRPr="00894400">
        <w:t>Provide a</w:t>
      </w:r>
      <w:r w:rsidRPr="005A719B">
        <w:t xml:space="preserve">n open and transparent process for </w:t>
      </w:r>
      <w:r w:rsidR="00357AB0" w:rsidRPr="00894400">
        <w:t>solicit</w:t>
      </w:r>
      <w:r w:rsidR="00954934" w:rsidRPr="00894400">
        <w:t xml:space="preserve">ing </w:t>
      </w:r>
      <w:r w:rsidR="00357AB0" w:rsidRPr="00894400">
        <w:t>and selectin</w:t>
      </w:r>
      <w:r w:rsidR="00954934" w:rsidRPr="00894400">
        <w:t>g</w:t>
      </w:r>
      <w:r w:rsidR="00357AB0" w:rsidRPr="00894400">
        <w:t xml:space="preserve"> </w:t>
      </w:r>
      <w:r w:rsidR="00954934" w:rsidRPr="00894400">
        <w:t xml:space="preserve">more efficient or cost effective </w:t>
      </w:r>
      <w:r w:rsidR="00357AB0" w:rsidRPr="00894400">
        <w:t>t</w:t>
      </w:r>
      <w:r w:rsidR="00357AB0" w:rsidRPr="005A719B">
        <w:t xml:space="preserve">ransmission projects </w:t>
      </w:r>
      <w:r w:rsidR="009353A5" w:rsidRPr="008A2470">
        <w:t xml:space="preserve">for cost allocation and </w:t>
      </w:r>
      <w:r w:rsidR="00357AB0" w:rsidRPr="00894400">
        <w:t xml:space="preserve">inclusion </w:t>
      </w:r>
      <w:r w:rsidR="00357AB0" w:rsidRPr="005A719B">
        <w:t>in t</w:t>
      </w:r>
      <w:r w:rsidR="00357AB0" w:rsidRPr="00894400">
        <w:t xml:space="preserve">he regional plan </w:t>
      </w:r>
    </w:p>
    <w:p w:rsidR="006C0809" w:rsidRPr="00954934" w:rsidRDefault="009C47BE" w:rsidP="008A2470">
      <w:pPr>
        <w:pStyle w:val="ListParagraph"/>
        <w:spacing w:after="240"/>
      </w:pPr>
      <w:r w:rsidRPr="00954934">
        <w:t>I</w:t>
      </w:r>
      <w:r w:rsidR="0048023B" w:rsidRPr="00954934">
        <w:t>ncorporat</w:t>
      </w:r>
      <w:r w:rsidRPr="008A2470">
        <w:t>e</w:t>
      </w:r>
      <w:r w:rsidR="0045418E" w:rsidRPr="008A2470">
        <w:t xml:space="preserve"> </w:t>
      </w:r>
      <w:r w:rsidR="0048023B" w:rsidRPr="00954934">
        <w:t>public policy</w:t>
      </w:r>
      <w:r w:rsidR="0048023B" w:rsidRPr="008A2470">
        <w:t xml:space="preserve"> considerations into the planning process</w:t>
      </w:r>
      <w:r w:rsidR="00E564D6" w:rsidRPr="00954934">
        <w:t xml:space="preserve"> </w:t>
      </w:r>
    </w:p>
    <w:p w:rsidR="00831D75" w:rsidRPr="002955E7" w:rsidRDefault="00831D75" w:rsidP="00954934">
      <w:r w:rsidRPr="00894400">
        <w:lastRenderedPageBreak/>
        <w:t>Order No, 1000</w:t>
      </w:r>
      <w:r w:rsidR="00C72C38">
        <w:t xml:space="preserve"> </w:t>
      </w:r>
      <w:r w:rsidRPr="00894400">
        <w:t xml:space="preserve">builds on FERC Order No. 890 requirements, which expanded regional planning to </w:t>
      </w:r>
      <w:r w:rsidRPr="002955E7">
        <w:t>include economic planning and cost allocation</w:t>
      </w:r>
      <w:r w:rsidR="00B83879" w:rsidRPr="002955E7">
        <w:t>.</w:t>
      </w:r>
      <w:r w:rsidR="00AF104C" w:rsidRPr="002955E7">
        <w:rPr>
          <w:rStyle w:val="FootnoteReference"/>
        </w:rPr>
        <w:footnoteReference w:id="10"/>
      </w:r>
      <w:r w:rsidRPr="002955E7">
        <w:t xml:space="preserve"> </w:t>
      </w:r>
    </w:p>
    <w:p w:rsidR="006C0809" w:rsidRPr="002955E7" w:rsidRDefault="00C72C38" w:rsidP="00D25FA1">
      <w:r w:rsidRPr="002955E7">
        <w:t>While in many ways already meeting or exceeding the interregional planning requirements formalized by FERC in Order No</w:t>
      </w:r>
      <w:r w:rsidR="002955E7">
        <w:t xml:space="preserve">. </w:t>
      </w:r>
      <w:r w:rsidRPr="002955E7">
        <w:t xml:space="preserve">1000, </w:t>
      </w:r>
      <w:r w:rsidR="0048023B" w:rsidRPr="002955E7">
        <w:t>NYISO,</w:t>
      </w:r>
      <w:r w:rsidR="002955E7" w:rsidRPr="002955E7">
        <w:t xml:space="preserve"> </w:t>
      </w:r>
      <w:r w:rsidR="0048023B" w:rsidRPr="00D25FA1">
        <w:t>ISO-NE</w:t>
      </w:r>
      <w:r w:rsidR="00954934" w:rsidRPr="002955E7">
        <w:t>,</w:t>
      </w:r>
      <w:r w:rsidR="0048023B" w:rsidRPr="002955E7">
        <w:t xml:space="preserve"> and PJM worked together and with their stakeholders during 201</w:t>
      </w:r>
      <w:r w:rsidR="00896CA9" w:rsidRPr="002955E7">
        <w:t>2</w:t>
      </w:r>
      <w:r w:rsidR="00E849F1" w:rsidRPr="002955E7">
        <w:t>, 2013,</w:t>
      </w:r>
      <w:r w:rsidR="00896CA9" w:rsidRPr="002955E7">
        <w:t xml:space="preserve"> </w:t>
      </w:r>
      <w:r w:rsidR="0048023B" w:rsidRPr="002955E7">
        <w:t>and 201</w:t>
      </w:r>
      <w:r w:rsidR="00E849F1" w:rsidRPr="002955E7">
        <w:t>5</w:t>
      </w:r>
      <w:r w:rsidR="0048023B" w:rsidRPr="002955E7">
        <w:t xml:space="preserve"> to </w:t>
      </w:r>
      <w:r w:rsidR="002955E7" w:rsidRPr="002955E7">
        <w:t xml:space="preserve">revise the Northeastern ISO/RTO Planning Coordination </w:t>
      </w:r>
      <w:r w:rsidR="0048023B" w:rsidRPr="002955E7">
        <w:t xml:space="preserve">Protocol </w:t>
      </w:r>
      <w:r w:rsidR="009353A5" w:rsidRPr="00795789">
        <w:t>for</w:t>
      </w:r>
      <w:r w:rsidR="0048023B" w:rsidRPr="00795789">
        <w:t xml:space="preserve"> </w:t>
      </w:r>
      <w:r w:rsidR="00453DF0">
        <w:t>meeting</w:t>
      </w:r>
      <w:r w:rsidR="0048023B" w:rsidRPr="002955E7">
        <w:t xml:space="preserve"> the requirements of Order </w:t>
      </w:r>
      <w:r w:rsidR="009353A5" w:rsidRPr="002955E7">
        <w:t xml:space="preserve">No. </w:t>
      </w:r>
      <w:r w:rsidR="0048023B" w:rsidRPr="002955E7">
        <w:t>1000.</w:t>
      </w:r>
      <w:r w:rsidR="002955E7">
        <w:rPr>
          <w:rStyle w:val="FootnoteReference"/>
        </w:rPr>
        <w:footnoteReference w:id="11"/>
      </w:r>
      <w:r w:rsidR="00811ADF" w:rsidRPr="00D25FA1">
        <w:t xml:space="preserve"> </w:t>
      </w:r>
      <w:r w:rsidR="00CF0EAF" w:rsidRPr="002955E7">
        <w:t>M</w:t>
      </w:r>
      <w:r w:rsidR="00954934" w:rsidRPr="002955E7">
        <w:t xml:space="preserve">any </w:t>
      </w:r>
      <w:r w:rsidR="00CF0EAF" w:rsidRPr="002955E7">
        <w:t>of the interregional activities during</w:t>
      </w:r>
      <w:r w:rsidR="00954934" w:rsidRPr="002955E7">
        <w:t xml:space="preserve"> </w:t>
      </w:r>
      <w:r w:rsidR="0045418E" w:rsidRPr="002955E7">
        <w:t>2014 and 2015</w:t>
      </w:r>
      <w:r w:rsidR="00CF0EAF" w:rsidRPr="002955E7">
        <w:t xml:space="preserve"> </w:t>
      </w:r>
      <w:r w:rsidR="009353A5" w:rsidRPr="002955E7">
        <w:t xml:space="preserve">focused on </w:t>
      </w:r>
      <w:r w:rsidR="00CF0EAF" w:rsidRPr="002955E7">
        <w:t>satisfying th</w:t>
      </w:r>
      <w:r w:rsidR="00431776" w:rsidRPr="002955E7">
        <w:t>ese</w:t>
      </w:r>
      <w:r w:rsidR="00CF0EAF" w:rsidRPr="002955E7">
        <w:t xml:space="preserve"> compliance </w:t>
      </w:r>
      <w:r w:rsidR="00431776" w:rsidRPr="002955E7">
        <w:t>requirements</w:t>
      </w:r>
      <w:r w:rsidR="0045418E" w:rsidRPr="002955E7">
        <w:t xml:space="preserve">. </w:t>
      </w:r>
      <w:r w:rsidR="0048023B" w:rsidRPr="002955E7">
        <w:t>A</w:t>
      </w:r>
      <w:r w:rsidR="009C47BE" w:rsidRPr="002955E7">
        <w:t xml:space="preserve"> high-level</w:t>
      </w:r>
      <w:r w:rsidR="0048023B" w:rsidRPr="000E4687">
        <w:t xml:space="preserve"> overview of the </w:t>
      </w:r>
      <w:r w:rsidR="009C47BE" w:rsidRPr="002955E7">
        <w:t xml:space="preserve">interregional planning </w:t>
      </w:r>
      <w:r w:rsidR="0048023B" w:rsidRPr="002955E7">
        <w:t xml:space="preserve">requirements of Order </w:t>
      </w:r>
      <w:r w:rsidR="00954934" w:rsidRPr="002955E7">
        <w:t xml:space="preserve">No. </w:t>
      </w:r>
      <w:r w:rsidR="0048023B" w:rsidRPr="002955E7">
        <w:t>1000 follows.</w:t>
      </w:r>
    </w:p>
    <w:p w:rsidR="00BC0F55" w:rsidRPr="005A719B" w:rsidRDefault="0048023B" w:rsidP="009353A5">
      <w:pPr>
        <w:pStyle w:val="Heading2"/>
        <w:rPr>
          <w:color w:val="auto"/>
        </w:rPr>
      </w:pPr>
      <w:bookmarkStart w:id="12" w:name="2.1_Regional_Transmission_Planning_Requi"/>
      <w:bookmarkStart w:id="13" w:name="_bookmark7"/>
      <w:bookmarkStart w:id="14" w:name="_bookmark8"/>
      <w:bookmarkStart w:id="15" w:name="2.2_Public_Policy_Requirements"/>
      <w:bookmarkStart w:id="16" w:name="2.3_Participation_by_Non-incumbent_Trans"/>
      <w:bookmarkStart w:id="17" w:name="2.4_Interregional_Coordination_Requireme"/>
      <w:bookmarkStart w:id="18" w:name="_Toc442631672"/>
      <w:bookmarkStart w:id="19" w:name="_Toc443909843"/>
      <w:bookmarkEnd w:id="12"/>
      <w:bookmarkEnd w:id="13"/>
      <w:bookmarkEnd w:id="14"/>
      <w:bookmarkEnd w:id="15"/>
      <w:bookmarkEnd w:id="16"/>
      <w:bookmarkEnd w:id="17"/>
      <w:r w:rsidRPr="005A719B">
        <w:rPr>
          <w:color w:val="auto"/>
        </w:rPr>
        <w:t>Interregional Coordination Requirements</w:t>
      </w:r>
      <w:bookmarkEnd w:id="18"/>
      <w:bookmarkEnd w:id="19"/>
    </w:p>
    <w:p w:rsidR="00BC0F55" w:rsidRPr="005A719B" w:rsidRDefault="0048023B" w:rsidP="005A719B">
      <w:r w:rsidRPr="005A719B">
        <w:t xml:space="preserve">Order </w:t>
      </w:r>
      <w:r w:rsidR="00954934" w:rsidRPr="005A719B">
        <w:t xml:space="preserve">No. </w:t>
      </w:r>
      <w:r w:rsidRPr="005A719B">
        <w:t xml:space="preserve">1000 required each pair of neighboring transmission </w:t>
      </w:r>
      <w:r w:rsidR="006A1922" w:rsidRPr="005A719B">
        <w:t xml:space="preserve">providers </w:t>
      </w:r>
      <w:r w:rsidR="00101AEB" w:rsidRPr="005A719B">
        <w:t xml:space="preserve">to </w:t>
      </w:r>
      <w:r w:rsidRPr="005A719B">
        <w:t xml:space="preserve">include interregional coordination procedures in their respective tariffs. Specifically, </w:t>
      </w:r>
      <w:r w:rsidR="002F52F9" w:rsidRPr="005A719B">
        <w:t>the o</w:t>
      </w:r>
      <w:r w:rsidRPr="005A719B">
        <w:t>rder required all transmission providers to develop further procedures with neighboring regions to provide for</w:t>
      </w:r>
      <w:r w:rsidR="002F52F9" w:rsidRPr="005A719B">
        <w:t xml:space="preserve"> the following</w:t>
      </w:r>
      <w:r w:rsidRPr="005A719B">
        <w:t>:</w:t>
      </w:r>
    </w:p>
    <w:p w:rsidR="00BC0F55" w:rsidRDefault="0048023B" w:rsidP="002F52F9">
      <w:pPr>
        <w:pStyle w:val="ListParagraph"/>
      </w:pPr>
      <w:r>
        <w:t>The</w:t>
      </w:r>
      <w:r w:rsidRPr="00540152">
        <w:rPr>
          <w:spacing w:val="-3"/>
        </w:rPr>
        <w:t xml:space="preserve"> </w:t>
      </w:r>
      <w:r>
        <w:t>sharing</w:t>
      </w:r>
      <w:r w:rsidRPr="00540152">
        <w:rPr>
          <w:spacing w:val="-2"/>
        </w:rPr>
        <w:t xml:space="preserve"> </w:t>
      </w:r>
      <w:r>
        <w:t>of information</w:t>
      </w:r>
      <w:r w:rsidRPr="00540152">
        <w:rPr>
          <w:spacing w:val="-2"/>
        </w:rPr>
        <w:t xml:space="preserve"> </w:t>
      </w:r>
      <w:r>
        <w:t>regarding</w:t>
      </w:r>
      <w:r w:rsidRPr="00540152">
        <w:rPr>
          <w:spacing w:val="-2"/>
        </w:rPr>
        <w:t xml:space="preserve"> </w:t>
      </w:r>
      <w:r>
        <w:t>the respective needs of each region</w:t>
      </w:r>
      <w:r w:rsidR="00540152">
        <w:t xml:space="preserve"> and p</w:t>
      </w:r>
      <w:r>
        <w:t>otential</w:t>
      </w:r>
      <w:r w:rsidRPr="00540152">
        <w:rPr>
          <w:spacing w:val="55"/>
        </w:rPr>
        <w:t xml:space="preserve"> </w:t>
      </w:r>
      <w:r>
        <w:t>solutions to th</w:t>
      </w:r>
      <w:r w:rsidR="002F52F9">
        <w:t>e</w:t>
      </w:r>
      <w:r>
        <w:t>se needs</w:t>
      </w:r>
    </w:p>
    <w:p w:rsidR="00BC0F55" w:rsidRDefault="002F52F9" w:rsidP="005A719B">
      <w:pPr>
        <w:pStyle w:val="ListParagraph"/>
        <w:spacing w:after="240"/>
      </w:pPr>
      <w:r>
        <w:t>T</w:t>
      </w:r>
      <w:r w:rsidR="0048023B">
        <w:t>he identification</w:t>
      </w:r>
      <w:r w:rsidR="0048023B">
        <w:rPr>
          <w:spacing w:val="-2"/>
        </w:rPr>
        <w:t xml:space="preserve"> </w:t>
      </w:r>
      <w:r w:rsidR="0048023B">
        <w:t>and joint evaluation</w:t>
      </w:r>
      <w:r w:rsidR="0048023B">
        <w:rPr>
          <w:spacing w:val="-2"/>
        </w:rPr>
        <w:t xml:space="preserve"> </w:t>
      </w:r>
      <w:r w:rsidR="0048023B">
        <w:t>of interregional transmission</w:t>
      </w:r>
      <w:r w:rsidR="0048023B">
        <w:rPr>
          <w:spacing w:val="-2"/>
        </w:rPr>
        <w:t xml:space="preserve"> </w:t>
      </w:r>
      <w:r w:rsidR="0048023B">
        <w:t>facilities</w:t>
      </w:r>
      <w:r w:rsidR="0048023B">
        <w:rPr>
          <w:spacing w:val="-2"/>
        </w:rPr>
        <w:t xml:space="preserve"> </w:t>
      </w:r>
      <w:r w:rsidR="0048023B">
        <w:t>that may</w:t>
      </w:r>
      <w:r w:rsidR="0048023B">
        <w:rPr>
          <w:spacing w:val="-2"/>
        </w:rPr>
        <w:t xml:space="preserve"> </w:t>
      </w:r>
      <w:r w:rsidR="0048023B">
        <w:t>be</w:t>
      </w:r>
      <w:r w:rsidR="005A719B">
        <w:t xml:space="preserve"> more </w:t>
      </w:r>
      <w:r w:rsidR="0048023B">
        <w:t>efficient or cost-effective</w:t>
      </w:r>
      <w:r w:rsidR="0048023B">
        <w:rPr>
          <w:spacing w:val="-3"/>
        </w:rPr>
        <w:t xml:space="preserve"> </w:t>
      </w:r>
      <w:r w:rsidR="0048023B">
        <w:t>solutions to th</w:t>
      </w:r>
      <w:r>
        <w:t>e</w:t>
      </w:r>
      <w:r w:rsidR="0048023B">
        <w:t>se regional needs</w:t>
      </w:r>
    </w:p>
    <w:p w:rsidR="00BC0F55" w:rsidRDefault="002F52F9" w:rsidP="002F52F9">
      <w:r>
        <w:t xml:space="preserve">FERC </w:t>
      </w:r>
      <w:r w:rsidR="0048023B">
        <w:t>emphasized the</w:t>
      </w:r>
      <w:r w:rsidR="0048023B">
        <w:rPr>
          <w:spacing w:val="-3"/>
        </w:rPr>
        <w:t xml:space="preserve"> </w:t>
      </w:r>
      <w:r w:rsidR="0048023B">
        <w:t>central</w:t>
      </w:r>
      <w:r w:rsidR="0048023B">
        <w:rPr>
          <w:spacing w:val="-3"/>
        </w:rPr>
        <w:t xml:space="preserve"> </w:t>
      </w:r>
      <w:r w:rsidR="0048023B">
        <w:t>importance of the regional planning</w:t>
      </w:r>
      <w:r w:rsidR="0048023B">
        <w:rPr>
          <w:spacing w:val="-4"/>
        </w:rPr>
        <w:t xml:space="preserve"> </w:t>
      </w:r>
      <w:r w:rsidR="0048023B">
        <w:t>processes, noting</w:t>
      </w:r>
      <w:r w:rsidR="0048023B">
        <w:rPr>
          <w:spacing w:val="-2"/>
        </w:rPr>
        <w:t xml:space="preserve"> </w:t>
      </w:r>
      <w:r w:rsidR="0048023B">
        <w:t>that</w:t>
      </w:r>
      <w:r w:rsidR="0048023B">
        <w:rPr>
          <w:spacing w:val="81"/>
        </w:rPr>
        <w:t xml:space="preserve"> </w:t>
      </w:r>
      <w:r w:rsidR="0048023B">
        <w:t>interregional transmission</w:t>
      </w:r>
      <w:r w:rsidR="0048023B">
        <w:rPr>
          <w:spacing w:val="-2"/>
        </w:rPr>
        <w:t xml:space="preserve"> </w:t>
      </w:r>
      <w:r w:rsidR="0048023B">
        <w:t>coordination</w:t>
      </w:r>
      <w:r w:rsidR="0048023B">
        <w:rPr>
          <w:spacing w:val="-2"/>
        </w:rPr>
        <w:t xml:space="preserve"> </w:t>
      </w:r>
      <w:r w:rsidR="0048023B">
        <w:t>should</w:t>
      </w:r>
      <w:r w:rsidR="0048023B">
        <w:rPr>
          <w:spacing w:val="-3"/>
        </w:rPr>
        <w:t xml:space="preserve"> </w:t>
      </w:r>
      <w:r w:rsidR="0048023B">
        <w:t>complement local and regional transmission</w:t>
      </w:r>
      <w:r w:rsidR="0048023B">
        <w:rPr>
          <w:spacing w:val="73"/>
        </w:rPr>
        <w:t xml:space="preserve"> </w:t>
      </w:r>
      <w:r w:rsidR="0048023B">
        <w:t>planning</w:t>
      </w:r>
      <w:r w:rsidR="0048023B">
        <w:rPr>
          <w:spacing w:val="-2"/>
        </w:rPr>
        <w:t xml:space="preserve"> </w:t>
      </w:r>
      <w:r w:rsidR="0048023B">
        <w:t>processes and not</w:t>
      </w:r>
      <w:r w:rsidR="0048023B">
        <w:rPr>
          <w:spacing w:val="-4"/>
        </w:rPr>
        <w:t xml:space="preserve"> </w:t>
      </w:r>
      <w:r w:rsidR="0048023B">
        <w:t>substitute for these processes.</w:t>
      </w:r>
      <w:r w:rsidR="00B3779C">
        <w:t xml:space="preserve"> T</w:t>
      </w:r>
      <w:r w:rsidR="00B3779C" w:rsidRPr="00A6195B">
        <w:t xml:space="preserve">he periodic review of </w:t>
      </w:r>
      <w:r w:rsidR="003B590E">
        <w:t xml:space="preserve">each ISO/RTO’s </w:t>
      </w:r>
      <w:r w:rsidR="00B3779C" w:rsidRPr="00A6195B">
        <w:t>regional plan</w:t>
      </w:r>
      <w:r w:rsidR="00B3779C" w:rsidRPr="008A2470">
        <w:t xml:space="preserve"> identif</w:t>
      </w:r>
      <w:r w:rsidR="00B3779C">
        <w:t>ies</w:t>
      </w:r>
      <w:r w:rsidR="00B3779C" w:rsidRPr="008A2470">
        <w:t xml:space="preserve"> </w:t>
      </w:r>
      <w:r w:rsidR="00B3779C">
        <w:t xml:space="preserve">the potential need for </w:t>
      </w:r>
      <w:r w:rsidR="00B3779C" w:rsidRPr="00A6195B">
        <w:t xml:space="preserve">interregional transmission projects. Consistent with the applicable FERC </w:t>
      </w:r>
      <w:r w:rsidR="00B3779C" w:rsidRPr="008A2470">
        <w:t>regulations, the Amended Planning Protocol provides that interregional planning is an</w:t>
      </w:r>
      <w:r w:rsidR="00B3779C" w:rsidRPr="00A6195B">
        <w:t xml:space="preserve"> integral part of each regional process.</w:t>
      </w:r>
    </w:p>
    <w:p w:rsidR="00BC0F55" w:rsidRDefault="0048023B" w:rsidP="002F52F9">
      <w:pPr>
        <w:rPr>
          <w:spacing w:val="47"/>
        </w:rPr>
      </w:pPr>
      <w:r w:rsidRPr="002F52F9">
        <w:t xml:space="preserve">Order </w:t>
      </w:r>
      <w:r w:rsidR="002F52F9" w:rsidRPr="002F52F9">
        <w:t xml:space="preserve">No. </w:t>
      </w:r>
      <w:r w:rsidRPr="002F52F9">
        <w:t xml:space="preserve">1000 </w:t>
      </w:r>
      <w:r w:rsidR="00D04C99">
        <w:t xml:space="preserve">also </w:t>
      </w:r>
      <w:r w:rsidR="00CF0EAF" w:rsidRPr="002F52F9">
        <w:t xml:space="preserve">requires </w:t>
      </w:r>
      <w:r w:rsidR="002F52F9" w:rsidRPr="002F52F9">
        <w:t xml:space="preserve">the </w:t>
      </w:r>
      <w:r w:rsidR="00CF0EAF" w:rsidRPr="002F52F9">
        <w:t xml:space="preserve">development of specific interregional coordination procedures, </w:t>
      </w:r>
      <w:r w:rsidR="00CF0EAF" w:rsidRPr="008A2470">
        <w:t>including a procedure</w:t>
      </w:r>
      <w:r w:rsidRPr="008A2470">
        <w:t xml:space="preserve"> to identify and jointly evaluate interregional transmission facilities proposed to be located in neighboring transmission planning regions</w:t>
      </w:r>
      <w:r w:rsidR="008A2470" w:rsidRPr="008A2470">
        <w:t xml:space="preserve">. </w:t>
      </w:r>
      <w:r w:rsidR="00AF104C">
        <w:t>Additionally, t</w:t>
      </w:r>
      <w:r w:rsidR="00D04C99" w:rsidRPr="008A2470">
        <w:t xml:space="preserve">he order </w:t>
      </w:r>
      <w:r w:rsidRPr="008A2470">
        <w:t>require</w:t>
      </w:r>
      <w:r w:rsidR="00D04C99" w:rsidRPr="008A2470">
        <w:t xml:space="preserve">s a </w:t>
      </w:r>
      <w:r w:rsidRPr="008A2470">
        <w:t>developer of an interregional</w:t>
      </w:r>
      <w:r w:rsidRPr="002F52F9">
        <w:t xml:space="preserve"> transmission project to first propose its project </w:t>
      </w:r>
      <w:r w:rsidR="00D04C99">
        <w:t>through</w:t>
      </w:r>
      <w:r w:rsidRPr="002F52F9">
        <w:t xml:space="preserve"> the regional transmission planning processes of each of the neighboring regions </w:t>
      </w:r>
      <w:r w:rsidR="00D04C99">
        <w:t xml:space="preserve">where </w:t>
      </w:r>
      <w:r w:rsidRPr="002F52F9">
        <w:t>the facility is proposed to be located.</w:t>
      </w:r>
      <w:r w:rsidR="00D04C99">
        <w:t xml:space="preserve"> T</w:t>
      </w:r>
      <w:r>
        <w:t>he interregional</w:t>
      </w:r>
      <w:r>
        <w:rPr>
          <w:spacing w:val="-3"/>
        </w:rPr>
        <w:t xml:space="preserve"> </w:t>
      </w:r>
      <w:r>
        <w:t>evaluation</w:t>
      </w:r>
      <w:r>
        <w:rPr>
          <w:spacing w:val="-2"/>
        </w:rPr>
        <w:t xml:space="preserve"> </w:t>
      </w:r>
      <w:r>
        <w:t>must be</w:t>
      </w:r>
      <w:r>
        <w:rPr>
          <w:spacing w:val="-3"/>
        </w:rPr>
        <w:t xml:space="preserve"> </w:t>
      </w:r>
      <w:r>
        <w:t>conducted in</w:t>
      </w:r>
      <w:r>
        <w:rPr>
          <w:spacing w:val="-2"/>
        </w:rPr>
        <w:t xml:space="preserve"> </w:t>
      </w:r>
      <w:r>
        <w:t>the</w:t>
      </w:r>
      <w:r>
        <w:rPr>
          <w:spacing w:val="-3"/>
        </w:rPr>
        <w:t xml:space="preserve"> </w:t>
      </w:r>
      <w:r>
        <w:t>same general</w:t>
      </w:r>
      <w:r>
        <w:rPr>
          <w:spacing w:val="-3"/>
        </w:rPr>
        <w:t xml:space="preserve"> </w:t>
      </w:r>
      <w:r>
        <w:t xml:space="preserve">timeframe as </w:t>
      </w:r>
      <w:r>
        <w:rPr>
          <w:spacing w:val="-2"/>
        </w:rPr>
        <w:t>each</w:t>
      </w:r>
      <w:r w:rsidR="00D04C99">
        <w:rPr>
          <w:spacing w:val="-2"/>
        </w:rPr>
        <w:t xml:space="preserve"> </w:t>
      </w:r>
      <w:r>
        <w:t>regional evaluation.</w:t>
      </w:r>
      <w:r>
        <w:rPr>
          <w:spacing w:val="47"/>
        </w:rPr>
        <w:t xml:space="preserve"> </w:t>
      </w:r>
    </w:p>
    <w:p w:rsidR="00BC0F55" w:rsidRPr="002F52F9" w:rsidRDefault="0048023B" w:rsidP="002F52F9">
      <w:pPr>
        <w:pStyle w:val="Heading2"/>
      </w:pPr>
      <w:bookmarkStart w:id="20" w:name="2.5_Cost_Allocation_Requirements"/>
      <w:bookmarkStart w:id="21" w:name="_Toc442631673"/>
      <w:bookmarkStart w:id="22" w:name="_Toc443909844"/>
      <w:bookmarkEnd w:id="20"/>
      <w:r w:rsidRPr="002F52F9">
        <w:t>Cost</w:t>
      </w:r>
      <w:r w:rsidR="00136514">
        <w:t>-</w:t>
      </w:r>
      <w:r w:rsidRPr="002F52F9">
        <w:t>Allocation Requirements</w:t>
      </w:r>
      <w:bookmarkEnd w:id="21"/>
      <w:bookmarkEnd w:id="22"/>
    </w:p>
    <w:p w:rsidR="006836E8" w:rsidRPr="00136514" w:rsidRDefault="00D04C99" w:rsidP="002F52F9">
      <w:r w:rsidRPr="00894400">
        <w:t xml:space="preserve">Another </w:t>
      </w:r>
      <w:r w:rsidR="00101AEB" w:rsidRPr="00894400">
        <w:t xml:space="preserve">Order </w:t>
      </w:r>
      <w:r w:rsidR="002F52F9" w:rsidRPr="00894400">
        <w:t xml:space="preserve">No. </w:t>
      </w:r>
      <w:r w:rsidR="00101AEB" w:rsidRPr="00894400">
        <w:t>1000 require</w:t>
      </w:r>
      <w:r w:rsidRPr="00894400">
        <w:t>ment i</w:t>
      </w:r>
      <w:r w:rsidR="00101AEB" w:rsidRPr="00894400">
        <w:t xml:space="preserve">s </w:t>
      </w:r>
      <w:r w:rsidRPr="00894400">
        <w:t xml:space="preserve">for </w:t>
      </w:r>
      <w:r w:rsidR="00101AEB" w:rsidRPr="00894400">
        <w:t xml:space="preserve">each pair of neighboring transmission providers to include </w:t>
      </w:r>
      <w:r w:rsidR="006A1922" w:rsidRPr="00894400">
        <w:t xml:space="preserve">interregional </w:t>
      </w:r>
      <w:r w:rsidR="00101AEB" w:rsidRPr="00894400">
        <w:t xml:space="preserve">cost-allocation procedures in their tariffs. </w:t>
      </w:r>
      <w:r w:rsidR="0048023B" w:rsidRPr="00894400">
        <w:t xml:space="preserve">For </w:t>
      </w:r>
      <w:r w:rsidR="006A1922" w:rsidRPr="00894400">
        <w:t xml:space="preserve">both </w:t>
      </w:r>
      <w:r w:rsidR="0048023B" w:rsidRPr="00894400">
        <w:t>regional and</w:t>
      </w:r>
      <w:r w:rsidR="0048023B" w:rsidRPr="00970421">
        <w:t xml:space="preserve"> </w:t>
      </w:r>
      <w:r w:rsidR="0048023B" w:rsidRPr="00894400">
        <w:t xml:space="preserve">interregional cost allocation, </w:t>
      </w:r>
      <w:r w:rsidR="0048023B" w:rsidRPr="00970421">
        <w:t>Order</w:t>
      </w:r>
      <w:r w:rsidR="0048023B" w:rsidRPr="00894400">
        <w:t xml:space="preserve"> </w:t>
      </w:r>
      <w:r w:rsidR="002F52F9" w:rsidRPr="00894400">
        <w:t>No.</w:t>
      </w:r>
      <w:r w:rsidRPr="00894400">
        <w:t xml:space="preserve"> </w:t>
      </w:r>
      <w:r w:rsidR="0048023B" w:rsidRPr="00894400">
        <w:t>1000 adopted a principles-based, rather than</w:t>
      </w:r>
      <w:r w:rsidR="0048023B" w:rsidRPr="00970421">
        <w:t xml:space="preserve"> </w:t>
      </w:r>
      <w:r w:rsidR="0048023B" w:rsidRPr="00894400">
        <w:t>a</w:t>
      </w:r>
      <w:r w:rsidR="0048023B" w:rsidRPr="00970421">
        <w:t xml:space="preserve"> </w:t>
      </w:r>
      <w:r w:rsidR="0048023B" w:rsidRPr="00894400">
        <w:t xml:space="preserve">“one-size-fits-all,” </w:t>
      </w:r>
      <w:r w:rsidR="0048023B" w:rsidRPr="0047665C">
        <w:t>approach and recognized that regional differences may</w:t>
      </w:r>
      <w:r w:rsidR="0048023B" w:rsidRPr="00970421">
        <w:t xml:space="preserve"> </w:t>
      </w:r>
      <w:r w:rsidR="0048023B" w:rsidRPr="00894400">
        <w:t>warrant different</w:t>
      </w:r>
      <w:r w:rsidR="0048023B" w:rsidRPr="00970421">
        <w:t xml:space="preserve"> </w:t>
      </w:r>
      <w:r w:rsidR="0048023B" w:rsidRPr="00894400">
        <w:t>method</w:t>
      </w:r>
      <w:r w:rsidR="006A1922" w:rsidRPr="00894400">
        <w:t>ologies</w:t>
      </w:r>
      <w:r w:rsidR="0048023B" w:rsidRPr="00894400">
        <w:t>.</w:t>
      </w:r>
      <w:r w:rsidR="0083513B" w:rsidRPr="00970421">
        <w:t xml:space="preserve"> FERC </w:t>
      </w:r>
      <w:r w:rsidR="0083513B" w:rsidRPr="00970421">
        <w:lastRenderedPageBreak/>
        <w:t>determined that the interregional cost</w:t>
      </w:r>
      <w:r w:rsidR="0047665C" w:rsidRPr="00970421">
        <w:t>-</w:t>
      </w:r>
      <w:r w:rsidR="0083513B" w:rsidRPr="00970421">
        <w:t xml:space="preserve">allocation method </w:t>
      </w:r>
      <w:r w:rsidR="0047665C" w:rsidRPr="00970421">
        <w:t xml:space="preserve">two regions </w:t>
      </w:r>
      <w:r w:rsidR="0083513B" w:rsidRPr="00970421">
        <w:t>agree to may differ from their respective regional cost-allocation methodologies. Also, the</w:t>
      </w:r>
      <w:r w:rsidR="0083513B" w:rsidRPr="00970421">
        <w:rPr>
          <w:spacing w:val="-3"/>
        </w:rPr>
        <w:t xml:space="preserve"> </w:t>
      </w:r>
      <w:r w:rsidR="0083513B" w:rsidRPr="00970421">
        <w:t>method to allocate a region’s share</w:t>
      </w:r>
      <w:r w:rsidR="0083513B" w:rsidRPr="00970421">
        <w:rPr>
          <w:spacing w:val="-3"/>
        </w:rPr>
        <w:t xml:space="preserve"> </w:t>
      </w:r>
      <w:r w:rsidR="0083513B" w:rsidRPr="00970421">
        <w:t>of the</w:t>
      </w:r>
      <w:r w:rsidR="0083513B" w:rsidRPr="00970421">
        <w:rPr>
          <w:spacing w:val="-3"/>
        </w:rPr>
        <w:t xml:space="preserve"> </w:t>
      </w:r>
      <w:r w:rsidR="0083513B" w:rsidRPr="00970421">
        <w:t>costs for an</w:t>
      </w:r>
      <w:r w:rsidR="0083513B" w:rsidRPr="00970421">
        <w:rPr>
          <w:spacing w:val="-2"/>
        </w:rPr>
        <w:t xml:space="preserve"> </w:t>
      </w:r>
      <w:r w:rsidR="0083513B" w:rsidRPr="00970421">
        <w:t>interregional facility</w:t>
      </w:r>
      <w:r w:rsidR="0083513B" w:rsidRPr="00970421">
        <w:rPr>
          <w:spacing w:val="-2"/>
        </w:rPr>
        <w:t xml:space="preserve"> </w:t>
      </w:r>
      <w:r w:rsidR="0083513B" w:rsidRPr="00970421">
        <w:t>may</w:t>
      </w:r>
      <w:r w:rsidR="0083513B" w:rsidRPr="00970421">
        <w:rPr>
          <w:spacing w:val="-2"/>
        </w:rPr>
        <w:t xml:space="preserve"> </w:t>
      </w:r>
      <w:r w:rsidR="0083513B" w:rsidRPr="00970421">
        <w:t>differ</w:t>
      </w:r>
      <w:r w:rsidR="00AF104C">
        <w:t xml:space="preserve"> from </w:t>
      </w:r>
      <w:r w:rsidR="0083513B" w:rsidRPr="00970421">
        <w:t xml:space="preserve">the method </w:t>
      </w:r>
      <w:r w:rsidR="0047665C" w:rsidRPr="00970421">
        <w:t xml:space="preserve">the respective regions </w:t>
      </w:r>
      <w:r w:rsidR="0083513B" w:rsidRPr="00970421">
        <w:t>use to</w:t>
      </w:r>
      <w:r w:rsidR="0083513B" w:rsidRPr="00970421">
        <w:rPr>
          <w:spacing w:val="-3"/>
        </w:rPr>
        <w:t xml:space="preserve"> </w:t>
      </w:r>
      <w:r w:rsidR="0083513B" w:rsidRPr="00970421">
        <w:t>allocate the</w:t>
      </w:r>
      <w:r w:rsidR="0083513B" w:rsidRPr="00970421">
        <w:rPr>
          <w:spacing w:val="-3"/>
        </w:rPr>
        <w:t xml:space="preserve"> </w:t>
      </w:r>
      <w:r w:rsidR="0083513B" w:rsidRPr="00970421">
        <w:t>costs of a regional facility</w:t>
      </w:r>
      <w:r w:rsidR="0047665C" w:rsidRPr="00894400">
        <w:t>.</w:t>
      </w:r>
      <w:r w:rsidR="0047665C">
        <w:t xml:space="preserve"> </w:t>
      </w:r>
      <w:r w:rsidR="00136514">
        <w:t>The o</w:t>
      </w:r>
      <w:r w:rsidR="0048023B" w:rsidRPr="0083513B">
        <w:t xml:space="preserve">rder </w:t>
      </w:r>
      <w:r w:rsidR="0048023B" w:rsidRPr="00136514">
        <w:t>require</w:t>
      </w:r>
      <w:r w:rsidRPr="00894400">
        <w:t>s</w:t>
      </w:r>
      <w:r w:rsidR="0048023B" w:rsidRPr="00894400">
        <w:t xml:space="preserve"> all transmission</w:t>
      </w:r>
      <w:r w:rsidR="0048023B" w:rsidRPr="00970421">
        <w:t xml:space="preserve"> </w:t>
      </w:r>
      <w:r w:rsidR="0048023B" w:rsidRPr="00894400">
        <w:t xml:space="preserve">providers </w:t>
      </w:r>
      <w:r w:rsidR="0048023B" w:rsidRPr="00970421">
        <w:t>to</w:t>
      </w:r>
      <w:r w:rsidR="0048023B" w:rsidRPr="00894400">
        <w:t xml:space="preserve"> demonstrate compliance </w:t>
      </w:r>
      <w:hyperlink w:anchor="_bookmark13" w:history="1">
        <w:r w:rsidR="0048023B" w:rsidRPr="00894400">
          <w:t>w</w:t>
        </w:r>
      </w:hyperlink>
      <w:r w:rsidR="0048023B" w:rsidRPr="00894400">
        <w:t>ith six</w:t>
      </w:r>
      <w:r w:rsidR="0048023B" w:rsidRPr="00970421">
        <w:t xml:space="preserve"> </w:t>
      </w:r>
      <w:r w:rsidR="0048023B" w:rsidRPr="00894400">
        <w:t>cost</w:t>
      </w:r>
      <w:r w:rsidRPr="00894400">
        <w:t>-</w:t>
      </w:r>
      <w:r w:rsidR="0048023B" w:rsidRPr="00894400">
        <w:t>allocation</w:t>
      </w:r>
      <w:r w:rsidR="0048023B" w:rsidRPr="00970421">
        <w:t xml:space="preserve"> </w:t>
      </w:r>
      <w:r w:rsidR="0048023B" w:rsidRPr="00894400">
        <w:t>principles—with variants for both regional and interregional cost allocation</w:t>
      </w:r>
      <w:r w:rsidR="00AF7483">
        <w:t>.</w:t>
      </w:r>
      <w:r w:rsidR="00D93DDB" w:rsidRPr="00136514">
        <w:rPr>
          <w:rStyle w:val="FootnoteReference"/>
        </w:rPr>
        <w:footnoteReference w:id="12"/>
      </w:r>
      <w:r w:rsidR="00AF7483">
        <w:t xml:space="preserve"> </w:t>
      </w:r>
      <w:r w:rsidR="00136514">
        <w:t>Both regional planning processes must first select an i</w:t>
      </w:r>
      <w:r w:rsidR="00136514" w:rsidRPr="00136514">
        <w:t>nterregional project</w:t>
      </w:r>
      <w:r w:rsidR="00136514">
        <w:t xml:space="preserve"> for it </w:t>
      </w:r>
      <w:r w:rsidR="00136514" w:rsidRPr="00136514">
        <w:t>to receive cost allocation under the interregional cost-allocation process.</w:t>
      </w:r>
    </w:p>
    <w:p w:rsidR="00143296" w:rsidRPr="00136514" w:rsidRDefault="00605DDB" w:rsidP="00200198">
      <w:bookmarkStart w:id="23" w:name="_bookmark13"/>
      <w:bookmarkStart w:id="24" w:name="_bookmark14"/>
      <w:bookmarkEnd w:id="23"/>
      <w:bookmarkEnd w:id="24"/>
      <w:r w:rsidRPr="00136514">
        <w:t xml:space="preserve">The </w:t>
      </w:r>
      <w:r w:rsidR="0048023B" w:rsidRPr="00970421">
        <w:t xml:space="preserve">default </w:t>
      </w:r>
      <w:r w:rsidR="0048023B" w:rsidRPr="00894400">
        <w:t>cost</w:t>
      </w:r>
      <w:r w:rsidR="002F52F9" w:rsidRPr="00970421">
        <w:t>-</w:t>
      </w:r>
      <w:r w:rsidR="0048023B" w:rsidRPr="00970421">
        <w:t xml:space="preserve">allocation </w:t>
      </w:r>
      <w:hyperlink w:anchor="_bookmark18" w:history="1">
        <w:r w:rsidR="0048023B" w:rsidRPr="00970421">
          <w:t>m</w:t>
        </w:r>
      </w:hyperlink>
      <w:r w:rsidR="0048023B" w:rsidRPr="00970421">
        <w:t>ethodolog</w:t>
      </w:r>
      <w:r w:rsidRPr="00970421">
        <w:t>y</w:t>
      </w:r>
      <w:r w:rsidR="0048023B" w:rsidRPr="00894400">
        <w:t xml:space="preserve"> </w:t>
      </w:r>
      <w:r w:rsidR="0048023B" w:rsidRPr="00970421">
        <w:t xml:space="preserve">for interregional projects </w:t>
      </w:r>
      <w:r w:rsidRPr="00894400">
        <w:t xml:space="preserve">filed by the ISO/RTOs and accepted by FERC is based on the avoided costs of the respective regional projects </w:t>
      </w:r>
      <w:r w:rsidR="00136514">
        <w:t xml:space="preserve">the interregional solution </w:t>
      </w:r>
      <w:r w:rsidRPr="00136514">
        <w:t>would replace</w:t>
      </w:r>
      <w:r w:rsidR="00811ADF" w:rsidRPr="00136514">
        <w:t>.</w:t>
      </w:r>
      <w:r w:rsidR="006836E8" w:rsidRPr="00894400">
        <w:rPr>
          <w:rStyle w:val="FootnoteReference"/>
        </w:rPr>
        <w:footnoteReference w:id="13"/>
      </w:r>
    </w:p>
    <w:p w:rsidR="00313359" w:rsidRPr="00894400" w:rsidRDefault="007A51E4" w:rsidP="00160474">
      <w:pPr>
        <w:pStyle w:val="Heading2"/>
      </w:pPr>
      <w:bookmarkStart w:id="25" w:name="_Toc442631674"/>
      <w:bookmarkStart w:id="26" w:name="_Toc443909845"/>
      <w:r>
        <w:t xml:space="preserve">Compliance Filings for </w:t>
      </w:r>
      <w:r w:rsidR="00783E70" w:rsidRPr="00160474">
        <w:t>Interregi</w:t>
      </w:r>
      <w:r w:rsidR="00DC2DF3" w:rsidRPr="00894400">
        <w:t>o</w:t>
      </w:r>
      <w:r w:rsidR="00783E70" w:rsidRPr="00894400">
        <w:t xml:space="preserve">nal Order </w:t>
      </w:r>
      <w:r w:rsidR="00160474" w:rsidRPr="00894400">
        <w:t xml:space="preserve">No. </w:t>
      </w:r>
      <w:r w:rsidR="00783E70" w:rsidRPr="00894400">
        <w:t>1000</w:t>
      </w:r>
      <w:bookmarkEnd w:id="25"/>
      <w:bookmarkEnd w:id="26"/>
    </w:p>
    <w:p w:rsidR="00126229" w:rsidRPr="00341F2C" w:rsidRDefault="00143296" w:rsidP="00341F2C">
      <w:r w:rsidRPr="00341F2C">
        <w:t xml:space="preserve">Order </w:t>
      </w:r>
      <w:r w:rsidR="002F52F9" w:rsidRPr="00341F2C">
        <w:t xml:space="preserve">No. </w:t>
      </w:r>
      <w:r w:rsidRPr="00341F2C">
        <w:t xml:space="preserve">1000 encouraged—but did not require—multilateral or interconnection-wide planning </w:t>
      </w:r>
      <w:r w:rsidRPr="00A553C0">
        <w:t>processes</w:t>
      </w:r>
      <w:r w:rsidR="00DB4B7E" w:rsidRPr="00A553C0">
        <w:t>. In response</w:t>
      </w:r>
      <w:r w:rsidRPr="00A553C0">
        <w:t>, ISO-NE, NYISO</w:t>
      </w:r>
      <w:r w:rsidR="002F52F9" w:rsidRPr="00A553C0">
        <w:t>,</w:t>
      </w:r>
      <w:r w:rsidRPr="00A553C0">
        <w:t xml:space="preserve"> and PJM </w:t>
      </w:r>
      <w:r w:rsidR="00160474" w:rsidRPr="00A553C0">
        <w:t xml:space="preserve">modified </w:t>
      </w:r>
      <w:r w:rsidR="00DB4B7E" w:rsidRPr="00A553C0">
        <w:t xml:space="preserve">its original </w:t>
      </w:r>
      <w:r w:rsidR="00160474" w:rsidRPr="00A553C0">
        <w:t>p</w:t>
      </w:r>
      <w:r w:rsidRPr="00A553C0">
        <w:t xml:space="preserve">rotocol </w:t>
      </w:r>
      <w:r w:rsidR="00453DF0" w:rsidRPr="00A553C0">
        <w:t>to provide for a multilateral planning process among the three regions</w:t>
      </w:r>
      <w:r w:rsidR="000E4687" w:rsidRPr="00A553C0">
        <w:t>, which it</w:t>
      </w:r>
      <w:r w:rsidR="00453DF0" w:rsidRPr="00A553C0">
        <w:t xml:space="preserve"> embodied in the Amended Planning Protocol. The three regions further submitted </w:t>
      </w:r>
      <w:r w:rsidRPr="00A553C0">
        <w:t>accompanying tariff provisions for cost allocation</w:t>
      </w:r>
      <w:r w:rsidR="006D0297" w:rsidRPr="00A553C0">
        <w:t>.</w:t>
      </w:r>
      <w:r w:rsidR="006D0297">
        <w:t xml:space="preserve"> </w:t>
      </w:r>
    </w:p>
    <w:p w:rsidR="00EF45FA" w:rsidRPr="00642AD8" w:rsidRDefault="00143296" w:rsidP="00EF45FA">
      <w:r w:rsidRPr="00341F2C">
        <w:t xml:space="preserve">The July 2015 filing of the </w:t>
      </w:r>
      <w:r w:rsidRPr="00EF45FA">
        <w:t>Amended Planning Protocol</w:t>
      </w:r>
      <w:r w:rsidR="00D80095" w:rsidRPr="00EF45FA">
        <w:t xml:space="preserve"> </w:t>
      </w:r>
      <w:r w:rsidRPr="00EF45FA">
        <w:t>reflect</w:t>
      </w:r>
      <w:r w:rsidR="00D80095" w:rsidRPr="00EF45FA">
        <w:t xml:space="preserve">s the regions’ proposed compliance with Order No. 1000’s interregional coordination requirements, including </w:t>
      </w:r>
      <w:r w:rsidRPr="00EF45FA">
        <w:t xml:space="preserve">the efforts of the three </w:t>
      </w:r>
      <w:r w:rsidRPr="009270C3">
        <w:t>regions, their stakeholders</w:t>
      </w:r>
      <w:r w:rsidR="00160474" w:rsidRPr="009270C3">
        <w:t>,</w:t>
      </w:r>
      <w:r w:rsidRPr="009270C3">
        <w:t xml:space="preserve"> and the </w:t>
      </w:r>
      <w:r w:rsidR="00D31BF2" w:rsidRPr="009270C3">
        <w:t>Inter</w:t>
      </w:r>
      <w:r w:rsidR="00C22359" w:rsidRPr="009270C3">
        <w:t>regional</w:t>
      </w:r>
      <w:r w:rsidR="00D31BF2" w:rsidRPr="009270C3">
        <w:t xml:space="preserve"> Planning Stakeholder Advisory </w:t>
      </w:r>
      <w:r w:rsidR="00C22359" w:rsidRPr="009270C3">
        <w:t>Committee</w:t>
      </w:r>
      <w:r w:rsidR="00D31BF2" w:rsidRPr="009270C3">
        <w:t xml:space="preserve"> (</w:t>
      </w:r>
      <w:r w:rsidRPr="009270C3">
        <w:t>IPSAC</w:t>
      </w:r>
      <w:r w:rsidR="00D31BF2" w:rsidRPr="009270C3">
        <w:t>)</w:t>
      </w:r>
      <w:r w:rsidRPr="009270C3">
        <w:t xml:space="preserve">, </w:t>
      </w:r>
      <w:r w:rsidR="00D31BF2" w:rsidRPr="009270C3">
        <w:t xml:space="preserve">which </w:t>
      </w:r>
      <w:r w:rsidR="00B770AA" w:rsidRPr="009270C3">
        <w:t xml:space="preserve">has </w:t>
      </w:r>
      <w:r w:rsidR="00D31BF2" w:rsidRPr="009270C3">
        <w:t xml:space="preserve">discussed </w:t>
      </w:r>
      <w:r w:rsidR="001B5C5A" w:rsidRPr="009270C3">
        <w:t xml:space="preserve">the process for developing </w:t>
      </w:r>
      <w:r w:rsidR="00D31BF2" w:rsidRPr="009270C3">
        <w:t>interregional projects</w:t>
      </w:r>
      <w:r w:rsidR="00D80095" w:rsidRPr="00EF45FA">
        <w:t xml:space="preserve"> </w:t>
      </w:r>
      <w:r w:rsidR="00D31BF2" w:rsidRPr="00EF45FA">
        <w:t xml:space="preserve">and </w:t>
      </w:r>
      <w:r w:rsidR="001B5C5A" w:rsidRPr="00EF45FA">
        <w:t xml:space="preserve">addressing </w:t>
      </w:r>
      <w:r w:rsidR="00D31BF2" w:rsidRPr="00EF45FA">
        <w:t xml:space="preserve">cost-allocation </w:t>
      </w:r>
      <w:r w:rsidR="00D31BF2" w:rsidRPr="00642AD8">
        <w:t>issues</w:t>
      </w:r>
      <w:r w:rsidRPr="00642AD8">
        <w:t>.</w:t>
      </w:r>
      <w:r w:rsidR="005B4D7B" w:rsidRPr="00642AD8">
        <w:rPr>
          <w:rStyle w:val="FootnoteReference"/>
          <w:sz w:val="22"/>
        </w:rPr>
        <w:footnoteReference w:id="14"/>
      </w:r>
      <w:r w:rsidRPr="00642AD8">
        <w:t xml:space="preserve"> </w:t>
      </w:r>
      <w:r w:rsidR="00341F2C" w:rsidRPr="00642AD8">
        <w:t xml:space="preserve">The Amended Planning Protocol includes </w:t>
      </w:r>
      <w:r w:rsidR="00EF45FA" w:rsidRPr="00642AD8">
        <w:t>the following:</w:t>
      </w:r>
    </w:p>
    <w:p w:rsidR="00EF45FA" w:rsidRPr="00642AD8" w:rsidRDefault="00EF45FA" w:rsidP="00EF45FA">
      <w:pPr>
        <w:pStyle w:val="ListParagraph"/>
        <w:numPr>
          <w:ilvl w:val="0"/>
          <w:numId w:val="41"/>
        </w:numPr>
      </w:pPr>
      <w:r w:rsidRPr="00642AD8">
        <w:t>Committee structure (Section 2)</w:t>
      </w:r>
    </w:p>
    <w:p w:rsidR="00EF45FA" w:rsidRPr="00642AD8" w:rsidRDefault="00EF45FA" w:rsidP="00EF45FA">
      <w:pPr>
        <w:pStyle w:val="ListParagraph"/>
        <w:numPr>
          <w:ilvl w:val="0"/>
          <w:numId w:val="41"/>
        </w:numPr>
      </w:pPr>
      <w:r w:rsidRPr="00642AD8">
        <w:t>I</w:t>
      </w:r>
      <w:r w:rsidR="00143296" w:rsidRPr="00642AD8">
        <w:t>nformation and data</w:t>
      </w:r>
      <w:r w:rsidR="002F52F9" w:rsidRPr="00642AD8">
        <w:t>-</w:t>
      </w:r>
      <w:r w:rsidR="00143296" w:rsidRPr="00642AD8">
        <w:t>sharing provisions</w:t>
      </w:r>
      <w:r w:rsidR="00341F2C" w:rsidRPr="00642AD8">
        <w:t xml:space="preserve"> (Section 3)</w:t>
      </w:r>
    </w:p>
    <w:p w:rsidR="00EF45FA" w:rsidRPr="00642AD8" w:rsidRDefault="00EF45FA" w:rsidP="00EF45FA">
      <w:pPr>
        <w:pStyle w:val="ListParagraph"/>
        <w:numPr>
          <w:ilvl w:val="0"/>
          <w:numId w:val="41"/>
        </w:numPr>
      </w:pPr>
      <w:r w:rsidRPr="00642AD8">
        <w:t>A</w:t>
      </w:r>
      <w:r w:rsidR="00341F2C" w:rsidRPr="00642AD8">
        <w:t>n analysis of interconnection queue requests (Section 4)</w:t>
      </w:r>
    </w:p>
    <w:p w:rsidR="00EF45FA" w:rsidRPr="00642AD8" w:rsidRDefault="00EF45FA" w:rsidP="00EF45FA">
      <w:pPr>
        <w:pStyle w:val="ListParagraph"/>
        <w:numPr>
          <w:ilvl w:val="0"/>
          <w:numId w:val="41"/>
        </w:numPr>
      </w:pPr>
      <w:r w:rsidRPr="00642AD8">
        <w:t>A</w:t>
      </w:r>
      <w:r w:rsidR="00341F2C" w:rsidRPr="00642AD8">
        <w:t>n analysis of long-term firm transmission service requests (Section 5)</w:t>
      </w:r>
    </w:p>
    <w:p w:rsidR="00EF45FA" w:rsidRPr="00642AD8" w:rsidRDefault="00EF45FA" w:rsidP="00EF45FA">
      <w:pPr>
        <w:pStyle w:val="ListParagraph"/>
        <w:numPr>
          <w:ilvl w:val="0"/>
          <w:numId w:val="41"/>
        </w:numPr>
      </w:pPr>
      <w:r w:rsidRPr="00642AD8">
        <w:t xml:space="preserve">A </w:t>
      </w:r>
      <w:r w:rsidR="00341F2C" w:rsidRPr="00642AD8">
        <w:t>periodic interregional assessment and system planning expansion studies (Section 6)</w:t>
      </w:r>
    </w:p>
    <w:p w:rsidR="00EF45FA" w:rsidRPr="00642AD8" w:rsidRDefault="00EF45FA" w:rsidP="00EF45FA">
      <w:pPr>
        <w:pStyle w:val="ListParagraph"/>
        <w:numPr>
          <w:ilvl w:val="0"/>
          <w:numId w:val="41"/>
        </w:numPr>
      </w:pPr>
      <w:r w:rsidRPr="00642AD8">
        <w:t xml:space="preserve">Identification and evaluation of </w:t>
      </w:r>
      <w:r w:rsidR="00143296" w:rsidRPr="00642AD8">
        <w:t>potential interregional transmission projects</w:t>
      </w:r>
      <w:r w:rsidRPr="00642AD8">
        <w:t xml:space="preserve"> (Section 7)</w:t>
      </w:r>
    </w:p>
    <w:p w:rsidR="00EF45FA" w:rsidRPr="00642AD8" w:rsidRDefault="00EF45FA" w:rsidP="00EF45FA">
      <w:pPr>
        <w:pStyle w:val="ListParagraph"/>
        <w:numPr>
          <w:ilvl w:val="0"/>
          <w:numId w:val="41"/>
        </w:numPr>
      </w:pPr>
      <w:r w:rsidRPr="00642AD8">
        <w:t>The NCSP (Section 8)</w:t>
      </w:r>
    </w:p>
    <w:p w:rsidR="00EF45FA" w:rsidRPr="00642AD8" w:rsidRDefault="00EF45FA" w:rsidP="00EF45FA">
      <w:pPr>
        <w:pStyle w:val="ListParagraph"/>
        <w:numPr>
          <w:ilvl w:val="0"/>
          <w:numId w:val="41"/>
        </w:numPr>
      </w:pPr>
      <w:r w:rsidRPr="00642AD8">
        <w:t xml:space="preserve">Cost-allocation provisions and references </w:t>
      </w:r>
      <w:r w:rsidR="00830DE0">
        <w:t xml:space="preserve">to </w:t>
      </w:r>
      <w:r w:rsidRPr="00642AD8">
        <w:t>governing documents and rights of the parties, transmission owners, and market participants (Section 9)</w:t>
      </w:r>
    </w:p>
    <w:p w:rsidR="00341F2C" w:rsidRPr="00642AD8" w:rsidRDefault="00EF45FA" w:rsidP="00EF45FA">
      <w:pPr>
        <w:pStyle w:val="ListParagraph"/>
        <w:numPr>
          <w:ilvl w:val="0"/>
          <w:numId w:val="41"/>
        </w:numPr>
        <w:spacing w:after="240"/>
      </w:pPr>
      <w:r w:rsidRPr="00642AD8">
        <w:lastRenderedPageBreak/>
        <w:t>Other general provisions (Section 10)</w:t>
      </w:r>
    </w:p>
    <w:p w:rsidR="002F52F9" w:rsidRDefault="0088296C" w:rsidP="00970421">
      <w:r w:rsidRPr="002F52F9">
        <w:t>On November 19, 2015, FERC accepted the ISO/RTOs’</w:t>
      </w:r>
      <w:r w:rsidR="00CF0EAF" w:rsidRPr="002F52F9">
        <w:t xml:space="preserve"> filings, including the Amended </w:t>
      </w:r>
      <w:r w:rsidR="00160474">
        <w:t xml:space="preserve">Planning </w:t>
      </w:r>
      <w:r w:rsidR="00CF0EAF" w:rsidRPr="002F52F9">
        <w:t>Protocol</w:t>
      </w:r>
      <w:r w:rsidR="00830DE0">
        <w:t xml:space="preserve"> and cost-allocation methodology</w:t>
      </w:r>
      <w:r w:rsidR="00CF0EAF" w:rsidRPr="002F52F9">
        <w:t xml:space="preserve">, as compliant with the interregional requirements </w:t>
      </w:r>
      <w:r w:rsidRPr="002F52F9">
        <w:t xml:space="preserve">of Order </w:t>
      </w:r>
      <w:r w:rsidR="002F52F9">
        <w:t>No.</w:t>
      </w:r>
      <w:r w:rsidR="00160474">
        <w:t xml:space="preserve"> </w:t>
      </w:r>
      <w:r w:rsidRPr="002F52F9">
        <w:t>1000.</w:t>
      </w:r>
      <w:r w:rsidR="00830DE0">
        <w:rPr>
          <w:rStyle w:val="FootnoteReference"/>
        </w:rPr>
        <w:footnoteReference w:id="15"/>
      </w:r>
    </w:p>
    <w:p w:rsidR="00305409" w:rsidRPr="00A6195B" w:rsidRDefault="00783E70" w:rsidP="002347A2">
      <w:pPr>
        <w:pStyle w:val="Heading1"/>
        <w:rPr>
          <w:color w:val="FF0000"/>
        </w:rPr>
      </w:pPr>
      <w:bookmarkStart w:id="27" w:name="_Toc442631675"/>
      <w:bookmarkStart w:id="28" w:name="_Toc443909846"/>
      <w:r w:rsidRPr="00A6195B">
        <w:t xml:space="preserve">Implementation of the </w:t>
      </w:r>
      <w:r w:rsidR="00AF0D78" w:rsidRPr="00A6195B">
        <w:t xml:space="preserve">Interregional Planning Process </w:t>
      </w:r>
      <w:r w:rsidR="00160474" w:rsidRPr="00970421">
        <w:t>u</w:t>
      </w:r>
      <w:r w:rsidR="00AF0D78" w:rsidRPr="00970421">
        <w:t xml:space="preserve">nder Order </w:t>
      </w:r>
      <w:r w:rsidR="002347A2" w:rsidRPr="00970421">
        <w:t xml:space="preserve">No. </w:t>
      </w:r>
      <w:r w:rsidR="00AF0D78" w:rsidRPr="00970421">
        <w:t>1000</w:t>
      </w:r>
      <w:bookmarkEnd w:id="27"/>
      <w:bookmarkEnd w:id="28"/>
    </w:p>
    <w:p w:rsidR="00892FB3" w:rsidRPr="00970421" w:rsidRDefault="00F37768" w:rsidP="00892FB3">
      <w:pPr>
        <w:rPr>
          <w:highlight w:val="cyan"/>
        </w:rPr>
      </w:pPr>
      <w:bookmarkStart w:id="29" w:name="3_Summary_of_ISO/RTO_System_Plans"/>
      <w:bookmarkEnd w:id="29"/>
      <w:r w:rsidRPr="00970421">
        <w:t>Under FERC Order No</w:t>
      </w:r>
      <w:r w:rsidR="00AB1B14">
        <w:t>.</w:t>
      </w:r>
      <w:r w:rsidRPr="00970421">
        <w:t xml:space="preserve"> 1000, r</w:t>
      </w:r>
      <w:r w:rsidR="00892FB3" w:rsidRPr="00970421">
        <w:t>egional planning is the foundation for interregional planning</w:t>
      </w:r>
      <w:r w:rsidRPr="00970421">
        <w:t xml:space="preserve">, which includes requests for interconnection to the transmission system and </w:t>
      </w:r>
      <w:r w:rsidRPr="00341F2C">
        <w:t xml:space="preserve">for transmission service that may have cross-border impacts. </w:t>
      </w:r>
      <w:r w:rsidR="00892FB3" w:rsidRPr="00341F2C">
        <w:t>Each ISO/RTO has a regional planning process and timelines and an open stakeholder process</w:t>
      </w:r>
      <w:r w:rsidR="001619A4" w:rsidRPr="00341F2C">
        <w:t xml:space="preserve"> for informing r</w:t>
      </w:r>
      <w:r w:rsidR="00892FB3" w:rsidRPr="00341F2C">
        <w:t xml:space="preserve">egional stakeholders of regional system needs </w:t>
      </w:r>
      <w:r w:rsidR="00892FB3" w:rsidRPr="00970421">
        <w:t xml:space="preserve">(whether driven by reliability, economic, or public policy requirements), and opportunities for satisfying these needs. </w:t>
      </w:r>
    </w:p>
    <w:p w:rsidR="008A5171" w:rsidRDefault="0048023B" w:rsidP="008A5171">
      <w:pPr>
        <w:rPr>
          <w:rFonts w:asciiTheme="majorHAnsi" w:hAnsiTheme="majorHAnsi"/>
        </w:rPr>
      </w:pPr>
      <w:r w:rsidRPr="00103F0E">
        <w:t>The</w:t>
      </w:r>
      <w:r w:rsidRPr="002A0D00">
        <w:t xml:space="preserve"> ISO/RTO</w:t>
      </w:r>
      <w:r w:rsidR="00160474">
        <w:t>s’</w:t>
      </w:r>
      <w:r w:rsidRPr="002A0D00">
        <w:t xml:space="preserve"> system</w:t>
      </w:r>
      <w:r w:rsidRPr="00103F0E">
        <w:t xml:space="preserve"> </w:t>
      </w:r>
      <w:r w:rsidRPr="002A0D00">
        <w:t>plans</w:t>
      </w:r>
      <w:r w:rsidRPr="00103F0E">
        <w:t xml:space="preserve"> </w:t>
      </w:r>
      <w:r w:rsidRPr="002A0D00">
        <w:t>identify system</w:t>
      </w:r>
      <w:r w:rsidRPr="00103F0E">
        <w:t xml:space="preserve"> </w:t>
      </w:r>
      <w:r w:rsidRPr="002A0D00">
        <w:t>needs</w:t>
      </w:r>
      <w:r w:rsidRPr="00103F0E">
        <w:t xml:space="preserve"> </w:t>
      </w:r>
      <w:r w:rsidRPr="002A0D00">
        <w:t>and plans</w:t>
      </w:r>
      <w:r w:rsidRPr="00103F0E">
        <w:t xml:space="preserve"> for</w:t>
      </w:r>
      <w:r w:rsidRPr="002A0D00">
        <w:t xml:space="preserve"> meeting th</w:t>
      </w:r>
      <w:r w:rsidR="00160474">
        <w:t>e</w:t>
      </w:r>
      <w:r w:rsidRPr="002A0D00">
        <w:t xml:space="preserve">se needs </w:t>
      </w:r>
      <w:r w:rsidRPr="00103F0E">
        <w:t>in</w:t>
      </w:r>
      <w:r w:rsidRPr="002A0D00">
        <w:t xml:space="preserve"> accordance with</w:t>
      </w:r>
      <w:r w:rsidRPr="00103F0E">
        <w:t xml:space="preserve"> </w:t>
      </w:r>
      <w:r w:rsidRPr="002A0D00">
        <w:t xml:space="preserve">their respective </w:t>
      </w:r>
      <w:r w:rsidR="00160474">
        <w:t>Open-Access Transmission Tariffs (</w:t>
      </w:r>
      <w:r w:rsidRPr="002A0D00">
        <w:t>OATTs</w:t>
      </w:r>
      <w:r w:rsidR="00160474">
        <w:t>)</w:t>
      </w:r>
      <w:r w:rsidRPr="002A0D00">
        <w:t xml:space="preserve">. </w:t>
      </w:r>
      <w:r w:rsidRPr="00970421">
        <w:t>PJM, NYISO, and ISO-NE coordinate these short-</w:t>
      </w:r>
      <w:r w:rsidRPr="00103F0E">
        <w:t xml:space="preserve"> </w:t>
      </w:r>
      <w:r w:rsidRPr="00970421">
        <w:t>and long-term</w:t>
      </w:r>
      <w:r w:rsidRPr="00103F0E">
        <w:t xml:space="preserve"> </w:t>
      </w:r>
      <w:r w:rsidRPr="00970421">
        <w:t>system needs</w:t>
      </w:r>
      <w:r w:rsidRPr="00103F0E">
        <w:t xml:space="preserve"> </w:t>
      </w:r>
      <w:r w:rsidRPr="00970421">
        <w:t>and plans</w:t>
      </w:r>
      <w:r w:rsidRPr="00103F0E">
        <w:t xml:space="preserve"> </w:t>
      </w:r>
      <w:r w:rsidRPr="00970421">
        <w:t>with</w:t>
      </w:r>
      <w:r w:rsidRPr="00103F0E">
        <w:t xml:space="preserve"> </w:t>
      </w:r>
      <w:r w:rsidRPr="00970421">
        <w:t>neighboring systems</w:t>
      </w:r>
      <w:r w:rsidRPr="00103F0E">
        <w:t xml:space="preserve"> </w:t>
      </w:r>
      <w:r w:rsidRPr="00970421">
        <w:t>to identify opportunities</w:t>
      </w:r>
      <w:r w:rsidRPr="00103F0E">
        <w:t xml:space="preserve"> for</w:t>
      </w:r>
      <w:r w:rsidRPr="00970421">
        <w:t xml:space="preserve"> interregional system improvements.</w:t>
      </w:r>
      <w:r w:rsidR="000F7C88" w:rsidRPr="00970421">
        <w:t xml:space="preserve"> </w:t>
      </w:r>
      <w:r w:rsidR="008A5171" w:rsidRPr="0053503E">
        <w:rPr>
          <w:rFonts w:asciiTheme="majorHAnsi" w:hAnsiTheme="majorHAnsi"/>
        </w:rPr>
        <w:t>Projects in the respective ISO/RTO interconnection queues may also have potential interregional effects on neighboring systems, which requires coordinating studies across ISO/</w:t>
      </w:r>
      <w:r w:rsidR="008A5171" w:rsidRPr="00970421">
        <w:rPr>
          <w:rFonts w:asciiTheme="majorHAnsi" w:hAnsiTheme="majorHAnsi"/>
        </w:rPr>
        <w:t>RTO borders.</w:t>
      </w:r>
      <w:r w:rsidR="00AA166C" w:rsidRPr="00970421">
        <w:rPr>
          <w:rFonts w:asciiTheme="majorHAnsi" w:hAnsiTheme="majorHAnsi"/>
        </w:rPr>
        <w:t xml:space="preserve"> Stakeholders are encouraged to engage in the regional stakeholder processes</w:t>
      </w:r>
      <w:r w:rsidR="00970421" w:rsidRPr="00970421">
        <w:rPr>
          <w:rFonts w:asciiTheme="majorHAnsi" w:hAnsiTheme="majorHAnsi"/>
        </w:rPr>
        <w:t>,</w:t>
      </w:r>
      <w:r w:rsidR="00AA166C" w:rsidRPr="00970421">
        <w:rPr>
          <w:rFonts w:asciiTheme="majorHAnsi" w:hAnsiTheme="majorHAnsi"/>
        </w:rPr>
        <w:t xml:space="preserve"> </w:t>
      </w:r>
      <w:r w:rsidR="0029439B" w:rsidRPr="00970421">
        <w:rPr>
          <w:rFonts w:asciiTheme="majorHAnsi" w:hAnsiTheme="majorHAnsi"/>
        </w:rPr>
        <w:t>as well as the IPSAC</w:t>
      </w:r>
      <w:r w:rsidR="00970421" w:rsidRPr="00970421">
        <w:rPr>
          <w:rFonts w:asciiTheme="majorHAnsi" w:hAnsiTheme="majorHAnsi"/>
        </w:rPr>
        <w:t>,</w:t>
      </w:r>
      <w:r w:rsidR="0029439B" w:rsidRPr="00970421">
        <w:rPr>
          <w:rFonts w:asciiTheme="majorHAnsi" w:hAnsiTheme="majorHAnsi"/>
        </w:rPr>
        <w:t xml:space="preserve"> to more </w:t>
      </w:r>
      <w:r w:rsidR="00970421" w:rsidRPr="00970421">
        <w:rPr>
          <w:rFonts w:asciiTheme="majorHAnsi" w:hAnsiTheme="majorHAnsi"/>
        </w:rPr>
        <w:t xml:space="preserve">fully </w:t>
      </w:r>
      <w:r w:rsidR="0029439B" w:rsidRPr="00970421">
        <w:rPr>
          <w:rFonts w:asciiTheme="majorHAnsi" w:hAnsiTheme="majorHAnsi"/>
        </w:rPr>
        <w:t>understand interregional planning issues.</w:t>
      </w:r>
      <w:r w:rsidR="0029439B">
        <w:rPr>
          <w:rFonts w:asciiTheme="majorHAnsi" w:hAnsiTheme="majorHAnsi"/>
        </w:rPr>
        <w:t xml:space="preserve"> </w:t>
      </w:r>
    </w:p>
    <w:p w:rsidR="00BC0F55" w:rsidRDefault="0048023B" w:rsidP="002347A2">
      <w:r>
        <w:t>This</w:t>
      </w:r>
      <w:r>
        <w:rPr>
          <w:spacing w:val="-2"/>
        </w:rPr>
        <w:t xml:space="preserve"> </w:t>
      </w:r>
      <w:r>
        <w:rPr>
          <w:spacing w:val="-1"/>
        </w:rPr>
        <w:t>section</w:t>
      </w:r>
      <w:r>
        <w:rPr>
          <w:spacing w:val="-2"/>
        </w:rPr>
        <w:t xml:space="preserve"> </w:t>
      </w:r>
      <w:r>
        <w:rPr>
          <w:spacing w:val="-1"/>
        </w:rPr>
        <w:t>summarizes</w:t>
      </w:r>
      <w:r>
        <w:t xml:space="preserve"> </w:t>
      </w:r>
      <w:r>
        <w:rPr>
          <w:spacing w:val="-1"/>
        </w:rPr>
        <w:t>the respective ISO/RTO</w:t>
      </w:r>
      <w:r w:rsidR="00126229">
        <w:rPr>
          <w:spacing w:val="-1"/>
        </w:rPr>
        <w:t>s’</w:t>
      </w:r>
      <w:r>
        <w:rPr>
          <w:spacing w:val="-1"/>
        </w:rPr>
        <w:t xml:space="preserve"> system</w:t>
      </w:r>
      <w:r>
        <w:t xml:space="preserve"> </w:t>
      </w:r>
      <w:r>
        <w:rPr>
          <w:spacing w:val="-1"/>
        </w:rPr>
        <w:t>plan</w:t>
      </w:r>
      <w:r w:rsidR="000F7C88">
        <w:rPr>
          <w:spacing w:val="-1"/>
        </w:rPr>
        <w:t>ning processes</w:t>
      </w:r>
      <w:r w:rsidR="000B1EE8">
        <w:rPr>
          <w:spacing w:val="-1"/>
        </w:rPr>
        <w:t>, includ</w:t>
      </w:r>
      <w:r w:rsidR="002A0D00">
        <w:rPr>
          <w:spacing w:val="-1"/>
        </w:rPr>
        <w:t>ing</w:t>
      </w:r>
      <w:r w:rsidR="000B1EE8">
        <w:rPr>
          <w:spacing w:val="-1"/>
        </w:rPr>
        <w:t xml:space="preserve"> the timing of their planning cycles. </w:t>
      </w:r>
      <w:r w:rsidR="003B3A77">
        <w:rPr>
          <w:spacing w:val="-1"/>
        </w:rPr>
        <w:t xml:space="preserve">The section also provides </w:t>
      </w:r>
      <w:r w:rsidR="000F7C88">
        <w:rPr>
          <w:spacing w:val="-1"/>
        </w:rPr>
        <w:t xml:space="preserve">references </w:t>
      </w:r>
      <w:r w:rsidR="00A344F5">
        <w:rPr>
          <w:spacing w:val="-1"/>
        </w:rPr>
        <w:t xml:space="preserve">for each systems’ </w:t>
      </w:r>
      <w:r w:rsidR="000F7C88">
        <w:rPr>
          <w:spacing w:val="-1"/>
        </w:rPr>
        <w:t xml:space="preserve">planning </w:t>
      </w:r>
      <w:r w:rsidR="006F6D5A">
        <w:rPr>
          <w:spacing w:val="-1"/>
        </w:rPr>
        <w:t>s</w:t>
      </w:r>
      <w:r w:rsidR="003B3A77">
        <w:rPr>
          <w:spacing w:val="-1"/>
        </w:rPr>
        <w:t xml:space="preserve">tudy results </w:t>
      </w:r>
      <w:r w:rsidR="000B1EE8">
        <w:rPr>
          <w:spacing w:val="-1"/>
        </w:rPr>
        <w:t>and other key documents</w:t>
      </w:r>
      <w:r>
        <w:rPr>
          <w:spacing w:val="-1"/>
        </w:rPr>
        <w:t xml:space="preserve">. </w:t>
      </w:r>
    </w:p>
    <w:p w:rsidR="00BC0F55" w:rsidRPr="00160474" w:rsidRDefault="0048023B" w:rsidP="00160474">
      <w:pPr>
        <w:pStyle w:val="Heading2"/>
      </w:pPr>
      <w:bookmarkStart w:id="30" w:name="3.1_PJM_2013_Regional_Transmission_Expan"/>
      <w:bookmarkStart w:id="31" w:name="_Toc442631676"/>
      <w:bookmarkStart w:id="32" w:name="_Toc443909847"/>
      <w:bookmarkEnd w:id="30"/>
      <w:r w:rsidRPr="00160474">
        <w:t>PJM</w:t>
      </w:r>
      <w:bookmarkEnd w:id="31"/>
      <w:bookmarkEnd w:id="32"/>
      <w:r w:rsidRPr="00160474">
        <w:t xml:space="preserve"> </w:t>
      </w:r>
    </w:p>
    <w:p w:rsidR="00280417" w:rsidRPr="00970421" w:rsidRDefault="002A0D00" w:rsidP="00970421">
      <w:bookmarkStart w:id="33" w:name="3.1.1__Reliability"/>
      <w:bookmarkStart w:id="34" w:name="_bookmark18"/>
      <w:bookmarkStart w:id="35" w:name="_bookmark19"/>
      <w:bookmarkStart w:id="36" w:name="3.1.2_Market_Efficiency"/>
      <w:bookmarkStart w:id="37" w:name="_bookmark21"/>
      <w:bookmarkStart w:id="38" w:name="3.1.3_Public_Policy"/>
      <w:bookmarkEnd w:id="33"/>
      <w:bookmarkEnd w:id="34"/>
      <w:bookmarkEnd w:id="35"/>
      <w:bookmarkEnd w:id="36"/>
      <w:bookmarkEnd w:id="37"/>
      <w:bookmarkEnd w:id="38"/>
      <w:r w:rsidRPr="00970421">
        <w:t>The PJM r</w:t>
      </w:r>
      <w:r w:rsidR="00280417" w:rsidRPr="00970421">
        <w:t>egional processes include transmission development</w:t>
      </w:r>
      <w:r w:rsidR="00A344F5" w:rsidRPr="00970421">
        <w:t>s</w:t>
      </w:r>
      <w:r w:rsidR="00280417" w:rsidRPr="00970421">
        <w:t xml:space="preserve"> </w:t>
      </w:r>
      <w:r w:rsidR="00A344F5" w:rsidRPr="00970421">
        <w:t xml:space="preserve">that </w:t>
      </w:r>
      <w:r w:rsidR="00280417" w:rsidRPr="00970421">
        <w:t xml:space="preserve">satisfy reliability, market efficiency, operational performance, and </w:t>
      </w:r>
      <w:r w:rsidRPr="00970421">
        <w:t>p</w:t>
      </w:r>
      <w:r w:rsidR="00280417" w:rsidRPr="00970421">
        <w:t xml:space="preserve">ublic </w:t>
      </w:r>
      <w:r w:rsidRPr="00970421">
        <w:t>p</w:t>
      </w:r>
      <w:r w:rsidR="00280417" w:rsidRPr="00970421">
        <w:t>olicy needs. The interregional process and opportunities can be followed through participation in PJM stakeholder activities</w:t>
      </w:r>
      <w:r w:rsidR="000B7E62" w:rsidRPr="00970421">
        <w:t>.</w:t>
      </w:r>
      <w:r w:rsidR="000B7E62" w:rsidRPr="00970421">
        <w:rPr>
          <w:rStyle w:val="FootnoteReference"/>
        </w:rPr>
        <w:footnoteReference w:id="16"/>
      </w:r>
    </w:p>
    <w:p w:rsidR="00280417" w:rsidRPr="002A0D00" w:rsidRDefault="00280417" w:rsidP="002A0D00">
      <w:r w:rsidRPr="002A0D00">
        <w:t xml:space="preserve">The PJM Transmission Expansion Advisory Committee (TEAC) meetings and meeting materials </w:t>
      </w:r>
      <w:r w:rsidR="000B7E62">
        <w:t xml:space="preserve">are </w:t>
      </w:r>
      <w:r w:rsidRPr="002A0D00">
        <w:t>open and available to the public</w:t>
      </w:r>
      <w:r w:rsidR="00A344F5">
        <w:t xml:space="preserve"> </w:t>
      </w:r>
      <w:r w:rsidR="000B7E62">
        <w:t>for</w:t>
      </w:r>
      <w:r w:rsidRPr="002A0D00">
        <w:t xml:space="preserve"> monitor</w:t>
      </w:r>
      <w:r w:rsidR="000B7E62">
        <w:t>ing</w:t>
      </w:r>
      <w:r w:rsidRPr="002A0D00">
        <w:t xml:space="preserve"> all PJM </w:t>
      </w:r>
      <w:r w:rsidR="002A0D00">
        <w:t>t</w:t>
      </w:r>
      <w:r w:rsidRPr="002A0D00">
        <w:t>ransmission</w:t>
      </w:r>
      <w:r w:rsidR="002A0D00">
        <w:t>-</w:t>
      </w:r>
      <w:r w:rsidRPr="002A0D00">
        <w:t xml:space="preserve">expansion needs and potential solutions for the entire PJM </w:t>
      </w:r>
      <w:r w:rsidR="002A0D00">
        <w:t>b</w:t>
      </w:r>
      <w:r w:rsidRPr="002A0D00">
        <w:t xml:space="preserve">ulk </w:t>
      </w:r>
      <w:r w:rsidR="002A0D00">
        <w:t>e</w:t>
      </w:r>
      <w:r w:rsidRPr="002A0D00">
        <w:t xml:space="preserve">lectric </w:t>
      </w:r>
      <w:r w:rsidR="002A0D00">
        <w:t>s</w:t>
      </w:r>
      <w:r w:rsidRPr="002A0D00">
        <w:t xml:space="preserve">ystem as they are developed by PJM staff. This information is </w:t>
      </w:r>
      <w:r w:rsidR="00A344F5">
        <w:t xml:space="preserve">essential in evaluating </w:t>
      </w:r>
      <w:r w:rsidR="002A0D00">
        <w:t>proposals for</w:t>
      </w:r>
      <w:r w:rsidRPr="002A0D00">
        <w:t xml:space="preserve"> </w:t>
      </w:r>
      <w:r w:rsidR="002A0D00">
        <w:t>i</w:t>
      </w:r>
      <w:r w:rsidRPr="002A0D00">
        <w:t xml:space="preserve">nterregional </w:t>
      </w:r>
      <w:r w:rsidR="002A0D00">
        <w:t>t</w:t>
      </w:r>
      <w:r w:rsidRPr="002A0D00">
        <w:t xml:space="preserve">ransmission </w:t>
      </w:r>
      <w:r w:rsidR="002A0D00">
        <w:t>p</w:t>
      </w:r>
      <w:r w:rsidRPr="002A0D00">
        <w:t>rojects</w:t>
      </w:r>
      <w:r w:rsidR="00A344F5">
        <w:t>, which</w:t>
      </w:r>
      <w:r w:rsidRPr="002A0D00">
        <w:t xml:space="preserve"> must </w:t>
      </w:r>
      <w:r w:rsidRPr="002A0D00">
        <w:lastRenderedPageBreak/>
        <w:t>satisfy needs in more than one region and be a more efficient or cost</w:t>
      </w:r>
      <w:r w:rsidR="002A0D00">
        <w:t>-</w:t>
      </w:r>
      <w:r w:rsidRPr="002A0D00">
        <w:t xml:space="preserve">effective solution compared </w:t>
      </w:r>
      <w:r w:rsidR="002A0D00">
        <w:t>with</w:t>
      </w:r>
      <w:r w:rsidRPr="002A0D00">
        <w:t xml:space="preserve"> the regional solution.</w:t>
      </w:r>
      <w:r w:rsidR="000B7E62">
        <w:rPr>
          <w:rStyle w:val="FootnoteReference"/>
        </w:rPr>
        <w:footnoteReference w:id="17"/>
      </w:r>
    </w:p>
    <w:p w:rsidR="00D35CA6" w:rsidRPr="002A0D00" w:rsidRDefault="00D35CA6" w:rsidP="002A0D00">
      <w:r w:rsidRPr="00970421">
        <w:t>PJM’s annual Regional Transmission Expansion Plan (RTEP) Report describes transmission study input data, processes</w:t>
      </w:r>
      <w:r w:rsidR="000B7E62">
        <w:t>,</w:t>
      </w:r>
      <w:r w:rsidRPr="00970421">
        <w:t xml:space="preserve"> and results, as well as PJM </w:t>
      </w:r>
      <w:r w:rsidR="000B7E62">
        <w:t>b</w:t>
      </w:r>
      <w:r w:rsidRPr="00970421">
        <w:t>oard-approved transmission upgrades and process changes during the previous year. Periodically, PJM publishes white papers that present study input parameters and address transmission planning topics of current stakeholder interest.</w:t>
      </w:r>
      <w:r w:rsidR="000B7E62" w:rsidRPr="00970421">
        <w:rPr>
          <w:rStyle w:val="FootnoteReference"/>
        </w:rPr>
        <w:footnoteReference w:id="18"/>
      </w:r>
      <w:r w:rsidR="000B7E62" w:rsidRPr="00970421">
        <w:t xml:space="preserve"> </w:t>
      </w:r>
    </w:p>
    <w:p w:rsidR="00280417" w:rsidRPr="002A0D00" w:rsidRDefault="00280417" w:rsidP="002A0D00">
      <w:r w:rsidRPr="008D005A">
        <w:t xml:space="preserve">PJM load forecasts and </w:t>
      </w:r>
      <w:r w:rsidR="00A344F5" w:rsidRPr="008D005A">
        <w:t>associated</w:t>
      </w:r>
      <w:r w:rsidRPr="008D005A">
        <w:t xml:space="preserve"> materials are of particular interest </w:t>
      </w:r>
      <w:r w:rsidR="00A344F5" w:rsidRPr="008D005A">
        <w:t>in 2016</w:t>
      </w:r>
      <w:r w:rsidRPr="008D005A">
        <w:t xml:space="preserve"> </w:t>
      </w:r>
      <w:r w:rsidR="000B7E62" w:rsidRPr="008D005A">
        <w:t>because</w:t>
      </w:r>
      <w:r w:rsidRPr="008D005A">
        <w:t xml:space="preserve"> </w:t>
      </w:r>
      <w:r w:rsidR="002B031F" w:rsidRPr="008D005A">
        <w:t xml:space="preserve">PJM </w:t>
      </w:r>
      <w:r w:rsidRPr="008D005A">
        <w:t>has comprehensively updated and improved</w:t>
      </w:r>
      <w:r w:rsidR="002B031F" w:rsidRPr="008D005A">
        <w:t xml:space="preserve"> the process</w:t>
      </w:r>
      <w:r w:rsidRPr="008D005A">
        <w:t xml:space="preserve">, resulting in </w:t>
      </w:r>
      <w:r w:rsidR="00885134" w:rsidRPr="008D005A">
        <w:t xml:space="preserve">significantly </w:t>
      </w:r>
      <w:r w:rsidRPr="008D005A">
        <w:t>improved</w:t>
      </w:r>
      <w:r w:rsidR="00852695" w:rsidRPr="008D005A">
        <w:t xml:space="preserve"> load forecast</w:t>
      </w:r>
      <w:r w:rsidRPr="008D005A">
        <w:t xml:space="preserve"> accuracy </w:t>
      </w:r>
      <w:r w:rsidR="00852695" w:rsidRPr="008D005A">
        <w:t xml:space="preserve">in terms of a </w:t>
      </w:r>
      <w:r w:rsidRPr="008D005A">
        <w:t>reduction in forecast model error.</w:t>
      </w:r>
      <w:r w:rsidR="000B7E62" w:rsidRPr="008D005A">
        <w:rPr>
          <w:rStyle w:val="FootnoteReference"/>
        </w:rPr>
        <w:footnoteReference w:id="19"/>
      </w:r>
    </w:p>
    <w:p w:rsidR="00280417" w:rsidRPr="002A0D00" w:rsidRDefault="00280417" w:rsidP="002A0D00">
      <w:r w:rsidRPr="002A0D00">
        <w:t xml:space="preserve">Enhancements </w:t>
      </w:r>
      <w:r w:rsidR="00811AB6">
        <w:t xml:space="preserve">in PJM </w:t>
      </w:r>
      <w:r w:rsidRPr="002A0D00">
        <w:t>include</w:t>
      </w:r>
      <w:r w:rsidR="00811AB6">
        <w:t xml:space="preserve"> the following</w:t>
      </w:r>
      <w:r w:rsidRPr="002A0D00">
        <w:t>:</w:t>
      </w:r>
    </w:p>
    <w:p w:rsidR="00280417" w:rsidRPr="002A0D00" w:rsidRDefault="00811AB6" w:rsidP="002A0D00">
      <w:pPr>
        <w:pStyle w:val="ListParagraph"/>
      </w:pPr>
      <w:r>
        <w:t>A r</w:t>
      </w:r>
      <w:r w:rsidR="00280417" w:rsidRPr="002A0D00">
        <w:t>eduction in weather data to 20 years of history from 40 years</w:t>
      </w:r>
    </w:p>
    <w:p w:rsidR="00280417" w:rsidRPr="002A0D00" w:rsidRDefault="00811AB6" w:rsidP="002A0D00">
      <w:pPr>
        <w:pStyle w:val="ListParagraph"/>
      </w:pPr>
      <w:r>
        <w:t xml:space="preserve">The integration </w:t>
      </w:r>
      <w:r w:rsidR="002B031F">
        <w:t xml:space="preserve">into the forecast </w:t>
      </w:r>
      <w:r>
        <w:t>of l</w:t>
      </w:r>
      <w:r w:rsidR="00280417" w:rsidRPr="002A0D00">
        <w:t>oad response to weather variables for cooling, heating</w:t>
      </w:r>
      <w:r>
        <w:t>,</w:t>
      </w:r>
      <w:r w:rsidR="00280417" w:rsidRPr="002A0D00">
        <w:t xml:space="preserve"> and “other” to account for trends in equipment</w:t>
      </w:r>
      <w:r w:rsidR="002B031F">
        <w:t xml:space="preserve"> and </w:t>
      </w:r>
      <w:r w:rsidR="00280417" w:rsidRPr="002A0D00">
        <w:t>appliance saturation and efficiency</w:t>
      </w:r>
    </w:p>
    <w:p w:rsidR="00280417" w:rsidRPr="002A0D00" w:rsidRDefault="00280417" w:rsidP="002A0D00">
      <w:pPr>
        <w:pStyle w:val="ListParagraph"/>
      </w:pPr>
      <w:r w:rsidRPr="002A0D00">
        <w:t>Refinements to weather factors used in the forecast</w:t>
      </w:r>
    </w:p>
    <w:p w:rsidR="00280417" w:rsidRPr="002A0D00" w:rsidRDefault="00811AB6" w:rsidP="00960F60">
      <w:pPr>
        <w:pStyle w:val="ListParagraph"/>
        <w:spacing w:after="240"/>
      </w:pPr>
      <w:r>
        <w:t>The reflection of d</w:t>
      </w:r>
      <w:r w:rsidR="00280417" w:rsidRPr="002A0D00">
        <w:t xml:space="preserve">istributed solar generation in the historical load data used to estimate the models and </w:t>
      </w:r>
      <w:r>
        <w:t xml:space="preserve">the use of </w:t>
      </w:r>
      <w:r w:rsidR="00280417" w:rsidRPr="002A0D00">
        <w:t>a separately-derived solar forecast to adjust the load forecasts</w:t>
      </w:r>
    </w:p>
    <w:p w:rsidR="00280417" w:rsidRPr="002A0D00" w:rsidRDefault="00280417" w:rsidP="002A0D00">
      <w:r w:rsidRPr="002A0D00">
        <w:t xml:space="preserve">Interregional </w:t>
      </w:r>
      <w:r w:rsidRPr="00960F60">
        <w:t xml:space="preserve">projects </w:t>
      </w:r>
      <w:r w:rsidR="002B031F" w:rsidRPr="00960F60">
        <w:t>are</w:t>
      </w:r>
      <w:r w:rsidRPr="00960F60">
        <w:t xml:space="preserve"> proposed</w:t>
      </w:r>
      <w:r w:rsidRPr="002A0D00">
        <w:t xml:space="preserve"> in PJM’s competitive transmission solution solicitation (“windows”) process and specified as an interregional project proposal.</w:t>
      </w:r>
      <w:r w:rsidR="00811AB6">
        <w:rPr>
          <w:rStyle w:val="FootnoteReference"/>
        </w:rPr>
        <w:footnoteReference w:id="20"/>
      </w:r>
      <w:r w:rsidRPr="002A0D00">
        <w:t xml:space="preserve"> </w:t>
      </w:r>
      <w:hyperlink w:history="1"/>
      <w:r w:rsidR="002B031F">
        <w:t xml:space="preserve">PJM’s </w:t>
      </w:r>
      <w:r w:rsidRPr="002A0D00">
        <w:t xml:space="preserve">information </w:t>
      </w:r>
      <w:r w:rsidR="002B031F">
        <w:t xml:space="preserve">on </w:t>
      </w:r>
      <w:r w:rsidR="00852695">
        <w:t xml:space="preserve">regional and </w:t>
      </w:r>
      <w:r w:rsidR="002B031F">
        <w:t xml:space="preserve">interregional planning </w:t>
      </w:r>
      <w:r w:rsidRPr="002A0D00">
        <w:t xml:space="preserve">provides interested </w:t>
      </w:r>
      <w:r w:rsidR="00811AB6">
        <w:t>s</w:t>
      </w:r>
      <w:r w:rsidRPr="002A0D00">
        <w:t>takeholders with necessary PJM information to prepare for</w:t>
      </w:r>
      <w:r w:rsidR="002B031F">
        <w:t xml:space="preserve"> participation in</w:t>
      </w:r>
      <w:r w:rsidRPr="002A0D00">
        <w:t xml:space="preserve"> </w:t>
      </w:r>
      <w:r w:rsidR="00811AB6">
        <w:t>i</w:t>
      </w:r>
      <w:r w:rsidRPr="002A0D00">
        <w:t xml:space="preserve">nterregional planning under </w:t>
      </w:r>
      <w:r w:rsidRPr="002B031F">
        <w:t xml:space="preserve">the </w:t>
      </w:r>
      <w:r w:rsidR="00811AB6" w:rsidRPr="00A6195B">
        <w:t>Amended Planning</w:t>
      </w:r>
      <w:r w:rsidR="00811AB6">
        <w:t xml:space="preserve"> </w:t>
      </w:r>
      <w:r w:rsidRPr="00A6195B">
        <w:t xml:space="preserve">Protocol and the </w:t>
      </w:r>
      <w:r w:rsidRPr="002A0D00">
        <w:t xml:space="preserve">Northeast </w:t>
      </w:r>
      <w:r w:rsidR="000D74E5">
        <w:t>p</w:t>
      </w:r>
      <w:r w:rsidRPr="002A0D00">
        <w:t>rotocol version</w:t>
      </w:r>
      <w:r w:rsidR="000D74E5">
        <w:t xml:space="preserve"> of IP</w:t>
      </w:r>
      <w:r w:rsidR="0029439B">
        <w:t>S</w:t>
      </w:r>
      <w:r w:rsidR="000D74E5">
        <w:t>AC (n</w:t>
      </w:r>
      <w:r w:rsidRPr="002A0D00">
        <w:t xml:space="preserve">ote that a Midcontinent version of the </w:t>
      </w:r>
      <w:r w:rsidR="00950A8B" w:rsidRPr="002A0D00">
        <w:t>I</w:t>
      </w:r>
      <w:r w:rsidRPr="002A0D00">
        <w:t>PSAC</w:t>
      </w:r>
      <w:r w:rsidR="002B031F">
        <w:t xml:space="preserve"> also exists</w:t>
      </w:r>
      <w:r w:rsidRPr="002A0D00">
        <w:t>)</w:t>
      </w:r>
      <w:r w:rsidR="000D74E5">
        <w:t>.</w:t>
      </w:r>
    </w:p>
    <w:p w:rsidR="00280417" w:rsidRPr="002A0D00" w:rsidRDefault="00103F0E" w:rsidP="002A0D00">
      <w:r w:rsidRPr="00960F60">
        <w:t xml:space="preserve">As shown in </w:t>
      </w:r>
      <w:r w:rsidR="00F172D2">
        <w:fldChar w:fldCharType="begin"/>
      </w:r>
      <w:r w:rsidR="00F172D2">
        <w:instrText xml:space="preserve"> REF _Ref442362332 \h  \* MERGEFORMAT </w:instrText>
      </w:r>
      <w:r w:rsidR="00F172D2">
        <w:fldChar w:fldCharType="separate"/>
      </w:r>
      <w:r w:rsidR="00E92FF3">
        <w:t xml:space="preserve">Figure </w:t>
      </w:r>
      <w:r w:rsidR="00E92FF3">
        <w:rPr>
          <w:noProof/>
        </w:rPr>
        <w:t>3</w:t>
      </w:r>
      <w:r w:rsidR="00E92FF3">
        <w:rPr>
          <w:noProof/>
        </w:rPr>
        <w:noBreakHyphen/>
        <w:t>1</w:t>
      </w:r>
      <w:r w:rsidR="00F172D2">
        <w:fldChar w:fldCharType="end"/>
      </w:r>
      <w:r w:rsidRPr="00960F60">
        <w:t xml:space="preserve"> and </w:t>
      </w:r>
      <w:r w:rsidR="00F172D2">
        <w:fldChar w:fldCharType="begin"/>
      </w:r>
      <w:r w:rsidR="00F172D2">
        <w:instrText xml:space="preserve"> REF _Ref442362337 \h  \* MERGEFORMAT </w:instrText>
      </w:r>
      <w:r w:rsidR="00F172D2">
        <w:fldChar w:fldCharType="separate"/>
      </w:r>
      <w:r w:rsidR="00E92FF3" w:rsidRPr="00894400">
        <w:t xml:space="preserve">Figure </w:t>
      </w:r>
      <w:r w:rsidR="00E92FF3">
        <w:t>3</w:t>
      </w:r>
      <w:r w:rsidR="00E92FF3" w:rsidRPr="00894400">
        <w:noBreakHyphen/>
      </w:r>
      <w:r w:rsidR="00E92FF3">
        <w:t>2</w:t>
      </w:r>
      <w:r w:rsidR="00F172D2">
        <w:fldChar w:fldCharType="end"/>
      </w:r>
      <w:r w:rsidRPr="00960F60">
        <w:t xml:space="preserve">, PJM follows </w:t>
      </w:r>
      <w:r w:rsidR="00852695">
        <w:t xml:space="preserve">annual and </w:t>
      </w:r>
      <w:r w:rsidRPr="00960F60">
        <w:t>two-year planning cycles to meet reliability and market</w:t>
      </w:r>
      <w:r w:rsidR="002B031F">
        <w:t>-</w:t>
      </w:r>
      <w:r w:rsidRPr="00960F60">
        <w:t>efficiency requirements</w:t>
      </w:r>
      <w:r w:rsidR="00811ADF" w:rsidRPr="00960F60">
        <w:t xml:space="preserve">. </w:t>
      </w:r>
      <w:r w:rsidR="00852695">
        <w:t>In practice, most of the reliability planning occurs in the annual cycle of criteria evaluations. Longer-term or more complex reliability issues and market</w:t>
      </w:r>
      <w:r w:rsidR="008D005A">
        <w:t>-</w:t>
      </w:r>
      <w:r w:rsidR="00852695">
        <w:t>efficiency issues are generally addressed in the two-year cycle. Interregional projects may be presented in any PJM proposal window</w:t>
      </w:r>
      <w:r w:rsidR="008D005A">
        <w:t>;</w:t>
      </w:r>
      <w:r w:rsidR="00852695">
        <w:t xml:space="preserve"> however, the long-term window of the two-year cycle is </w:t>
      </w:r>
      <w:r w:rsidR="00852695" w:rsidRPr="0069700C">
        <w:t xml:space="preserve">likely to be the </w:t>
      </w:r>
      <w:r w:rsidR="008D005A" w:rsidRPr="0069700C">
        <w:t xml:space="preserve">most </w:t>
      </w:r>
      <w:r w:rsidR="004C14FD" w:rsidRPr="0069700C">
        <w:t>r</w:t>
      </w:r>
      <w:r w:rsidR="00AA580D" w:rsidRPr="0069700C">
        <w:t xml:space="preserve">ealistic </w:t>
      </w:r>
      <w:r w:rsidR="00852695" w:rsidRPr="0069700C">
        <w:t xml:space="preserve">option </w:t>
      </w:r>
      <w:r w:rsidR="00AA580D" w:rsidRPr="0069700C">
        <w:t>for coordinating with the schedules of neighboring regions</w:t>
      </w:r>
      <w:r w:rsidR="00811ADF" w:rsidRPr="0069700C">
        <w:t>.</w:t>
      </w:r>
      <w:r w:rsidR="00811ADF" w:rsidRPr="00960F60">
        <w:t xml:space="preserve"> </w:t>
      </w:r>
    </w:p>
    <w:p w:rsidR="00280417" w:rsidRDefault="008E31D7" w:rsidP="00642AD8">
      <w:pPr>
        <w:spacing w:after="0" w:line="240" w:lineRule="auto"/>
        <w:rPr>
          <w:rFonts w:eastAsia="Cambria" w:cs="Cambria"/>
          <w:bCs/>
          <w:sz w:val="20"/>
          <w:szCs w:val="20"/>
        </w:rPr>
      </w:pPr>
      <w:r>
        <w:rPr>
          <w:noProof/>
        </w:rPr>
        <w:lastRenderedPageBreak/>
        <w:drawing>
          <wp:inline distT="0" distB="0" distL="0" distR="0" wp14:anchorId="7BF83514" wp14:editId="7C193574">
            <wp:extent cx="5943600" cy="3328670"/>
            <wp:effectExtent l="0" t="0" r="0" b="5080"/>
            <wp:docPr id="19" name="Picture 3" descr="N:\users\linj\IPSAC_NY_NE\IPSAC_Activities\IPSAC_2015_Presentation_And_Others\PJM_Slides\24_Month_Reliability_Planning_Cy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N:\users\linj\IPSAC_NY_NE\IPSAC_Activities\IPSAC_2015_Presentation_And_Others\PJM_Slides\24_Month_Reliability_Planning_Cycle.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3328670"/>
                    </a:xfrm>
                    <a:prstGeom prst="rect">
                      <a:avLst/>
                    </a:prstGeom>
                    <a:noFill/>
                    <a:extLst/>
                  </pic:spPr>
                </pic:pic>
              </a:graphicData>
            </a:graphic>
          </wp:inline>
        </w:drawing>
      </w:r>
    </w:p>
    <w:p w:rsidR="00103F0E" w:rsidRPr="002A0D00" w:rsidRDefault="00543CFE" w:rsidP="00642AD8">
      <w:pPr>
        <w:pStyle w:val="Caption"/>
        <w:spacing w:before="120"/>
        <w:jc w:val="center"/>
        <w:rPr>
          <w:rFonts w:eastAsia="Cambria" w:cs="Cambria"/>
          <w:szCs w:val="20"/>
        </w:rPr>
      </w:pPr>
      <w:bookmarkStart w:id="39" w:name="_Ref442362332"/>
      <w:bookmarkStart w:id="40" w:name="_Toc443909859"/>
      <w:r>
        <w:t xml:space="preserve">Figure </w:t>
      </w:r>
      <w:r w:rsidR="002A40C6">
        <w:fldChar w:fldCharType="begin"/>
      </w:r>
      <w:r w:rsidR="008C4788">
        <w:instrText xml:space="preserve"> STYLEREF 1 \s </w:instrText>
      </w:r>
      <w:r w:rsidR="002A40C6">
        <w:fldChar w:fldCharType="separate"/>
      </w:r>
      <w:r w:rsidR="00E92FF3">
        <w:rPr>
          <w:noProof/>
        </w:rPr>
        <w:t>3</w:t>
      </w:r>
      <w:r w:rsidR="002A40C6">
        <w:rPr>
          <w:noProof/>
        </w:rPr>
        <w:fldChar w:fldCharType="end"/>
      </w:r>
      <w:r>
        <w:noBreakHyphen/>
      </w:r>
      <w:r w:rsidR="002A40C6">
        <w:fldChar w:fldCharType="begin"/>
      </w:r>
      <w:r w:rsidR="008C4788">
        <w:instrText xml:space="preserve"> SEQ Figure \* ARABIC \s 1 </w:instrText>
      </w:r>
      <w:r w:rsidR="002A40C6">
        <w:fldChar w:fldCharType="separate"/>
      </w:r>
      <w:r w:rsidR="00E92FF3">
        <w:rPr>
          <w:noProof/>
        </w:rPr>
        <w:t>1</w:t>
      </w:r>
      <w:r w:rsidR="002A40C6">
        <w:rPr>
          <w:noProof/>
        </w:rPr>
        <w:fldChar w:fldCharType="end"/>
      </w:r>
      <w:bookmarkEnd w:id="39"/>
      <w:r w:rsidR="00103F0E" w:rsidRPr="002A0D00">
        <w:rPr>
          <w:rFonts w:eastAsia="Cambria" w:cs="Cambria"/>
          <w:szCs w:val="20"/>
        </w:rPr>
        <w:t>: PJM’s Two</w:t>
      </w:r>
      <w:r w:rsidR="00103F0E">
        <w:rPr>
          <w:rFonts w:eastAsia="Cambria" w:cs="Cambria"/>
          <w:b w:val="0"/>
          <w:bCs w:val="0"/>
          <w:szCs w:val="20"/>
        </w:rPr>
        <w:t>-</w:t>
      </w:r>
      <w:r>
        <w:rPr>
          <w:rFonts w:eastAsia="Cambria" w:cs="Cambria"/>
          <w:b w:val="0"/>
          <w:bCs w:val="0"/>
          <w:szCs w:val="20"/>
        </w:rPr>
        <w:t>Y</w:t>
      </w:r>
      <w:r w:rsidR="00103F0E" w:rsidRPr="002A0D00">
        <w:rPr>
          <w:rFonts w:eastAsia="Cambria" w:cs="Cambria"/>
          <w:szCs w:val="20"/>
        </w:rPr>
        <w:t>ear Reliability Planning Cycle</w:t>
      </w:r>
      <w:r>
        <w:rPr>
          <w:rFonts w:eastAsia="Cambria" w:cs="Cambria"/>
          <w:szCs w:val="20"/>
        </w:rPr>
        <w:t>.</w:t>
      </w:r>
      <w:bookmarkEnd w:id="40"/>
    </w:p>
    <w:p w:rsidR="00280417" w:rsidRDefault="00280417" w:rsidP="00280417">
      <w:pPr>
        <w:spacing w:before="10"/>
        <w:rPr>
          <w:rFonts w:eastAsia="Cambria" w:cs="Cambria"/>
          <w:bCs/>
          <w:sz w:val="20"/>
          <w:szCs w:val="20"/>
        </w:rPr>
      </w:pPr>
    </w:p>
    <w:p w:rsidR="00280417" w:rsidRPr="005659F2" w:rsidRDefault="008E31D7" w:rsidP="00642AD8">
      <w:pPr>
        <w:spacing w:after="0" w:line="240" w:lineRule="auto"/>
        <w:rPr>
          <w:rFonts w:eastAsia="Cambria" w:cs="Cambria"/>
          <w:bCs/>
          <w:sz w:val="20"/>
          <w:szCs w:val="20"/>
        </w:rPr>
      </w:pPr>
      <w:r>
        <w:rPr>
          <w:noProof/>
        </w:rPr>
        <w:drawing>
          <wp:inline distT="0" distB="0" distL="0" distR="0" wp14:anchorId="6E249734" wp14:editId="0CC98DAB">
            <wp:extent cx="5943600" cy="3487420"/>
            <wp:effectExtent l="0" t="0" r="0" b="0"/>
            <wp:docPr id="20" name="Picture 3" descr="N:\users\linj\IPSAC_NY_NE\IPSAC_Activities\IPSAC_2015_Presentation_And_Others\PJM_Slides\24_Month_Market_Efficiency_Cy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descr="N:\users\linj\IPSAC_NY_NE\IPSAC_Activities\IPSAC_2015_Presentation_And_Others\PJM_Slides\24_Month_Market_Efficiency_Cycle.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3487420"/>
                    </a:xfrm>
                    <a:prstGeom prst="rect">
                      <a:avLst/>
                    </a:prstGeom>
                    <a:noFill/>
                    <a:extLst/>
                  </pic:spPr>
                </pic:pic>
              </a:graphicData>
            </a:graphic>
          </wp:inline>
        </w:drawing>
      </w:r>
    </w:p>
    <w:p w:rsidR="00280417" w:rsidRPr="00960F60" w:rsidRDefault="00543CFE" w:rsidP="00642AD8">
      <w:pPr>
        <w:pStyle w:val="Caption"/>
        <w:spacing w:before="120"/>
        <w:jc w:val="center"/>
      </w:pPr>
      <w:bookmarkStart w:id="41" w:name="_Ref442362337"/>
      <w:bookmarkStart w:id="42" w:name="_Toc443909860"/>
      <w:r w:rsidRPr="00894400">
        <w:t xml:space="preserve">Figure </w:t>
      </w:r>
      <w:r w:rsidR="002A40C6">
        <w:fldChar w:fldCharType="begin"/>
      </w:r>
      <w:r w:rsidR="008C4788">
        <w:instrText xml:space="preserve"> STYLEREF 1 \s </w:instrText>
      </w:r>
      <w:r w:rsidR="002A40C6">
        <w:fldChar w:fldCharType="separate"/>
      </w:r>
      <w:r w:rsidR="00E92FF3">
        <w:rPr>
          <w:noProof/>
        </w:rPr>
        <w:t>3</w:t>
      </w:r>
      <w:r w:rsidR="002A40C6">
        <w:fldChar w:fldCharType="end"/>
      </w:r>
      <w:r w:rsidRPr="00894400">
        <w:noBreakHyphen/>
      </w:r>
      <w:r w:rsidR="002A40C6">
        <w:fldChar w:fldCharType="begin"/>
      </w:r>
      <w:r w:rsidR="008C4788">
        <w:instrText xml:space="preserve"> SEQ Figure \* ARABIC \s 1 </w:instrText>
      </w:r>
      <w:r w:rsidR="002A40C6">
        <w:fldChar w:fldCharType="separate"/>
      </w:r>
      <w:r w:rsidR="00E92FF3">
        <w:rPr>
          <w:noProof/>
        </w:rPr>
        <w:t>2</w:t>
      </w:r>
      <w:r w:rsidR="002A40C6">
        <w:fldChar w:fldCharType="end"/>
      </w:r>
      <w:bookmarkEnd w:id="41"/>
      <w:r w:rsidR="00103F0E" w:rsidRPr="00960F60">
        <w:t>: PJM’s Two-</w:t>
      </w:r>
      <w:r>
        <w:t>Y</w:t>
      </w:r>
      <w:r w:rsidR="00103F0E" w:rsidRPr="00960F60">
        <w:t>ear Market</w:t>
      </w:r>
      <w:r>
        <w:t>-</w:t>
      </w:r>
      <w:r w:rsidR="00103F0E" w:rsidRPr="00960F60">
        <w:t>Efficiency Planning Cycle</w:t>
      </w:r>
      <w:r>
        <w:t>.</w:t>
      </w:r>
      <w:bookmarkEnd w:id="42"/>
    </w:p>
    <w:p w:rsidR="00D35CA6" w:rsidRPr="00FE685F" w:rsidRDefault="0048023B" w:rsidP="00543CFE">
      <w:pPr>
        <w:pStyle w:val="Heading2"/>
      </w:pPr>
      <w:bookmarkStart w:id="43" w:name="_Toc442631677"/>
      <w:bookmarkStart w:id="44" w:name="_Toc442631961"/>
      <w:bookmarkStart w:id="45" w:name="3.2_NYISO_2012_Comprehensive_Reliability"/>
      <w:bookmarkStart w:id="46" w:name="_Toc442631678"/>
      <w:bookmarkStart w:id="47" w:name="_Toc443909848"/>
      <w:bookmarkEnd w:id="43"/>
      <w:bookmarkEnd w:id="44"/>
      <w:bookmarkEnd w:id="45"/>
      <w:r w:rsidRPr="00FE685F">
        <w:lastRenderedPageBreak/>
        <w:t>NYISO</w:t>
      </w:r>
      <w:bookmarkEnd w:id="46"/>
      <w:bookmarkEnd w:id="47"/>
      <w:r w:rsidRPr="00FE685F">
        <w:t xml:space="preserve"> </w:t>
      </w:r>
    </w:p>
    <w:p w:rsidR="00C059B4" w:rsidRDefault="00C059B4" w:rsidP="00C059B4">
      <w:r>
        <w:t>The NYISO’s Comprehensive System Planning Process (CSPP) provides for evaluation of transmission, generation, and demand-side solutions on a comparable basis to address reliability, economic, and public policy issues. The NYISO identifies reliability needs, economic congestion, and public policy needs and administers a process whereby solutions are proposed, evaluated, and implemented.</w:t>
      </w:r>
    </w:p>
    <w:p w:rsidR="00C059B4" w:rsidRDefault="00C059B4" w:rsidP="00C059B4">
      <w:r>
        <w:t>The Reliability Planning Process (RPP)</w:t>
      </w:r>
      <w:r w:rsidR="00044078" w:rsidRPr="00044078">
        <w:rPr>
          <w:rFonts w:cs="Times New Roman"/>
          <w:sz w:val="20"/>
          <w:vertAlign w:val="superscript"/>
        </w:rPr>
        <w:footnoteReference w:id="21"/>
      </w:r>
      <w:r>
        <w:t xml:space="preserve"> component of the CSPP is a biennial process that consists of two studies: the Reliability Needs Assessment (RNA) and the Comprehensive Reliability Plan (CRP). The RNA evaluates the resource adequacy and transmission system security of the New York bulk power system over a ten year study period, identifying Reliability Needs in accordance with applicable reliability criteria. After the RNA is complete, the NYISO requests the submission of solutions to satisfy the Reliability Needs. The CRP sets forth the NYISO’s findings regarding the proposed solutions and its plan to maintain reliability for the ten year study period. The NYISO completed its 2014 CRP</w:t>
      </w:r>
      <w:r w:rsidR="000505C8" w:rsidRPr="000505C8">
        <w:rPr>
          <w:rFonts w:cs="Times New Roman"/>
          <w:sz w:val="20"/>
          <w:vertAlign w:val="superscript"/>
        </w:rPr>
        <w:footnoteReference w:id="22"/>
      </w:r>
      <w:r>
        <w:t xml:space="preserve"> in July 2015 and the 2016 RNA will begin in April 2016.</w:t>
      </w:r>
    </w:p>
    <w:p w:rsidR="00C059B4" w:rsidRDefault="00C059B4" w:rsidP="00C059B4">
      <w:r>
        <w:t>Congestion Assessment and Resource Integration Studies (CARIS)</w:t>
      </w:r>
      <w:r w:rsidR="000505C8" w:rsidRPr="000505C8">
        <w:rPr>
          <w:rFonts w:cs="Times New Roman"/>
          <w:sz w:val="20"/>
          <w:vertAlign w:val="superscript"/>
        </w:rPr>
        <w:footnoteReference w:id="23"/>
      </w:r>
      <w:r w:rsidR="000505C8" w:rsidRPr="000505C8">
        <w:t xml:space="preserve"> </w:t>
      </w:r>
      <w:r>
        <w:t>is the economic planning process component of the CSPP based on the CRP and it is also a biennial study. CARIS Phase 1 examines congestion on the New York bulk power system, and the costs and benefits of generic alternatives to alleviate that congestion. During CARIS Phase 2, the NYISO evaluates specific transmission project proposals for regulated cost recovery. The 2015 CARIS I report was published in November 2015 and the 2016 CARIS Phase 2 study is currently underway.</w:t>
      </w:r>
      <w:r w:rsidR="00DD5A26">
        <w:rPr>
          <w:rStyle w:val="FootnoteReference"/>
        </w:rPr>
        <w:footnoteReference w:id="24"/>
      </w:r>
    </w:p>
    <w:p w:rsidR="00C059B4" w:rsidRDefault="00C059B4" w:rsidP="00C059B4">
      <w:r>
        <w:t>The latest component of the CSPP is the Public Policy Transmission Planning Process.</w:t>
      </w:r>
      <w:r w:rsidR="00AC737D">
        <w:rPr>
          <w:rStyle w:val="FootnoteReference"/>
        </w:rPr>
        <w:footnoteReference w:id="25"/>
      </w:r>
      <w:r>
        <w:t xml:space="preserve"> Under this process, interested parties propose and the New York State Public Service Commission (NYPSC) identifies transmission needs driven by Public Policy Requirements. A Public Policy Requirement is defined as a federal</w:t>
      </w:r>
      <w:r w:rsidR="00830DE0">
        <w:t>,</w:t>
      </w:r>
      <w:r>
        <w:t xml:space="preserve"> state</w:t>
      </w:r>
      <w:r w:rsidR="00830DE0">
        <w:t>, or local</w:t>
      </w:r>
      <w:r>
        <w:t xml:space="preserve"> law or regulation that drives the need for transmission. Phase 1 of the Public Policy Transmission Planning Process involves identifying needs and soliciting solutions.</w:t>
      </w:r>
      <w:r w:rsidR="00D25FA1">
        <w:t xml:space="preserve"> </w:t>
      </w:r>
      <w:r>
        <w:t xml:space="preserve">The NYISO then evaluates the viability and sufficiency of the proposed solutions to satisfy each identified Public Policy Transmission Need. In Phase 2, the NYISO evaluates and may select the more efficient or cost-effective transmission solution to each identified need. The NYISO is </w:t>
      </w:r>
      <w:r>
        <w:lastRenderedPageBreak/>
        <w:t xml:space="preserve">currently </w:t>
      </w:r>
      <w:r w:rsidR="00830DE0">
        <w:t xml:space="preserve">conducting </w:t>
      </w:r>
      <w:r>
        <w:t>Phase 1 for the Western NY Public Policy Transmission Need</w:t>
      </w:r>
      <w:r w:rsidR="00830DE0">
        <w:t xml:space="preserve"> to add transfer capability from western New York for hydroelectric output and Canadian resource imports</w:t>
      </w:r>
      <w:r w:rsidR="000505C8" w:rsidRPr="000505C8">
        <w:rPr>
          <w:rFonts w:cs="Times New Roman"/>
          <w:sz w:val="20"/>
          <w:vertAlign w:val="superscript"/>
        </w:rPr>
        <w:footnoteReference w:id="26"/>
      </w:r>
      <w:r w:rsidR="000505C8" w:rsidRPr="000505C8">
        <w:t xml:space="preserve"> </w:t>
      </w:r>
      <w:r>
        <w:t xml:space="preserve">and is evaluating the viability and sufficiency of the proposed solutions. The NYISO </w:t>
      </w:r>
      <w:r w:rsidR="00830DE0">
        <w:t xml:space="preserve">has </w:t>
      </w:r>
      <w:r>
        <w:t xml:space="preserve">also </w:t>
      </w:r>
      <w:r w:rsidR="00830DE0">
        <w:t xml:space="preserve">commenced </w:t>
      </w:r>
      <w:r>
        <w:t>Phase 1 for the AC Transmission Public Policy Transmission Need</w:t>
      </w:r>
      <w:r w:rsidR="00830DE0">
        <w:t xml:space="preserve"> to increase transfer capability across the Central East and UPNY/SENY transmission interfaces in New York</w:t>
      </w:r>
      <w:r>
        <w:t>,</w:t>
      </w:r>
      <w:r w:rsidR="000505C8" w:rsidRPr="000505C8">
        <w:rPr>
          <w:rFonts w:cs="Times New Roman"/>
          <w:sz w:val="20"/>
          <w:vertAlign w:val="superscript"/>
        </w:rPr>
        <w:footnoteReference w:id="27"/>
      </w:r>
      <w:r>
        <w:t xml:space="preserve"> </w:t>
      </w:r>
      <w:r w:rsidR="00830DE0">
        <w:t xml:space="preserve">by </w:t>
      </w:r>
      <w:r>
        <w:t>issu</w:t>
      </w:r>
      <w:r w:rsidR="00830DE0">
        <w:t xml:space="preserve">ing </w:t>
      </w:r>
      <w:r>
        <w:t>a solicitation for solutions on February 29, 2016; responses are due April 29, 2016.</w:t>
      </w:r>
    </w:p>
    <w:p w:rsidR="00C059B4" w:rsidRDefault="00C059B4" w:rsidP="00C059B4">
      <w:r>
        <w:t>Interregional planning is conducted with the NYISO’s neighboring control areas in the United States and Canada under the Amended Planning Protocol. Interregional Transmission Projects are proposed at the same time as regional solutions in accordance with the NYISO CSPP. The NYISO’s RNA, CRP, CARIS, and Public Policy Transmission Planning reports provide interested parties with the necessary information to prepare for participation in interregional planning under the Amended Planning Protocol.</w:t>
      </w:r>
      <w:bookmarkStart w:id="48" w:name="NYISO_2012_Comprehensive_Reliability_Pla"/>
      <w:bookmarkStart w:id="49" w:name="_bookmark24"/>
      <w:bookmarkStart w:id="50" w:name="_bookmark27"/>
      <w:bookmarkStart w:id="51" w:name="NYISO_Economic_Studies"/>
      <w:bookmarkStart w:id="52" w:name="_bookmark28"/>
      <w:bookmarkStart w:id="53" w:name="Public_Policy"/>
      <w:bookmarkStart w:id="54" w:name="3.3_ISO_New_England_2013_Regional_System"/>
      <w:bookmarkStart w:id="55" w:name="_Toc442631679"/>
      <w:bookmarkStart w:id="56" w:name="_Toc443909849"/>
      <w:bookmarkEnd w:id="48"/>
      <w:bookmarkEnd w:id="49"/>
      <w:bookmarkEnd w:id="50"/>
      <w:bookmarkEnd w:id="51"/>
      <w:bookmarkEnd w:id="52"/>
      <w:bookmarkEnd w:id="53"/>
      <w:bookmarkEnd w:id="54"/>
    </w:p>
    <w:p w:rsidR="00BC0F55" w:rsidRPr="00960F60" w:rsidRDefault="0048023B" w:rsidP="002A0D00">
      <w:pPr>
        <w:pStyle w:val="Heading2"/>
      </w:pPr>
      <w:r w:rsidRPr="00960F60">
        <w:t>ISO New England</w:t>
      </w:r>
      <w:bookmarkEnd w:id="55"/>
      <w:bookmarkEnd w:id="56"/>
      <w:r w:rsidRPr="00960F60">
        <w:t xml:space="preserve"> </w:t>
      </w:r>
    </w:p>
    <w:p w:rsidR="00863A79" w:rsidRDefault="00CF48BE" w:rsidP="00543CFE">
      <w:r w:rsidRPr="00543CFE">
        <w:t xml:space="preserve">The </w:t>
      </w:r>
      <w:r w:rsidR="0048023B" w:rsidRPr="00543CFE">
        <w:t>ISO New</w:t>
      </w:r>
      <w:r w:rsidR="0048023B" w:rsidRPr="00543CFE">
        <w:rPr>
          <w:spacing w:val="-2"/>
        </w:rPr>
        <w:t xml:space="preserve"> </w:t>
      </w:r>
      <w:r w:rsidR="0048023B" w:rsidRPr="00543CFE">
        <w:t xml:space="preserve">England </w:t>
      </w:r>
      <w:r w:rsidRPr="00543CFE">
        <w:t xml:space="preserve">planning </w:t>
      </w:r>
      <w:r w:rsidRPr="00A6195B">
        <w:t>process</w:t>
      </w:r>
      <w:r w:rsidR="0048023B" w:rsidRPr="00A6195B">
        <w:rPr>
          <w:spacing w:val="-3"/>
        </w:rPr>
        <w:t xml:space="preserve"> </w:t>
      </w:r>
      <w:r w:rsidR="00D9008E" w:rsidRPr="00A6195B">
        <w:rPr>
          <w:spacing w:val="-3"/>
        </w:rPr>
        <w:t xml:space="preserve">continuously and </w:t>
      </w:r>
      <w:r w:rsidR="0048023B" w:rsidRPr="00A6195B">
        <w:t>comprehensive</w:t>
      </w:r>
      <w:r w:rsidRPr="00A6195B">
        <w:t>ly identifies system needs and solutions t</w:t>
      </w:r>
      <w:r w:rsidR="00863A79" w:rsidRPr="00A6195B">
        <w:t>o</w:t>
      </w:r>
      <w:r w:rsidRPr="00A6195B">
        <w:t xml:space="preserve"> meet th</w:t>
      </w:r>
      <w:r w:rsidR="00863A79" w:rsidRPr="00A6195B">
        <w:t>e</w:t>
      </w:r>
      <w:r w:rsidRPr="00A6195B">
        <w:t>se needs</w:t>
      </w:r>
      <w:r w:rsidR="00863A79" w:rsidRPr="00A6195B">
        <w:t>, such as</w:t>
      </w:r>
      <w:r w:rsidRPr="00A6195B">
        <w:t xml:space="preserve"> upgrades to the</w:t>
      </w:r>
      <w:r w:rsidR="0048023B" w:rsidRPr="00A6195B">
        <w:t xml:space="preserve"> transmission</w:t>
      </w:r>
      <w:r w:rsidR="006836E8" w:rsidRPr="00A6195B">
        <w:t xml:space="preserve"> </w:t>
      </w:r>
      <w:r w:rsidRPr="00A6195B">
        <w:t>s</w:t>
      </w:r>
      <w:r w:rsidRPr="00A6195B">
        <w:rPr>
          <w:spacing w:val="-2"/>
        </w:rPr>
        <w:t>ystem</w:t>
      </w:r>
      <w:r w:rsidR="00863A79" w:rsidRPr="00A6195B">
        <w:rPr>
          <w:spacing w:val="-2"/>
        </w:rPr>
        <w:t>,</w:t>
      </w:r>
      <w:r w:rsidRPr="00A6195B">
        <w:rPr>
          <w:spacing w:val="-2"/>
        </w:rPr>
        <w:t xml:space="preserve"> </w:t>
      </w:r>
      <w:r w:rsidR="0048023B" w:rsidRPr="00A6195B">
        <w:t>market responses, generation</w:t>
      </w:r>
      <w:r w:rsidR="00863A79" w:rsidRPr="00A6195B">
        <w:t>,</w:t>
      </w:r>
      <w:r w:rsidR="0048023B" w:rsidRPr="00A6195B">
        <w:rPr>
          <w:spacing w:val="-2"/>
        </w:rPr>
        <w:t xml:space="preserve"> </w:t>
      </w:r>
      <w:r w:rsidR="0048023B" w:rsidRPr="00A6195B">
        <w:t>or demand response.</w:t>
      </w:r>
      <w:r w:rsidR="00065FE9" w:rsidRPr="00A6195B">
        <w:t xml:space="preserve"> </w:t>
      </w:r>
      <w:r w:rsidRPr="00A6195B">
        <w:t xml:space="preserve">Through an open </w:t>
      </w:r>
      <w:r w:rsidR="00274D10" w:rsidRPr="00A6195B">
        <w:t>and transparent</w:t>
      </w:r>
      <w:r w:rsidR="00274D10">
        <w:t xml:space="preserve"> </w:t>
      </w:r>
      <w:r w:rsidRPr="00543CFE">
        <w:t>process, ISO</w:t>
      </w:r>
      <w:r w:rsidR="00863A79">
        <w:t>-NE</w:t>
      </w:r>
      <w:r w:rsidRPr="00543CFE">
        <w:t xml:space="preserve"> discusses study scopes of work, assumptions, and draft results</w:t>
      </w:r>
      <w:r w:rsidR="00863A79">
        <w:t xml:space="preserve"> with stakeholders</w:t>
      </w:r>
      <w:r w:rsidRPr="00543CFE">
        <w:t>.</w:t>
      </w:r>
      <w:r w:rsidR="00C73040" w:rsidRPr="00543CFE">
        <w:rPr>
          <w:rStyle w:val="FootnoteReference"/>
        </w:rPr>
        <w:footnoteReference w:id="28"/>
      </w:r>
      <w:r w:rsidR="00C73040" w:rsidRPr="00543CFE">
        <w:t xml:space="preserve"> </w:t>
      </w:r>
      <w:r w:rsidRPr="00543CFE">
        <w:t xml:space="preserve">The </w:t>
      </w:r>
      <w:r w:rsidR="00AE7AAC" w:rsidRPr="00543CFE">
        <w:t xml:space="preserve">discussions </w:t>
      </w:r>
      <w:r w:rsidR="002F150D">
        <w:t>address</w:t>
      </w:r>
      <w:r w:rsidR="00863A79">
        <w:t xml:space="preserve"> the following topics:</w:t>
      </w:r>
    </w:p>
    <w:p w:rsidR="00863A79" w:rsidRDefault="00863A79" w:rsidP="00960F60">
      <w:pPr>
        <w:pStyle w:val="ListParagraph"/>
      </w:pPr>
      <w:r>
        <w:t>F</w:t>
      </w:r>
      <w:r w:rsidR="00CF48BE" w:rsidRPr="00543CFE">
        <w:t>orecasts of the region’s annual and peak energy use</w:t>
      </w:r>
    </w:p>
    <w:p w:rsidR="00863A79" w:rsidRDefault="00863A79" w:rsidP="00960F60">
      <w:pPr>
        <w:pStyle w:val="ListParagraph"/>
      </w:pPr>
      <w:r>
        <w:t>E</w:t>
      </w:r>
      <w:r w:rsidR="00CF48BE" w:rsidRPr="00543CFE">
        <w:t xml:space="preserve">nergy efficiency and photovoltaic </w:t>
      </w:r>
      <w:r w:rsidR="006B6B0E">
        <w:t>(PV)</w:t>
      </w:r>
      <w:r w:rsidR="00257D7C">
        <w:t xml:space="preserve"> </w:t>
      </w:r>
      <w:r w:rsidR="00CF48BE" w:rsidRPr="00543CFE">
        <w:t>development</w:t>
      </w:r>
    </w:p>
    <w:p w:rsidR="00863A79" w:rsidRDefault="00863A79" w:rsidP="00960F60">
      <w:pPr>
        <w:pStyle w:val="ListParagraph"/>
      </w:pPr>
      <w:r>
        <w:t>A</w:t>
      </w:r>
      <w:r w:rsidR="00CF48BE" w:rsidRPr="00543CFE">
        <w:t>nalyses of the amount, operating characteristics, and locations of needed capacity and operating reserves</w:t>
      </w:r>
    </w:p>
    <w:p w:rsidR="00863A79" w:rsidRDefault="00863A79" w:rsidP="00960F60">
      <w:pPr>
        <w:pStyle w:val="ListParagraph"/>
      </w:pPr>
      <w:r>
        <w:t>A</w:t>
      </w:r>
      <w:r w:rsidR="00AE7AAC" w:rsidRPr="00543CFE">
        <w:t>ssessments of needs and transmission solutions to meet th</w:t>
      </w:r>
      <w:r>
        <w:t>e</w:t>
      </w:r>
      <w:r w:rsidR="00AE7AAC" w:rsidRPr="00543CFE">
        <w:t>se needs</w:t>
      </w:r>
    </w:p>
    <w:p w:rsidR="00863A79" w:rsidRDefault="00863A79" w:rsidP="00960F60">
      <w:pPr>
        <w:pStyle w:val="ListParagraph"/>
      </w:pPr>
      <w:r>
        <w:t>P</w:t>
      </w:r>
      <w:r w:rsidR="00AE7AAC" w:rsidRPr="00543CFE">
        <w:t xml:space="preserve">lanning coordination studies and initiatives affecting the </w:t>
      </w:r>
      <w:r w:rsidR="00D5642B">
        <w:t xml:space="preserve">interregional </w:t>
      </w:r>
      <w:r w:rsidR="00AE7AAC" w:rsidRPr="00543CFE">
        <w:t>planning of the system</w:t>
      </w:r>
    </w:p>
    <w:p w:rsidR="00863A79" w:rsidRDefault="00863A79" w:rsidP="00960F60">
      <w:pPr>
        <w:pStyle w:val="ListParagraph"/>
      </w:pPr>
      <w:r>
        <w:t>F</w:t>
      </w:r>
      <w:r w:rsidR="00AE7AAC" w:rsidRPr="00543CFE">
        <w:t>uel certainty</w:t>
      </w:r>
      <w:r w:rsidR="00C73040" w:rsidRPr="00543CFE">
        <w:t xml:space="preserve"> issues and how th</w:t>
      </w:r>
      <w:r>
        <w:t>e</w:t>
      </w:r>
      <w:r w:rsidR="00C73040" w:rsidRPr="00543CFE">
        <w:t>se issues are being addressed</w:t>
      </w:r>
    </w:p>
    <w:p w:rsidR="00863A79" w:rsidRDefault="00863A79" w:rsidP="00960F60">
      <w:pPr>
        <w:pStyle w:val="ListParagraph"/>
      </w:pPr>
      <w:r>
        <w:lastRenderedPageBreak/>
        <w:t>E</w:t>
      </w:r>
      <w:r w:rsidR="00AE7AAC" w:rsidRPr="00543CFE">
        <w:t>ffect</w:t>
      </w:r>
      <w:r>
        <w:t>s</w:t>
      </w:r>
      <w:r w:rsidR="00AE7AAC" w:rsidRPr="00543CFE">
        <w:t xml:space="preserve"> of generator compliance with environmental regulations on generator operating requirements and the need for remediation measures</w:t>
      </w:r>
    </w:p>
    <w:p w:rsidR="00863A79" w:rsidRDefault="00863A79" w:rsidP="00960F60">
      <w:pPr>
        <w:pStyle w:val="ListParagraph"/>
      </w:pPr>
      <w:r>
        <w:t>O</w:t>
      </w:r>
      <w:r w:rsidR="00AE7AAC" w:rsidRPr="00543CFE">
        <w:t xml:space="preserve">perating and planning for expansion of renewable resources, including wind generation and photovoltaic resources </w:t>
      </w:r>
    </w:p>
    <w:p w:rsidR="00863A79" w:rsidRDefault="00863A79" w:rsidP="00960F60">
      <w:pPr>
        <w:pStyle w:val="ListParagraph"/>
      </w:pPr>
      <w:r>
        <w:t>D</w:t>
      </w:r>
      <w:r w:rsidR="00AE7AAC" w:rsidRPr="00543CFE">
        <w:t>evelopment and integration of new technologies</w:t>
      </w:r>
    </w:p>
    <w:p w:rsidR="00466F20" w:rsidRPr="00543CFE" w:rsidRDefault="00863A79" w:rsidP="00960F60">
      <w:pPr>
        <w:pStyle w:val="ListParagraph"/>
        <w:spacing w:after="240"/>
      </w:pPr>
      <w:r>
        <w:t>E</w:t>
      </w:r>
      <w:r w:rsidR="00D35CA6" w:rsidRPr="00543CFE">
        <w:t>nhancements to operating and planning procedures affecting reliability</w:t>
      </w:r>
      <w:r w:rsidR="00AE7AAC" w:rsidRPr="00543CFE">
        <w:t xml:space="preserve"> </w:t>
      </w:r>
    </w:p>
    <w:p w:rsidR="00466F20" w:rsidRPr="00543CFE" w:rsidRDefault="00466F20" w:rsidP="00543CFE">
      <w:r w:rsidRPr="00A6195B">
        <w:t>ISO</w:t>
      </w:r>
      <w:r w:rsidR="00F21807" w:rsidRPr="00A6195B">
        <w:t xml:space="preserve">-NE’s </w:t>
      </w:r>
      <w:r w:rsidRPr="00543CFE">
        <w:t xml:space="preserve">stakeholder </w:t>
      </w:r>
      <w:r w:rsidR="00F21807">
        <w:t xml:space="preserve">planning </w:t>
      </w:r>
      <w:r w:rsidRPr="00543CFE">
        <w:t xml:space="preserve">forum </w:t>
      </w:r>
      <w:r w:rsidR="00F21807">
        <w:t xml:space="preserve">is </w:t>
      </w:r>
      <w:r w:rsidRPr="00543CFE">
        <w:t>the Planning Advisory Committee (PAC).</w:t>
      </w:r>
      <w:r w:rsidRPr="00543CFE">
        <w:rPr>
          <w:rStyle w:val="FootnoteReference"/>
        </w:rPr>
        <w:footnoteReference w:id="29"/>
      </w:r>
      <w:r w:rsidRPr="00543CFE">
        <w:t xml:space="preserve"> PAC membership is </w:t>
      </w:r>
      <w:r w:rsidRPr="00A6195B">
        <w:t>open to all and currently includes representatives from state and federal governmental agencies;</w:t>
      </w:r>
      <w:r w:rsidRPr="00543CFE">
        <w:t xml:space="preserve"> participating transmission owners (PTOs); ISO</w:t>
      </w:r>
      <w:r w:rsidR="00D5642B">
        <w:t>-</w:t>
      </w:r>
      <w:r w:rsidR="00894400">
        <w:t>NE</w:t>
      </w:r>
      <w:r w:rsidRPr="00543CFE">
        <w:t xml:space="preserve"> market participants; other New England Power Pool (NEPOOL) members; consulting companies; manufacturers; and other organizations, such as universities and environmental groups.</w:t>
      </w:r>
      <w:r w:rsidRPr="00543CFE">
        <w:rPr>
          <w:rStyle w:val="FootnoteReference"/>
        </w:rPr>
        <w:footnoteReference w:id="30"/>
      </w:r>
    </w:p>
    <w:p w:rsidR="00F00B1E" w:rsidRDefault="00F21807" w:rsidP="00543CFE">
      <w:r>
        <w:t xml:space="preserve">ISO-NE’s </w:t>
      </w:r>
      <w:r w:rsidR="0048023B" w:rsidRPr="00543CFE">
        <w:t>R</w:t>
      </w:r>
      <w:r w:rsidR="00466F20" w:rsidRPr="00543CFE">
        <w:t xml:space="preserve">egional </w:t>
      </w:r>
      <w:r w:rsidR="0048023B" w:rsidRPr="00543CFE">
        <w:t>S</w:t>
      </w:r>
      <w:r w:rsidR="00466F20" w:rsidRPr="00543CFE">
        <w:t xml:space="preserve">ystem </w:t>
      </w:r>
      <w:r w:rsidR="0048023B" w:rsidRPr="00543CFE">
        <w:t>P</w:t>
      </w:r>
      <w:r w:rsidR="00466F20" w:rsidRPr="00543CFE">
        <w:t>lan</w:t>
      </w:r>
      <w:r w:rsidR="0048023B" w:rsidRPr="00543CFE">
        <w:rPr>
          <w:spacing w:val="-2"/>
        </w:rPr>
        <w:t xml:space="preserve"> </w:t>
      </w:r>
      <w:r w:rsidR="00BF7144" w:rsidRPr="00543CFE">
        <w:rPr>
          <w:spacing w:val="-2"/>
        </w:rPr>
        <w:t xml:space="preserve">(RSP) </w:t>
      </w:r>
      <w:r w:rsidR="0048023B" w:rsidRPr="00543CFE">
        <w:t>is the</w:t>
      </w:r>
      <w:r w:rsidR="0048023B" w:rsidRPr="00543CFE">
        <w:rPr>
          <w:spacing w:val="-3"/>
        </w:rPr>
        <w:t xml:space="preserve"> </w:t>
      </w:r>
      <w:r w:rsidR="0048023B" w:rsidRPr="00543CFE">
        <w:t>culmination</w:t>
      </w:r>
      <w:r w:rsidR="0048023B" w:rsidRPr="00543CFE">
        <w:rPr>
          <w:spacing w:val="-2"/>
        </w:rPr>
        <w:t xml:space="preserve"> </w:t>
      </w:r>
      <w:r w:rsidR="0048023B" w:rsidRPr="00543CFE">
        <w:t>of a process with industry</w:t>
      </w:r>
      <w:r w:rsidR="0048023B" w:rsidRPr="00543CFE">
        <w:rPr>
          <w:spacing w:val="-2"/>
        </w:rPr>
        <w:t xml:space="preserve"> </w:t>
      </w:r>
      <w:r w:rsidR="0048023B" w:rsidRPr="00543CFE">
        <w:t>representatives and other</w:t>
      </w:r>
      <w:r w:rsidR="00D5642B">
        <w:t xml:space="preserve"> stakeholders</w:t>
      </w:r>
      <w:r w:rsidR="0048023B" w:rsidRPr="00543CFE">
        <w:t xml:space="preserve"> to analyze power system needs and solutions over</w:t>
      </w:r>
      <w:r w:rsidR="0048023B" w:rsidRPr="00543CFE">
        <w:rPr>
          <w:spacing w:val="-3"/>
        </w:rPr>
        <w:t xml:space="preserve"> </w:t>
      </w:r>
      <w:r w:rsidR="0048023B" w:rsidRPr="00543CFE">
        <w:t>a 10-year planning</w:t>
      </w:r>
      <w:r w:rsidR="0048023B" w:rsidRPr="00543CFE">
        <w:rPr>
          <w:spacing w:val="-2"/>
        </w:rPr>
        <w:t xml:space="preserve"> </w:t>
      </w:r>
      <w:r w:rsidR="0048023B" w:rsidRPr="00543CFE">
        <w:t>horizon.</w:t>
      </w:r>
      <w:r w:rsidR="00CF48BE" w:rsidRPr="00543CFE">
        <w:rPr>
          <w:rStyle w:val="FootnoteReference"/>
        </w:rPr>
        <w:footnoteReference w:id="31"/>
      </w:r>
      <w:r w:rsidR="00CF48BE" w:rsidRPr="00543CFE">
        <w:t xml:space="preserve"> </w:t>
      </w:r>
      <w:r w:rsidR="0048023B" w:rsidRPr="00543CFE">
        <w:t>RSP15</w:t>
      </w:r>
      <w:r w:rsidR="00960310" w:rsidRPr="00543CFE">
        <w:t xml:space="preserve"> </w:t>
      </w:r>
      <w:r w:rsidR="00103F0E" w:rsidRPr="00543CFE">
        <w:t xml:space="preserve">summarizes </w:t>
      </w:r>
      <w:r w:rsidR="00960310" w:rsidRPr="00543CFE">
        <w:t xml:space="preserve">the region’s </w:t>
      </w:r>
      <w:r w:rsidR="00103F0E" w:rsidRPr="00543CFE">
        <w:t xml:space="preserve">planning issues, including </w:t>
      </w:r>
      <w:r w:rsidR="00D9008E" w:rsidRPr="00543CFE">
        <w:t>demand forecast</w:t>
      </w:r>
      <w:r w:rsidR="00960310" w:rsidRPr="00543CFE">
        <w:t>s</w:t>
      </w:r>
      <w:r w:rsidR="00D9008E" w:rsidRPr="00543CFE">
        <w:t>, capacity issues, transmission system needs and solutions, market</w:t>
      </w:r>
      <w:r w:rsidR="00D9008E">
        <w:t xml:space="preserve"> resource alternatives to transmission development, s</w:t>
      </w:r>
      <w:r w:rsidR="00960310">
        <w:t>trategic planning issues, compliance with the FERC Order No. 1000, and other ISO initiatives</w:t>
      </w:r>
      <w:r w:rsidR="00811ADF">
        <w:t xml:space="preserve">. </w:t>
      </w:r>
      <w:r w:rsidR="00466F20">
        <w:t xml:space="preserve">In addition to publishing the Regional System Plan and </w:t>
      </w:r>
      <w:r w:rsidR="00466F20" w:rsidRPr="00960F60">
        <w:t xml:space="preserve">specific </w:t>
      </w:r>
      <w:r w:rsidRPr="00960F60">
        <w:t xml:space="preserve">transmission </w:t>
      </w:r>
      <w:r w:rsidR="00466F20" w:rsidRPr="00960F60">
        <w:t>needs</w:t>
      </w:r>
      <w:r w:rsidR="00466F20">
        <w:t xml:space="preserve"> assessments and solutions studies, the ISO issues the </w:t>
      </w:r>
      <w:r w:rsidR="00466F20" w:rsidRPr="00960F60">
        <w:rPr>
          <w:i/>
        </w:rPr>
        <w:t>RSP Project List</w:t>
      </w:r>
      <w:r w:rsidR="00466F20">
        <w:t>.</w:t>
      </w:r>
      <w:r w:rsidR="00BF7144" w:rsidRPr="0048401A">
        <w:rPr>
          <w:rStyle w:val="FootnoteReference"/>
        </w:rPr>
        <w:footnoteReference w:id="32"/>
      </w:r>
      <w:r w:rsidR="00BF7144">
        <w:t xml:space="preserve"> </w:t>
      </w:r>
      <w:r w:rsidR="00466F20">
        <w:t>The list includes the status of transmission upgrades during a project’s lifecycle and is updated several times per year.</w:t>
      </w:r>
      <w:r w:rsidR="005645EB">
        <w:t xml:space="preserve"> </w:t>
      </w:r>
    </w:p>
    <w:p w:rsidR="005645EB" w:rsidRPr="00543CFE" w:rsidRDefault="005645EB" w:rsidP="00543CFE">
      <w:pPr>
        <w:rPr>
          <w:rFonts w:eastAsia="Cambria"/>
        </w:rPr>
      </w:pPr>
      <w:r w:rsidRPr="00543CFE">
        <w:rPr>
          <w:rFonts w:eastAsia="Cambria"/>
        </w:rPr>
        <w:t>ISO</w:t>
      </w:r>
      <w:r w:rsidR="00894400">
        <w:rPr>
          <w:rFonts w:eastAsia="Cambria"/>
        </w:rPr>
        <w:t>-NE</w:t>
      </w:r>
      <w:r w:rsidRPr="00543CFE">
        <w:rPr>
          <w:rFonts w:eastAsia="Cambria"/>
        </w:rPr>
        <w:t xml:space="preserve"> studies evaluat</w:t>
      </w:r>
      <w:r w:rsidR="00D9008E">
        <w:t>e</w:t>
      </w:r>
      <w:r w:rsidRPr="00543CFE">
        <w:rPr>
          <w:rFonts w:eastAsia="Cambria"/>
        </w:rPr>
        <w:t xml:space="preserve"> proposed interconnections to and transmission service over the New England transmission system for projects listed in the </w:t>
      </w:r>
      <w:hyperlink r:id="rId17" w:history="1">
        <w:r w:rsidRPr="00543CFE">
          <w:rPr>
            <w:rFonts w:eastAsia="Cambria"/>
          </w:rPr>
          <w:t xml:space="preserve">ISO’s Interconnection </w:t>
        </w:r>
        <w:r w:rsidR="00115D36">
          <w:rPr>
            <w:rFonts w:eastAsia="Cambria"/>
          </w:rPr>
          <w:t xml:space="preserve">Request </w:t>
        </w:r>
        <w:r w:rsidRPr="00543CFE">
          <w:rPr>
            <w:rFonts w:eastAsia="Cambria"/>
          </w:rPr>
          <w:t>Queue</w:t>
        </w:r>
      </w:hyperlink>
      <w:r w:rsidRPr="00543CFE">
        <w:rPr>
          <w:rFonts w:eastAsia="Cambria"/>
        </w:rPr>
        <w:t>.</w:t>
      </w:r>
      <w:r w:rsidRPr="00960F60">
        <w:rPr>
          <w:rFonts w:asciiTheme="majorHAnsi" w:hAnsiTheme="majorHAnsi"/>
          <w:bCs/>
          <w:vertAlign w:val="superscript"/>
        </w:rPr>
        <w:footnoteReference w:id="33"/>
      </w:r>
      <w:r w:rsidRPr="001E4BD3">
        <w:rPr>
          <w:rFonts w:asciiTheme="minorHAnsi" w:hAnsiTheme="minorHAnsi"/>
          <w:b/>
          <w:bCs/>
        </w:rPr>
        <w:t xml:space="preserve"> </w:t>
      </w:r>
      <w:r w:rsidRPr="00543CFE">
        <w:rPr>
          <w:rFonts w:eastAsia="Cambria"/>
        </w:rPr>
        <w:t xml:space="preserve">The studies are </w:t>
      </w:r>
      <w:r>
        <w:t>contin</w:t>
      </w:r>
      <w:r w:rsidR="00D9008E">
        <w:t>u</w:t>
      </w:r>
      <w:r>
        <w:t xml:space="preserve">ously </w:t>
      </w:r>
      <w:r w:rsidRPr="00543CFE">
        <w:rPr>
          <w:rFonts w:eastAsia="Cambria"/>
        </w:rPr>
        <w:t xml:space="preserve">performed to ensure that system reliability criteria and standards for no adverse impact are met. They typically consist of thermal, voltage, stability, and short-circuit analyses and </w:t>
      </w:r>
      <w:r w:rsidR="00894400">
        <w:rPr>
          <w:rFonts w:eastAsia="Cambria"/>
        </w:rPr>
        <w:t>address</w:t>
      </w:r>
      <w:r w:rsidRPr="00543CFE">
        <w:rPr>
          <w:rFonts w:eastAsia="Cambria"/>
        </w:rPr>
        <w:t xml:space="preserve"> </w:t>
      </w:r>
      <w:r w:rsidR="00274D10">
        <w:rPr>
          <w:rFonts w:eastAsia="Cambria"/>
        </w:rPr>
        <w:t xml:space="preserve">the following </w:t>
      </w:r>
      <w:r w:rsidR="00894400">
        <w:rPr>
          <w:rFonts w:eastAsia="Cambria"/>
        </w:rPr>
        <w:t>topics</w:t>
      </w:r>
      <w:r w:rsidRPr="00543CFE">
        <w:rPr>
          <w:rFonts w:eastAsia="Cambria"/>
        </w:rPr>
        <w:t>:</w:t>
      </w:r>
    </w:p>
    <w:p w:rsidR="005645EB" w:rsidRPr="00543CFE" w:rsidRDefault="005645EB" w:rsidP="00543CFE">
      <w:pPr>
        <w:pStyle w:val="ListParagraph"/>
      </w:pPr>
      <w:r w:rsidRPr="00543CFE">
        <w:t>Interconnections of proposed generators</w:t>
      </w:r>
    </w:p>
    <w:p w:rsidR="005645EB" w:rsidRPr="00543CFE" w:rsidRDefault="005645EB" w:rsidP="00543CFE">
      <w:pPr>
        <w:pStyle w:val="ListParagraph"/>
      </w:pPr>
      <w:r w:rsidRPr="00543CFE">
        <w:t>Requests for an elective transmission expansion</w:t>
      </w:r>
    </w:p>
    <w:p w:rsidR="005645EB" w:rsidRPr="00543CFE" w:rsidRDefault="005645EB" w:rsidP="00543CFE">
      <w:pPr>
        <w:pStyle w:val="ListParagraph"/>
        <w:spacing w:after="240"/>
      </w:pPr>
      <w:r w:rsidRPr="00543CFE">
        <w:t xml:space="preserve">Requests for transmission service </w:t>
      </w:r>
    </w:p>
    <w:p w:rsidR="00BC0F55" w:rsidRDefault="00466F20" w:rsidP="00543CFE">
      <w:pPr>
        <w:rPr>
          <w:sz w:val="14"/>
          <w:szCs w:val="14"/>
        </w:rPr>
      </w:pPr>
      <w:r>
        <w:lastRenderedPageBreak/>
        <w:t>ISO</w:t>
      </w:r>
      <w:r w:rsidR="00894400">
        <w:t>-NE</w:t>
      </w:r>
      <w:r>
        <w:t xml:space="preserve"> makes available </w:t>
      </w:r>
      <w:r w:rsidR="00D5642B">
        <w:t xml:space="preserve">the </w:t>
      </w:r>
      <w:r>
        <w:t xml:space="preserve">databases used in its analyses </w:t>
      </w:r>
      <w:r w:rsidRPr="00960F60">
        <w:t xml:space="preserve">and </w:t>
      </w:r>
      <w:r w:rsidR="00D5642B" w:rsidRPr="00960F60">
        <w:t xml:space="preserve">other relevant </w:t>
      </w:r>
      <w:r>
        <w:t>information required to perform simulations consistent with FERC policies and the ISO</w:t>
      </w:r>
      <w:r w:rsidR="00894400">
        <w:t>-NE</w:t>
      </w:r>
      <w:r>
        <w:t xml:space="preserve"> Information Policy requirements pertaining to confidential information and critical energy infrastructure information (CEII) requirements</w:t>
      </w:r>
      <w:r w:rsidR="00811ADF">
        <w:t xml:space="preserve">. </w:t>
      </w:r>
      <w:r>
        <w:t xml:space="preserve">Stakeholders can </w:t>
      </w:r>
      <w:r w:rsidR="00F00B1E">
        <w:t xml:space="preserve">access the </w:t>
      </w:r>
      <w:r w:rsidR="00F00B1E" w:rsidRPr="00894400">
        <w:t xml:space="preserve">Forecast Report of Capacity, Energy, Loads, and Transmission </w:t>
      </w:r>
      <w:r w:rsidR="00894400" w:rsidRPr="00894400">
        <w:t xml:space="preserve">(CELT) </w:t>
      </w:r>
      <w:r w:rsidR="00F00B1E">
        <w:t>to obtain key data of the New England system.</w:t>
      </w:r>
      <w:r w:rsidR="00894400">
        <w:rPr>
          <w:rStyle w:val="FootnoteReference"/>
        </w:rPr>
        <w:footnoteReference w:id="34"/>
      </w:r>
      <w:r w:rsidR="00F00B1E">
        <w:t xml:space="preserve"> In addition, power system models are available to stakeholders wishing to con</w:t>
      </w:r>
      <w:r>
        <w:t>duct their own independent studies.</w:t>
      </w:r>
      <w:r w:rsidR="00F00B1E">
        <w:t xml:space="preserve"> </w:t>
      </w:r>
    </w:p>
    <w:p w:rsidR="00BC0F55" w:rsidRPr="00960F60" w:rsidRDefault="0048023B" w:rsidP="002347A2">
      <w:pPr>
        <w:pStyle w:val="Heading1"/>
      </w:pPr>
      <w:bookmarkStart w:id="57" w:name="Transmission_and_power_system_planning"/>
      <w:bookmarkStart w:id="58" w:name="Capacity"/>
      <w:bookmarkStart w:id="59" w:name="Long-term_load_forecast"/>
      <w:bookmarkStart w:id="60" w:name="_bookmark30"/>
      <w:bookmarkStart w:id="61" w:name="_bookmark31"/>
      <w:bookmarkStart w:id="62" w:name="_bookmark32"/>
      <w:bookmarkStart w:id="63" w:name="Strategic_Planning_Initiative"/>
      <w:bookmarkStart w:id="64" w:name="New_England’s_fuel_mix"/>
      <w:bookmarkStart w:id="65" w:name="_bookmark33"/>
      <w:bookmarkStart w:id="66" w:name="_bookmark34"/>
      <w:bookmarkStart w:id="67" w:name="_bookmark35"/>
      <w:bookmarkStart w:id="68" w:name="_bookmark36"/>
      <w:bookmarkStart w:id="69" w:name="_bookmark37"/>
      <w:bookmarkStart w:id="70" w:name="_bookmark38"/>
      <w:bookmarkStart w:id="71" w:name="Ongoing_wind_integration_efforts"/>
      <w:bookmarkStart w:id="72" w:name="Growth_in_solar_power_and_other_distribu"/>
      <w:bookmarkStart w:id="73" w:name="Smart_grid_advancement"/>
      <w:bookmarkStart w:id="74" w:name="_bookmark39"/>
      <w:bookmarkStart w:id="75" w:name="_bookmark40"/>
      <w:bookmarkStart w:id="76" w:name="_bookmark41"/>
      <w:bookmarkStart w:id="77" w:name="_bookmark42"/>
      <w:bookmarkStart w:id="78" w:name="_bookmark43"/>
      <w:bookmarkStart w:id="79" w:name="The_Role_of_Planning_in_New_England"/>
      <w:bookmarkStart w:id="80" w:name="3.3.1__ISO-NE_Economic_Studies"/>
      <w:bookmarkStart w:id="81" w:name="_bookmark45"/>
      <w:bookmarkStart w:id="82" w:name="_bookmark46"/>
      <w:bookmarkStart w:id="83" w:name="3.3.2__Planning_for_Policy"/>
      <w:bookmarkStart w:id="84" w:name="4.1_Coordination_of_Transmission_Project"/>
      <w:bookmarkStart w:id="85" w:name="_Toc442631680"/>
      <w:bookmarkStart w:id="86" w:name="_Toc443909850"/>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960F60">
        <w:t>Coordination</w:t>
      </w:r>
      <w:r w:rsidRPr="00960F60">
        <w:rPr>
          <w:spacing w:val="-12"/>
        </w:rPr>
        <w:t xml:space="preserve"> </w:t>
      </w:r>
      <w:r w:rsidRPr="00960F60">
        <w:t>of</w:t>
      </w:r>
      <w:r w:rsidRPr="00960F60">
        <w:rPr>
          <w:spacing w:val="-13"/>
        </w:rPr>
        <w:t xml:space="preserve"> </w:t>
      </w:r>
      <w:r w:rsidR="00B87F6F" w:rsidRPr="00960F60">
        <w:rPr>
          <w:spacing w:val="-13"/>
        </w:rPr>
        <w:t xml:space="preserve">the Needs of the ISO/RTO </w:t>
      </w:r>
      <w:r w:rsidR="00704778" w:rsidRPr="00960F60">
        <w:rPr>
          <w:spacing w:val="-13"/>
        </w:rPr>
        <w:t>System</w:t>
      </w:r>
      <w:r w:rsidR="00B87F6F" w:rsidRPr="00960F60">
        <w:rPr>
          <w:spacing w:val="-13"/>
        </w:rPr>
        <w:t>s</w:t>
      </w:r>
      <w:r w:rsidR="00704778" w:rsidRPr="00960F60">
        <w:rPr>
          <w:spacing w:val="-13"/>
        </w:rPr>
        <w:t xml:space="preserve"> </w:t>
      </w:r>
      <w:r w:rsidR="00B87F6F" w:rsidRPr="00960F60">
        <w:rPr>
          <w:spacing w:val="-13"/>
        </w:rPr>
        <w:t xml:space="preserve">with </w:t>
      </w:r>
      <w:r w:rsidRPr="00960F60">
        <w:t>Transmission</w:t>
      </w:r>
      <w:r w:rsidRPr="00960F60">
        <w:rPr>
          <w:spacing w:val="-11"/>
        </w:rPr>
        <w:t xml:space="preserve"> </w:t>
      </w:r>
      <w:r w:rsidRPr="00960F60">
        <w:t>Projects</w:t>
      </w:r>
      <w:r w:rsidRPr="00960F60">
        <w:rPr>
          <w:spacing w:val="-12"/>
        </w:rPr>
        <w:t xml:space="preserve"> </w:t>
      </w:r>
      <w:r w:rsidRPr="00960F60">
        <w:t>with</w:t>
      </w:r>
      <w:r w:rsidRPr="00960F60">
        <w:rPr>
          <w:spacing w:val="-14"/>
        </w:rPr>
        <w:t xml:space="preserve"> </w:t>
      </w:r>
      <w:r w:rsidRPr="00960F60">
        <w:t>Potential</w:t>
      </w:r>
      <w:r w:rsidRPr="00960F60">
        <w:rPr>
          <w:spacing w:val="-13"/>
        </w:rPr>
        <w:t xml:space="preserve"> </w:t>
      </w:r>
      <w:r w:rsidRPr="00960F60">
        <w:t>Interregional</w:t>
      </w:r>
      <w:r w:rsidRPr="00960F60">
        <w:rPr>
          <w:spacing w:val="57"/>
          <w:w w:val="99"/>
        </w:rPr>
        <w:t xml:space="preserve"> </w:t>
      </w:r>
      <w:r w:rsidRPr="00960F60">
        <w:t>Impacts</w:t>
      </w:r>
      <w:bookmarkEnd w:id="85"/>
      <w:bookmarkEnd w:id="86"/>
    </w:p>
    <w:p w:rsidR="00305409" w:rsidRDefault="004B0FEC" w:rsidP="00892FB3">
      <w:pPr>
        <w:rPr>
          <w:rFonts w:asciiTheme="minorHAnsi" w:hAnsiTheme="minorHAnsi"/>
        </w:rPr>
      </w:pPr>
      <w:r w:rsidRPr="00960F60">
        <w:t xml:space="preserve">The ISO/RTOs are implementing changes to their respective regional planning processes in parallel with changes to the interregional planning process. </w:t>
      </w:r>
      <w:r w:rsidR="00305409" w:rsidRPr="00960F60">
        <w:t xml:space="preserve">The </w:t>
      </w:r>
      <w:r w:rsidR="0016108D" w:rsidRPr="00960F60">
        <w:rPr>
          <w:spacing w:val="-2"/>
        </w:rPr>
        <w:t>Joint</w:t>
      </w:r>
      <w:r w:rsidR="0016108D" w:rsidRPr="00960F60">
        <w:t xml:space="preserve"> ISO/RTO Planning</w:t>
      </w:r>
      <w:r w:rsidR="0016108D" w:rsidRPr="00960F60">
        <w:rPr>
          <w:spacing w:val="-2"/>
        </w:rPr>
        <w:t xml:space="preserve"> </w:t>
      </w:r>
      <w:r w:rsidR="0016108D" w:rsidRPr="00960F60">
        <w:t>Committee (</w:t>
      </w:r>
      <w:r w:rsidR="00305409" w:rsidRPr="00960F60">
        <w:t>JIPC</w:t>
      </w:r>
      <w:r w:rsidR="0016108D" w:rsidRPr="00960F60">
        <w:t>)</w:t>
      </w:r>
      <w:r w:rsidR="00A84AFA">
        <w:t>,</w:t>
      </w:r>
      <w:r w:rsidR="0016108D" w:rsidRPr="00960F60">
        <w:t xml:space="preserve"> consisting of representatives of the three ISO/RTOs,</w:t>
      </w:r>
      <w:r w:rsidR="00305409" w:rsidRPr="00960F60">
        <w:t xml:space="preserve"> </w:t>
      </w:r>
      <w:r w:rsidR="00DB5CE1">
        <w:t xml:space="preserve">coordinates </w:t>
      </w:r>
      <w:r w:rsidR="00F03BB0">
        <w:t xml:space="preserve">and reconciles </w:t>
      </w:r>
      <w:r w:rsidR="00DB5CE1">
        <w:t>the</w:t>
      </w:r>
      <w:r w:rsidR="00305409" w:rsidRPr="00960F60">
        <w:t xml:space="preserve"> regional practices and assumptions used for interregional planning. The JIPC and stakeholders have reviewed the interregional planning timelines in conjunction with the regional planning cycles</w:t>
      </w:r>
      <w:r w:rsidR="0016108D" w:rsidRPr="00960F60">
        <w:t xml:space="preserve">, and </w:t>
      </w:r>
      <w:r w:rsidR="00305409" w:rsidRPr="00960F60">
        <w:t xml:space="preserve">the JIPC has concluded that the interregional planning cycle </w:t>
      </w:r>
      <w:r w:rsidR="008A5171" w:rsidRPr="00960F60">
        <w:t xml:space="preserve">effectively coordinates </w:t>
      </w:r>
      <w:r w:rsidR="00305409" w:rsidRPr="00960F60">
        <w:t>with the respective regional timelines.</w:t>
      </w:r>
      <w:r w:rsidR="0016108D" w:rsidRPr="00960F60">
        <w:rPr>
          <w:rFonts w:asciiTheme="minorHAnsi" w:hAnsiTheme="minorHAnsi"/>
          <w:vertAlign w:val="superscript"/>
        </w:rPr>
        <w:footnoteReference w:id="35"/>
      </w:r>
      <w:r w:rsidR="00305409">
        <w:rPr>
          <w:rFonts w:asciiTheme="minorHAnsi" w:hAnsiTheme="minorHAnsi"/>
        </w:rPr>
        <w:t xml:space="preserve"> </w:t>
      </w:r>
    </w:p>
    <w:p w:rsidR="00253629" w:rsidRPr="005C24B6" w:rsidRDefault="00305409" w:rsidP="00960F60">
      <w:r w:rsidRPr="003150F5">
        <w:t xml:space="preserve">All three ISO/RTOs issue long-term </w:t>
      </w:r>
      <w:r w:rsidR="00615049">
        <w:t>planning</w:t>
      </w:r>
      <w:r w:rsidRPr="003150F5">
        <w:t xml:space="preserve"> assessments and allow for qualified transmission providers to propose solutions through a competitive process</w:t>
      </w:r>
      <w:r>
        <w:t>. The completion dates of individual ISO/RTO studies and reports differ, but the coordination of planning activities across system borders occurs continuously</w:t>
      </w:r>
      <w:r w:rsidR="00811ADF">
        <w:t xml:space="preserve">. </w:t>
      </w:r>
      <w:r w:rsidR="00F172D2">
        <w:fldChar w:fldCharType="begin"/>
      </w:r>
      <w:r w:rsidR="00F172D2">
        <w:instrText xml:space="preserve"> REF _Ref442433127 \h  \* MERGEFORMAT </w:instrText>
      </w:r>
      <w:r w:rsidR="00F172D2">
        <w:fldChar w:fldCharType="separate"/>
      </w:r>
      <w:r w:rsidR="00E92FF3" w:rsidRPr="00AC68B7">
        <w:rPr>
          <w:szCs w:val="20"/>
        </w:rPr>
        <w:t xml:space="preserve">Table </w:t>
      </w:r>
      <w:r w:rsidR="00E92FF3">
        <w:rPr>
          <w:noProof/>
          <w:szCs w:val="20"/>
        </w:rPr>
        <w:t>4</w:t>
      </w:r>
      <w:r w:rsidR="00E92FF3" w:rsidRPr="00AC68B7">
        <w:rPr>
          <w:noProof/>
          <w:szCs w:val="20"/>
        </w:rPr>
        <w:noBreakHyphen/>
      </w:r>
      <w:r w:rsidR="00E92FF3">
        <w:rPr>
          <w:noProof/>
          <w:szCs w:val="20"/>
        </w:rPr>
        <w:t>1</w:t>
      </w:r>
      <w:r w:rsidR="00F172D2">
        <w:fldChar w:fldCharType="end"/>
      </w:r>
      <w:r w:rsidR="003341E8">
        <w:rPr>
          <w:rFonts w:eastAsia="Cambria"/>
        </w:rPr>
        <w:t xml:space="preserve"> </w:t>
      </w:r>
      <w:r>
        <w:rPr>
          <w:rFonts w:eastAsia="Cambria"/>
        </w:rPr>
        <w:t>summarizes several key completion dates for the ISO/RTOs</w:t>
      </w:r>
      <w:r w:rsidRPr="003B275A">
        <w:rPr>
          <w:rFonts w:eastAsia="Cambria"/>
        </w:rPr>
        <w:t>.</w:t>
      </w:r>
    </w:p>
    <w:p w:rsidR="00305409" w:rsidRPr="00AC68B7" w:rsidRDefault="00894400" w:rsidP="00A82ACC">
      <w:pPr>
        <w:pStyle w:val="Caption"/>
        <w:keepNext/>
        <w:keepLines/>
        <w:spacing w:after="120"/>
        <w:jc w:val="center"/>
      </w:pPr>
      <w:bookmarkStart w:id="87" w:name="_Ref442433127"/>
      <w:bookmarkStart w:id="88" w:name="_Toc442794444"/>
      <w:r w:rsidRPr="00AC68B7">
        <w:rPr>
          <w:szCs w:val="20"/>
        </w:rPr>
        <w:lastRenderedPageBreak/>
        <w:t xml:space="preserve">Table </w:t>
      </w:r>
      <w:r w:rsidR="002A40C6" w:rsidRPr="00AC68B7">
        <w:rPr>
          <w:szCs w:val="20"/>
        </w:rPr>
        <w:fldChar w:fldCharType="begin"/>
      </w:r>
      <w:r w:rsidRPr="00AC68B7">
        <w:rPr>
          <w:szCs w:val="20"/>
        </w:rPr>
        <w:instrText xml:space="preserve"> STYLEREF 1 \s </w:instrText>
      </w:r>
      <w:r w:rsidR="002A40C6" w:rsidRPr="00AC68B7">
        <w:rPr>
          <w:szCs w:val="20"/>
        </w:rPr>
        <w:fldChar w:fldCharType="separate"/>
      </w:r>
      <w:r w:rsidR="00E92FF3">
        <w:rPr>
          <w:noProof/>
          <w:szCs w:val="20"/>
        </w:rPr>
        <w:t>4</w:t>
      </w:r>
      <w:r w:rsidR="002A40C6" w:rsidRPr="00AC68B7">
        <w:rPr>
          <w:szCs w:val="20"/>
        </w:rPr>
        <w:fldChar w:fldCharType="end"/>
      </w:r>
      <w:r w:rsidRPr="00AC68B7">
        <w:rPr>
          <w:szCs w:val="20"/>
        </w:rPr>
        <w:noBreakHyphen/>
      </w:r>
      <w:r w:rsidR="002A40C6" w:rsidRPr="00AC68B7">
        <w:rPr>
          <w:szCs w:val="20"/>
        </w:rPr>
        <w:fldChar w:fldCharType="begin"/>
      </w:r>
      <w:r w:rsidRPr="00AC68B7">
        <w:rPr>
          <w:szCs w:val="20"/>
        </w:rPr>
        <w:instrText xml:space="preserve"> SEQ Table \* ARABIC \s 1 </w:instrText>
      </w:r>
      <w:r w:rsidR="002A40C6" w:rsidRPr="00AC68B7">
        <w:rPr>
          <w:szCs w:val="20"/>
        </w:rPr>
        <w:fldChar w:fldCharType="separate"/>
      </w:r>
      <w:r w:rsidR="00E92FF3">
        <w:rPr>
          <w:noProof/>
          <w:szCs w:val="20"/>
        </w:rPr>
        <w:t>1</w:t>
      </w:r>
      <w:r w:rsidR="002A40C6" w:rsidRPr="00AC68B7">
        <w:rPr>
          <w:szCs w:val="20"/>
        </w:rPr>
        <w:fldChar w:fldCharType="end"/>
      </w:r>
      <w:bookmarkEnd w:id="87"/>
      <w:r w:rsidRPr="00AC68B7">
        <w:rPr>
          <w:szCs w:val="20"/>
        </w:rPr>
        <w:br/>
      </w:r>
      <w:r w:rsidR="00554AFB" w:rsidRPr="00AC68B7">
        <w:rPr>
          <w:rFonts w:eastAsia="Cambria"/>
          <w:spacing w:val="-2"/>
          <w:szCs w:val="20"/>
        </w:rPr>
        <w:t>Timing</w:t>
      </w:r>
      <w:r w:rsidR="00305409" w:rsidRPr="00AC68B7">
        <w:rPr>
          <w:rFonts w:eastAsia="Cambria"/>
          <w:spacing w:val="-2"/>
          <w:szCs w:val="20"/>
        </w:rPr>
        <w:t xml:space="preserve"> of Regional Planning Activities with Interregional Planning Requirements </w:t>
      </w:r>
      <w:bookmarkEnd w:id="88"/>
    </w:p>
    <w:tbl>
      <w:tblPr>
        <w:tblStyle w:val="TableGrid"/>
        <w:tblW w:w="0" w:type="auto"/>
        <w:jc w:val="center"/>
        <w:tblLook w:val="04A0" w:firstRow="1" w:lastRow="0" w:firstColumn="1" w:lastColumn="0" w:noHBand="0" w:noVBand="1"/>
      </w:tblPr>
      <w:tblGrid>
        <w:gridCol w:w="2722"/>
        <w:gridCol w:w="2363"/>
        <w:gridCol w:w="2392"/>
        <w:gridCol w:w="2099"/>
      </w:tblGrid>
      <w:tr w:rsidR="00F13A42" w:rsidRPr="00894400" w:rsidTr="003E64EA">
        <w:trPr>
          <w:jc w:val="center"/>
        </w:trPr>
        <w:tc>
          <w:tcPr>
            <w:tcW w:w="2790" w:type="dxa"/>
            <w:vMerge w:val="restart"/>
            <w:shd w:val="clear" w:color="auto" w:fill="D9D9D9" w:themeFill="background1" w:themeFillShade="D9"/>
            <w:vAlign w:val="center"/>
          </w:tcPr>
          <w:p w:rsidR="00305409" w:rsidRPr="00894400" w:rsidRDefault="00305409" w:rsidP="003E64EA">
            <w:pPr>
              <w:keepNext/>
              <w:keepLines/>
              <w:kinsoku w:val="0"/>
              <w:overflowPunct w:val="0"/>
              <w:spacing w:before="40" w:after="40" w:line="240" w:lineRule="auto"/>
              <w:jc w:val="center"/>
              <w:textAlignment w:val="baseline"/>
              <w:rPr>
                <w:rFonts w:asciiTheme="minorHAnsi" w:eastAsia="Cambria" w:hAnsiTheme="minorHAnsi"/>
                <w:b/>
                <w:spacing w:val="-2"/>
                <w:sz w:val="18"/>
                <w:szCs w:val="18"/>
              </w:rPr>
            </w:pPr>
            <w:r w:rsidRPr="00894400">
              <w:rPr>
                <w:rFonts w:asciiTheme="minorHAnsi" w:eastAsia="Cambria" w:hAnsiTheme="minorHAnsi"/>
                <w:b/>
                <w:spacing w:val="-2"/>
                <w:sz w:val="18"/>
                <w:szCs w:val="18"/>
              </w:rPr>
              <w:t>Key Activity that Affects Interregional Planning</w:t>
            </w:r>
          </w:p>
        </w:tc>
        <w:tc>
          <w:tcPr>
            <w:tcW w:w="6998" w:type="dxa"/>
            <w:gridSpan w:val="3"/>
            <w:shd w:val="clear" w:color="auto" w:fill="D9D9D9" w:themeFill="background1" w:themeFillShade="D9"/>
            <w:vAlign w:val="center"/>
          </w:tcPr>
          <w:p w:rsidR="00305409" w:rsidRPr="00894400" w:rsidRDefault="00305409" w:rsidP="003E64EA">
            <w:pPr>
              <w:keepNext/>
              <w:keepLines/>
              <w:kinsoku w:val="0"/>
              <w:overflowPunct w:val="0"/>
              <w:spacing w:before="40" w:after="40" w:line="240" w:lineRule="auto"/>
              <w:jc w:val="center"/>
              <w:textAlignment w:val="baseline"/>
              <w:rPr>
                <w:rFonts w:asciiTheme="minorHAnsi" w:eastAsia="Cambria" w:hAnsiTheme="minorHAnsi"/>
                <w:b/>
                <w:spacing w:val="-2"/>
                <w:sz w:val="18"/>
                <w:szCs w:val="18"/>
              </w:rPr>
            </w:pPr>
            <w:r w:rsidRPr="00894400">
              <w:rPr>
                <w:rFonts w:asciiTheme="minorHAnsi" w:eastAsia="Cambria" w:hAnsiTheme="minorHAnsi"/>
                <w:b/>
                <w:spacing w:val="-2"/>
                <w:sz w:val="18"/>
                <w:szCs w:val="18"/>
              </w:rPr>
              <w:t>ISO/RTO</w:t>
            </w:r>
          </w:p>
        </w:tc>
      </w:tr>
      <w:tr w:rsidR="00F13A42" w:rsidRPr="00894400" w:rsidTr="003E64EA">
        <w:trPr>
          <w:jc w:val="center"/>
        </w:trPr>
        <w:tc>
          <w:tcPr>
            <w:tcW w:w="2790" w:type="dxa"/>
            <w:vMerge/>
          </w:tcPr>
          <w:p w:rsidR="00305409" w:rsidRPr="00894400" w:rsidRDefault="00305409" w:rsidP="005C24B6">
            <w:pPr>
              <w:keepNext/>
              <w:keepLines/>
              <w:kinsoku w:val="0"/>
              <w:overflowPunct w:val="0"/>
              <w:spacing w:before="40" w:after="40" w:line="240" w:lineRule="auto"/>
              <w:textAlignment w:val="baseline"/>
              <w:rPr>
                <w:rFonts w:asciiTheme="minorHAnsi" w:eastAsia="Cambria" w:hAnsiTheme="minorHAnsi"/>
                <w:b/>
                <w:spacing w:val="-2"/>
                <w:sz w:val="18"/>
                <w:szCs w:val="18"/>
              </w:rPr>
            </w:pPr>
          </w:p>
        </w:tc>
        <w:tc>
          <w:tcPr>
            <w:tcW w:w="2414" w:type="dxa"/>
            <w:shd w:val="clear" w:color="auto" w:fill="D9D9D9" w:themeFill="background1" w:themeFillShade="D9"/>
            <w:vAlign w:val="center"/>
          </w:tcPr>
          <w:p w:rsidR="00305409" w:rsidRPr="00894400" w:rsidRDefault="00305409" w:rsidP="003E64EA">
            <w:pPr>
              <w:keepNext/>
              <w:keepLines/>
              <w:kinsoku w:val="0"/>
              <w:overflowPunct w:val="0"/>
              <w:spacing w:before="40" w:after="40" w:line="240" w:lineRule="auto"/>
              <w:jc w:val="center"/>
              <w:textAlignment w:val="baseline"/>
              <w:rPr>
                <w:rFonts w:asciiTheme="minorHAnsi" w:eastAsia="Cambria" w:hAnsiTheme="minorHAnsi"/>
                <w:b/>
                <w:spacing w:val="-2"/>
                <w:sz w:val="18"/>
                <w:szCs w:val="18"/>
              </w:rPr>
            </w:pPr>
            <w:r w:rsidRPr="00894400">
              <w:rPr>
                <w:rFonts w:asciiTheme="minorHAnsi" w:eastAsia="Cambria" w:hAnsiTheme="minorHAnsi"/>
                <w:b/>
                <w:spacing w:val="-2"/>
                <w:sz w:val="18"/>
                <w:szCs w:val="18"/>
              </w:rPr>
              <w:t>NYISO</w:t>
            </w:r>
          </w:p>
        </w:tc>
        <w:tc>
          <w:tcPr>
            <w:tcW w:w="2446" w:type="dxa"/>
            <w:shd w:val="clear" w:color="auto" w:fill="D9D9D9" w:themeFill="background1" w:themeFillShade="D9"/>
            <w:vAlign w:val="center"/>
          </w:tcPr>
          <w:p w:rsidR="00305409" w:rsidRPr="00894400" w:rsidRDefault="00305409" w:rsidP="003E64EA">
            <w:pPr>
              <w:keepNext/>
              <w:keepLines/>
              <w:kinsoku w:val="0"/>
              <w:overflowPunct w:val="0"/>
              <w:spacing w:before="40" w:after="40" w:line="240" w:lineRule="auto"/>
              <w:jc w:val="center"/>
              <w:textAlignment w:val="baseline"/>
              <w:rPr>
                <w:rFonts w:asciiTheme="minorHAnsi" w:eastAsia="Cambria" w:hAnsiTheme="minorHAnsi"/>
                <w:b/>
                <w:spacing w:val="-2"/>
                <w:sz w:val="18"/>
                <w:szCs w:val="18"/>
              </w:rPr>
            </w:pPr>
            <w:r w:rsidRPr="00894400">
              <w:rPr>
                <w:rFonts w:asciiTheme="minorHAnsi" w:eastAsia="Cambria" w:hAnsiTheme="minorHAnsi"/>
                <w:b/>
                <w:spacing w:val="-2"/>
                <w:sz w:val="18"/>
                <w:szCs w:val="18"/>
              </w:rPr>
              <w:t>PJM</w:t>
            </w:r>
          </w:p>
        </w:tc>
        <w:tc>
          <w:tcPr>
            <w:tcW w:w="2138" w:type="dxa"/>
            <w:shd w:val="clear" w:color="auto" w:fill="D9D9D9" w:themeFill="background1" w:themeFillShade="D9"/>
            <w:vAlign w:val="center"/>
          </w:tcPr>
          <w:p w:rsidR="00305409" w:rsidRPr="00894400" w:rsidRDefault="00305409" w:rsidP="003E64EA">
            <w:pPr>
              <w:keepNext/>
              <w:keepLines/>
              <w:kinsoku w:val="0"/>
              <w:overflowPunct w:val="0"/>
              <w:spacing w:before="40" w:after="40" w:line="240" w:lineRule="auto"/>
              <w:jc w:val="center"/>
              <w:textAlignment w:val="baseline"/>
              <w:rPr>
                <w:rFonts w:asciiTheme="minorHAnsi" w:eastAsia="Cambria" w:hAnsiTheme="minorHAnsi"/>
                <w:b/>
                <w:spacing w:val="-2"/>
                <w:sz w:val="18"/>
                <w:szCs w:val="18"/>
              </w:rPr>
            </w:pPr>
            <w:r w:rsidRPr="00894400">
              <w:rPr>
                <w:rFonts w:asciiTheme="minorHAnsi" w:eastAsia="Cambria" w:hAnsiTheme="minorHAnsi"/>
                <w:b/>
                <w:spacing w:val="-2"/>
                <w:sz w:val="18"/>
                <w:szCs w:val="18"/>
              </w:rPr>
              <w:t>ISO-NE</w:t>
            </w:r>
          </w:p>
        </w:tc>
      </w:tr>
      <w:tr w:rsidR="00F13A42" w:rsidRPr="00894400" w:rsidTr="003E64EA">
        <w:trPr>
          <w:jc w:val="center"/>
        </w:trPr>
        <w:tc>
          <w:tcPr>
            <w:tcW w:w="2790" w:type="dxa"/>
            <w:vAlign w:val="center"/>
          </w:tcPr>
          <w:p w:rsidR="00305409" w:rsidRPr="00894400" w:rsidRDefault="00305409" w:rsidP="003E64EA">
            <w:pPr>
              <w:keepNext/>
              <w:keepLines/>
              <w:kinsoku w:val="0"/>
              <w:overflowPunct w:val="0"/>
              <w:spacing w:before="40" w:after="40" w:line="240" w:lineRule="auto"/>
              <w:textAlignment w:val="baseline"/>
              <w:rPr>
                <w:rFonts w:asciiTheme="minorHAnsi" w:eastAsia="Cambria" w:hAnsiTheme="minorHAnsi"/>
                <w:spacing w:val="-2"/>
                <w:sz w:val="18"/>
                <w:szCs w:val="18"/>
              </w:rPr>
            </w:pPr>
            <w:r w:rsidRPr="00894400">
              <w:rPr>
                <w:rFonts w:asciiTheme="minorHAnsi" w:eastAsia="Cambria" w:hAnsiTheme="minorHAnsi"/>
                <w:spacing w:val="-2"/>
                <w:sz w:val="18"/>
                <w:szCs w:val="18"/>
              </w:rPr>
              <w:t xml:space="preserve">Reliability </w:t>
            </w:r>
            <w:r w:rsidR="003E64EA">
              <w:rPr>
                <w:rFonts w:asciiTheme="minorHAnsi" w:eastAsia="Cambria" w:hAnsiTheme="minorHAnsi"/>
                <w:spacing w:val="-2"/>
                <w:sz w:val="18"/>
                <w:szCs w:val="18"/>
              </w:rPr>
              <w:t>n</w:t>
            </w:r>
            <w:r w:rsidR="00615049">
              <w:rPr>
                <w:rFonts w:asciiTheme="minorHAnsi" w:eastAsia="Cambria" w:hAnsiTheme="minorHAnsi"/>
                <w:spacing w:val="-2"/>
                <w:sz w:val="18"/>
                <w:szCs w:val="18"/>
              </w:rPr>
              <w:t>eeds</w:t>
            </w:r>
          </w:p>
        </w:tc>
        <w:tc>
          <w:tcPr>
            <w:tcW w:w="2414" w:type="dxa"/>
            <w:vAlign w:val="center"/>
          </w:tcPr>
          <w:p w:rsidR="00305409" w:rsidRPr="00894400" w:rsidRDefault="00305409" w:rsidP="003E64EA">
            <w:pPr>
              <w:keepNext/>
              <w:keepLines/>
              <w:kinsoku w:val="0"/>
              <w:overflowPunct w:val="0"/>
              <w:spacing w:before="40" w:after="40" w:line="240" w:lineRule="auto"/>
              <w:textAlignment w:val="baseline"/>
              <w:rPr>
                <w:rFonts w:asciiTheme="minorHAnsi" w:eastAsia="Cambria" w:hAnsiTheme="minorHAnsi"/>
                <w:spacing w:val="-2"/>
                <w:sz w:val="18"/>
                <w:szCs w:val="18"/>
              </w:rPr>
            </w:pPr>
            <w:r w:rsidRPr="00894400">
              <w:rPr>
                <w:rFonts w:asciiTheme="minorHAnsi" w:eastAsia="Cambria" w:hAnsiTheme="minorHAnsi"/>
                <w:spacing w:val="-2"/>
                <w:sz w:val="18"/>
                <w:szCs w:val="18"/>
              </w:rPr>
              <w:t>Continuously</w:t>
            </w:r>
            <w:r w:rsidR="00B10FF3">
              <w:rPr>
                <w:rFonts w:asciiTheme="minorHAnsi" w:eastAsia="Cambria" w:hAnsiTheme="minorHAnsi"/>
                <w:spacing w:val="-2"/>
                <w:sz w:val="18"/>
                <w:szCs w:val="18"/>
              </w:rPr>
              <w:t xml:space="preserve">; </w:t>
            </w:r>
            <w:r w:rsidRPr="00894400">
              <w:rPr>
                <w:rFonts w:asciiTheme="minorHAnsi" w:eastAsia="Cambria" w:hAnsiTheme="minorHAnsi"/>
                <w:spacing w:val="-2"/>
                <w:sz w:val="18"/>
                <w:szCs w:val="18"/>
              </w:rPr>
              <w:t>summarized in a report every even year</w:t>
            </w:r>
          </w:p>
        </w:tc>
        <w:tc>
          <w:tcPr>
            <w:tcW w:w="2446" w:type="dxa"/>
            <w:vAlign w:val="center"/>
          </w:tcPr>
          <w:p w:rsidR="00305409" w:rsidRPr="00894400" w:rsidRDefault="00305409" w:rsidP="003E64EA">
            <w:pPr>
              <w:keepNext/>
              <w:keepLines/>
              <w:kinsoku w:val="0"/>
              <w:overflowPunct w:val="0"/>
              <w:spacing w:before="40" w:after="40" w:line="240" w:lineRule="auto"/>
              <w:textAlignment w:val="baseline"/>
              <w:rPr>
                <w:rFonts w:asciiTheme="minorHAnsi" w:eastAsia="Cambria" w:hAnsiTheme="minorHAnsi"/>
                <w:spacing w:val="-2"/>
                <w:sz w:val="18"/>
                <w:szCs w:val="18"/>
              </w:rPr>
            </w:pPr>
            <w:r w:rsidRPr="00894400">
              <w:rPr>
                <w:rFonts w:asciiTheme="minorHAnsi" w:eastAsia="Cambria" w:hAnsiTheme="minorHAnsi"/>
                <w:spacing w:val="-2"/>
                <w:sz w:val="18"/>
                <w:szCs w:val="18"/>
              </w:rPr>
              <w:t>Continuously</w:t>
            </w:r>
            <w:r w:rsidR="00C8426E">
              <w:rPr>
                <w:rFonts w:asciiTheme="minorHAnsi" w:eastAsia="Cambria" w:hAnsiTheme="minorHAnsi"/>
                <w:spacing w:val="-2"/>
                <w:sz w:val="18"/>
                <w:szCs w:val="18"/>
              </w:rPr>
              <w:t xml:space="preserve"> </w:t>
            </w:r>
            <w:r w:rsidR="002B699D">
              <w:rPr>
                <w:rFonts w:asciiTheme="minorHAnsi" w:eastAsia="Cambria" w:hAnsiTheme="minorHAnsi"/>
                <w:spacing w:val="-2"/>
                <w:sz w:val="18"/>
                <w:szCs w:val="18"/>
              </w:rPr>
              <w:t xml:space="preserve">identified </w:t>
            </w:r>
            <w:r w:rsidR="00C8426E">
              <w:rPr>
                <w:rFonts w:asciiTheme="minorHAnsi" w:eastAsia="Cambria" w:hAnsiTheme="minorHAnsi"/>
                <w:spacing w:val="-2"/>
                <w:sz w:val="18"/>
                <w:szCs w:val="18"/>
              </w:rPr>
              <w:t>and reported to stakeholders throughout the year</w:t>
            </w:r>
            <w:r w:rsidR="00B10FF3">
              <w:rPr>
                <w:rFonts w:asciiTheme="minorHAnsi" w:eastAsia="Cambria" w:hAnsiTheme="minorHAnsi"/>
                <w:spacing w:val="-2"/>
                <w:sz w:val="18"/>
                <w:szCs w:val="18"/>
              </w:rPr>
              <w:t xml:space="preserve">; </w:t>
            </w:r>
            <w:r w:rsidRPr="00894400">
              <w:rPr>
                <w:rFonts w:asciiTheme="minorHAnsi" w:eastAsia="Cambria" w:hAnsiTheme="minorHAnsi"/>
                <w:spacing w:val="-2"/>
                <w:sz w:val="18"/>
                <w:szCs w:val="18"/>
              </w:rPr>
              <w:t>summarized in a</w:t>
            </w:r>
            <w:r w:rsidR="00C8426E">
              <w:rPr>
                <w:rFonts w:asciiTheme="minorHAnsi" w:eastAsia="Cambria" w:hAnsiTheme="minorHAnsi"/>
                <w:spacing w:val="-2"/>
                <w:sz w:val="18"/>
                <w:szCs w:val="18"/>
              </w:rPr>
              <w:t>n annual</w:t>
            </w:r>
            <w:r w:rsidRPr="00894400">
              <w:rPr>
                <w:rFonts w:asciiTheme="minorHAnsi" w:eastAsia="Cambria" w:hAnsiTheme="minorHAnsi"/>
                <w:spacing w:val="-2"/>
                <w:sz w:val="18"/>
                <w:szCs w:val="18"/>
              </w:rPr>
              <w:t xml:space="preserve"> report</w:t>
            </w:r>
            <w:r w:rsidR="00B10FF3">
              <w:rPr>
                <w:rFonts w:asciiTheme="minorHAnsi" w:eastAsia="Cambria" w:hAnsiTheme="minorHAnsi"/>
                <w:spacing w:val="-2"/>
                <w:sz w:val="18"/>
                <w:szCs w:val="18"/>
              </w:rPr>
              <w:t xml:space="preserve"> </w:t>
            </w:r>
          </w:p>
        </w:tc>
        <w:tc>
          <w:tcPr>
            <w:tcW w:w="2138" w:type="dxa"/>
            <w:vAlign w:val="center"/>
          </w:tcPr>
          <w:p w:rsidR="00305409" w:rsidRPr="00894400" w:rsidRDefault="00305409" w:rsidP="003E64EA">
            <w:pPr>
              <w:keepNext/>
              <w:keepLines/>
              <w:kinsoku w:val="0"/>
              <w:overflowPunct w:val="0"/>
              <w:spacing w:before="40" w:after="40" w:line="240" w:lineRule="auto"/>
              <w:textAlignment w:val="baseline"/>
              <w:rPr>
                <w:rFonts w:asciiTheme="minorHAnsi" w:eastAsia="Cambria" w:hAnsiTheme="minorHAnsi"/>
                <w:spacing w:val="-2"/>
                <w:sz w:val="18"/>
                <w:szCs w:val="18"/>
              </w:rPr>
            </w:pPr>
            <w:r w:rsidRPr="00894400">
              <w:rPr>
                <w:rFonts w:asciiTheme="minorHAnsi" w:eastAsia="Cambria" w:hAnsiTheme="minorHAnsi"/>
                <w:spacing w:val="-2"/>
                <w:sz w:val="18"/>
                <w:szCs w:val="18"/>
              </w:rPr>
              <w:t>Continuously</w:t>
            </w:r>
            <w:r w:rsidR="00B10FF3">
              <w:rPr>
                <w:rFonts w:asciiTheme="minorHAnsi" w:eastAsia="Cambria" w:hAnsiTheme="minorHAnsi"/>
                <w:spacing w:val="-2"/>
                <w:sz w:val="18"/>
                <w:szCs w:val="18"/>
              </w:rPr>
              <w:t xml:space="preserve">; </w:t>
            </w:r>
            <w:r w:rsidRPr="00894400">
              <w:rPr>
                <w:rFonts w:asciiTheme="minorHAnsi" w:eastAsia="Cambria" w:hAnsiTheme="minorHAnsi"/>
                <w:spacing w:val="-2"/>
                <w:sz w:val="18"/>
                <w:szCs w:val="18"/>
              </w:rPr>
              <w:t xml:space="preserve">summarized in a report </w:t>
            </w:r>
            <w:r w:rsidR="00B10FF3">
              <w:rPr>
                <w:rFonts w:asciiTheme="minorHAnsi" w:eastAsia="Cambria" w:hAnsiTheme="minorHAnsi"/>
                <w:spacing w:val="-2"/>
                <w:sz w:val="18"/>
                <w:szCs w:val="18"/>
              </w:rPr>
              <w:t xml:space="preserve">the fourth quarter of </w:t>
            </w:r>
            <w:r w:rsidRPr="00894400">
              <w:rPr>
                <w:rFonts w:asciiTheme="minorHAnsi" w:eastAsia="Cambria" w:hAnsiTheme="minorHAnsi"/>
                <w:spacing w:val="-2"/>
                <w:sz w:val="18"/>
                <w:szCs w:val="18"/>
              </w:rPr>
              <w:t>every odd year</w:t>
            </w:r>
          </w:p>
        </w:tc>
      </w:tr>
      <w:tr w:rsidR="00F13A42" w:rsidRPr="00894400" w:rsidTr="003E64EA">
        <w:trPr>
          <w:jc w:val="center"/>
        </w:trPr>
        <w:tc>
          <w:tcPr>
            <w:tcW w:w="2790" w:type="dxa"/>
            <w:shd w:val="clear" w:color="auto" w:fill="F2F2F2" w:themeFill="background1" w:themeFillShade="F2"/>
            <w:vAlign w:val="center"/>
          </w:tcPr>
          <w:p w:rsidR="00305409" w:rsidRPr="00894400" w:rsidRDefault="00305409" w:rsidP="003E64EA">
            <w:pPr>
              <w:keepNext/>
              <w:keepLines/>
              <w:kinsoku w:val="0"/>
              <w:overflowPunct w:val="0"/>
              <w:spacing w:before="40" w:after="40" w:line="240" w:lineRule="auto"/>
              <w:textAlignment w:val="baseline"/>
              <w:rPr>
                <w:rFonts w:asciiTheme="minorHAnsi" w:eastAsia="Cambria" w:hAnsiTheme="minorHAnsi"/>
                <w:spacing w:val="-2"/>
                <w:sz w:val="18"/>
                <w:szCs w:val="18"/>
              </w:rPr>
            </w:pPr>
            <w:r w:rsidRPr="00894400">
              <w:rPr>
                <w:rFonts w:asciiTheme="minorHAnsi" w:eastAsia="Cambria" w:hAnsiTheme="minorHAnsi"/>
                <w:spacing w:val="-2"/>
                <w:sz w:val="18"/>
                <w:szCs w:val="18"/>
              </w:rPr>
              <w:t xml:space="preserve">Reliability </w:t>
            </w:r>
            <w:r w:rsidR="003E64EA">
              <w:rPr>
                <w:rFonts w:asciiTheme="minorHAnsi" w:eastAsia="Cambria" w:hAnsiTheme="minorHAnsi"/>
                <w:spacing w:val="-2"/>
                <w:sz w:val="18"/>
                <w:szCs w:val="18"/>
              </w:rPr>
              <w:t>s</w:t>
            </w:r>
            <w:r w:rsidRPr="00894400">
              <w:rPr>
                <w:rFonts w:asciiTheme="minorHAnsi" w:eastAsia="Cambria" w:hAnsiTheme="minorHAnsi"/>
                <w:spacing w:val="-2"/>
                <w:sz w:val="18"/>
                <w:szCs w:val="18"/>
              </w:rPr>
              <w:t>olutions</w:t>
            </w:r>
          </w:p>
        </w:tc>
        <w:tc>
          <w:tcPr>
            <w:tcW w:w="2414" w:type="dxa"/>
            <w:shd w:val="clear" w:color="auto" w:fill="F2F2F2" w:themeFill="background1" w:themeFillShade="F2"/>
            <w:vAlign w:val="center"/>
          </w:tcPr>
          <w:p w:rsidR="00305409" w:rsidRPr="00894400" w:rsidRDefault="00305409" w:rsidP="003E64EA">
            <w:pPr>
              <w:keepNext/>
              <w:keepLines/>
              <w:kinsoku w:val="0"/>
              <w:overflowPunct w:val="0"/>
              <w:spacing w:before="40" w:after="40" w:line="240" w:lineRule="auto"/>
              <w:textAlignment w:val="baseline"/>
              <w:rPr>
                <w:rFonts w:asciiTheme="minorHAnsi" w:eastAsia="Cambria" w:hAnsiTheme="minorHAnsi"/>
                <w:spacing w:val="-2"/>
                <w:sz w:val="18"/>
                <w:szCs w:val="18"/>
              </w:rPr>
            </w:pPr>
            <w:r w:rsidRPr="00894400">
              <w:rPr>
                <w:rFonts w:asciiTheme="minorHAnsi" w:eastAsia="Cambria" w:hAnsiTheme="minorHAnsi"/>
                <w:spacing w:val="-2"/>
                <w:sz w:val="18"/>
                <w:szCs w:val="18"/>
              </w:rPr>
              <w:t>Continuously</w:t>
            </w:r>
            <w:r w:rsidR="00B10FF3">
              <w:rPr>
                <w:rFonts w:asciiTheme="minorHAnsi" w:eastAsia="Cambria" w:hAnsiTheme="minorHAnsi"/>
                <w:spacing w:val="-2"/>
                <w:sz w:val="18"/>
                <w:szCs w:val="18"/>
              </w:rPr>
              <w:t xml:space="preserve">; </w:t>
            </w:r>
            <w:r w:rsidRPr="00894400">
              <w:rPr>
                <w:rFonts w:asciiTheme="minorHAnsi" w:eastAsia="Cambria" w:hAnsiTheme="minorHAnsi"/>
                <w:spacing w:val="-2"/>
                <w:sz w:val="18"/>
                <w:szCs w:val="18"/>
              </w:rPr>
              <w:t>summarized in a report every odd year</w:t>
            </w:r>
          </w:p>
        </w:tc>
        <w:tc>
          <w:tcPr>
            <w:tcW w:w="2446" w:type="dxa"/>
            <w:shd w:val="clear" w:color="auto" w:fill="F2F2F2" w:themeFill="background1" w:themeFillShade="F2"/>
            <w:vAlign w:val="center"/>
          </w:tcPr>
          <w:p w:rsidR="00305409" w:rsidRPr="00894400" w:rsidRDefault="002B699D" w:rsidP="003E64EA">
            <w:pPr>
              <w:keepNext/>
              <w:keepLines/>
              <w:kinsoku w:val="0"/>
              <w:overflowPunct w:val="0"/>
              <w:spacing w:before="40" w:after="40" w:line="240" w:lineRule="auto"/>
              <w:textAlignment w:val="baseline"/>
              <w:rPr>
                <w:rFonts w:asciiTheme="minorHAnsi" w:eastAsia="Cambria" w:hAnsiTheme="minorHAnsi"/>
                <w:spacing w:val="-2"/>
                <w:sz w:val="18"/>
                <w:szCs w:val="18"/>
              </w:rPr>
            </w:pPr>
            <w:r>
              <w:rPr>
                <w:rFonts w:asciiTheme="minorHAnsi" w:eastAsia="Cambria" w:hAnsiTheme="minorHAnsi"/>
                <w:spacing w:val="-2"/>
                <w:sz w:val="18"/>
                <w:szCs w:val="18"/>
              </w:rPr>
              <w:t>Potential solutions identified, evaluated</w:t>
            </w:r>
            <w:r w:rsidR="003E64EA">
              <w:rPr>
                <w:rFonts w:asciiTheme="minorHAnsi" w:eastAsia="Cambria" w:hAnsiTheme="minorHAnsi"/>
                <w:spacing w:val="-2"/>
                <w:sz w:val="18"/>
                <w:szCs w:val="18"/>
              </w:rPr>
              <w:t>,</w:t>
            </w:r>
            <w:r>
              <w:rPr>
                <w:rFonts w:asciiTheme="minorHAnsi" w:eastAsia="Cambria" w:hAnsiTheme="minorHAnsi"/>
                <w:spacing w:val="-2"/>
                <w:sz w:val="18"/>
                <w:szCs w:val="18"/>
              </w:rPr>
              <w:t xml:space="preserve"> and selected throughout the year in a transparent process with stakeholders</w:t>
            </w:r>
          </w:p>
        </w:tc>
        <w:tc>
          <w:tcPr>
            <w:tcW w:w="2138" w:type="dxa"/>
            <w:shd w:val="clear" w:color="auto" w:fill="F2F2F2" w:themeFill="background1" w:themeFillShade="F2"/>
            <w:vAlign w:val="center"/>
          </w:tcPr>
          <w:p w:rsidR="00305409" w:rsidRPr="00894400" w:rsidRDefault="00305409" w:rsidP="003E64EA">
            <w:pPr>
              <w:keepNext/>
              <w:keepLines/>
              <w:kinsoku w:val="0"/>
              <w:overflowPunct w:val="0"/>
              <w:spacing w:before="40" w:after="40" w:line="240" w:lineRule="auto"/>
              <w:textAlignment w:val="baseline"/>
              <w:rPr>
                <w:rFonts w:asciiTheme="minorHAnsi" w:eastAsia="Cambria" w:hAnsiTheme="minorHAnsi"/>
                <w:spacing w:val="-2"/>
                <w:sz w:val="18"/>
                <w:szCs w:val="18"/>
              </w:rPr>
            </w:pPr>
            <w:r w:rsidRPr="00894400">
              <w:rPr>
                <w:rFonts w:asciiTheme="minorHAnsi" w:eastAsia="Cambria" w:hAnsiTheme="minorHAnsi"/>
                <w:spacing w:val="-2"/>
                <w:sz w:val="18"/>
                <w:szCs w:val="18"/>
              </w:rPr>
              <w:t>Continuously</w:t>
            </w:r>
            <w:r w:rsidR="008E6EEA">
              <w:rPr>
                <w:rFonts w:asciiTheme="minorHAnsi" w:eastAsia="Cambria" w:hAnsiTheme="minorHAnsi"/>
                <w:spacing w:val="-2"/>
                <w:sz w:val="18"/>
                <w:szCs w:val="18"/>
              </w:rPr>
              <w:t>;</w:t>
            </w:r>
            <w:r w:rsidRPr="00894400">
              <w:rPr>
                <w:rFonts w:asciiTheme="minorHAnsi" w:eastAsia="Cambria" w:hAnsiTheme="minorHAnsi"/>
                <w:spacing w:val="-2"/>
                <w:sz w:val="18"/>
                <w:szCs w:val="18"/>
              </w:rPr>
              <w:t xml:space="preserve"> summarized three times per year in a </w:t>
            </w:r>
            <w:r w:rsidR="00554AFB" w:rsidRPr="00894400">
              <w:rPr>
                <w:rFonts w:asciiTheme="minorHAnsi" w:eastAsia="Cambria" w:hAnsiTheme="minorHAnsi"/>
                <w:spacing w:val="-2"/>
                <w:sz w:val="18"/>
                <w:szCs w:val="18"/>
              </w:rPr>
              <w:t xml:space="preserve">project </w:t>
            </w:r>
            <w:r w:rsidRPr="00894400">
              <w:rPr>
                <w:rFonts w:asciiTheme="minorHAnsi" w:eastAsia="Cambria" w:hAnsiTheme="minorHAnsi"/>
                <w:spacing w:val="-2"/>
                <w:sz w:val="18"/>
                <w:szCs w:val="18"/>
              </w:rPr>
              <w:t>list</w:t>
            </w:r>
            <w:r w:rsidR="008E6EEA">
              <w:rPr>
                <w:rFonts w:asciiTheme="minorHAnsi" w:eastAsia="Cambria" w:hAnsiTheme="minorHAnsi"/>
                <w:spacing w:val="-2"/>
                <w:sz w:val="18"/>
                <w:szCs w:val="18"/>
              </w:rPr>
              <w:t xml:space="preserve">; </w:t>
            </w:r>
            <w:r w:rsidRPr="00894400">
              <w:rPr>
                <w:rFonts w:asciiTheme="minorHAnsi" w:eastAsia="Cambria" w:hAnsiTheme="minorHAnsi"/>
                <w:spacing w:val="-2"/>
                <w:sz w:val="18"/>
                <w:szCs w:val="18"/>
              </w:rPr>
              <w:t>summarized in a report every odd year</w:t>
            </w:r>
          </w:p>
        </w:tc>
      </w:tr>
      <w:tr w:rsidR="00F13A42" w:rsidRPr="00894400" w:rsidTr="003E64EA">
        <w:trPr>
          <w:jc w:val="center"/>
        </w:trPr>
        <w:tc>
          <w:tcPr>
            <w:tcW w:w="2790" w:type="dxa"/>
            <w:vAlign w:val="center"/>
          </w:tcPr>
          <w:p w:rsidR="00305409" w:rsidRPr="00894400" w:rsidRDefault="00305409" w:rsidP="003E64EA">
            <w:pPr>
              <w:keepNext/>
              <w:keepLines/>
              <w:kinsoku w:val="0"/>
              <w:overflowPunct w:val="0"/>
              <w:spacing w:before="40" w:after="40" w:line="240" w:lineRule="auto"/>
              <w:textAlignment w:val="baseline"/>
              <w:rPr>
                <w:rFonts w:asciiTheme="minorHAnsi" w:eastAsia="Cambria" w:hAnsiTheme="minorHAnsi"/>
                <w:spacing w:val="-2"/>
                <w:sz w:val="18"/>
                <w:szCs w:val="18"/>
              </w:rPr>
            </w:pPr>
            <w:r w:rsidRPr="00894400">
              <w:rPr>
                <w:rFonts w:asciiTheme="minorHAnsi" w:eastAsia="Cambria" w:hAnsiTheme="minorHAnsi"/>
                <w:spacing w:val="-2"/>
                <w:sz w:val="18"/>
                <w:szCs w:val="18"/>
              </w:rPr>
              <w:t xml:space="preserve">Economic </w:t>
            </w:r>
            <w:r w:rsidR="003E64EA">
              <w:rPr>
                <w:rFonts w:asciiTheme="minorHAnsi" w:eastAsia="Cambria" w:hAnsiTheme="minorHAnsi"/>
                <w:spacing w:val="-2"/>
                <w:sz w:val="18"/>
                <w:szCs w:val="18"/>
              </w:rPr>
              <w:t>i</w:t>
            </w:r>
            <w:r w:rsidR="00C8426E">
              <w:rPr>
                <w:rFonts w:asciiTheme="minorHAnsi" w:eastAsia="Cambria" w:hAnsiTheme="minorHAnsi"/>
                <w:spacing w:val="-2"/>
                <w:sz w:val="18"/>
                <w:szCs w:val="18"/>
              </w:rPr>
              <w:t>ssues</w:t>
            </w:r>
          </w:p>
        </w:tc>
        <w:tc>
          <w:tcPr>
            <w:tcW w:w="2414" w:type="dxa"/>
            <w:vAlign w:val="center"/>
          </w:tcPr>
          <w:p w:rsidR="00305409" w:rsidRPr="00894400" w:rsidRDefault="00305409" w:rsidP="003E64EA">
            <w:pPr>
              <w:keepNext/>
              <w:keepLines/>
              <w:kinsoku w:val="0"/>
              <w:overflowPunct w:val="0"/>
              <w:spacing w:before="40" w:after="40" w:line="240" w:lineRule="auto"/>
              <w:textAlignment w:val="baseline"/>
              <w:rPr>
                <w:rFonts w:asciiTheme="minorHAnsi" w:eastAsia="Cambria" w:hAnsiTheme="minorHAnsi"/>
                <w:spacing w:val="-2"/>
                <w:sz w:val="18"/>
                <w:szCs w:val="18"/>
              </w:rPr>
            </w:pPr>
            <w:r w:rsidRPr="00894400">
              <w:rPr>
                <w:rFonts w:asciiTheme="minorHAnsi" w:eastAsia="Cambria" w:hAnsiTheme="minorHAnsi"/>
                <w:spacing w:val="-2"/>
                <w:sz w:val="18"/>
                <w:szCs w:val="18"/>
              </w:rPr>
              <w:t>Continuously</w:t>
            </w:r>
            <w:r w:rsidR="00B10FF3">
              <w:rPr>
                <w:rFonts w:asciiTheme="minorHAnsi" w:eastAsia="Cambria" w:hAnsiTheme="minorHAnsi"/>
                <w:spacing w:val="-2"/>
                <w:sz w:val="18"/>
                <w:szCs w:val="18"/>
              </w:rPr>
              <w:t xml:space="preserve">; </w:t>
            </w:r>
            <w:r w:rsidRPr="00894400">
              <w:rPr>
                <w:rFonts w:asciiTheme="minorHAnsi" w:eastAsia="Cambria" w:hAnsiTheme="minorHAnsi"/>
                <w:spacing w:val="-2"/>
                <w:sz w:val="18"/>
                <w:szCs w:val="18"/>
              </w:rPr>
              <w:t>summarized in a report every odd year</w:t>
            </w:r>
          </w:p>
        </w:tc>
        <w:tc>
          <w:tcPr>
            <w:tcW w:w="2446" w:type="dxa"/>
            <w:vAlign w:val="center"/>
          </w:tcPr>
          <w:p w:rsidR="00305409" w:rsidRPr="00894400" w:rsidRDefault="00305409" w:rsidP="003E64EA">
            <w:pPr>
              <w:keepNext/>
              <w:keepLines/>
              <w:kinsoku w:val="0"/>
              <w:overflowPunct w:val="0"/>
              <w:spacing w:before="40" w:after="40" w:line="240" w:lineRule="auto"/>
              <w:textAlignment w:val="baseline"/>
              <w:rPr>
                <w:rFonts w:asciiTheme="minorHAnsi" w:eastAsia="Cambria" w:hAnsiTheme="minorHAnsi"/>
                <w:spacing w:val="-2"/>
                <w:sz w:val="18"/>
                <w:szCs w:val="18"/>
              </w:rPr>
            </w:pPr>
            <w:r w:rsidRPr="00894400">
              <w:rPr>
                <w:rFonts w:asciiTheme="minorHAnsi" w:hAnsiTheme="minorHAnsi"/>
                <w:sz w:val="18"/>
                <w:szCs w:val="18"/>
              </w:rPr>
              <w:t xml:space="preserve"> </w:t>
            </w:r>
            <w:r w:rsidR="002B699D">
              <w:rPr>
                <w:rFonts w:asciiTheme="minorHAnsi" w:hAnsiTheme="minorHAnsi"/>
                <w:sz w:val="18"/>
                <w:szCs w:val="18"/>
              </w:rPr>
              <w:t xml:space="preserve">Identified </w:t>
            </w:r>
            <w:r w:rsidR="003E64EA">
              <w:rPr>
                <w:rFonts w:asciiTheme="minorHAnsi" w:hAnsiTheme="minorHAnsi"/>
                <w:sz w:val="18"/>
                <w:szCs w:val="18"/>
              </w:rPr>
              <w:t>midyear</w:t>
            </w:r>
            <w:r w:rsidR="00C8426E">
              <w:rPr>
                <w:rFonts w:asciiTheme="minorHAnsi" w:hAnsiTheme="minorHAnsi"/>
                <w:sz w:val="18"/>
                <w:szCs w:val="18"/>
              </w:rPr>
              <w:t xml:space="preserve"> of even calendar years</w:t>
            </w:r>
            <w:r w:rsidR="002B699D">
              <w:rPr>
                <w:rFonts w:asciiTheme="minorHAnsi" w:hAnsiTheme="minorHAnsi"/>
                <w:sz w:val="18"/>
                <w:szCs w:val="18"/>
              </w:rPr>
              <w:t xml:space="preserve"> and reported to </w:t>
            </w:r>
            <w:r w:rsidR="00DF5F61">
              <w:rPr>
                <w:rFonts w:asciiTheme="minorHAnsi" w:hAnsiTheme="minorHAnsi"/>
                <w:sz w:val="18"/>
                <w:szCs w:val="18"/>
              </w:rPr>
              <w:t>stakeholders</w:t>
            </w:r>
          </w:p>
        </w:tc>
        <w:tc>
          <w:tcPr>
            <w:tcW w:w="2138" w:type="dxa"/>
            <w:vAlign w:val="center"/>
          </w:tcPr>
          <w:p w:rsidR="00305409" w:rsidRPr="00894400" w:rsidRDefault="00305409" w:rsidP="003E64EA">
            <w:pPr>
              <w:keepNext/>
              <w:keepLines/>
              <w:kinsoku w:val="0"/>
              <w:overflowPunct w:val="0"/>
              <w:spacing w:before="40" w:after="40" w:line="240" w:lineRule="auto"/>
              <w:textAlignment w:val="baseline"/>
              <w:rPr>
                <w:rFonts w:asciiTheme="minorHAnsi" w:eastAsia="Cambria" w:hAnsiTheme="minorHAnsi"/>
                <w:spacing w:val="-2"/>
                <w:sz w:val="18"/>
                <w:szCs w:val="18"/>
              </w:rPr>
            </w:pPr>
            <w:r w:rsidRPr="00894400">
              <w:rPr>
                <w:rFonts w:asciiTheme="minorHAnsi" w:eastAsia="Cambria" w:hAnsiTheme="minorHAnsi"/>
                <w:spacing w:val="-2"/>
                <w:sz w:val="18"/>
                <w:szCs w:val="18"/>
              </w:rPr>
              <w:t>Continuously</w:t>
            </w:r>
          </w:p>
        </w:tc>
      </w:tr>
      <w:tr w:rsidR="00F13A42" w:rsidRPr="00894400" w:rsidTr="003E64EA">
        <w:trPr>
          <w:jc w:val="center"/>
        </w:trPr>
        <w:tc>
          <w:tcPr>
            <w:tcW w:w="2790" w:type="dxa"/>
            <w:shd w:val="clear" w:color="auto" w:fill="F2F2F2" w:themeFill="background1" w:themeFillShade="F2"/>
            <w:vAlign w:val="center"/>
          </w:tcPr>
          <w:p w:rsidR="00305409" w:rsidRPr="00894400" w:rsidRDefault="00305409" w:rsidP="003E64EA">
            <w:pPr>
              <w:keepNext/>
              <w:keepLines/>
              <w:kinsoku w:val="0"/>
              <w:overflowPunct w:val="0"/>
              <w:spacing w:before="40" w:after="40" w:line="240" w:lineRule="auto"/>
              <w:textAlignment w:val="baseline"/>
              <w:rPr>
                <w:rFonts w:asciiTheme="minorHAnsi" w:eastAsia="Cambria" w:hAnsiTheme="minorHAnsi"/>
                <w:spacing w:val="-2"/>
                <w:sz w:val="18"/>
                <w:szCs w:val="18"/>
              </w:rPr>
            </w:pPr>
            <w:r w:rsidRPr="00894400">
              <w:rPr>
                <w:rFonts w:asciiTheme="minorHAnsi" w:eastAsia="Cambria" w:hAnsiTheme="minorHAnsi"/>
                <w:spacing w:val="-2"/>
                <w:sz w:val="18"/>
                <w:szCs w:val="18"/>
              </w:rPr>
              <w:t xml:space="preserve">Economic </w:t>
            </w:r>
            <w:r w:rsidR="003E64EA">
              <w:rPr>
                <w:rFonts w:asciiTheme="minorHAnsi" w:eastAsia="Cambria" w:hAnsiTheme="minorHAnsi"/>
                <w:spacing w:val="-2"/>
                <w:sz w:val="18"/>
                <w:szCs w:val="18"/>
              </w:rPr>
              <w:t>s</w:t>
            </w:r>
            <w:r w:rsidRPr="00894400">
              <w:rPr>
                <w:rFonts w:asciiTheme="minorHAnsi" w:eastAsia="Cambria" w:hAnsiTheme="minorHAnsi"/>
                <w:spacing w:val="-2"/>
                <w:sz w:val="18"/>
                <w:szCs w:val="18"/>
              </w:rPr>
              <w:t>olutions</w:t>
            </w:r>
          </w:p>
        </w:tc>
        <w:tc>
          <w:tcPr>
            <w:tcW w:w="2414" w:type="dxa"/>
            <w:shd w:val="clear" w:color="auto" w:fill="F2F2F2" w:themeFill="background1" w:themeFillShade="F2"/>
            <w:vAlign w:val="center"/>
          </w:tcPr>
          <w:p w:rsidR="00305409" w:rsidRPr="00894400" w:rsidRDefault="00305409" w:rsidP="003E64EA">
            <w:pPr>
              <w:keepNext/>
              <w:keepLines/>
              <w:kinsoku w:val="0"/>
              <w:overflowPunct w:val="0"/>
              <w:spacing w:before="40" w:after="40" w:line="240" w:lineRule="auto"/>
              <w:textAlignment w:val="baseline"/>
              <w:rPr>
                <w:rFonts w:asciiTheme="minorHAnsi" w:eastAsia="Cambria" w:hAnsiTheme="minorHAnsi"/>
                <w:spacing w:val="-2"/>
                <w:sz w:val="18"/>
                <w:szCs w:val="18"/>
              </w:rPr>
            </w:pPr>
            <w:r w:rsidRPr="00894400">
              <w:rPr>
                <w:rFonts w:asciiTheme="minorHAnsi" w:eastAsia="Cambria" w:hAnsiTheme="minorHAnsi"/>
                <w:spacing w:val="-2"/>
                <w:sz w:val="18"/>
                <w:szCs w:val="18"/>
              </w:rPr>
              <w:t>Continuously</w:t>
            </w:r>
            <w:r w:rsidR="008E6EEA">
              <w:rPr>
                <w:rFonts w:asciiTheme="minorHAnsi" w:eastAsia="Cambria" w:hAnsiTheme="minorHAnsi"/>
                <w:spacing w:val="-2"/>
                <w:sz w:val="18"/>
                <w:szCs w:val="18"/>
              </w:rPr>
              <w:t xml:space="preserve">; </w:t>
            </w:r>
            <w:r w:rsidRPr="00894400">
              <w:rPr>
                <w:rFonts w:asciiTheme="minorHAnsi" w:eastAsia="Cambria" w:hAnsiTheme="minorHAnsi"/>
                <w:spacing w:val="-2"/>
                <w:sz w:val="18"/>
                <w:szCs w:val="18"/>
              </w:rPr>
              <w:t xml:space="preserve">summarized in a report </w:t>
            </w:r>
            <w:r w:rsidR="00615049">
              <w:rPr>
                <w:rFonts w:asciiTheme="minorHAnsi" w:eastAsia="Cambria" w:hAnsiTheme="minorHAnsi"/>
                <w:spacing w:val="-2"/>
                <w:sz w:val="18"/>
                <w:szCs w:val="18"/>
              </w:rPr>
              <w:t>for each proposed project</w:t>
            </w:r>
          </w:p>
        </w:tc>
        <w:tc>
          <w:tcPr>
            <w:tcW w:w="2446" w:type="dxa"/>
            <w:shd w:val="clear" w:color="auto" w:fill="F2F2F2" w:themeFill="background1" w:themeFillShade="F2"/>
            <w:vAlign w:val="center"/>
          </w:tcPr>
          <w:p w:rsidR="00305409" w:rsidRPr="00894400" w:rsidRDefault="00F13A42" w:rsidP="00E009FF">
            <w:pPr>
              <w:keepNext/>
              <w:keepLines/>
              <w:kinsoku w:val="0"/>
              <w:overflowPunct w:val="0"/>
              <w:spacing w:before="40" w:after="40" w:line="240" w:lineRule="auto"/>
              <w:textAlignment w:val="baseline"/>
              <w:rPr>
                <w:rFonts w:asciiTheme="minorHAnsi" w:eastAsia="Cambria" w:hAnsiTheme="minorHAnsi"/>
                <w:spacing w:val="-2"/>
                <w:sz w:val="18"/>
                <w:szCs w:val="18"/>
              </w:rPr>
            </w:pPr>
            <w:r>
              <w:rPr>
                <w:rFonts w:asciiTheme="minorHAnsi" w:eastAsia="Cambria" w:hAnsiTheme="minorHAnsi"/>
                <w:spacing w:val="-2"/>
                <w:sz w:val="18"/>
                <w:szCs w:val="18"/>
              </w:rPr>
              <w:t>Potential s</w:t>
            </w:r>
            <w:r w:rsidRPr="005C24B6">
              <w:rPr>
                <w:rFonts w:asciiTheme="minorHAnsi" w:eastAsia="Cambria" w:hAnsiTheme="minorHAnsi"/>
                <w:spacing w:val="-2"/>
                <w:sz w:val="18"/>
                <w:szCs w:val="18"/>
              </w:rPr>
              <w:t>olutions</w:t>
            </w:r>
            <w:r w:rsidR="003E64EA">
              <w:rPr>
                <w:rFonts w:asciiTheme="minorHAnsi" w:eastAsia="Cambria" w:hAnsiTheme="minorHAnsi"/>
                <w:spacing w:val="-2"/>
                <w:sz w:val="18"/>
                <w:szCs w:val="18"/>
              </w:rPr>
              <w:t xml:space="preserve"> </w:t>
            </w:r>
            <w:r>
              <w:rPr>
                <w:rFonts w:asciiTheme="minorHAnsi" w:eastAsia="Cambria" w:hAnsiTheme="minorHAnsi"/>
                <w:spacing w:val="-2"/>
                <w:sz w:val="18"/>
                <w:szCs w:val="18"/>
              </w:rPr>
              <w:t>identified November 1 of even years through February of odd years</w:t>
            </w:r>
            <w:r w:rsidR="003E64EA">
              <w:rPr>
                <w:rFonts w:asciiTheme="minorHAnsi" w:eastAsia="Cambria" w:hAnsiTheme="minorHAnsi"/>
                <w:spacing w:val="-2"/>
                <w:sz w:val="18"/>
                <w:szCs w:val="18"/>
              </w:rPr>
              <w:t xml:space="preserve">; </w:t>
            </w:r>
            <w:r w:rsidR="00E009FF">
              <w:rPr>
                <w:rFonts w:asciiTheme="minorHAnsi" w:eastAsia="Cambria" w:hAnsiTheme="minorHAnsi"/>
                <w:spacing w:val="-2"/>
                <w:sz w:val="18"/>
                <w:szCs w:val="18"/>
              </w:rPr>
              <w:t>s</w:t>
            </w:r>
            <w:r>
              <w:rPr>
                <w:rFonts w:asciiTheme="minorHAnsi" w:eastAsia="Cambria" w:hAnsiTheme="minorHAnsi"/>
                <w:spacing w:val="-2"/>
                <w:sz w:val="18"/>
                <w:szCs w:val="18"/>
              </w:rPr>
              <w:t xml:space="preserve">olutions </w:t>
            </w:r>
            <w:r w:rsidR="00DF5F61">
              <w:rPr>
                <w:rFonts w:asciiTheme="minorHAnsi" w:eastAsia="Cambria" w:hAnsiTheme="minorHAnsi"/>
                <w:spacing w:val="-2"/>
                <w:sz w:val="18"/>
                <w:szCs w:val="18"/>
              </w:rPr>
              <w:t xml:space="preserve">evaluated and </w:t>
            </w:r>
            <w:r>
              <w:rPr>
                <w:rFonts w:asciiTheme="minorHAnsi" w:eastAsia="Cambria" w:hAnsiTheme="minorHAnsi"/>
                <w:spacing w:val="-2"/>
                <w:sz w:val="18"/>
                <w:szCs w:val="18"/>
              </w:rPr>
              <w:t>selected</w:t>
            </w:r>
            <w:r w:rsidR="00DF5F61">
              <w:rPr>
                <w:rFonts w:asciiTheme="minorHAnsi" w:eastAsia="Cambria" w:hAnsiTheme="minorHAnsi"/>
                <w:spacing w:val="-2"/>
                <w:sz w:val="18"/>
                <w:szCs w:val="18"/>
              </w:rPr>
              <w:t xml:space="preserve"> in odd years</w:t>
            </w:r>
            <w:r>
              <w:rPr>
                <w:rFonts w:asciiTheme="minorHAnsi" w:eastAsia="Cambria" w:hAnsiTheme="minorHAnsi"/>
                <w:spacing w:val="-2"/>
                <w:sz w:val="18"/>
                <w:szCs w:val="18"/>
              </w:rPr>
              <w:t xml:space="preserve"> </w:t>
            </w:r>
          </w:p>
        </w:tc>
        <w:tc>
          <w:tcPr>
            <w:tcW w:w="2138" w:type="dxa"/>
            <w:shd w:val="clear" w:color="auto" w:fill="F2F2F2" w:themeFill="background1" w:themeFillShade="F2"/>
            <w:vAlign w:val="center"/>
          </w:tcPr>
          <w:p w:rsidR="00305409" w:rsidRPr="00894400" w:rsidRDefault="00305409" w:rsidP="003E64EA">
            <w:pPr>
              <w:keepNext/>
              <w:keepLines/>
              <w:kinsoku w:val="0"/>
              <w:overflowPunct w:val="0"/>
              <w:spacing w:before="40" w:after="40" w:line="240" w:lineRule="auto"/>
              <w:textAlignment w:val="baseline"/>
              <w:rPr>
                <w:rFonts w:asciiTheme="minorHAnsi" w:eastAsia="Cambria" w:hAnsiTheme="minorHAnsi"/>
                <w:spacing w:val="-2"/>
                <w:sz w:val="18"/>
                <w:szCs w:val="18"/>
              </w:rPr>
            </w:pPr>
            <w:r w:rsidRPr="00894400">
              <w:rPr>
                <w:rFonts w:asciiTheme="minorHAnsi" w:eastAsia="Cambria" w:hAnsiTheme="minorHAnsi"/>
                <w:spacing w:val="-2"/>
                <w:sz w:val="18"/>
                <w:szCs w:val="18"/>
              </w:rPr>
              <w:t>Continuously</w:t>
            </w:r>
            <w:r w:rsidR="008E6EEA">
              <w:rPr>
                <w:rFonts w:asciiTheme="minorHAnsi" w:eastAsia="Cambria" w:hAnsiTheme="minorHAnsi"/>
                <w:spacing w:val="-2"/>
                <w:sz w:val="18"/>
                <w:szCs w:val="18"/>
              </w:rPr>
              <w:t xml:space="preserve">; </w:t>
            </w:r>
            <w:r w:rsidRPr="00894400">
              <w:rPr>
                <w:rFonts w:asciiTheme="minorHAnsi" w:eastAsia="Cambria" w:hAnsiTheme="minorHAnsi"/>
                <w:spacing w:val="-2"/>
                <w:sz w:val="18"/>
                <w:szCs w:val="18"/>
              </w:rPr>
              <w:t xml:space="preserve">summarized three times per year in a </w:t>
            </w:r>
            <w:r w:rsidR="00554AFB" w:rsidRPr="00894400">
              <w:rPr>
                <w:rFonts w:asciiTheme="minorHAnsi" w:eastAsia="Cambria" w:hAnsiTheme="minorHAnsi"/>
                <w:spacing w:val="-2"/>
                <w:sz w:val="18"/>
                <w:szCs w:val="18"/>
              </w:rPr>
              <w:t xml:space="preserve">project </w:t>
            </w:r>
            <w:r w:rsidRPr="00894400">
              <w:rPr>
                <w:rFonts w:asciiTheme="minorHAnsi" w:eastAsia="Cambria" w:hAnsiTheme="minorHAnsi"/>
                <w:spacing w:val="-2"/>
                <w:sz w:val="18"/>
                <w:szCs w:val="18"/>
              </w:rPr>
              <w:t>list</w:t>
            </w:r>
            <w:r w:rsidR="008E6EEA">
              <w:rPr>
                <w:rFonts w:asciiTheme="minorHAnsi" w:eastAsia="Cambria" w:hAnsiTheme="minorHAnsi"/>
                <w:spacing w:val="-2"/>
                <w:sz w:val="18"/>
                <w:szCs w:val="18"/>
              </w:rPr>
              <w:t xml:space="preserve">; </w:t>
            </w:r>
            <w:r w:rsidRPr="00894400">
              <w:rPr>
                <w:rFonts w:asciiTheme="minorHAnsi" w:eastAsia="Cambria" w:hAnsiTheme="minorHAnsi"/>
                <w:spacing w:val="-2"/>
                <w:sz w:val="18"/>
                <w:szCs w:val="18"/>
              </w:rPr>
              <w:t>summarized in a report every odd year</w:t>
            </w:r>
          </w:p>
        </w:tc>
      </w:tr>
      <w:tr w:rsidR="00F13A42" w:rsidRPr="00894400" w:rsidTr="003E64EA">
        <w:trPr>
          <w:jc w:val="center"/>
        </w:trPr>
        <w:tc>
          <w:tcPr>
            <w:tcW w:w="2790" w:type="dxa"/>
            <w:vAlign w:val="center"/>
          </w:tcPr>
          <w:p w:rsidR="00305409" w:rsidRPr="00894400" w:rsidRDefault="00305409" w:rsidP="003E64EA">
            <w:pPr>
              <w:keepNext/>
              <w:keepLines/>
              <w:kinsoku w:val="0"/>
              <w:overflowPunct w:val="0"/>
              <w:spacing w:before="40" w:after="40" w:line="240" w:lineRule="auto"/>
              <w:textAlignment w:val="baseline"/>
              <w:rPr>
                <w:rFonts w:asciiTheme="minorHAnsi" w:eastAsia="Cambria" w:hAnsiTheme="minorHAnsi"/>
                <w:spacing w:val="-2"/>
                <w:sz w:val="18"/>
                <w:szCs w:val="18"/>
              </w:rPr>
            </w:pPr>
            <w:r w:rsidRPr="00894400">
              <w:rPr>
                <w:rFonts w:asciiTheme="minorHAnsi" w:eastAsia="Cambria" w:hAnsiTheme="minorHAnsi"/>
                <w:spacing w:val="-2"/>
                <w:sz w:val="18"/>
                <w:szCs w:val="18"/>
              </w:rPr>
              <w:t xml:space="preserve">Public </w:t>
            </w:r>
            <w:r w:rsidR="003E64EA">
              <w:rPr>
                <w:rFonts w:asciiTheme="minorHAnsi" w:eastAsia="Cambria" w:hAnsiTheme="minorHAnsi"/>
                <w:spacing w:val="-2"/>
                <w:sz w:val="18"/>
                <w:szCs w:val="18"/>
              </w:rPr>
              <w:t>p</w:t>
            </w:r>
            <w:r w:rsidRPr="00894400">
              <w:rPr>
                <w:rFonts w:asciiTheme="minorHAnsi" w:eastAsia="Cambria" w:hAnsiTheme="minorHAnsi"/>
                <w:spacing w:val="-2"/>
                <w:sz w:val="18"/>
                <w:szCs w:val="18"/>
              </w:rPr>
              <w:t xml:space="preserve">olicy </w:t>
            </w:r>
            <w:r w:rsidR="003E64EA">
              <w:rPr>
                <w:rFonts w:asciiTheme="minorHAnsi" w:eastAsia="Cambria" w:hAnsiTheme="minorHAnsi"/>
                <w:spacing w:val="-2"/>
                <w:sz w:val="18"/>
                <w:szCs w:val="18"/>
              </w:rPr>
              <w:t>i</w:t>
            </w:r>
            <w:r w:rsidR="00C8426E">
              <w:rPr>
                <w:rFonts w:asciiTheme="minorHAnsi" w:eastAsia="Cambria" w:hAnsiTheme="minorHAnsi"/>
                <w:spacing w:val="-2"/>
                <w:sz w:val="18"/>
                <w:szCs w:val="18"/>
              </w:rPr>
              <w:t>ssues</w:t>
            </w:r>
          </w:p>
        </w:tc>
        <w:tc>
          <w:tcPr>
            <w:tcW w:w="2414" w:type="dxa"/>
            <w:vAlign w:val="center"/>
          </w:tcPr>
          <w:p w:rsidR="00305409" w:rsidRPr="00894400" w:rsidRDefault="002B46FD" w:rsidP="002B46FD">
            <w:pPr>
              <w:keepNext/>
              <w:keepLines/>
              <w:kinsoku w:val="0"/>
              <w:overflowPunct w:val="0"/>
              <w:spacing w:before="40" w:after="40" w:line="240" w:lineRule="auto"/>
              <w:textAlignment w:val="baseline"/>
              <w:rPr>
                <w:rFonts w:asciiTheme="minorHAnsi" w:eastAsia="Cambria" w:hAnsiTheme="minorHAnsi"/>
                <w:spacing w:val="-2"/>
                <w:sz w:val="18"/>
                <w:szCs w:val="18"/>
              </w:rPr>
            </w:pPr>
            <w:r>
              <w:rPr>
                <w:rFonts w:asciiTheme="minorHAnsi" w:eastAsia="Cambria" w:hAnsiTheme="minorHAnsi"/>
                <w:spacing w:val="-2"/>
                <w:sz w:val="18"/>
                <w:szCs w:val="18"/>
              </w:rPr>
              <w:t>To m</w:t>
            </w:r>
            <w:r w:rsidR="00305409" w:rsidRPr="00894400">
              <w:rPr>
                <w:rFonts w:asciiTheme="minorHAnsi" w:eastAsia="Cambria" w:hAnsiTheme="minorHAnsi"/>
                <w:spacing w:val="-2"/>
                <w:sz w:val="18"/>
                <w:szCs w:val="18"/>
              </w:rPr>
              <w:t>eet regional timing</w:t>
            </w:r>
          </w:p>
        </w:tc>
        <w:tc>
          <w:tcPr>
            <w:tcW w:w="2446" w:type="dxa"/>
            <w:vAlign w:val="center"/>
          </w:tcPr>
          <w:p w:rsidR="00305409" w:rsidRPr="00894400" w:rsidRDefault="002B46FD" w:rsidP="002B46FD">
            <w:pPr>
              <w:keepNext/>
              <w:keepLines/>
              <w:kinsoku w:val="0"/>
              <w:overflowPunct w:val="0"/>
              <w:spacing w:before="40" w:after="40" w:line="240" w:lineRule="auto"/>
              <w:textAlignment w:val="baseline"/>
              <w:rPr>
                <w:rFonts w:asciiTheme="minorHAnsi" w:eastAsia="Cambria" w:hAnsiTheme="minorHAnsi"/>
                <w:spacing w:val="-2"/>
                <w:sz w:val="18"/>
                <w:szCs w:val="18"/>
              </w:rPr>
            </w:pPr>
            <w:r>
              <w:rPr>
                <w:rFonts w:asciiTheme="minorHAnsi" w:eastAsia="Cambria" w:hAnsiTheme="minorHAnsi"/>
                <w:spacing w:val="-2"/>
                <w:sz w:val="18"/>
                <w:szCs w:val="18"/>
              </w:rPr>
              <w:t>To m</w:t>
            </w:r>
            <w:r w:rsidR="00305409" w:rsidRPr="00894400">
              <w:rPr>
                <w:rFonts w:asciiTheme="minorHAnsi" w:eastAsia="Cambria" w:hAnsiTheme="minorHAnsi"/>
                <w:spacing w:val="-2"/>
                <w:sz w:val="18"/>
                <w:szCs w:val="18"/>
              </w:rPr>
              <w:t>eet regional timing</w:t>
            </w:r>
          </w:p>
        </w:tc>
        <w:tc>
          <w:tcPr>
            <w:tcW w:w="2138" w:type="dxa"/>
            <w:vAlign w:val="center"/>
          </w:tcPr>
          <w:p w:rsidR="00305409" w:rsidRPr="00894400" w:rsidRDefault="002B46FD" w:rsidP="002B46FD">
            <w:pPr>
              <w:keepNext/>
              <w:keepLines/>
              <w:kinsoku w:val="0"/>
              <w:overflowPunct w:val="0"/>
              <w:spacing w:before="40" w:after="40" w:line="240" w:lineRule="auto"/>
              <w:textAlignment w:val="baseline"/>
              <w:rPr>
                <w:rFonts w:asciiTheme="minorHAnsi" w:eastAsia="Cambria" w:hAnsiTheme="minorHAnsi"/>
                <w:spacing w:val="-2"/>
                <w:sz w:val="18"/>
                <w:szCs w:val="18"/>
              </w:rPr>
            </w:pPr>
            <w:r>
              <w:rPr>
                <w:rFonts w:asciiTheme="minorHAnsi" w:eastAsia="Cambria" w:hAnsiTheme="minorHAnsi"/>
                <w:spacing w:val="-2"/>
                <w:sz w:val="18"/>
                <w:szCs w:val="18"/>
              </w:rPr>
              <w:t>To m</w:t>
            </w:r>
            <w:r w:rsidR="00305409" w:rsidRPr="00894400">
              <w:rPr>
                <w:rFonts w:asciiTheme="minorHAnsi" w:eastAsia="Cambria" w:hAnsiTheme="minorHAnsi"/>
                <w:spacing w:val="-2"/>
                <w:sz w:val="18"/>
                <w:szCs w:val="18"/>
              </w:rPr>
              <w:t>eet regional timing</w:t>
            </w:r>
          </w:p>
        </w:tc>
      </w:tr>
      <w:tr w:rsidR="00F13A42" w:rsidRPr="00894400" w:rsidTr="003E64EA">
        <w:trPr>
          <w:jc w:val="center"/>
        </w:trPr>
        <w:tc>
          <w:tcPr>
            <w:tcW w:w="2790" w:type="dxa"/>
            <w:shd w:val="clear" w:color="auto" w:fill="F2F2F2" w:themeFill="background1" w:themeFillShade="F2"/>
            <w:vAlign w:val="center"/>
          </w:tcPr>
          <w:p w:rsidR="00305409" w:rsidRPr="00894400" w:rsidRDefault="00305409" w:rsidP="003E64EA">
            <w:pPr>
              <w:keepNext/>
              <w:keepLines/>
              <w:kinsoku w:val="0"/>
              <w:overflowPunct w:val="0"/>
              <w:spacing w:before="40" w:after="40" w:line="240" w:lineRule="auto"/>
              <w:textAlignment w:val="baseline"/>
              <w:rPr>
                <w:rFonts w:asciiTheme="minorHAnsi" w:eastAsia="Cambria" w:hAnsiTheme="minorHAnsi"/>
                <w:spacing w:val="-2"/>
                <w:sz w:val="18"/>
                <w:szCs w:val="18"/>
              </w:rPr>
            </w:pPr>
            <w:r w:rsidRPr="00894400">
              <w:rPr>
                <w:rFonts w:asciiTheme="minorHAnsi" w:eastAsia="Cambria" w:hAnsiTheme="minorHAnsi"/>
                <w:spacing w:val="-2"/>
                <w:sz w:val="18"/>
                <w:szCs w:val="18"/>
              </w:rPr>
              <w:t xml:space="preserve">Public </w:t>
            </w:r>
            <w:r w:rsidR="003E64EA">
              <w:rPr>
                <w:rFonts w:asciiTheme="minorHAnsi" w:eastAsia="Cambria" w:hAnsiTheme="minorHAnsi"/>
                <w:spacing w:val="-2"/>
                <w:sz w:val="18"/>
                <w:szCs w:val="18"/>
              </w:rPr>
              <w:t>p</w:t>
            </w:r>
            <w:r w:rsidRPr="00894400">
              <w:rPr>
                <w:rFonts w:asciiTheme="minorHAnsi" w:eastAsia="Cambria" w:hAnsiTheme="minorHAnsi"/>
                <w:spacing w:val="-2"/>
                <w:sz w:val="18"/>
                <w:szCs w:val="18"/>
              </w:rPr>
              <w:t xml:space="preserve">olicy </w:t>
            </w:r>
            <w:r w:rsidR="003E64EA">
              <w:rPr>
                <w:rFonts w:asciiTheme="minorHAnsi" w:eastAsia="Cambria" w:hAnsiTheme="minorHAnsi"/>
                <w:spacing w:val="-2"/>
                <w:sz w:val="18"/>
                <w:szCs w:val="18"/>
              </w:rPr>
              <w:t>s</w:t>
            </w:r>
            <w:r w:rsidRPr="00894400">
              <w:rPr>
                <w:rFonts w:asciiTheme="minorHAnsi" w:eastAsia="Cambria" w:hAnsiTheme="minorHAnsi"/>
                <w:spacing w:val="-2"/>
                <w:sz w:val="18"/>
                <w:szCs w:val="18"/>
              </w:rPr>
              <w:t xml:space="preserve">olutions </w:t>
            </w:r>
          </w:p>
        </w:tc>
        <w:tc>
          <w:tcPr>
            <w:tcW w:w="2414" w:type="dxa"/>
            <w:shd w:val="clear" w:color="auto" w:fill="F2F2F2" w:themeFill="background1" w:themeFillShade="F2"/>
            <w:vAlign w:val="center"/>
          </w:tcPr>
          <w:p w:rsidR="00305409" w:rsidRPr="00894400" w:rsidRDefault="00615049" w:rsidP="003E64EA">
            <w:pPr>
              <w:keepNext/>
              <w:keepLines/>
              <w:kinsoku w:val="0"/>
              <w:overflowPunct w:val="0"/>
              <w:spacing w:before="40" w:after="40" w:line="240" w:lineRule="auto"/>
              <w:textAlignment w:val="baseline"/>
              <w:rPr>
                <w:rFonts w:asciiTheme="minorHAnsi" w:eastAsia="Cambria" w:hAnsiTheme="minorHAnsi"/>
                <w:spacing w:val="-2"/>
                <w:sz w:val="18"/>
                <w:szCs w:val="18"/>
              </w:rPr>
            </w:pPr>
            <w:r>
              <w:rPr>
                <w:rFonts w:asciiTheme="minorHAnsi" w:eastAsia="Cambria" w:hAnsiTheme="minorHAnsi"/>
                <w:spacing w:val="-2"/>
                <w:sz w:val="18"/>
                <w:szCs w:val="18"/>
              </w:rPr>
              <w:t>Following identification of a public policy transmission need</w:t>
            </w:r>
          </w:p>
        </w:tc>
        <w:tc>
          <w:tcPr>
            <w:tcW w:w="2446" w:type="dxa"/>
            <w:shd w:val="clear" w:color="auto" w:fill="F2F2F2" w:themeFill="background1" w:themeFillShade="F2"/>
            <w:vAlign w:val="center"/>
          </w:tcPr>
          <w:p w:rsidR="00305409" w:rsidRPr="00894400" w:rsidRDefault="00F13A42" w:rsidP="003E64EA">
            <w:pPr>
              <w:keepNext/>
              <w:keepLines/>
              <w:kinsoku w:val="0"/>
              <w:overflowPunct w:val="0"/>
              <w:spacing w:before="40" w:after="40" w:line="240" w:lineRule="auto"/>
              <w:textAlignment w:val="baseline"/>
              <w:rPr>
                <w:rFonts w:asciiTheme="minorHAnsi" w:eastAsia="Cambria" w:hAnsiTheme="minorHAnsi"/>
                <w:spacing w:val="-2"/>
                <w:sz w:val="18"/>
                <w:szCs w:val="18"/>
              </w:rPr>
            </w:pPr>
            <w:r>
              <w:rPr>
                <w:rFonts w:asciiTheme="minorHAnsi" w:eastAsia="Cambria" w:hAnsiTheme="minorHAnsi"/>
                <w:spacing w:val="-2"/>
                <w:sz w:val="18"/>
                <w:szCs w:val="18"/>
              </w:rPr>
              <w:t>Annually</w:t>
            </w:r>
          </w:p>
        </w:tc>
        <w:tc>
          <w:tcPr>
            <w:tcW w:w="2138" w:type="dxa"/>
            <w:shd w:val="clear" w:color="auto" w:fill="F2F2F2" w:themeFill="background1" w:themeFillShade="F2"/>
            <w:vAlign w:val="center"/>
          </w:tcPr>
          <w:p w:rsidR="00305409" w:rsidRPr="00894400" w:rsidRDefault="00F82559" w:rsidP="003E64EA">
            <w:pPr>
              <w:keepNext/>
              <w:keepLines/>
              <w:kinsoku w:val="0"/>
              <w:overflowPunct w:val="0"/>
              <w:spacing w:before="40" w:after="40" w:line="240" w:lineRule="auto"/>
              <w:textAlignment w:val="baseline"/>
              <w:rPr>
                <w:rFonts w:asciiTheme="minorHAnsi" w:eastAsia="Cambria" w:hAnsiTheme="minorHAnsi"/>
                <w:spacing w:val="-2"/>
                <w:sz w:val="18"/>
                <w:szCs w:val="18"/>
              </w:rPr>
            </w:pPr>
            <w:r>
              <w:rPr>
                <w:rFonts w:asciiTheme="minorHAnsi" w:eastAsia="Cambria" w:hAnsiTheme="minorHAnsi"/>
                <w:spacing w:val="-2"/>
                <w:sz w:val="18"/>
                <w:szCs w:val="18"/>
              </w:rPr>
              <w:t>At least once every three years</w:t>
            </w:r>
          </w:p>
        </w:tc>
      </w:tr>
    </w:tbl>
    <w:p w:rsidR="00305409" w:rsidRDefault="00305409" w:rsidP="00305409">
      <w:pPr>
        <w:kinsoku w:val="0"/>
        <w:overflowPunct w:val="0"/>
        <w:ind w:left="907"/>
        <w:contextualSpacing/>
        <w:textAlignment w:val="baseline"/>
        <w:rPr>
          <w:rFonts w:eastAsia="Cambria"/>
          <w:spacing w:val="-2"/>
        </w:rPr>
      </w:pPr>
      <w:r>
        <w:rPr>
          <w:rFonts w:eastAsia="Cambria"/>
          <w:spacing w:val="-2"/>
        </w:rPr>
        <w:t xml:space="preserve"> </w:t>
      </w:r>
    </w:p>
    <w:p w:rsidR="00305409" w:rsidRPr="005C24B6" w:rsidRDefault="008E6EEA" w:rsidP="008E6EEA">
      <w:pPr>
        <w:rPr>
          <w:rFonts w:asciiTheme="majorHAnsi" w:hAnsiTheme="majorHAnsi"/>
          <w:highlight w:val="yellow"/>
        </w:rPr>
      </w:pPr>
      <w:r w:rsidRPr="005C24B6">
        <w:rPr>
          <w:rFonts w:asciiTheme="majorHAnsi" w:hAnsiTheme="majorHAnsi"/>
        </w:rPr>
        <w:t>The three ISO/RTOs have coordinated d</w:t>
      </w:r>
      <w:r w:rsidR="003B3CB6" w:rsidRPr="005C24B6">
        <w:rPr>
          <w:rFonts w:asciiTheme="majorHAnsi" w:hAnsiTheme="majorHAnsi"/>
        </w:rPr>
        <w:t>ata and planning models</w:t>
      </w:r>
      <w:r w:rsidR="00811ADF" w:rsidRPr="005C24B6">
        <w:rPr>
          <w:rFonts w:asciiTheme="majorHAnsi" w:hAnsiTheme="majorHAnsi"/>
        </w:rPr>
        <w:t xml:space="preserve">. </w:t>
      </w:r>
      <w:r w:rsidR="004843BC" w:rsidRPr="005C24B6">
        <w:rPr>
          <w:rFonts w:asciiTheme="majorHAnsi" w:hAnsiTheme="majorHAnsi"/>
        </w:rPr>
        <w:t>PJM updates its d</w:t>
      </w:r>
      <w:r w:rsidR="003B3CB6" w:rsidRPr="005C24B6">
        <w:rPr>
          <w:rFonts w:asciiTheme="majorHAnsi" w:hAnsiTheme="majorHAnsi"/>
        </w:rPr>
        <w:t>emand forecasts annually</w:t>
      </w:r>
      <w:r w:rsidR="004843BC" w:rsidRPr="005C24B6">
        <w:rPr>
          <w:rFonts w:asciiTheme="majorHAnsi" w:hAnsiTheme="majorHAnsi"/>
        </w:rPr>
        <w:t xml:space="preserve"> </w:t>
      </w:r>
      <w:r w:rsidR="003B3CB6" w:rsidRPr="005C24B6">
        <w:rPr>
          <w:rFonts w:asciiTheme="majorHAnsi" w:hAnsiTheme="majorHAnsi"/>
        </w:rPr>
        <w:t>every January, NYISO every April, and ISO-NE every May</w:t>
      </w:r>
      <w:r w:rsidR="00811ADF" w:rsidRPr="005C24B6">
        <w:rPr>
          <w:rFonts w:asciiTheme="majorHAnsi" w:hAnsiTheme="majorHAnsi"/>
        </w:rPr>
        <w:t xml:space="preserve">. </w:t>
      </w:r>
      <w:r w:rsidR="003B3CB6" w:rsidRPr="005C24B6">
        <w:rPr>
          <w:rFonts w:asciiTheme="majorHAnsi" w:hAnsiTheme="majorHAnsi"/>
        </w:rPr>
        <w:t xml:space="preserve">Interconnection </w:t>
      </w:r>
      <w:r w:rsidR="004843BC" w:rsidRPr="005C24B6">
        <w:rPr>
          <w:rFonts w:asciiTheme="majorHAnsi" w:hAnsiTheme="majorHAnsi"/>
        </w:rPr>
        <w:t>q</w:t>
      </w:r>
      <w:r w:rsidR="003B3CB6" w:rsidRPr="005C24B6">
        <w:rPr>
          <w:rFonts w:asciiTheme="majorHAnsi" w:hAnsiTheme="majorHAnsi"/>
        </w:rPr>
        <w:t>ueues are publicly available</w:t>
      </w:r>
      <w:r w:rsidR="004843BC" w:rsidRPr="005C24B6">
        <w:rPr>
          <w:rFonts w:asciiTheme="majorHAnsi" w:hAnsiTheme="majorHAnsi"/>
        </w:rPr>
        <w:t>,</w:t>
      </w:r>
      <w:r w:rsidR="003B3CB6" w:rsidRPr="005C24B6">
        <w:rPr>
          <w:rFonts w:asciiTheme="majorHAnsi" w:hAnsiTheme="majorHAnsi"/>
        </w:rPr>
        <w:t xml:space="preserve"> and </w:t>
      </w:r>
      <w:r w:rsidR="004843BC" w:rsidRPr="005C24B6">
        <w:rPr>
          <w:rFonts w:asciiTheme="majorHAnsi" w:hAnsiTheme="majorHAnsi"/>
        </w:rPr>
        <w:t xml:space="preserve">PJM </w:t>
      </w:r>
      <w:r w:rsidR="003B3CB6" w:rsidRPr="005C24B6">
        <w:rPr>
          <w:rFonts w:asciiTheme="majorHAnsi" w:hAnsiTheme="majorHAnsi"/>
        </w:rPr>
        <w:t>update</w:t>
      </w:r>
      <w:r w:rsidR="004843BC" w:rsidRPr="005C24B6">
        <w:rPr>
          <w:rFonts w:asciiTheme="majorHAnsi" w:hAnsiTheme="majorHAnsi"/>
        </w:rPr>
        <w:t xml:space="preserve">s its interconnection queue </w:t>
      </w:r>
      <w:r w:rsidR="003B3CB6" w:rsidRPr="005C24B6">
        <w:rPr>
          <w:rFonts w:asciiTheme="majorHAnsi" w:hAnsiTheme="majorHAnsi"/>
        </w:rPr>
        <w:t>continuously</w:t>
      </w:r>
      <w:r w:rsidR="004843BC" w:rsidRPr="005C24B6">
        <w:rPr>
          <w:rFonts w:asciiTheme="majorHAnsi" w:hAnsiTheme="majorHAnsi"/>
        </w:rPr>
        <w:t xml:space="preserve">. NYISO and ISO-NE update their respective queues </w:t>
      </w:r>
      <w:r w:rsidR="00615049">
        <w:rPr>
          <w:rFonts w:asciiTheme="majorHAnsi" w:hAnsiTheme="majorHAnsi"/>
        </w:rPr>
        <w:t>monthly</w:t>
      </w:r>
      <w:r w:rsidR="004843BC" w:rsidRPr="005C24B6">
        <w:rPr>
          <w:rFonts w:asciiTheme="majorHAnsi" w:hAnsiTheme="majorHAnsi"/>
        </w:rPr>
        <w:t>. The ISO/RTOs annually coordinate their</w:t>
      </w:r>
      <w:r w:rsidR="003341E8">
        <w:rPr>
          <w:rFonts w:asciiTheme="majorHAnsi" w:hAnsiTheme="majorHAnsi"/>
        </w:rPr>
        <w:t xml:space="preserve"> </w:t>
      </w:r>
      <w:r w:rsidR="0016108D">
        <w:rPr>
          <w:rFonts w:asciiTheme="majorHAnsi" w:hAnsiTheme="majorHAnsi"/>
        </w:rPr>
        <w:t>i</w:t>
      </w:r>
      <w:r w:rsidR="003B3CB6" w:rsidRPr="005C24B6">
        <w:rPr>
          <w:rFonts w:asciiTheme="majorHAnsi" w:hAnsiTheme="majorHAnsi"/>
        </w:rPr>
        <w:t>nterregional power flow models</w:t>
      </w:r>
      <w:r w:rsidR="004843BC" w:rsidRPr="005C24B6">
        <w:rPr>
          <w:rFonts w:asciiTheme="majorHAnsi" w:hAnsiTheme="majorHAnsi"/>
        </w:rPr>
        <w:t xml:space="preserve">, which </w:t>
      </w:r>
      <w:r w:rsidR="006173E9" w:rsidRPr="005C24B6">
        <w:rPr>
          <w:rFonts w:asciiTheme="majorHAnsi" w:hAnsiTheme="majorHAnsi"/>
        </w:rPr>
        <w:t xml:space="preserve">are </w:t>
      </w:r>
      <w:r w:rsidR="003B3CB6" w:rsidRPr="005C24B6">
        <w:rPr>
          <w:rFonts w:asciiTheme="majorHAnsi" w:hAnsiTheme="majorHAnsi"/>
        </w:rPr>
        <w:t xml:space="preserve">available to stakeholders subject to </w:t>
      </w:r>
      <w:r w:rsidR="0016108D">
        <w:rPr>
          <w:rFonts w:asciiTheme="majorHAnsi" w:hAnsiTheme="majorHAnsi"/>
        </w:rPr>
        <w:t xml:space="preserve">CEII </w:t>
      </w:r>
      <w:r w:rsidR="003B3CB6" w:rsidRPr="005C24B6">
        <w:rPr>
          <w:rFonts w:asciiTheme="majorHAnsi" w:hAnsiTheme="majorHAnsi"/>
        </w:rPr>
        <w:t xml:space="preserve">and Information Policy constraints. The JIPC annually updates </w:t>
      </w:r>
      <w:r w:rsidR="006173E9" w:rsidRPr="005C24B6">
        <w:rPr>
          <w:rFonts w:asciiTheme="majorHAnsi" w:hAnsiTheme="majorHAnsi"/>
        </w:rPr>
        <w:t>i</w:t>
      </w:r>
      <w:r w:rsidR="003B3CB6" w:rsidRPr="005C24B6">
        <w:rPr>
          <w:rFonts w:asciiTheme="majorHAnsi" w:hAnsiTheme="majorHAnsi"/>
        </w:rPr>
        <w:t xml:space="preserve">nterregional </w:t>
      </w:r>
      <w:r w:rsidR="006173E9" w:rsidRPr="005C24B6">
        <w:rPr>
          <w:rFonts w:asciiTheme="majorHAnsi" w:hAnsiTheme="majorHAnsi"/>
        </w:rPr>
        <w:t>p</w:t>
      </w:r>
      <w:r w:rsidR="003B3CB6" w:rsidRPr="005C24B6">
        <w:rPr>
          <w:rFonts w:asciiTheme="majorHAnsi" w:hAnsiTheme="majorHAnsi"/>
        </w:rPr>
        <w:t xml:space="preserve">roduction </w:t>
      </w:r>
      <w:r w:rsidR="006173E9" w:rsidRPr="005C24B6">
        <w:rPr>
          <w:rFonts w:asciiTheme="majorHAnsi" w:hAnsiTheme="majorHAnsi"/>
        </w:rPr>
        <w:t>c</w:t>
      </w:r>
      <w:r w:rsidR="003B3CB6" w:rsidRPr="005C24B6">
        <w:rPr>
          <w:rFonts w:asciiTheme="majorHAnsi" w:hAnsiTheme="majorHAnsi"/>
        </w:rPr>
        <w:t>ost databases, typically by the fourth quarter. The ISO/RTOs also share resource</w:t>
      </w:r>
      <w:r w:rsidR="00615049">
        <w:rPr>
          <w:rFonts w:asciiTheme="majorHAnsi" w:hAnsiTheme="majorHAnsi"/>
        </w:rPr>
        <w:t xml:space="preserve"> </w:t>
      </w:r>
      <w:r w:rsidR="003B3CB6" w:rsidRPr="005C24B6">
        <w:rPr>
          <w:rFonts w:asciiTheme="majorHAnsi" w:hAnsiTheme="majorHAnsi"/>
        </w:rPr>
        <w:t>adequacy databases, which are used in loss</w:t>
      </w:r>
      <w:r w:rsidR="006173E9" w:rsidRPr="005C24B6">
        <w:rPr>
          <w:rFonts w:asciiTheme="majorHAnsi" w:hAnsiTheme="majorHAnsi"/>
        </w:rPr>
        <w:t>-</w:t>
      </w:r>
      <w:r w:rsidR="003B3CB6" w:rsidRPr="005C24B6">
        <w:rPr>
          <w:rFonts w:asciiTheme="majorHAnsi" w:hAnsiTheme="majorHAnsi"/>
        </w:rPr>
        <w:t>of</w:t>
      </w:r>
      <w:r w:rsidR="006173E9" w:rsidRPr="005C24B6">
        <w:rPr>
          <w:rFonts w:asciiTheme="majorHAnsi" w:hAnsiTheme="majorHAnsi"/>
        </w:rPr>
        <w:t>-</w:t>
      </w:r>
      <w:r w:rsidR="003B3CB6" w:rsidRPr="005C24B6">
        <w:rPr>
          <w:rFonts w:asciiTheme="majorHAnsi" w:hAnsiTheme="majorHAnsi"/>
        </w:rPr>
        <w:t xml:space="preserve">load expectation </w:t>
      </w:r>
      <w:r w:rsidR="00615049">
        <w:rPr>
          <w:rFonts w:asciiTheme="majorHAnsi" w:hAnsiTheme="majorHAnsi"/>
        </w:rPr>
        <w:t xml:space="preserve">analysis </w:t>
      </w:r>
      <w:r w:rsidR="003B3CB6" w:rsidRPr="005C24B6">
        <w:rPr>
          <w:rFonts w:asciiTheme="majorHAnsi" w:hAnsiTheme="majorHAnsi"/>
        </w:rPr>
        <w:t>and other studies.</w:t>
      </w:r>
    </w:p>
    <w:p w:rsidR="00846D39" w:rsidRDefault="00846D39" w:rsidP="00846D39">
      <w:pPr>
        <w:rPr>
          <w:rFonts w:asciiTheme="majorHAnsi" w:hAnsiTheme="majorHAnsi"/>
        </w:rPr>
      </w:pPr>
      <w:r w:rsidRPr="004F4F8D">
        <w:rPr>
          <w:rFonts w:asciiTheme="majorHAnsi" w:hAnsiTheme="majorHAnsi"/>
        </w:rPr>
        <w:t xml:space="preserve">The JIPC seeks IPSAC review of potential opportunities where interregional projects might satisfy the needs of more than one region. Qualified transmission </w:t>
      </w:r>
      <w:r w:rsidR="00615049">
        <w:rPr>
          <w:rFonts w:asciiTheme="majorHAnsi" w:hAnsiTheme="majorHAnsi"/>
        </w:rPr>
        <w:t>developers</w:t>
      </w:r>
      <w:r w:rsidR="00615049" w:rsidRPr="004F4F8D">
        <w:rPr>
          <w:rFonts w:asciiTheme="majorHAnsi" w:hAnsiTheme="majorHAnsi"/>
        </w:rPr>
        <w:t xml:space="preserve"> </w:t>
      </w:r>
      <w:r w:rsidRPr="004F4F8D">
        <w:rPr>
          <w:rFonts w:asciiTheme="majorHAnsi" w:hAnsiTheme="majorHAnsi"/>
        </w:rPr>
        <w:t xml:space="preserve">may submit proposals to two or more neighboring ISO/RTOs consistent with the requirements of the respective regional processes. This includes reliability projects, economic projects, </w:t>
      </w:r>
      <w:r w:rsidR="00615049">
        <w:rPr>
          <w:rFonts w:asciiTheme="majorHAnsi" w:hAnsiTheme="majorHAnsi"/>
        </w:rPr>
        <w:t xml:space="preserve">public policy projects, </w:t>
      </w:r>
      <w:r w:rsidRPr="004F4F8D">
        <w:rPr>
          <w:rFonts w:asciiTheme="majorHAnsi" w:hAnsiTheme="majorHAnsi"/>
        </w:rPr>
        <w:t xml:space="preserve">and system interconnection projects planned by the respective regions. </w:t>
      </w:r>
    </w:p>
    <w:p w:rsidR="008A5171" w:rsidRDefault="00950A8B" w:rsidP="00846D39">
      <w:pPr>
        <w:rPr>
          <w:rFonts w:asciiTheme="majorHAnsi" w:hAnsiTheme="majorHAnsi"/>
        </w:rPr>
      </w:pPr>
      <w:r w:rsidRPr="005C24B6">
        <w:rPr>
          <w:rFonts w:asciiTheme="majorHAnsi" w:hAnsiTheme="majorHAnsi"/>
        </w:rPr>
        <w:t xml:space="preserve">The JIPC </w:t>
      </w:r>
      <w:r w:rsidR="00846D39">
        <w:rPr>
          <w:rFonts w:asciiTheme="majorHAnsi" w:hAnsiTheme="majorHAnsi"/>
        </w:rPr>
        <w:t xml:space="preserve">also </w:t>
      </w:r>
      <w:r w:rsidRPr="005C24B6">
        <w:rPr>
          <w:rFonts w:asciiTheme="majorHAnsi" w:hAnsiTheme="majorHAnsi"/>
        </w:rPr>
        <w:t>coordinates studies needed to identify potential interregional impacts</w:t>
      </w:r>
      <w:r w:rsidR="0016108D">
        <w:rPr>
          <w:rFonts w:asciiTheme="majorHAnsi" w:hAnsiTheme="majorHAnsi"/>
        </w:rPr>
        <w:t>,</w:t>
      </w:r>
      <w:r w:rsidR="008A5171">
        <w:rPr>
          <w:rFonts w:asciiTheme="majorHAnsi" w:hAnsiTheme="majorHAnsi"/>
        </w:rPr>
        <w:t xml:space="preserve"> as well as t</w:t>
      </w:r>
      <w:r w:rsidR="008A5171" w:rsidRPr="003341E8">
        <w:rPr>
          <w:rFonts w:asciiTheme="majorHAnsi" w:hAnsiTheme="majorHAnsi"/>
        </w:rPr>
        <w:t>he system databases and models used in studies.</w:t>
      </w:r>
      <w:r w:rsidR="008A5171" w:rsidRPr="008A5171">
        <w:rPr>
          <w:rFonts w:asciiTheme="majorHAnsi" w:hAnsiTheme="majorHAnsi"/>
        </w:rPr>
        <w:t xml:space="preserve"> </w:t>
      </w:r>
      <w:r w:rsidR="008A5171" w:rsidRPr="003341E8">
        <w:rPr>
          <w:rFonts w:asciiTheme="majorHAnsi" w:hAnsiTheme="majorHAnsi"/>
        </w:rPr>
        <w:t>The JIPC then identifies and evaluates the performance of projects affecting interregional system performance.</w:t>
      </w:r>
      <w:r w:rsidR="008A5171" w:rsidRPr="008A5171">
        <w:rPr>
          <w:rFonts w:asciiTheme="majorHAnsi" w:hAnsiTheme="majorHAnsi"/>
        </w:rPr>
        <w:t xml:space="preserve"> Several interconnection studies of projects having potential interregional impacts were discussed with the IPSAC.</w:t>
      </w:r>
      <w:r w:rsidR="008A5171" w:rsidRPr="008A5171">
        <w:rPr>
          <w:rFonts w:asciiTheme="majorHAnsi" w:hAnsiTheme="majorHAnsi" w:cs="Times New Roman"/>
          <w:sz w:val="20"/>
          <w:vertAlign w:val="superscript"/>
        </w:rPr>
        <w:footnoteReference w:id="36"/>
      </w:r>
      <w:r w:rsidR="008A5171" w:rsidRPr="008A5171">
        <w:rPr>
          <w:rFonts w:asciiTheme="majorHAnsi" w:hAnsiTheme="majorHAnsi"/>
          <w:position w:val="5"/>
        </w:rPr>
        <w:t xml:space="preserve"> </w:t>
      </w:r>
      <w:r w:rsidR="008A5171" w:rsidRPr="008A5171">
        <w:rPr>
          <w:rFonts w:asciiTheme="majorHAnsi" w:hAnsiTheme="majorHAnsi"/>
        </w:rPr>
        <w:t xml:space="preserve">The </w:t>
      </w:r>
      <w:r w:rsidR="008A5171" w:rsidRPr="008A5171">
        <w:rPr>
          <w:rFonts w:asciiTheme="majorHAnsi" w:hAnsiTheme="majorHAnsi"/>
        </w:rPr>
        <w:lastRenderedPageBreak/>
        <w:t>studies include</w:t>
      </w:r>
      <w:r w:rsidR="008A5171" w:rsidRPr="008A5171">
        <w:rPr>
          <w:rFonts w:asciiTheme="majorHAnsi" w:hAnsiTheme="majorHAnsi"/>
          <w:position w:val="5"/>
        </w:rPr>
        <w:t xml:space="preserve"> </w:t>
      </w:r>
      <w:r w:rsidR="008A5171" w:rsidRPr="008A5171">
        <w:rPr>
          <w:rFonts w:asciiTheme="majorHAnsi" w:hAnsiTheme="majorHAnsi"/>
        </w:rPr>
        <w:t xml:space="preserve">analyses of control system interactions among </w:t>
      </w:r>
      <w:r w:rsidR="00FD54A5">
        <w:rPr>
          <w:rFonts w:asciiTheme="majorHAnsi" w:hAnsiTheme="majorHAnsi"/>
        </w:rPr>
        <w:t>high-voltage direct current (</w:t>
      </w:r>
      <w:r w:rsidR="008A5171" w:rsidRPr="008A5171">
        <w:rPr>
          <w:rFonts w:asciiTheme="majorHAnsi" w:hAnsiTheme="majorHAnsi"/>
        </w:rPr>
        <w:t>HVDC</w:t>
      </w:r>
      <w:r w:rsidR="00FD54A5">
        <w:rPr>
          <w:rFonts w:asciiTheme="majorHAnsi" w:hAnsiTheme="majorHAnsi"/>
        </w:rPr>
        <w:t>)</w:t>
      </w:r>
      <w:r w:rsidR="008A5171" w:rsidRPr="008A5171">
        <w:rPr>
          <w:rFonts w:asciiTheme="majorHAnsi" w:hAnsiTheme="majorHAnsi"/>
        </w:rPr>
        <w:t xml:space="preserve"> ties to ensure system stability and acceptable </w:t>
      </w:r>
      <w:r w:rsidR="008A5171">
        <w:rPr>
          <w:rFonts w:asciiTheme="majorHAnsi" w:hAnsiTheme="majorHAnsi"/>
        </w:rPr>
        <w:t xml:space="preserve">system response to </w:t>
      </w:r>
      <w:r w:rsidR="008A5171" w:rsidRPr="008A5171">
        <w:rPr>
          <w:rFonts w:asciiTheme="majorHAnsi" w:hAnsiTheme="majorHAnsi"/>
        </w:rPr>
        <w:t>loss</w:t>
      </w:r>
      <w:r w:rsidR="008A5171">
        <w:rPr>
          <w:rFonts w:asciiTheme="majorHAnsi" w:hAnsiTheme="majorHAnsi"/>
        </w:rPr>
        <w:t>-</w:t>
      </w:r>
      <w:r w:rsidR="008A5171" w:rsidRPr="008A5171">
        <w:rPr>
          <w:rFonts w:asciiTheme="majorHAnsi" w:hAnsiTheme="majorHAnsi"/>
        </w:rPr>
        <w:t>of</w:t>
      </w:r>
      <w:r w:rsidR="008A5171">
        <w:rPr>
          <w:rFonts w:asciiTheme="majorHAnsi" w:hAnsiTheme="majorHAnsi"/>
        </w:rPr>
        <w:t>-</w:t>
      </w:r>
      <w:r w:rsidR="008A5171" w:rsidRPr="008A5171">
        <w:rPr>
          <w:rFonts w:asciiTheme="majorHAnsi" w:hAnsiTheme="majorHAnsi"/>
        </w:rPr>
        <w:t>source contingenc</w:t>
      </w:r>
      <w:r w:rsidR="008A5171">
        <w:rPr>
          <w:rFonts w:asciiTheme="majorHAnsi" w:hAnsiTheme="majorHAnsi"/>
        </w:rPr>
        <w:t>ies</w:t>
      </w:r>
      <w:r w:rsidR="008A5171" w:rsidRPr="008A5171">
        <w:rPr>
          <w:rFonts w:asciiTheme="majorHAnsi" w:hAnsiTheme="majorHAnsi"/>
        </w:rPr>
        <w:t>.</w:t>
      </w:r>
    </w:p>
    <w:p w:rsidR="00882B83" w:rsidRDefault="00792877" w:rsidP="008E6EEA">
      <w:pPr>
        <w:rPr>
          <w:rFonts w:asciiTheme="majorHAnsi" w:hAnsiTheme="majorHAnsi"/>
        </w:rPr>
      </w:pPr>
      <w:r w:rsidRPr="005C24B6">
        <w:rPr>
          <w:rFonts w:asciiTheme="majorHAnsi" w:hAnsiTheme="majorHAnsi"/>
        </w:rPr>
        <w:t>The IPSAC discusse</w:t>
      </w:r>
      <w:r w:rsidR="0053503E" w:rsidRPr="005C24B6">
        <w:rPr>
          <w:rFonts w:asciiTheme="majorHAnsi" w:hAnsiTheme="majorHAnsi"/>
        </w:rPr>
        <w:t>s</w:t>
      </w:r>
      <w:r w:rsidRPr="005C24B6">
        <w:rPr>
          <w:rFonts w:asciiTheme="majorHAnsi" w:hAnsiTheme="majorHAnsi"/>
        </w:rPr>
        <w:t xml:space="preserve"> </w:t>
      </w:r>
      <w:r w:rsidR="00950A8B" w:rsidRPr="005C24B6">
        <w:rPr>
          <w:rFonts w:asciiTheme="majorHAnsi" w:hAnsiTheme="majorHAnsi"/>
        </w:rPr>
        <w:t xml:space="preserve">respective </w:t>
      </w:r>
      <w:r w:rsidRPr="005C24B6">
        <w:rPr>
          <w:rFonts w:asciiTheme="majorHAnsi" w:hAnsiTheme="majorHAnsi"/>
        </w:rPr>
        <w:t xml:space="preserve">ISO/RTO </w:t>
      </w:r>
      <w:r w:rsidR="00950A8B" w:rsidRPr="005C24B6">
        <w:rPr>
          <w:rFonts w:asciiTheme="majorHAnsi" w:hAnsiTheme="majorHAnsi"/>
        </w:rPr>
        <w:t>system needs</w:t>
      </w:r>
      <w:r w:rsidR="00554AFB" w:rsidRPr="005C24B6">
        <w:rPr>
          <w:rFonts w:asciiTheme="majorHAnsi" w:hAnsiTheme="majorHAnsi"/>
        </w:rPr>
        <w:t xml:space="preserve"> </w:t>
      </w:r>
      <w:r w:rsidRPr="005C24B6">
        <w:rPr>
          <w:rFonts w:asciiTheme="majorHAnsi" w:hAnsiTheme="majorHAnsi"/>
        </w:rPr>
        <w:t xml:space="preserve">and transmission </w:t>
      </w:r>
      <w:r w:rsidR="00950A8B" w:rsidRPr="005C24B6">
        <w:rPr>
          <w:rFonts w:asciiTheme="majorHAnsi" w:hAnsiTheme="majorHAnsi"/>
        </w:rPr>
        <w:t xml:space="preserve">projects </w:t>
      </w:r>
      <w:r w:rsidR="00554AFB" w:rsidRPr="005C24B6">
        <w:rPr>
          <w:rFonts w:asciiTheme="majorHAnsi" w:hAnsiTheme="majorHAnsi"/>
        </w:rPr>
        <w:t>proposed</w:t>
      </w:r>
      <w:r w:rsidR="00366F25" w:rsidRPr="005C24B6">
        <w:rPr>
          <w:rFonts w:asciiTheme="majorHAnsi" w:hAnsiTheme="majorHAnsi"/>
        </w:rPr>
        <w:t xml:space="preserve"> and evaluated to address</w:t>
      </w:r>
      <w:r w:rsidR="00554AFB" w:rsidRPr="005C24B6">
        <w:rPr>
          <w:rFonts w:asciiTheme="majorHAnsi" w:hAnsiTheme="majorHAnsi"/>
        </w:rPr>
        <w:t xml:space="preserve"> </w:t>
      </w:r>
      <w:r w:rsidRPr="005C24B6">
        <w:rPr>
          <w:rFonts w:asciiTheme="majorHAnsi" w:hAnsiTheme="majorHAnsi"/>
        </w:rPr>
        <w:t>potential interregional impacts.</w:t>
      </w:r>
      <w:r w:rsidRPr="005C24B6">
        <w:rPr>
          <w:rFonts w:asciiTheme="majorHAnsi" w:hAnsiTheme="majorHAnsi"/>
          <w:b/>
          <w:bCs/>
          <w:vertAlign w:val="superscript"/>
        </w:rPr>
        <w:footnoteReference w:id="37"/>
      </w:r>
      <w:r w:rsidR="000D225C" w:rsidRPr="00882B83">
        <w:rPr>
          <w:rFonts w:asciiTheme="majorHAnsi" w:hAnsiTheme="majorHAnsi"/>
          <w:b/>
          <w:bCs/>
        </w:rPr>
        <w:t xml:space="preserve"> </w:t>
      </w:r>
      <w:bookmarkStart w:id="89" w:name="_bookmark50"/>
      <w:bookmarkStart w:id="90" w:name="_bookmark51"/>
      <w:bookmarkStart w:id="91" w:name="4.1.1_Baseline_Reliability_Projects"/>
      <w:bookmarkStart w:id="92" w:name="ISO_New_England_Projects"/>
      <w:bookmarkEnd w:id="89"/>
      <w:bookmarkEnd w:id="90"/>
      <w:bookmarkEnd w:id="91"/>
      <w:bookmarkEnd w:id="92"/>
      <w:r w:rsidR="0048023B" w:rsidRPr="005C24B6">
        <w:rPr>
          <w:rFonts w:asciiTheme="majorHAnsi" w:hAnsiTheme="majorHAnsi"/>
        </w:rPr>
        <w:t xml:space="preserve">For example, </w:t>
      </w:r>
      <w:r w:rsidR="00846D39">
        <w:rPr>
          <w:rFonts w:asciiTheme="majorHAnsi" w:hAnsiTheme="majorHAnsi"/>
        </w:rPr>
        <w:t xml:space="preserve">IPSAC members discussed </w:t>
      </w:r>
      <w:r w:rsidR="0048023B" w:rsidRPr="005C24B6">
        <w:rPr>
          <w:rFonts w:asciiTheme="majorHAnsi" w:hAnsiTheme="majorHAnsi"/>
        </w:rPr>
        <w:t>the Maine Power Reliability Program (MPRP), the New England East</w:t>
      </w:r>
      <w:r w:rsidR="0053503E" w:rsidRPr="005C24B6">
        <w:rPr>
          <w:rFonts w:asciiTheme="majorHAnsi" w:hAnsiTheme="majorHAnsi"/>
        </w:rPr>
        <w:t>–</w:t>
      </w:r>
      <w:r w:rsidR="0048023B" w:rsidRPr="005C24B6">
        <w:rPr>
          <w:rFonts w:asciiTheme="majorHAnsi" w:hAnsiTheme="majorHAnsi"/>
        </w:rPr>
        <w:t xml:space="preserve">West Solution (NEEWS), and the Long-Term Lower Southeastern Massachusetts (Lower SEMA) </w:t>
      </w:r>
      <w:r w:rsidR="0053503E" w:rsidRPr="005C24B6">
        <w:rPr>
          <w:rFonts w:asciiTheme="majorHAnsi" w:hAnsiTheme="majorHAnsi"/>
        </w:rPr>
        <w:t>projects</w:t>
      </w:r>
      <w:r w:rsidR="0048023B" w:rsidRPr="005C24B6">
        <w:rPr>
          <w:rFonts w:asciiTheme="majorHAnsi" w:hAnsiTheme="majorHAnsi"/>
        </w:rPr>
        <w:t xml:space="preserve">. </w:t>
      </w:r>
      <w:r w:rsidR="0053503E" w:rsidRPr="005C24B6">
        <w:rPr>
          <w:rFonts w:asciiTheme="majorHAnsi" w:hAnsiTheme="majorHAnsi"/>
        </w:rPr>
        <w:t>R</w:t>
      </w:r>
      <w:r w:rsidR="0048023B" w:rsidRPr="005C24B6">
        <w:rPr>
          <w:rFonts w:asciiTheme="majorHAnsi" w:hAnsiTheme="majorHAnsi"/>
        </w:rPr>
        <w:t>ealistically</w:t>
      </w:r>
      <w:r w:rsidR="0053503E" w:rsidRPr="005C24B6">
        <w:rPr>
          <w:rFonts w:asciiTheme="majorHAnsi" w:hAnsiTheme="majorHAnsi"/>
        </w:rPr>
        <w:t xml:space="preserve">, </w:t>
      </w:r>
      <w:r w:rsidR="0048023B" w:rsidRPr="005C24B6">
        <w:rPr>
          <w:rFonts w:asciiTheme="majorHAnsi" w:hAnsiTheme="majorHAnsi"/>
        </w:rPr>
        <w:t>interconnections to neighboring systems</w:t>
      </w:r>
      <w:r w:rsidR="0053503E" w:rsidRPr="005C24B6">
        <w:rPr>
          <w:rFonts w:asciiTheme="majorHAnsi" w:hAnsiTheme="majorHAnsi"/>
        </w:rPr>
        <w:t xml:space="preserve"> could not meet the</w:t>
      </w:r>
      <w:r w:rsidR="0053503E">
        <w:rPr>
          <w:rFonts w:asciiTheme="majorHAnsi" w:hAnsiTheme="majorHAnsi"/>
        </w:rPr>
        <w:t xml:space="preserve"> needs of these </w:t>
      </w:r>
      <w:r w:rsidR="0053503E" w:rsidRPr="005C24B6">
        <w:rPr>
          <w:rFonts w:asciiTheme="majorHAnsi" w:hAnsiTheme="majorHAnsi"/>
        </w:rPr>
        <w:t>projects</w:t>
      </w:r>
      <w:r w:rsidR="0053503E">
        <w:rPr>
          <w:rFonts w:asciiTheme="majorHAnsi" w:hAnsiTheme="majorHAnsi"/>
        </w:rPr>
        <w:t xml:space="preserve">, which </w:t>
      </w:r>
      <w:r w:rsidR="0048023B" w:rsidRPr="005C24B6">
        <w:rPr>
          <w:rFonts w:asciiTheme="majorHAnsi" w:hAnsiTheme="majorHAnsi"/>
        </w:rPr>
        <w:t>have been shown to have no adverse impact on neighboring systems.</w:t>
      </w:r>
      <w:r w:rsidR="00E00040" w:rsidRPr="005C24B6">
        <w:rPr>
          <w:rFonts w:asciiTheme="majorHAnsi" w:hAnsiTheme="majorHAnsi"/>
        </w:rPr>
        <w:t xml:space="preserve"> </w:t>
      </w:r>
      <w:bookmarkStart w:id="93" w:name="NYISO_Projects"/>
      <w:bookmarkStart w:id="94" w:name="Moses_–_Willis_Double_Circuit_Separation"/>
      <w:bookmarkStart w:id="95" w:name="PJM_Projects"/>
      <w:bookmarkStart w:id="96" w:name="PJM_Northern_NJ_Short_Circuit_issues"/>
      <w:bookmarkStart w:id="97" w:name="_bookmark53"/>
      <w:bookmarkStart w:id="98" w:name="PJM_Homer_City_Lines_Substations"/>
      <w:bookmarkStart w:id="99" w:name="4.1.2_Status_of_Planned_Interconnections"/>
      <w:bookmarkEnd w:id="93"/>
      <w:bookmarkEnd w:id="94"/>
      <w:bookmarkEnd w:id="95"/>
      <w:bookmarkEnd w:id="96"/>
      <w:bookmarkEnd w:id="97"/>
      <w:bookmarkEnd w:id="98"/>
      <w:bookmarkEnd w:id="99"/>
    </w:p>
    <w:p w:rsidR="0053503E" w:rsidRDefault="00704778" w:rsidP="008E6EEA">
      <w:pPr>
        <w:rPr>
          <w:rFonts w:asciiTheme="majorHAnsi" w:hAnsiTheme="majorHAnsi"/>
        </w:rPr>
      </w:pPr>
      <w:r w:rsidRPr="005C24B6">
        <w:rPr>
          <w:rFonts w:asciiTheme="majorHAnsi" w:hAnsiTheme="majorHAnsi"/>
        </w:rPr>
        <w:t>A</w:t>
      </w:r>
      <w:r w:rsidR="00D3136F" w:rsidRPr="005C24B6">
        <w:rPr>
          <w:rFonts w:asciiTheme="majorHAnsi" w:hAnsiTheme="majorHAnsi"/>
        </w:rPr>
        <w:t>s of December 1, 2015</w:t>
      </w:r>
      <w:r w:rsidRPr="005C24B6">
        <w:rPr>
          <w:rFonts w:asciiTheme="majorHAnsi" w:hAnsiTheme="majorHAnsi"/>
        </w:rPr>
        <w:t xml:space="preserve">, no new </w:t>
      </w:r>
      <w:r w:rsidR="000D225C" w:rsidRPr="005C24B6">
        <w:rPr>
          <w:rFonts w:asciiTheme="majorHAnsi" w:hAnsiTheme="majorHAnsi"/>
        </w:rPr>
        <w:t xml:space="preserve">need for </w:t>
      </w:r>
      <w:r w:rsidR="00D3136F" w:rsidRPr="005C24B6">
        <w:rPr>
          <w:rFonts w:asciiTheme="majorHAnsi" w:hAnsiTheme="majorHAnsi"/>
        </w:rPr>
        <w:t xml:space="preserve">transmission interconnections between the ISO/RTOs </w:t>
      </w:r>
      <w:r w:rsidR="000D225C" w:rsidRPr="005C24B6">
        <w:rPr>
          <w:rFonts w:asciiTheme="majorHAnsi" w:hAnsiTheme="majorHAnsi"/>
        </w:rPr>
        <w:t>was identified</w:t>
      </w:r>
      <w:r w:rsidR="008E6EEA" w:rsidRPr="005C24B6">
        <w:rPr>
          <w:rFonts w:asciiTheme="majorHAnsi" w:hAnsiTheme="majorHAnsi"/>
        </w:rPr>
        <w:t>,</w:t>
      </w:r>
      <w:r w:rsidR="000D225C" w:rsidRPr="005C24B6">
        <w:rPr>
          <w:rFonts w:asciiTheme="majorHAnsi" w:hAnsiTheme="majorHAnsi"/>
        </w:rPr>
        <w:t xml:space="preserve"> and no new interconnection projects </w:t>
      </w:r>
      <w:r w:rsidR="00474043" w:rsidRPr="005C24B6">
        <w:rPr>
          <w:rFonts w:asciiTheme="majorHAnsi" w:hAnsiTheme="majorHAnsi"/>
        </w:rPr>
        <w:t xml:space="preserve">were </w:t>
      </w:r>
      <w:r w:rsidR="00E00040" w:rsidRPr="005C24B6">
        <w:rPr>
          <w:rFonts w:asciiTheme="majorHAnsi" w:hAnsiTheme="majorHAnsi"/>
        </w:rPr>
        <w:t>approved</w:t>
      </w:r>
      <w:r w:rsidR="00474043" w:rsidRPr="005C24B6">
        <w:rPr>
          <w:rFonts w:asciiTheme="majorHAnsi" w:hAnsiTheme="majorHAnsi"/>
        </w:rPr>
        <w:t xml:space="preserve"> </w:t>
      </w:r>
      <w:r w:rsidR="00882B83">
        <w:rPr>
          <w:rFonts w:asciiTheme="majorHAnsi" w:hAnsiTheme="majorHAnsi"/>
        </w:rPr>
        <w:t>in 2014 to 2015</w:t>
      </w:r>
      <w:r w:rsidR="00882B83" w:rsidRPr="000E4687">
        <w:rPr>
          <w:rFonts w:asciiTheme="majorHAnsi" w:hAnsiTheme="majorHAnsi"/>
          <w:color w:val="000000" w:themeColor="text1"/>
        </w:rPr>
        <w:t>.</w:t>
      </w:r>
      <w:r w:rsidR="00474043" w:rsidRPr="000E4687">
        <w:rPr>
          <w:rFonts w:asciiTheme="majorHAnsi" w:hAnsiTheme="majorHAnsi"/>
          <w:color w:val="000000" w:themeColor="text1"/>
        </w:rPr>
        <w:t xml:space="preserve"> </w:t>
      </w:r>
      <w:bookmarkStart w:id="100" w:name="4.1.3_Queue_Projects_with_Potential_Inte"/>
      <w:bookmarkEnd w:id="100"/>
      <w:r w:rsidR="00882B83" w:rsidRPr="000E4687">
        <w:rPr>
          <w:color w:val="000000" w:themeColor="text1"/>
        </w:rPr>
        <w:t>Previously approved new interconnections between PJM and NYISO</w:t>
      </w:r>
      <w:r w:rsidR="00830DE0" w:rsidRPr="000E4687">
        <w:rPr>
          <w:color w:val="000000" w:themeColor="text1"/>
        </w:rPr>
        <w:t xml:space="preserve"> were </w:t>
      </w:r>
      <w:r w:rsidR="00882B83" w:rsidRPr="000E4687">
        <w:rPr>
          <w:color w:val="000000" w:themeColor="text1"/>
        </w:rPr>
        <w:t>established during the past two years. A new 345/115 kV interconnection between PJM and NYISO was placed in service in November 2015. This interconnection established a new tie point near the central Pennsylvania border with New York on the Homer City–Watercure 345 kV line at the Ma</w:t>
      </w:r>
      <w:r w:rsidR="00830DE0" w:rsidRPr="000E4687">
        <w:rPr>
          <w:color w:val="000000" w:themeColor="text1"/>
        </w:rPr>
        <w:t xml:space="preserve">inesburg </w:t>
      </w:r>
      <w:r w:rsidR="00882B83" w:rsidRPr="000E4687">
        <w:rPr>
          <w:color w:val="000000" w:themeColor="text1"/>
        </w:rPr>
        <w:t>substation. This tie was initiated as a PJM baseline reliability project in 2011. A second new tie point project in the same general geographic area was planned as a PJM baseline reliability project in 2012. This project, expected to go into service in June 2016, will establish a new tie point on the Homer City–Stolle Road 345 kV line at the Farmers Valley substation.</w:t>
      </w:r>
    </w:p>
    <w:p w:rsidR="00BC0F55" w:rsidRPr="005C24B6" w:rsidRDefault="008245E3" w:rsidP="0083513B">
      <w:pPr>
        <w:pStyle w:val="Heading1"/>
      </w:pPr>
      <w:bookmarkStart w:id="101" w:name="Interconnection_of_Cricket_Valley_(CVEC)"/>
      <w:bookmarkStart w:id="102" w:name="_bookmark56"/>
      <w:bookmarkStart w:id="103" w:name="_bookmark57"/>
      <w:bookmarkStart w:id="104" w:name="_bookmark58"/>
      <w:bookmarkStart w:id="105" w:name="Energy_Highway_AC_Transmission_Upgrades_"/>
      <w:bookmarkStart w:id="106" w:name="_bookmark59"/>
      <w:bookmarkStart w:id="107" w:name="_bookmark60"/>
      <w:bookmarkStart w:id="108" w:name="_bookmark61"/>
      <w:bookmarkStart w:id="109" w:name="Champlain_Hudson_Power_Express_(NYISO)"/>
      <w:bookmarkStart w:id="110" w:name="4.1.4_HQ_Des_Cantons_substation_to_PSNH_"/>
      <w:bookmarkStart w:id="111" w:name="5_Process_Enhancements_Going_Forward"/>
      <w:bookmarkStart w:id="112" w:name="_Toc442631681"/>
      <w:bookmarkStart w:id="113" w:name="_Toc443909851"/>
      <w:bookmarkEnd w:id="101"/>
      <w:bookmarkEnd w:id="102"/>
      <w:bookmarkEnd w:id="103"/>
      <w:bookmarkEnd w:id="104"/>
      <w:bookmarkEnd w:id="105"/>
      <w:bookmarkEnd w:id="106"/>
      <w:bookmarkEnd w:id="107"/>
      <w:bookmarkEnd w:id="108"/>
      <w:bookmarkEnd w:id="109"/>
      <w:bookmarkEnd w:id="110"/>
      <w:bookmarkEnd w:id="111"/>
      <w:r w:rsidRPr="005C24B6">
        <w:t>Other Coordinated Planning Activities</w:t>
      </w:r>
      <w:bookmarkEnd w:id="112"/>
      <w:bookmarkEnd w:id="113"/>
    </w:p>
    <w:p w:rsidR="008245E3" w:rsidRPr="00D946F7" w:rsidRDefault="00E44BB8" w:rsidP="00707644">
      <w:bookmarkStart w:id="114" w:name="Coordinated_Planning_Activities"/>
      <w:bookmarkEnd w:id="114"/>
      <w:r>
        <w:t>T</w:t>
      </w:r>
      <w:r w:rsidR="00385382">
        <w:t xml:space="preserve">he ISO/RTOs conduct studies </w:t>
      </w:r>
      <w:r>
        <w:t xml:space="preserve">as needed </w:t>
      </w:r>
      <w:r w:rsidR="00385382">
        <w:t>w</w:t>
      </w:r>
      <w:r w:rsidR="008245E3" w:rsidRPr="002347A2">
        <w:t xml:space="preserve">ith other entities within and outside the region, including neighboring areas, </w:t>
      </w:r>
      <w:r w:rsidR="008245E3" w:rsidRPr="000D225C">
        <w:t xml:space="preserve">that aim to, for example, improve production cost models, share simulation results, investigate the challenges to and possibilities for integrating renewable resources, and address other common issues affecting the planning of the overall system. </w:t>
      </w:r>
      <w:r w:rsidR="008245E3" w:rsidRPr="002347A2">
        <w:t>The ISO/RTOs also participate</w:t>
      </w:r>
      <w:r w:rsidR="008245E3" w:rsidRPr="00D946F7">
        <w:t xml:space="preserve"> in numerous interregional planning activities</w:t>
      </w:r>
      <w:r w:rsidR="00366F25">
        <w:t xml:space="preserve"> with other entities</w:t>
      </w:r>
      <w:r w:rsidR="00153361" w:rsidRPr="00D946F7">
        <w:t>, including</w:t>
      </w:r>
      <w:r w:rsidR="008245E3" w:rsidRPr="00D946F7">
        <w:t xml:space="preserve"> the </w:t>
      </w:r>
      <w:r w:rsidR="00153361" w:rsidRPr="00D946F7">
        <w:t>Eastern Interconnection Planning Collaborative</w:t>
      </w:r>
      <w:r w:rsidR="00B4508E">
        <w:t xml:space="preserve"> (EIPC)</w:t>
      </w:r>
      <w:r w:rsidR="00153361" w:rsidRPr="00D946F7">
        <w:t xml:space="preserve">, </w:t>
      </w:r>
      <w:r w:rsidR="008245E3" w:rsidRPr="00D946F7">
        <w:t xml:space="preserve">US Department of Energy </w:t>
      </w:r>
      <w:r w:rsidR="008245E3" w:rsidRPr="00514D36">
        <w:t xml:space="preserve">(DOE), the </w:t>
      </w:r>
      <w:r w:rsidR="00514D36" w:rsidRPr="00514D36">
        <w:t>North American Electric Reliability Corporation (</w:t>
      </w:r>
      <w:r w:rsidRPr="00514D36">
        <w:t>NERC</w:t>
      </w:r>
      <w:r w:rsidR="00514D36" w:rsidRPr="00514D36">
        <w:t>)</w:t>
      </w:r>
      <w:r w:rsidR="00153361" w:rsidRPr="00514D36">
        <w:t xml:space="preserve"> and its regional </w:t>
      </w:r>
      <w:r w:rsidR="00366F25" w:rsidRPr="00514D36">
        <w:t>reliability</w:t>
      </w:r>
      <w:r w:rsidR="00366F25">
        <w:t xml:space="preserve"> councils</w:t>
      </w:r>
      <w:r w:rsidR="008245E3" w:rsidRPr="00D946F7">
        <w:t>, and other planning authorit</w:t>
      </w:r>
      <w:r>
        <w:t>ies</w:t>
      </w:r>
      <w:r w:rsidR="008245E3" w:rsidRPr="00D946F7">
        <w:t xml:space="preserve"> in the United States and Canada.</w:t>
      </w:r>
      <w:r w:rsidR="00514D36">
        <w:rPr>
          <w:rStyle w:val="FootnoteReference"/>
        </w:rPr>
        <w:footnoteReference w:id="38"/>
      </w:r>
      <w:r w:rsidR="008245E3" w:rsidRPr="00D946F7">
        <w:t xml:space="preserve"> The overriding purpose of these </w:t>
      </w:r>
      <w:r w:rsidR="00153361" w:rsidRPr="00D946F7">
        <w:t>involvements</w:t>
      </w:r>
      <w:r w:rsidR="008245E3" w:rsidRPr="00D946F7">
        <w:t xml:space="preserve"> is to enhance the widespread reliability of the interregional electric power system. </w:t>
      </w:r>
    </w:p>
    <w:p w:rsidR="00BC0F55" w:rsidRDefault="008245E3" w:rsidP="00707644">
      <w:r w:rsidRPr="00F95DA1">
        <w:t>This section discusses the main collaborative efforts the ISO</w:t>
      </w:r>
      <w:r w:rsidR="00C23BF8">
        <w:t>/RTOs</w:t>
      </w:r>
      <w:r w:rsidRPr="00F95DA1">
        <w:t xml:space="preserve"> undertak</w:t>
      </w:r>
      <w:r w:rsidR="00C23BF8">
        <w:t>e</w:t>
      </w:r>
      <w:r w:rsidRPr="00F95DA1">
        <w:t xml:space="preserve"> with neighboring areas to analyze the interconnection-wide system, study and address interregional transfers and seams issues, and improve competitive electricity markets in North America</w:t>
      </w:r>
      <w:bookmarkStart w:id="115" w:name="_bookmark65"/>
      <w:bookmarkStart w:id="116" w:name="_bookmark66"/>
      <w:bookmarkEnd w:id="115"/>
      <w:bookmarkEnd w:id="116"/>
      <w:r w:rsidR="0048023B">
        <w:rPr>
          <w:spacing w:val="-1"/>
        </w:rPr>
        <w:t>.</w:t>
      </w:r>
    </w:p>
    <w:p w:rsidR="004A1B09" w:rsidRPr="00385382" w:rsidRDefault="004A1B09" w:rsidP="00385382">
      <w:pPr>
        <w:pStyle w:val="Heading2"/>
      </w:pPr>
      <w:bookmarkStart w:id="117" w:name="Additional_Coordinated_Planning"/>
      <w:bookmarkStart w:id="118" w:name="5.1_Northeast_Power_Coordinating_Council"/>
      <w:bookmarkStart w:id="119" w:name="_Toc442631682"/>
      <w:bookmarkStart w:id="120" w:name="_Toc443909852"/>
      <w:bookmarkEnd w:id="117"/>
      <w:bookmarkEnd w:id="118"/>
      <w:r w:rsidRPr="00385382">
        <w:t>Electric Reliability Organization (NERC) Overview, Long</w:t>
      </w:r>
      <w:r w:rsidR="00707644" w:rsidRPr="00385382">
        <w:t>-</w:t>
      </w:r>
      <w:r w:rsidRPr="00385382">
        <w:t>Term Reliability Assessment</w:t>
      </w:r>
      <w:r w:rsidR="00385382">
        <w:t>s</w:t>
      </w:r>
      <w:r w:rsidRPr="00385382">
        <w:t>, and Other Studies</w:t>
      </w:r>
      <w:bookmarkEnd w:id="119"/>
      <w:bookmarkEnd w:id="120"/>
    </w:p>
    <w:p w:rsidR="004A1B09" w:rsidRDefault="00CF0EAF" w:rsidP="00385382">
      <w:r w:rsidRPr="00D946F7">
        <w:t>Through its committee structure</w:t>
      </w:r>
      <w:r w:rsidR="00D946F7" w:rsidRPr="00385382">
        <w:t xml:space="preserve"> that includes the ISO/RTOs</w:t>
      </w:r>
      <w:r w:rsidRPr="00D946F7">
        <w:t>,</w:t>
      </w:r>
      <w:r w:rsidR="004A1B09">
        <w:t xml:space="preserve"> NERC, which is the FERC-designated Electric Reliability Organization (ERO), regularly publishes reports that assess the reliability of the </w:t>
      </w:r>
      <w:r w:rsidR="004A1B09">
        <w:lastRenderedPageBreak/>
        <w:t>North American electric power system</w:t>
      </w:r>
      <w:r w:rsidR="00811ADF">
        <w:t xml:space="preserve">. </w:t>
      </w:r>
      <w:r w:rsidR="004A1B09">
        <w:t xml:space="preserve">Annual long-term reliability assessments </w:t>
      </w:r>
      <w:r w:rsidR="000C41E8">
        <w:t xml:space="preserve">(LTRAs) </w:t>
      </w:r>
      <w:r w:rsidR="004A1B09">
        <w:t>evaluate the future adequacy of the power system in the United States and Canada for a 10-year period. The reports project electricity supply and demand, evaluate resource and transmission system adequacy, and discuss key issues and trends that could affect reliability. Summer and winter assessments evaluate the adequacy of electricity supplies in the United States and Canada for the upcoming peak demand periods in these seasons. Special regional, interregional, or interconnection-wide assessments are conducted as needed.</w:t>
      </w:r>
    </w:p>
    <w:p w:rsidR="00866754" w:rsidRDefault="004A1B09" w:rsidP="00385382">
      <w:pPr>
        <w:rPr>
          <w:rFonts w:cs="Calibri"/>
        </w:rPr>
      </w:pPr>
      <w:r w:rsidRPr="00627BA7">
        <w:t>In</w:t>
      </w:r>
      <w:r w:rsidRPr="00627BA7">
        <w:rPr>
          <w:spacing w:val="-2"/>
        </w:rPr>
        <w:t xml:space="preserve"> </w:t>
      </w:r>
      <w:r>
        <w:t>December 2015</w:t>
      </w:r>
      <w:r w:rsidRPr="00627BA7">
        <w:t xml:space="preserve">, NERC issued its annual </w:t>
      </w:r>
      <w:r w:rsidRPr="00627BA7">
        <w:rPr>
          <w:i/>
        </w:rPr>
        <w:t>Long-Term Reliability Assessment</w:t>
      </w:r>
      <w:r w:rsidRPr="00627BA7">
        <w:t>, analyzing reliability conditions across the North American continent</w:t>
      </w:r>
      <w:r>
        <w:t>.</w:t>
      </w:r>
      <w:r>
        <w:rPr>
          <w:rStyle w:val="FootnoteReference"/>
        </w:rPr>
        <w:footnoteReference w:id="39"/>
      </w:r>
      <w:r>
        <w:t xml:space="preserve"> </w:t>
      </w:r>
      <w:r w:rsidRPr="00627BA7">
        <w:t>This report describes transmission additions, generation projections, and reserve capability by reliability council area. The 201</w:t>
      </w:r>
      <w:r>
        <w:t>5</w:t>
      </w:r>
      <w:r w:rsidRPr="00627BA7">
        <w:t xml:space="preserve"> LTRA identified </w:t>
      </w:r>
      <w:r w:rsidR="00E44BB8">
        <w:rPr>
          <w:rFonts w:cs="Calibri"/>
        </w:rPr>
        <w:t>four</w:t>
      </w:r>
      <w:r w:rsidR="00E44BB8" w:rsidRPr="00B72D86">
        <w:rPr>
          <w:rFonts w:cs="Calibri"/>
        </w:rPr>
        <w:t xml:space="preserve"> </w:t>
      </w:r>
      <w:r w:rsidRPr="00B72D86">
        <w:rPr>
          <w:rFonts w:cs="Calibri"/>
        </w:rPr>
        <w:t xml:space="preserve">key findings that will have an impact on the long-term reliability of the </w:t>
      </w:r>
      <w:r w:rsidRPr="00866754">
        <w:rPr>
          <w:rFonts w:cs="Calibri"/>
        </w:rPr>
        <w:t>North American bulk power system</w:t>
      </w:r>
      <w:r w:rsidRPr="00B72D86">
        <w:rPr>
          <w:rFonts w:cs="Calibri"/>
        </w:rPr>
        <w:t>:</w:t>
      </w:r>
      <w:r>
        <w:rPr>
          <w:rFonts w:cs="Calibri"/>
        </w:rPr>
        <w:t xml:space="preserve"> </w:t>
      </w:r>
    </w:p>
    <w:p w:rsidR="00866754" w:rsidRDefault="00E44BB8" w:rsidP="00EE0FEF">
      <w:pPr>
        <w:pStyle w:val="ListParagraph"/>
      </w:pPr>
      <w:r>
        <w:t>Planning reserve margins in all assessment areas appear sufficient in the short-term but continue to trend downward</w:t>
      </w:r>
      <w:r w:rsidR="00EE0FEF">
        <w:t>.</w:t>
      </w:r>
      <w:r>
        <w:t xml:space="preserve"> </w:t>
      </w:r>
    </w:p>
    <w:p w:rsidR="004A1B09" w:rsidRPr="00E44BB8" w:rsidRDefault="00866754" w:rsidP="00EE0FEF">
      <w:pPr>
        <w:pStyle w:val="ListParagraph"/>
      </w:pPr>
      <w:r>
        <w:t>A</w:t>
      </w:r>
      <w:r w:rsidR="000C41E8">
        <w:rPr>
          <w:rFonts w:eastAsia="Times New Roman"/>
        </w:rPr>
        <w:t xml:space="preserve"> </w:t>
      </w:r>
      <w:r w:rsidR="004A1B09" w:rsidRPr="00627BA7">
        <w:rPr>
          <w:rFonts w:eastAsia="Times New Roman"/>
        </w:rPr>
        <w:t xml:space="preserve">changing resource mix requires </w:t>
      </w:r>
      <w:r w:rsidR="00E44BB8">
        <w:rPr>
          <w:rFonts w:eastAsia="Times New Roman"/>
        </w:rPr>
        <w:t xml:space="preserve">additional measures and </w:t>
      </w:r>
      <w:r w:rsidR="004A1B09" w:rsidRPr="00627BA7">
        <w:rPr>
          <w:rFonts w:eastAsia="Times New Roman"/>
        </w:rPr>
        <w:t xml:space="preserve">approaches for assessing </w:t>
      </w:r>
      <w:r w:rsidR="00E44BB8">
        <w:rPr>
          <w:rFonts w:eastAsia="Times New Roman"/>
        </w:rPr>
        <w:t xml:space="preserve">future </w:t>
      </w:r>
      <w:r w:rsidR="004A1B09" w:rsidRPr="00627BA7">
        <w:rPr>
          <w:rFonts w:eastAsia="Times New Roman"/>
        </w:rPr>
        <w:t>reliability</w:t>
      </w:r>
    </w:p>
    <w:p w:rsidR="00E44BB8" w:rsidRDefault="00E44BB8" w:rsidP="00EE0FEF">
      <w:pPr>
        <w:pStyle w:val="ListParagraph"/>
      </w:pPr>
      <w:r w:rsidRPr="00E44BB8">
        <w:t>Operators and planners face uncertainty with increased levels of distributed energy resources and new technologies</w:t>
      </w:r>
      <w:r w:rsidR="00E009FF">
        <w:t>.</w:t>
      </w:r>
    </w:p>
    <w:p w:rsidR="00E44BB8" w:rsidRDefault="00E44BB8" w:rsidP="005C24B6">
      <w:pPr>
        <w:pStyle w:val="ListParagraph"/>
        <w:spacing w:after="240"/>
      </w:pPr>
      <w:r w:rsidRPr="00E44BB8">
        <w:t>NERC continues its reliability assessment of the Clean Power Plan and other environmental rules</w:t>
      </w:r>
      <w:r w:rsidR="00E009FF">
        <w:t>.</w:t>
      </w:r>
    </w:p>
    <w:p w:rsidR="004A1B09" w:rsidRPr="005C24B6" w:rsidRDefault="004A1B09" w:rsidP="00866754">
      <w:pPr>
        <w:pStyle w:val="Heading2"/>
      </w:pPr>
      <w:bookmarkStart w:id="121" w:name="_Toc442631683"/>
      <w:bookmarkStart w:id="122" w:name="_Toc443909853"/>
      <w:r w:rsidRPr="005C24B6">
        <w:t>Eastern Interconnection Planning Collaborative</w:t>
      </w:r>
      <w:bookmarkEnd w:id="121"/>
      <w:bookmarkEnd w:id="122"/>
    </w:p>
    <w:p w:rsidR="00571DAD" w:rsidRDefault="004A1B09" w:rsidP="0041791C">
      <w:r w:rsidRPr="0041791C">
        <w:t xml:space="preserve">The </w:t>
      </w:r>
      <w:r w:rsidR="00571DAD">
        <w:t xml:space="preserve">major </w:t>
      </w:r>
      <w:r w:rsidRPr="0041791C">
        <w:t>electric power planning a</w:t>
      </w:r>
      <w:r w:rsidRPr="00E44BB8">
        <w:rPr>
          <w:rFonts w:eastAsia="Times New Roman"/>
        </w:rPr>
        <w:t xml:space="preserve">uthorities of the Eastern Interconnection formed the Eastern Interconnection Planning Collaborative in </w:t>
      </w:r>
      <w:r w:rsidRPr="00D946F7">
        <w:t>2009 to address their portion of North American planning issues, combine the existing regional transmission expansion plans, and analyze the interconnection-wide system.</w:t>
      </w:r>
      <w:r w:rsidR="00153361" w:rsidRPr="00D946F7">
        <w:t xml:space="preserve"> Twenty-four</w:t>
      </w:r>
      <w:r w:rsidRPr="00D946F7">
        <w:t xml:space="preserve"> EIPC </w:t>
      </w:r>
      <w:r w:rsidR="00153361" w:rsidRPr="00D946F7">
        <w:t xml:space="preserve">planning coordinators </w:t>
      </w:r>
      <w:r w:rsidRPr="00D946F7">
        <w:t xml:space="preserve">received a grant from DOE to </w:t>
      </w:r>
      <w:r w:rsidR="00571DAD">
        <w:t xml:space="preserve">develop an open and transparent stakeholder process and to </w:t>
      </w:r>
      <w:r w:rsidRPr="00D946F7">
        <w:t xml:space="preserve">conduct </w:t>
      </w:r>
      <w:r w:rsidR="00571DAD">
        <w:t xml:space="preserve">transmission planning analysis </w:t>
      </w:r>
      <w:r w:rsidRPr="00D946F7">
        <w:t xml:space="preserve">on the Eastern Interconnection system. </w:t>
      </w:r>
      <w:r w:rsidR="00571DAD" w:rsidRPr="00571DAD">
        <w:t>The initial phase of the DOE project was completed</w:t>
      </w:r>
      <w:r w:rsidR="00152ABE">
        <w:t>,</w:t>
      </w:r>
      <w:r w:rsidR="00571DAD" w:rsidRPr="00571DAD">
        <w:t xml:space="preserve"> and a draft </w:t>
      </w:r>
      <w:r w:rsidR="00152ABE">
        <w:t>r</w:t>
      </w:r>
      <w:r w:rsidR="00571DAD" w:rsidRPr="00571DAD">
        <w:t xml:space="preserve">eport was submitted to DOE </w:t>
      </w:r>
      <w:r w:rsidR="00152ABE">
        <w:t xml:space="preserve">on </w:t>
      </w:r>
      <w:r w:rsidR="00571DAD" w:rsidRPr="00571DAD">
        <w:t xml:space="preserve">December </w:t>
      </w:r>
      <w:r w:rsidR="00152ABE">
        <w:t xml:space="preserve">22, </w:t>
      </w:r>
      <w:r w:rsidR="00571DAD" w:rsidRPr="00571DAD">
        <w:t>2012</w:t>
      </w:r>
      <w:r w:rsidR="00152ABE">
        <w:t>.</w:t>
      </w:r>
      <w:r w:rsidR="00152ABE">
        <w:rPr>
          <w:rStyle w:val="FootnoteReference"/>
        </w:rPr>
        <w:footnoteReference w:id="40"/>
      </w:r>
      <w:r w:rsidR="00571DAD" w:rsidRPr="00571DAD">
        <w:t xml:space="preserve"> </w:t>
      </w:r>
    </w:p>
    <w:p w:rsidR="00571DAD" w:rsidRPr="00571DAD" w:rsidRDefault="00571DAD" w:rsidP="00571DAD">
      <w:r>
        <w:t>In February 2013, DOE provided technical guidance requesting that analyses be completed on the gas-electric system interface because th</w:t>
      </w:r>
      <w:r w:rsidR="00152ABE">
        <w:t>is</w:t>
      </w:r>
      <w:r>
        <w:t xml:space="preserve"> deserved more in-depth analysis than originally envisioned. </w:t>
      </w:r>
      <w:r w:rsidR="004A1B09" w:rsidRPr="00D946F7">
        <w:t xml:space="preserve">The six participating planning authorities leading this portion of the </w:t>
      </w:r>
      <w:r>
        <w:t xml:space="preserve">DOE project study (known as the </w:t>
      </w:r>
      <w:r w:rsidRPr="00625E4C">
        <w:rPr>
          <w:i/>
        </w:rPr>
        <w:t>Gas-Electric System Interface Study</w:t>
      </w:r>
      <w:r>
        <w:t>)</w:t>
      </w:r>
      <w:r w:rsidR="00152ABE">
        <w:t xml:space="preserve"> </w:t>
      </w:r>
      <w:r>
        <w:t>were</w:t>
      </w:r>
      <w:r w:rsidR="004A1B09" w:rsidRPr="00D946F7">
        <w:t xml:space="preserve"> ISO New England, </w:t>
      </w:r>
      <w:r w:rsidR="005B06CD">
        <w:t>NYISO</w:t>
      </w:r>
      <w:r w:rsidR="004A1B09" w:rsidRPr="00D946F7">
        <w:t xml:space="preserve">, PJM, the Tennessee </w:t>
      </w:r>
      <w:r w:rsidR="004A1B09" w:rsidRPr="00B4508E">
        <w:t>Valley Authority (TVA), Midcontinent ISO (MISO) (formerly the Midwest ISO), and Ontario</w:t>
      </w:r>
      <w:r w:rsidR="00E72C9F">
        <w:t xml:space="preserve">’s </w:t>
      </w:r>
      <w:r w:rsidR="00E72C9F" w:rsidRPr="00152ABE">
        <w:t>Independent Electricity System Operator (IESO)</w:t>
      </w:r>
      <w:r w:rsidR="004A1B09" w:rsidRPr="00152ABE">
        <w:t xml:space="preserve">. </w:t>
      </w:r>
      <w:r w:rsidRPr="00152ABE">
        <w:t>The</w:t>
      </w:r>
      <w:r w:rsidRPr="00571DAD">
        <w:t xml:space="preserve"> results of the </w:t>
      </w:r>
      <w:r w:rsidRPr="00625E4C">
        <w:rPr>
          <w:i/>
        </w:rPr>
        <w:t>Gas-Electric System Interface Study</w:t>
      </w:r>
      <w:r w:rsidRPr="00571DAD">
        <w:t xml:space="preserve"> provide a comprehensive analysis across the study region of the adequacy of the natural gas pipeline delivery system to meet the needs of gas-fired electric generation under </w:t>
      </w:r>
      <w:r w:rsidRPr="00571DAD">
        <w:lastRenderedPageBreak/>
        <w:t>various conditions over a 10-year horizon.</w:t>
      </w:r>
      <w:r w:rsidR="00152ABE">
        <w:rPr>
          <w:rStyle w:val="FootnoteReference"/>
        </w:rPr>
        <w:footnoteReference w:id="41"/>
      </w:r>
      <w:r w:rsidRPr="00571DAD">
        <w:t xml:space="preserve"> The </w:t>
      </w:r>
      <w:r w:rsidR="00152ABE">
        <w:t>f</w:t>
      </w:r>
      <w:r w:rsidRPr="00571DAD">
        <w:t xml:space="preserve">inal </w:t>
      </w:r>
      <w:r w:rsidR="00152ABE">
        <w:t>r</w:t>
      </w:r>
      <w:r w:rsidRPr="00571DAD">
        <w:t xml:space="preserve">eport closing out the grant was submitted to </w:t>
      </w:r>
      <w:r w:rsidRPr="004C14FD">
        <w:t xml:space="preserve">the DOE in </w:t>
      </w:r>
      <w:r w:rsidR="00746B16" w:rsidRPr="004C14FD">
        <w:t xml:space="preserve">June 2015, which DOE accepted in </w:t>
      </w:r>
      <w:r w:rsidRPr="004C14FD">
        <w:t>July 2015</w:t>
      </w:r>
      <w:r w:rsidR="00152ABE" w:rsidRPr="004C14FD">
        <w:t>.</w:t>
      </w:r>
    </w:p>
    <w:p w:rsidR="00625E4C" w:rsidRDefault="004A1B09" w:rsidP="00866754">
      <w:r w:rsidRPr="002347A2">
        <w:t xml:space="preserve">EIPC is continuing to coordinate </w:t>
      </w:r>
      <w:r w:rsidR="00DA09FF">
        <w:t xml:space="preserve">interconnection-wide power flow </w:t>
      </w:r>
      <w:r w:rsidRPr="002347A2">
        <w:t>base cases and conduct analyses without D</w:t>
      </w:r>
      <w:r w:rsidRPr="00D946F7">
        <w:t>OE funding</w:t>
      </w:r>
      <w:r w:rsidR="00811ADF">
        <w:t xml:space="preserve">. </w:t>
      </w:r>
      <w:r w:rsidR="000D0888">
        <w:t xml:space="preserve">In </w:t>
      </w:r>
      <w:r w:rsidR="00F66FC3" w:rsidRPr="00625E4C">
        <w:t>2014</w:t>
      </w:r>
      <w:r w:rsidR="000D0888">
        <w:t>, EIPC</w:t>
      </w:r>
      <w:r w:rsidR="00F66FC3" w:rsidRPr="00D946F7">
        <w:t xml:space="preserve"> </w:t>
      </w:r>
      <w:r w:rsidR="00E46519">
        <w:t xml:space="preserve">completed </w:t>
      </w:r>
      <w:r w:rsidR="00625E4C">
        <w:t xml:space="preserve">the second </w:t>
      </w:r>
      <w:r w:rsidR="00E46519">
        <w:t xml:space="preserve">year of its two-year planning </w:t>
      </w:r>
      <w:r w:rsidR="00E46519" w:rsidRPr="004C14FD">
        <w:t>cycle</w:t>
      </w:r>
      <w:r w:rsidR="008E7DD2" w:rsidRPr="004C14FD">
        <w:t xml:space="preserve">. The EIPC solicited and evaluated scenarios proposed by </w:t>
      </w:r>
      <w:r w:rsidR="00625E4C" w:rsidRPr="004C14FD">
        <w:t>s</w:t>
      </w:r>
      <w:r w:rsidR="008E7DD2" w:rsidRPr="004C14FD">
        <w:t xml:space="preserve">takeholders and selected </w:t>
      </w:r>
      <w:r w:rsidR="00746B16" w:rsidRPr="004C14FD">
        <w:t xml:space="preserve">to model and study </w:t>
      </w:r>
      <w:r w:rsidR="008E7DD2" w:rsidRPr="004C14FD">
        <w:t xml:space="preserve">a severe </w:t>
      </w:r>
      <w:r w:rsidR="00625E4C" w:rsidRPr="004C14FD">
        <w:t>h</w:t>
      </w:r>
      <w:r w:rsidR="002A40C6" w:rsidRPr="004C14FD">
        <w:t xml:space="preserve">eat </w:t>
      </w:r>
      <w:r w:rsidR="00625E4C" w:rsidRPr="004C14FD">
        <w:t>w</w:t>
      </w:r>
      <w:r w:rsidR="002A40C6" w:rsidRPr="004C14FD">
        <w:t xml:space="preserve">ave and </w:t>
      </w:r>
      <w:r w:rsidR="00625E4C" w:rsidRPr="004C14FD">
        <w:t>d</w:t>
      </w:r>
      <w:r w:rsidR="002A40C6" w:rsidRPr="004C14FD">
        <w:t xml:space="preserve">rought </w:t>
      </w:r>
      <w:r w:rsidR="00625E4C" w:rsidRPr="004C14FD">
        <w:t>s</w:t>
      </w:r>
      <w:r w:rsidR="002A40C6" w:rsidRPr="004C14FD">
        <w:t>cenario</w:t>
      </w:r>
      <w:r w:rsidR="00746B16" w:rsidRPr="004C14FD">
        <w:t xml:space="preserve"> in terms of a </w:t>
      </w:r>
      <w:r w:rsidR="008E7DD2" w:rsidRPr="004C14FD">
        <w:t xml:space="preserve">transfer analysis and comparison to the previous year’s work. This work engaged stakeholders in </w:t>
      </w:r>
      <w:r w:rsidR="00625E4C" w:rsidRPr="004C14FD">
        <w:t>w</w:t>
      </w:r>
      <w:r w:rsidR="008E7DD2" w:rsidRPr="004C14FD">
        <w:t>ebinars conducted on March 25,</w:t>
      </w:r>
      <w:r w:rsidR="008E7DD2">
        <w:t xml:space="preserve"> 2014</w:t>
      </w:r>
      <w:r w:rsidR="00625E4C">
        <w:t xml:space="preserve">; </w:t>
      </w:r>
      <w:r w:rsidR="008E7DD2">
        <w:t>September 9, 2014</w:t>
      </w:r>
      <w:r w:rsidR="00625E4C">
        <w:t xml:space="preserve">; </w:t>
      </w:r>
      <w:r w:rsidR="008E7DD2">
        <w:t xml:space="preserve">and November 21, 2014. The final work product is documented in a </w:t>
      </w:r>
      <w:r w:rsidR="00625E4C">
        <w:t>f</w:t>
      </w:r>
      <w:r w:rsidR="008E7DD2">
        <w:t xml:space="preserve">inal </w:t>
      </w:r>
      <w:r w:rsidR="00625E4C">
        <w:t>r</w:t>
      </w:r>
      <w:r w:rsidR="008E7DD2">
        <w:t>eport dated January 23, 2015.</w:t>
      </w:r>
      <w:r w:rsidR="00625E4C">
        <w:rPr>
          <w:rStyle w:val="FootnoteReference"/>
        </w:rPr>
        <w:footnoteReference w:id="42"/>
      </w:r>
    </w:p>
    <w:p w:rsidR="004A1B09" w:rsidRPr="00D946F7" w:rsidRDefault="00A57EE4" w:rsidP="00866754">
      <w:r>
        <w:t xml:space="preserve">During 2015, EIPC initiated </w:t>
      </w:r>
      <w:r w:rsidR="00625E4C">
        <w:t xml:space="preserve">the first </w:t>
      </w:r>
      <w:r>
        <w:t xml:space="preserve">year of its new two-year planning cycle, again </w:t>
      </w:r>
      <w:r w:rsidR="004A1B09" w:rsidRPr="00D946F7">
        <w:t>developing and studying</w:t>
      </w:r>
      <w:r>
        <w:t xml:space="preserve"> new versions of the</w:t>
      </w:r>
      <w:r w:rsidR="004A1B09" w:rsidRPr="00D946F7">
        <w:t xml:space="preserve"> “roll-up” cases, which combined each region’s electric power system </w:t>
      </w:r>
      <w:r w:rsidR="004A1B09" w:rsidRPr="004C14FD">
        <w:t xml:space="preserve">plan into a comprehensive </w:t>
      </w:r>
      <w:r w:rsidRPr="004C14FD">
        <w:t xml:space="preserve">updated </w:t>
      </w:r>
      <w:r w:rsidR="004A1B09" w:rsidRPr="004C14FD">
        <w:t>model of the Eastern Interconnection.</w:t>
      </w:r>
      <w:r w:rsidR="0068520E" w:rsidRPr="004C14FD">
        <w:t xml:space="preserve"> </w:t>
      </w:r>
      <w:r w:rsidR="001E2DB2" w:rsidRPr="004C14FD">
        <w:t>T</w:t>
      </w:r>
      <w:r w:rsidR="0068520E" w:rsidRPr="004C14FD">
        <w:t xml:space="preserve">his work effort </w:t>
      </w:r>
      <w:r w:rsidR="001E2DB2" w:rsidRPr="004C14FD">
        <w:t xml:space="preserve">expanded </w:t>
      </w:r>
      <w:r w:rsidR="00625E4C" w:rsidRPr="004C14FD">
        <w:t xml:space="preserve">the roll-up cases </w:t>
      </w:r>
      <w:r w:rsidR="0068520E" w:rsidRPr="004C14FD">
        <w:t>to include</w:t>
      </w:r>
      <w:r w:rsidR="00A30096" w:rsidRPr="004C14FD">
        <w:t xml:space="preserve"> models for</w:t>
      </w:r>
      <w:r w:rsidR="0068520E" w:rsidRPr="004C14FD">
        <w:t xml:space="preserve"> summer and winter peak scenarios</w:t>
      </w:r>
      <w:r w:rsidR="00625E4C" w:rsidRPr="004C14FD">
        <w:t xml:space="preserve">, which </w:t>
      </w:r>
      <w:r w:rsidR="00A74C01" w:rsidRPr="004C14FD">
        <w:t>w</w:t>
      </w:r>
      <w:r w:rsidR="0068520E" w:rsidRPr="004C14FD">
        <w:t>ere</w:t>
      </w:r>
      <w:r w:rsidR="00A74C01" w:rsidRPr="004C14FD">
        <w:t xml:space="preserve"> rigorously tested under reference and transfer conditions using NERC</w:t>
      </w:r>
      <w:r w:rsidR="00A74C01">
        <w:t xml:space="preserve"> criteria. Preliminary results were discussed with </w:t>
      </w:r>
      <w:r w:rsidR="00A30096">
        <w:t>s</w:t>
      </w:r>
      <w:r w:rsidR="00A74C01">
        <w:t xml:space="preserve">takeholders on November 17, 2015. </w:t>
      </w:r>
      <w:r w:rsidR="00A30096">
        <w:t>As of this writing, t</w:t>
      </w:r>
      <w:r w:rsidR="00A74C01">
        <w:t>he preliminary results are under</w:t>
      </w:r>
      <w:r w:rsidR="00A30096">
        <w:t>going</w:t>
      </w:r>
      <w:r w:rsidR="00A74C01">
        <w:t xml:space="preserve"> final review and are expected to be reported in 2016.</w:t>
      </w:r>
      <w:r w:rsidR="00A30096">
        <w:rPr>
          <w:rStyle w:val="FootnoteReference"/>
        </w:rPr>
        <w:footnoteReference w:id="43"/>
      </w:r>
      <w:r w:rsidR="00A74C01">
        <w:t xml:space="preserve"> </w:t>
      </w:r>
    </w:p>
    <w:p w:rsidR="004A1B09" w:rsidRDefault="004A1B09" w:rsidP="00866754">
      <w:pPr>
        <w:rPr>
          <w:rFonts w:eastAsia="Cambria" w:cs="Cambria"/>
          <w:b/>
          <w:bCs/>
          <w:sz w:val="20"/>
          <w:szCs w:val="20"/>
        </w:rPr>
      </w:pPr>
      <w:r w:rsidRPr="002347A2">
        <w:t>EIPC requested input from stakeholders for scenarios to be studied in 201</w:t>
      </w:r>
      <w:r w:rsidR="00F247E8" w:rsidRPr="00D946F7">
        <w:t xml:space="preserve">6. </w:t>
      </w:r>
      <w:r w:rsidRPr="00D946F7">
        <w:t>The focus of EIPC’s 201</w:t>
      </w:r>
      <w:r w:rsidR="00F247E8" w:rsidRPr="00D946F7">
        <w:t>6</w:t>
      </w:r>
      <w:r w:rsidRPr="00D946F7">
        <w:t xml:space="preserve"> efforts</w:t>
      </w:r>
      <w:r w:rsidR="00F247E8" w:rsidRPr="00D946F7">
        <w:t xml:space="preserve"> will be </w:t>
      </w:r>
      <w:r w:rsidRPr="00D946F7">
        <w:t xml:space="preserve">to develop and analyze </w:t>
      </w:r>
      <w:r w:rsidR="00F247E8" w:rsidRPr="00D946F7">
        <w:t xml:space="preserve">the </w:t>
      </w:r>
      <w:r w:rsidRPr="00D946F7">
        <w:t>roll-up cases for summer and winter 2025</w:t>
      </w:r>
      <w:r w:rsidR="00F247E8" w:rsidRPr="00D946F7">
        <w:t xml:space="preserve"> under different planning scenarios</w:t>
      </w:r>
      <w:r w:rsidRPr="00D946F7">
        <w:t xml:space="preserve">. </w:t>
      </w:r>
      <w:r w:rsidR="000D0888">
        <w:t xml:space="preserve">It </w:t>
      </w:r>
      <w:r w:rsidR="00F247E8" w:rsidRPr="00D946F7">
        <w:t xml:space="preserve">also </w:t>
      </w:r>
      <w:r w:rsidRPr="00D946F7">
        <w:t xml:space="preserve">is </w:t>
      </w:r>
      <w:r w:rsidR="00F247E8" w:rsidRPr="00D946F7">
        <w:t>considering developing, during 2016, a production cost database for the Eastern Interconnection. This would be the first such interconnection-wide reviewed database</w:t>
      </w:r>
      <w:r w:rsidRPr="00D946F7">
        <w:t>.</w:t>
      </w:r>
    </w:p>
    <w:p w:rsidR="004A1B09" w:rsidRPr="005C24B6" w:rsidRDefault="004A1B09" w:rsidP="00866754">
      <w:pPr>
        <w:pStyle w:val="Heading2"/>
      </w:pPr>
      <w:bookmarkStart w:id="123" w:name="_Toc442631684"/>
      <w:bookmarkStart w:id="124" w:name="_Toc443909854"/>
      <w:r w:rsidRPr="00866754">
        <w:t>IRC Activities</w:t>
      </w:r>
      <w:bookmarkEnd w:id="123"/>
      <w:bookmarkEnd w:id="124"/>
    </w:p>
    <w:p w:rsidR="004A1B09" w:rsidRDefault="004A1B09" w:rsidP="005C24B6">
      <w:r w:rsidRPr="0041791C">
        <w:t>Created in April 2003, the ISO/RT</w:t>
      </w:r>
      <w:r w:rsidRPr="00D9631A">
        <w:t xml:space="preserve">O Council (IRC) is an industry group consisting of the nine ISOs and RTOs in North America. These ISOs and RTOs serve two-thirds of the electricity customers in the United States and more than 50% of Canada‘s population. The IRC works collaboratively to develop effective processes, tools, and standard methods for improving </w:t>
      </w:r>
      <w:r w:rsidR="00DA09FF">
        <w:t>the reliability, planning</w:t>
      </w:r>
      <w:r w:rsidR="00502851">
        <w:t>,</w:t>
      </w:r>
      <w:r w:rsidR="00DA09FF">
        <w:t xml:space="preserve"> and operation of </w:t>
      </w:r>
      <w:r w:rsidRPr="00D9631A">
        <w:t xml:space="preserve">competitive </w:t>
      </w:r>
      <w:r w:rsidR="00DA09FF">
        <w:t xml:space="preserve">wholesale </w:t>
      </w:r>
      <w:r w:rsidRPr="00D9631A">
        <w:t>electricity markets across much of North America</w:t>
      </w:r>
      <w:r w:rsidR="006D0297">
        <w:t xml:space="preserve">. </w:t>
      </w:r>
    </w:p>
    <w:p w:rsidR="004A1B09" w:rsidRPr="00D9631A" w:rsidRDefault="004A1B09" w:rsidP="005C24B6">
      <w:r w:rsidRPr="002347A2">
        <w:t>The IRC has coo</w:t>
      </w:r>
      <w:r w:rsidRPr="00D9631A">
        <w:t>rdinated a number of reports, filings, and presentations with national government agencies.</w:t>
      </w:r>
      <w:r w:rsidRPr="00162825">
        <w:rPr>
          <w:vertAlign w:val="superscript"/>
        </w:rPr>
        <w:footnoteReference w:id="44"/>
      </w:r>
      <w:r w:rsidRPr="00162825">
        <w:t xml:space="preserve"> </w:t>
      </w:r>
      <w:r w:rsidRPr="00D9631A">
        <w:t xml:space="preserve">The IRC has worked with the </w:t>
      </w:r>
      <w:r w:rsidR="003C4128">
        <w:t xml:space="preserve">US </w:t>
      </w:r>
      <w:r w:rsidRPr="00D9631A">
        <w:t>Environmental Protection Agency</w:t>
      </w:r>
      <w:r w:rsidR="003C4128">
        <w:t xml:space="preserve"> (EPA)</w:t>
      </w:r>
      <w:r w:rsidRPr="00D9631A">
        <w:t xml:space="preserve">, the states, and all interested parties on </w:t>
      </w:r>
      <w:r w:rsidRPr="00B4508E">
        <w:t xml:space="preserve">proposed </w:t>
      </w:r>
      <w:r w:rsidRPr="00861C55">
        <w:t>carbon dioxide (CO</w:t>
      </w:r>
      <w:r w:rsidRPr="005C24B6">
        <w:rPr>
          <w:vertAlign w:val="subscript"/>
        </w:rPr>
        <w:t>2</w:t>
      </w:r>
      <w:r w:rsidRPr="00861C55">
        <w:t>) regulations</w:t>
      </w:r>
      <w:r w:rsidR="00861C55">
        <w:t xml:space="preserve"> </w:t>
      </w:r>
      <w:r w:rsidRPr="00861C55">
        <w:t>that</w:t>
      </w:r>
      <w:r w:rsidRPr="00D9631A">
        <w:t xml:space="preserve"> respect electric power system reliability and are compatible with the efficient dispatch of the electric power grid. Additionally, the IRC has submitted FERC filings on issues of common concern for its members, such as proposed changes to the gas operating day and interstate pipeline scheduling practices for </w:t>
      </w:r>
      <w:r w:rsidRPr="00D9631A">
        <w:lastRenderedPageBreak/>
        <w:t>natural gas transportation service.</w:t>
      </w:r>
      <w:r w:rsidRPr="00EC35F6">
        <w:rPr>
          <w:vertAlign w:val="superscript"/>
        </w:rPr>
        <w:footnoteReference w:id="45"/>
      </w:r>
      <w:r w:rsidRPr="00EC35F6">
        <w:t xml:space="preserve"> </w:t>
      </w:r>
      <w:r w:rsidRPr="00D9631A">
        <w:t>IRC members also have coordinated on a number of technical issues, such as the use of software and the sharing of planning techniques.</w:t>
      </w:r>
    </w:p>
    <w:p w:rsidR="00BC0F55" w:rsidRPr="00486E7E" w:rsidRDefault="0048023B" w:rsidP="00866754">
      <w:pPr>
        <w:pStyle w:val="Heading2"/>
      </w:pPr>
      <w:bookmarkStart w:id="125" w:name="_Toc442631685"/>
      <w:bookmarkStart w:id="126" w:name="_Toc443909855"/>
      <w:r w:rsidRPr="00866754">
        <w:t>Northeast Power Coordinating Council</w:t>
      </w:r>
      <w:bookmarkEnd w:id="125"/>
      <w:bookmarkEnd w:id="126"/>
    </w:p>
    <w:p w:rsidR="00BC0F55" w:rsidRPr="00486E7E" w:rsidRDefault="0048023B" w:rsidP="00486E7E">
      <w:r w:rsidRPr="00486E7E">
        <w:t xml:space="preserve">The Northeast Power Coordinating Council (NPCC) is one of eight regional entities located throughout the United States, Canada, and portions of Mexico responsible for enhancing </w:t>
      </w:r>
      <w:hyperlink w:anchor="_bookmark72" w:history="1">
        <w:r w:rsidRPr="00486E7E">
          <w:t>an</w:t>
        </w:r>
      </w:hyperlink>
      <w:r w:rsidRPr="00486E7E">
        <w:t>d promoting the reliable and efficient operation of the interconnected bulk power system.</w:t>
      </w:r>
      <w:r w:rsidR="00DD0BDD" w:rsidRPr="00486E7E">
        <w:rPr>
          <w:rStyle w:val="FootnoteReference"/>
        </w:rPr>
        <w:footnoteReference w:id="46"/>
      </w:r>
      <w:r w:rsidR="00486E7E">
        <w:t xml:space="preserve"> NERC has delegated</w:t>
      </w:r>
      <w:r w:rsidRPr="005C24B6">
        <w:t xml:space="preserve"> </w:t>
      </w:r>
      <w:r w:rsidRPr="00486E7E">
        <w:t>NPCC the authority to create regional standards to enhance the reliab</w:t>
      </w:r>
      <w:hyperlink w:anchor="_bookmark72" w:history="1">
        <w:r w:rsidRPr="00486E7E">
          <w:t>il</w:t>
        </w:r>
      </w:hyperlink>
      <w:r w:rsidRPr="00486E7E">
        <w:t>ity of the international, interconnected bulk power system in northeastern North America. As members of NPCC, ISO New England and NYISO fully participate in NPCC-coordinated interregional studies with its neighboring areas. PJM also directly participates in select study groups by coordinating data and providing analytical support, such as the review of draft assumptions and results.</w:t>
      </w:r>
      <w:r w:rsidR="00C23BF8" w:rsidRPr="00486E7E">
        <w:t xml:space="preserve"> </w:t>
      </w:r>
    </w:p>
    <w:p w:rsidR="00BC0F55" w:rsidRPr="00486E7E" w:rsidRDefault="0048023B" w:rsidP="00486E7E">
      <w:bookmarkStart w:id="127" w:name="5.1.1_Coordinated_Planning"/>
      <w:bookmarkStart w:id="128" w:name="5.1.2_Resource_Adequacy_Analysis"/>
      <w:bookmarkEnd w:id="127"/>
      <w:bookmarkEnd w:id="128"/>
      <w:r w:rsidRPr="00486E7E">
        <w:t xml:space="preserve">NPCC establishes requirements for resource adequacy over the planning period. </w:t>
      </w:r>
      <w:r w:rsidR="00486E7E">
        <w:t>The a</w:t>
      </w:r>
      <w:r w:rsidRPr="00486E7E">
        <w:t xml:space="preserve">nalyses conducted determine the systemwide and local-area needs for resource adequacy and the region’s efforts to meet the need for resources through markets, the </w:t>
      </w:r>
      <w:r w:rsidR="00486E7E">
        <w:t xml:space="preserve">interconnection </w:t>
      </w:r>
      <w:r w:rsidRPr="00486E7E">
        <w:t>queue, and energy-efficiency resources planned by the states.</w:t>
      </w:r>
    </w:p>
    <w:p w:rsidR="00BC0F55" w:rsidRPr="00486E7E" w:rsidRDefault="0048023B" w:rsidP="00486E7E">
      <w:bookmarkStart w:id="129" w:name="5.1.3_NPCC_Overall_Transmission_Assessme"/>
      <w:bookmarkEnd w:id="129"/>
      <w:r w:rsidRPr="00486E7E">
        <w:t xml:space="preserve">NPCC </w:t>
      </w:r>
      <w:r w:rsidR="00942C8E">
        <w:t xml:space="preserve">also </w:t>
      </w:r>
      <w:r w:rsidRPr="00486E7E">
        <w:t xml:space="preserve">conducts seasonal reliability assessments, an annual long-range </w:t>
      </w:r>
      <w:r w:rsidRPr="00CC27F8">
        <w:t>resource</w:t>
      </w:r>
      <w:r w:rsidR="00486E7E" w:rsidRPr="00CC27F8">
        <w:t>-</w:t>
      </w:r>
      <w:r w:rsidRPr="00CC27F8">
        <w:t>adequacy</w:t>
      </w:r>
      <w:r w:rsidRPr="00486E7E">
        <w:t xml:space="preserve"> evaluation, and a periodic assessment of the reliability of the planned NPCC bulk power system.</w:t>
      </w:r>
      <w:r w:rsidR="00DD0BDD" w:rsidRPr="00486E7E">
        <w:rPr>
          <w:rStyle w:val="FootnoteReference"/>
        </w:rPr>
        <w:footnoteReference w:id="47"/>
      </w:r>
      <w:r w:rsidR="00627BA7" w:rsidRPr="00486E7E" w:rsidDel="00627BA7">
        <w:t xml:space="preserve"> </w:t>
      </w:r>
      <w:bookmarkStart w:id="130" w:name="_bookmark72"/>
      <w:bookmarkStart w:id="131" w:name="_bookmark73"/>
      <w:bookmarkEnd w:id="130"/>
      <w:bookmarkEnd w:id="131"/>
      <w:r w:rsidRPr="00942C8E">
        <w:t xml:space="preserve">All studies are well coordinated across neighboring area boundaries and include the development of common databases that can serve as the basis for </w:t>
      </w:r>
      <w:r w:rsidR="00942C8E" w:rsidRPr="005C24B6">
        <w:t xml:space="preserve">ISO/RTO </w:t>
      </w:r>
      <w:r w:rsidRPr="00942C8E">
        <w:t>internal studies. Assessments of both ISO-NE and NYISO demonstrate</w:t>
      </w:r>
      <w:r w:rsidR="000D0888">
        <w:t>d</w:t>
      </w:r>
      <w:r w:rsidRPr="00942C8E">
        <w:t xml:space="preserve"> full compliance with NERC and NPCC requirements for meeting resource adequacy and transmission planning criteria and standards.</w:t>
      </w:r>
    </w:p>
    <w:p w:rsidR="005C24B6" w:rsidRPr="005C24B6" w:rsidRDefault="00824C9B" w:rsidP="005C24B6">
      <w:pPr>
        <w:pStyle w:val="Heading2"/>
      </w:pPr>
      <w:bookmarkStart w:id="132" w:name="5.2_RFC_2020_Long-Term_Assessment_of_Tra"/>
      <w:bookmarkStart w:id="133" w:name="_Toc443909856"/>
      <w:bookmarkEnd w:id="132"/>
      <w:r w:rsidRPr="005C24B6">
        <w:t>Reliability</w:t>
      </w:r>
      <w:r w:rsidRPr="005C24B6">
        <w:rPr>
          <w:i/>
        </w:rPr>
        <w:t>First</w:t>
      </w:r>
      <w:bookmarkEnd w:id="133"/>
    </w:p>
    <w:p w:rsidR="00A30096" w:rsidRPr="00436AF6" w:rsidRDefault="0048023B" w:rsidP="00436AF6">
      <w:r w:rsidRPr="00436AF6">
        <w:t>As one of the eight</w:t>
      </w:r>
      <w:r w:rsidRPr="005C24B6">
        <w:t xml:space="preserve"> </w:t>
      </w:r>
      <w:r w:rsidRPr="00436AF6">
        <w:t xml:space="preserve">NERC-approved </w:t>
      </w:r>
      <w:r w:rsidR="00436AF6" w:rsidRPr="00436AF6">
        <w:t>r</w:t>
      </w:r>
      <w:r w:rsidRPr="00436AF6">
        <w:t xml:space="preserve">egional </w:t>
      </w:r>
      <w:r w:rsidR="00436AF6" w:rsidRPr="00436AF6">
        <w:t>e</w:t>
      </w:r>
      <w:r w:rsidRPr="00436AF6">
        <w:t>ntities in</w:t>
      </w:r>
      <w:r w:rsidRPr="005C24B6">
        <w:t xml:space="preserve"> </w:t>
      </w:r>
      <w:r w:rsidRPr="00436AF6">
        <w:t>North America, Reliability</w:t>
      </w:r>
      <w:r w:rsidRPr="00436AF6">
        <w:rPr>
          <w:i/>
        </w:rPr>
        <w:t xml:space="preserve">First </w:t>
      </w:r>
      <w:r w:rsidRPr="00436AF6">
        <w:t>Corporation</w:t>
      </w:r>
      <w:r w:rsidRPr="005C24B6">
        <w:t xml:space="preserve"> </w:t>
      </w:r>
      <w:r w:rsidRPr="00436AF6">
        <w:t>(RFC) conducts a long-term transmission</w:t>
      </w:r>
      <w:r w:rsidRPr="005C24B6">
        <w:t xml:space="preserve"> </w:t>
      </w:r>
      <w:r w:rsidRPr="00436AF6">
        <w:t>assessment annually</w:t>
      </w:r>
      <w:r w:rsidRPr="005C24B6">
        <w:t xml:space="preserve"> </w:t>
      </w:r>
      <w:r w:rsidRPr="00436AF6">
        <w:t>to</w:t>
      </w:r>
      <w:r w:rsidRPr="005C24B6">
        <w:t xml:space="preserve"> </w:t>
      </w:r>
      <w:r w:rsidRPr="00436AF6">
        <w:t>satisfy</w:t>
      </w:r>
      <w:r w:rsidRPr="005C24B6">
        <w:t xml:space="preserve"> </w:t>
      </w:r>
      <w:r w:rsidRPr="00436AF6">
        <w:t>its responsibility</w:t>
      </w:r>
      <w:r w:rsidRPr="005C24B6">
        <w:t xml:space="preserve"> </w:t>
      </w:r>
      <w:r w:rsidRPr="00436AF6">
        <w:t>to provide a judgment on</w:t>
      </w:r>
      <w:r w:rsidRPr="005C24B6">
        <w:t xml:space="preserve"> </w:t>
      </w:r>
      <w:r w:rsidRPr="00436AF6">
        <w:t>the ability</w:t>
      </w:r>
      <w:r w:rsidRPr="005C24B6">
        <w:t xml:space="preserve"> </w:t>
      </w:r>
      <w:r w:rsidRPr="00436AF6">
        <w:t>of the regional</w:t>
      </w:r>
      <w:r w:rsidRPr="005C24B6">
        <w:t xml:space="preserve"> </w:t>
      </w:r>
      <w:r w:rsidRPr="00436AF6">
        <w:t>transmission</w:t>
      </w:r>
      <w:r w:rsidRPr="005C24B6">
        <w:t xml:space="preserve"> </w:t>
      </w:r>
      <w:r w:rsidRPr="00436AF6">
        <w:t>system to operate reliably</w:t>
      </w:r>
      <w:r w:rsidRPr="005C24B6">
        <w:t xml:space="preserve"> </w:t>
      </w:r>
      <w:r w:rsidRPr="00436AF6">
        <w:t>under</w:t>
      </w:r>
      <w:r w:rsidRPr="005C24B6">
        <w:t xml:space="preserve"> </w:t>
      </w:r>
      <w:r w:rsidRPr="00436AF6">
        <w:t>the expected range of oper</w:t>
      </w:r>
      <w:hyperlink w:anchor="_bookmark75" w:history="1">
        <w:r w:rsidRPr="00436AF6">
          <w:t>at</w:t>
        </w:r>
      </w:hyperlink>
      <w:r w:rsidRPr="00436AF6">
        <w:t>ing</w:t>
      </w:r>
      <w:r w:rsidRPr="005C24B6">
        <w:t xml:space="preserve"> </w:t>
      </w:r>
      <w:r w:rsidRPr="00436AF6">
        <w:t>conditions over the</w:t>
      </w:r>
      <w:r w:rsidRPr="005C24B6">
        <w:t xml:space="preserve"> </w:t>
      </w:r>
      <w:r w:rsidRPr="00436AF6">
        <w:t>applicable assessment period.</w:t>
      </w:r>
      <w:r w:rsidR="00AC68B7">
        <w:t xml:space="preserve"> </w:t>
      </w:r>
      <w:r w:rsidRPr="00436AF6">
        <w:t xml:space="preserve">RFC </w:t>
      </w:r>
      <w:r w:rsidR="00BE5DEE" w:rsidRPr="00436AF6">
        <w:t xml:space="preserve">fulfills this responsibility </w:t>
      </w:r>
      <w:r w:rsidRPr="00436AF6">
        <w:t xml:space="preserve">by examining work already performed according to the planning processes of </w:t>
      </w:r>
      <w:r w:rsidRPr="00CC27F8">
        <w:t xml:space="preserve">PJM, </w:t>
      </w:r>
      <w:r w:rsidR="00F66486">
        <w:t>Midcontinent ISO (</w:t>
      </w:r>
      <w:r w:rsidRPr="00CC27F8">
        <w:t>MISO</w:t>
      </w:r>
      <w:r w:rsidR="00F66486">
        <w:t>)</w:t>
      </w:r>
      <w:r w:rsidRPr="00CC27F8">
        <w:t xml:space="preserve">, </w:t>
      </w:r>
      <w:r w:rsidR="00F66486">
        <w:t>Midwest Reliability Organization (</w:t>
      </w:r>
      <w:r w:rsidRPr="00642AD8">
        <w:t>MRO</w:t>
      </w:r>
      <w:r w:rsidR="00F66486" w:rsidRPr="00642AD8">
        <w:t>)</w:t>
      </w:r>
      <w:r w:rsidRPr="00642AD8">
        <w:t xml:space="preserve">, </w:t>
      </w:r>
      <w:r w:rsidR="00F66486" w:rsidRPr="00642AD8">
        <w:t xml:space="preserve">Southeast Electric Reliability </w:t>
      </w:r>
      <w:r w:rsidR="00CE6DC8">
        <w:t>Corporation</w:t>
      </w:r>
      <w:r w:rsidR="00CE6DC8" w:rsidRPr="00642AD8">
        <w:t xml:space="preserve"> </w:t>
      </w:r>
      <w:r w:rsidR="00F66486" w:rsidRPr="00642AD8">
        <w:t>(</w:t>
      </w:r>
      <w:r w:rsidRPr="00642AD8">
        <w:t>SERC</w:t>
      </w:r>
      <w:r w:rsidR="00F66486" w:rsidRPr="00642AD8">
        <w:t>)</w:t>
      </w:r>
      <w:r w:rsidRPr="00642AD8">
        <w:t xml:space="preserve">, and </w:t>
      </w:r>
      <w:r w:rsidR="00AC68B7" w:rsidRPr="00642AD8">
        <w:rPr>
          <w:spacing w:val="-1"/>
        </w:rPr>
        <w:t>Virginia-Carolinas</w:t>
      </w:r>
      <w:r w:rsidR="00AC68B7" w:rsidRPr="00642AD8">
        <w:t xml:space="preserve"> </w:t>
      </w:r>
      <w:r w:rsidR="00F66486">
        <w:t xml:space="preserve">Area </w:t>
      </w:r>
      <w:r w:rsidR="00AC68B7" w:rsidRPr="00642AD8">
        <w:t>(</w:t>
      </w:r>
      <w:r w:rsidRPr="00642AD8">
        <w:t>VA</w:t>
      </w:r>
      <w:hyperlink w:anchor="_bookmark76" w:history="1">
        <w:r w:rsidRPr="00642AD8">
          <w:t>C</w:t>
        </w:r>
      </w:hyperlink>
      <w:r w:rsidRPr="00642AD8">
        <w:t>AR</w:t>
      </w:r>
      <w:r w:rsidR="00AC68B7" w:rsidRPr="00642AD8">
        <w:t>)</w:t>
      </w:r>
      <w:r w:rsidR="00F66486">
        <w:t>,</w:t>
      </w:r>
      <w:r w:rsidRPr="00642AD8">
        <w:t xml:space="preserve"> </w:t>
      </w:r>
      <w:r w:rsidRPr="00436AF6">
        <w:t>and studies</w:t>
      </w:r>
      <w:r w:rsidRPr="005C24B6">
        <w:t xml:space="preserve"> </w:t>
      </w:r>
      <w:r w:rsidRPr="00436AF6">
        <w:t>performed</w:t>
      </w:r>
      <w:r w:rsidRPr="005C24B6">
        <w:t xml:space="preserve"> </w:t>
      </w:r>
      <w:r w:rsidRPr="00436AF6">
        <w:t>by</w:t>
      </w:r>
      <w:r w:rsidRPr="005C24B6">
        <w:t xml:space="preserve"> </w:t>
      </w:r>
      <w:r w:rsidRPr="00436AF6">
        <w:t>the Eastern</w:t>
      </w:r>
      <w:r w:rsidRPr="005C24B6">
        <w:t xml:space="preserve"> </w:t>
      </w:r>
      <w:r w:rsidRPr="00436AF6">
        <w:lastRenderedPageBreak/>
        <w:t>Interconnection Reliability</w:t>
      </w:r>
      <w:r w:rsidRPr="005C24B6">
        <w:t xml:space="preserve"> </w:t>
      </w:r>
      <w:r w:rsidRPr="00436AF6">
        <w:t>Assessment Group</w:t>
      </w:r>
      <w:r w:rsidRPr="005C24B6">
        <w:t xml:space="preserve"> </w:t>
      </w:r>
      <w:r w:rsidRPr="00436AF6">
        <w:t>(ERAG).</w:t>
      </w:r>
      <w:r w:rsidR="00DD0BDD" w:rsidRPr="00436AF6">
        <w:rPr>
          <w:rStyle w:val="FootnoteReference"/>
        </w:rPr>
        <w:footnoteReference w:id="48"/>
      </w:r>
      <w:r w:rsidRPr="005C24B6">
        <w:rPr>
          <w:position w:val="5"/>
          <w:sz w:val="13"/>
        </w:rPr>
        <w:t xml:space="preserve"> </w:t>
      </w:r>
      <w:r w:rsidRPr="00436AF6">
        <w:t>In addition, RFC</w:t>
      </w:r>
      <w:r w:rsidRPr="005C24B6">
        <w:t xml:space="preserve"> </w:t>
      </w:r>
      <w:r w:rsidRPr="00436AF6">
        <w:t>performs</w:t>
      </w:r>
      <w:r w:rsidRPr="005C24B6">
        <w:t xml:space="preserve"> its </w:t>
      </w:r>
      <w:r w:rsidRPr="00436AF6">
        <w:t>own</w:t>
      </w:r>
      <w:r w:rsidRPr="005C24B6">
        <w:t xml:space="preserve"> </w:t>
      </w:r>
      <w:r w:rsidRPr="00436AF6">
        <w:t>long</w:t>
      </w:r>
      <w:r w:rsidR="00436AF6">
        <w:t>-</w:t>
      </w:r>
      <w:r w:rsidRPr="00436AF6">
        <w:t>term transmission</w:t>
      </w:r>
      <w:r w:rsidRPr="005C24B6">
        <w:t xml:space="preserve"> </w:t>
      </w:r>
      <w:r w:rsidRPr="00436AF6">
        <w:t>assessment in</w:t>
      </w:r>
      <w:r w:rsidRPr="005C24B6">
        <w:t xml:space="preserve"> </w:t>
      </w:r>
      <w:r w:rsidRPr="00436AF6">
        <w:t>conjunction</w:t>
      </w:r>
      <w:r w:rsidRPr="005C24B6">
        <w:t xml:space="preserve"> </w:t>
      </w:r>
      <w:r w:rsidRPr="00436AF6">
        <w:t>with affected transmission</w:t>
      </w:r>
      <w:r w:rsidRPr="005C24B6">
        <w:t xml:space="preserve"> </w:t>
      </w:r>
      <w:r w:rsidRPr="00436AF6">
        <w:t>owners, which includes</w:t>
      </w:r>
      <w:r w:rsidRPr="005C24B6">
        <w:t xml:space="preserve"> </w:t>
      </w:r>
      <w:r w:rsidRPr="00436AF6">
        <w:t>identification, analysis, and</w:t>
      </w:r>
      <w:r w:rsidRPr="005C24B6">
        <w:t xml:space="preserve"> </w:t>
      </w:r>
      <w:r w:rsidRPr="00436AF6">
        <w:t>projections of trends</w:t>
      </w:r>
      <w:r w:rsidRPr="005C24B6">
        <w:t xml:space="preserve"> </w:t>
      </w:r>
      <w:r w:rsidRPr="00436AF6">
        <w:t>in</w:t>
      </w:r>
      <w:r w:rsidRPr="005C24B6">
        <w:t xml:space="preserve"> </w:t>
      </w:r>
      <w:r w:rsidRPr="00436AF6">
        <w:t>transmission</w:t>
      </w:r>
      <w:r w:rsidRPr="005C24B6">
        <w:t xml:space="preserve"> </w:t>
      </w:r>
      <w:r w:rsidRPr="00436AF6">
        <w:t>adequacy</w:t>
      </w:r>
      <w:r w:rsidRPr="005C24B6">
        <w:t xml:space="preserve"> </w:t>
      </w:r>
      <w:r w:rsidRPr="00436AF6">
        <w:t>and other industry</w:t>
      </w:r>
      <w:r w:rsidRPr="005C24B6">
        <w:t xml:space="preserve"> </w:t>
      </w:r>
      <w:r w:rsidRPr="00436AF6">
        <w:t>developments that may</w:t>
      </w:r>
      <w:r w:rsidRPr="005C24B6">
        <w:t xml:space="preserve"> </w:t>
      </w:r>
      <w:r w:rsidR="00436AF6">
        <w:t xml:space="preserve">have an </w:t>
      </w:r>
      <w:r w:rsidRPr="00436AF6">
        <w:t xml:space="preserve">impact </w:t>
      </w:r>
      <w:r w:rsidR="00436AF6">
        <w:t xml:space="preserve">on </w:t>
      </w:r>
      <w:r w:rsidRPr="00436AF6">
        <w:t>future electric</w:t>
      </w:r>
      <w:r w:rsidRPr="005C24B6">
        <w:t xml:space="preserve"> </w:t>
      </w:r>
      <w:r w:rsidRPr="00436AF6">
        <w:t>system reliability.</w:t>
      </w:r>
      <w:r w:rsidR="00BE5DEE" w:rsidRPr="005C24B6">
        <w:rPr>
          <w:rStyle w:val="FootnoteReference"/>
        </w:rPr>
        <w:footnoteReference w:id="49"/>
      </w:r>
    </w:p>
    <w:p w:rsidR="00BC0F55" w:rsidRPr="007A51E4" w:rsidRDefault="0048023B" w:rsidP="007A51E4">
      <w:pPr>
        <w:pStyle w:val="Heading1"/>
      </w:pPr>
      <w:bookmarkStart w:id="134" w:name="_bookmark75"/>
      <w:bookmarkStart w:id="135" w:name="_bookmark76"/>
      <w:bookmarkStart w:id="136" w:name="_bookmark77"/>
      <w:bookmarkStart w:id="137" w:name="5.3_IRC_Activities"/>
      <w:bookmarkStart w:id="138" w:name="_bookmark79"/>
      <w:bookmarkStart w:id="139" w:name="_bookmark80"/>
      <w:bookmarkStart w:id="140" w:name="_bookmark81"/>
      <w:bookmarkStart w:id="141" w:name="_bookmark82"/>
      <w:bookmarkStart w:id="142" w:name="_bookmark83"/>
      <w:bookmarkStart w:id="143" w:name="5.4_NERC_Long_Term_Reliability_Assessmen"/>
      <w:bookmarkStart w:id="144" w:name="6_Emerging_Issues_with_Potential_Interre"/>
      <w:bookmarkStart w:id="145" w:name="6.1_Environmental"/>
      <w:bookmarkStart w:id="146" w:name="6.2_Integration_of_Intermittent_and_Dist"/>
      <w:bookmarkStart w:id="147" w:name="7_Summary_and_Conclusions"/>
      <w:bookmarkStart w:id="148" w:name="_Toc442631689"/>
      <w:bookmarkStart w:id="149" w:name="_Toc443909857"/>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7A51E4">
        <w:t>Summary and Conclusions</w:t>
      </w:r>
      <w:bookmarkEnd w:id="148"/>
      <w:bookmarkEnd w:id="149"/>
    </w:p>
    <w:p w:rsidR="00BC0F55" w:rsidRPr="00894400" w:rsidRDefault="0048023B" w:rsidP="00540152">
      <w:bookmarkStart w:id="150" w:name="7.1__Summary"/>
      <w:bookmarkEnd w:id="150"/>
      <w:r>
        <w:t>Each</w:t>
      </w:r>
      <w:r w:rsidRPr="00894400">
        <w:t xml:space="preserve"> </w:t>
      </w:r>
      <w:r>
        <w:t>ISO/RTO</w:t>
      </w:r>
      <w:r w:rsidRPr="00894400">
        <w:t xml:space="preserve"> </w:t>
      </w:r>
      <w:r>
        <w:t>develop</w:t>
      </w:r>
      <w:r w:rsidR="00C5050F">
        <w:t>s</w:t>
      </w:r>
      <w:r>
        <w:t xml:space="preserve"> individual system</w:t>
      </w:r>
      <w:r w:rsidRPr="00894400">
        <w:t xml:space="preserve"> </w:t>
      </w:r>
      <w:r>
        <w:t>reliability</w:t>
      </w:r>
      <w:r w:rsidRPr="00540152">
        <w:t xml:space="preserve"> </w:t>
      </w:r>
      <w:r>
        <w:t>plans, production</w:t>
      </w:r>
      <w:r w:rsidRPr="00540152">
        <w:t xml:space="preserve"> cost </w:t>
      </w:r>
      <w:r>
        <w:t>studies, and</w:t>
      </w:r>
      <w:r w:rsidRPr="00540152">
        <w:t xml:space="preserve"> </w:t>
      </w:r>
      <w:r>
        <w:t>interconnection</w:t>
      </w:r>
      <w:r w:rsidRPr="00540152">
        <w:t xml:space="preserve"> </w:t>
      </w:r>
      <w:r>
        <w:t>studies</w:t>
      </w:r>
      <w:r w:rsidRPr="00540152">
        <w:t xml:space="preserve"> </w:t>
      </w:r>
      <w:r>
        <w:t>mindful of significant interregional impacts.</w:t>
      </w:r>
      <w:r w:rsidRPr="00540152">
        <w:t xml:space="preserve"> To</w:t>
      </w:r>
      <w:r>
        <w:t xml:space="preserve"> facilitate interregional</w:t>
      </w:r>
      <w:r w:rsidRPr="00540152">
        <w:t xml:space="preserve"> </w:t>
      </w:r>
      <w:r>
        <w:t>coordination</w:t>
      </w:r>
      <w:r w:rsidRPr="00540152">
        <w:t xml:space="preserve"> </w:t>
      </w:r>
      <w:r>
        <w:t>and communication</w:t>
      </w:r>
      <w:r w:rsidRPr="00540152">
        <w:t xml:space="preserve"> </w:t>
      </w:r>
      <w:r w:rsidR="000648CD" w:rsidRPr="00540152">
        <w:t>among</w:t>
      </w:r>
      <w:r w:rsidRPr="00540152">
        <w:t xml:space="preserve"> all </w:t>
      </w:r>
      <w:r>
        <w:t>interested parties, the JIPC</w:t>
      </w:r>
      <w:r w:rsidRPr="00894400">
        <w:t xml:space="preserve"> </w:t>
      </w:r>
      <w:r>
        <w:t>and</w:t>
      </w:r>
      <w:r w:rsidRPr="00540152">
        <w:t xml:space="preserve"> </w:t>
      </w:r>
      <w:r>
        <w:t>IPSAC</w:t>
      </w:r>
      <w:r w:rsidRPr="00894400">
        <w:t xml:space="preserve"> </w:t>
      </w:r>
      <w:r>
        <w:t>were</w:t>
      </w:r>
      <w:r w:rsidRPr="00540152">
        <w:t xml:space="preserve"> </w:t>
      </w:r>
      <w:r>
        <w:t xml:space="preserve">established </w:t>
      </w:r>
      <w:r w:rsidRPr="00540152">
        <w:t xml:space="preserve">to implement the </w:t>
      </w:r>
      <w:r w:rsidR="00540152" w:rsidRPr="00540152">
        <w:t xml:space="preserve">Northeastern ISO/RTO </w:t>
      </w:r>
      <w:r w:rsidRPr="00540152">
        <w:t xml:space="preserve">Planning </w:t>
      </w:r>
      <w:r w:rsidR="00540152">
        <w:t xml:space="preserve">Coordination </w:t>
      </w:r>
      <w:r w:rsidRPr="00540152">
        <w:t>Protocol.</w:t>
      </w:r>
    </w:p>
    <w:p w:rsidR="00BC0F55" w:rsidRPr="00894400" w:rsidRDefault="00540152" w:rsidP="00540152">
      <w:r>
        <w:t xml:space="preserve">FERC </w:t>
      </w:r>
      <w:r w:rsidR="0048023B">
        <w:t xml:space="preserve">Order </w:t>
      </w:r>
      <w:r>
        <w:t xml:space="preserve">No. </w:t>
      </w:r>
      <w:r w:rsidR="0048023B" w:rsidRPr="00894400">
        <w:t>1000</w:t>
      </w:r>
      <w:r w:rsidR="0048023B">
        <w:t xml:space="preserve"> affect</w:t>
      </w:r>
      <w:r w:rsidR="000D0888">
        <w:t>ed</w:t>
      </w:r>
      <w:r w:rsidR="0048023B">
        <w:t xml:space="preserve"> regional and interregional transmission</w:t>
      </w:r>
      <w:r w:rsidR="0048023B" w:rsidRPr="00540152">
        <w:t xml:space="preserve"> </w:t>
      </w:r>
      <w:r w:rsidR="0048023B">
        <w:t>planning, cost</w:t>
      </w:r>
      <w:r w:rsidR="0048023B" w:rsidRPr="00540152">
        <w:t xml:space="preserve"> </w:t>
      </w:r>
      <w:r w:rsidR="0048023B">
        <w:t>allocation</w:t>
      </w:r>
      <w:r w:rsidR="000648CD">
        <w:t>,</w:t>
      </w:r>
      <w:r w:rsidR="0048023B" w:rsidRPr="00540152">
        <w:t xml:space="preserve"> </w:t>
      </w:r>
      <w:r w:rsidR="0048023B">
        <w:t>and</w:t>
      </w:r>
      <w:r w:rsidR="0048023B" w:rsidRPr="00540152">
        <w:t xml:space="preserve"> </w:t>
      </w:r>
      <w:r w:rsidR="0048023B">
        <w:t>consideration</w:t>
      </w:r>
      <w:r w:rsidR="0048023B" w:rsidRPr="00540152">
        <w:t xml:space="preserve"> of</w:t>
      </w:r>
      <w:r w:rsidR="0048023B">
        <w:t xml:space="preserve"> public</w:t>
      </w:r>
      <w:r w:rsidR="0048023B" w:rsidRPr="00894400">
        <w:t xml:space="preserve"> </w:t>
      </w:r>
      <w:r w:rsidR="0048023B">
        <w:t>policy</w:t>
      </w:r>
      <w:r w:rsidR="0048023B" w:rsidRPr="00540152">
        <w:t xml:space="preserve"> </w:t>
      </w:r>
      <w:r w:rsidR="0048023B">
        <w:t>requirements.</w:t>
      </w:r>
      <w:r w:rsidR="0048023B" w:rsidRPr="00540152">
        <w:t xml:space="preserve"> </w:t>
      </w:r>
      <w:r w:rsidR="0048023B">
        <w:t xml:space="preserve">The </w:t>
      </w:r>
      <w:r w:rsidR="000648CD">
        <w:t>f</w:t>
      </w:r>
      <w:r w:rsidR="0048023B">
        <w:t xml:space="preserve">inal </w:t>
      </w:r>
      <w:r w:rsidR="000648CD">
        <w:t>r</w:t>
      </w:r>
      <w:r w:rsidR="0048023B">
        <w:t>ule require</w:t>
      </w:r>
      <w:r w:rsidR="000D0888">
        <w:t>d</w:t>
      </w:r>
      <w:r w:rsidR="0048023B" w:rsidRPr="00894400">
        <w:t xml:space="preserve"> all</w:t>
      </w:r>
      <w:r w:rsidR="0048023B">
        <w:t xml:space="preserve"> transmission</w:t>
      </w:r>
      <w:r w:rsidR="0048023B" w:rsidRPr="00540152">
        <w:t xml:space="preserve"> </w:t>
      </w:r>
      <w:r w:rsidR="0048023B">
        <w:t>providers</w:t>
      </w:r>
      <w:r w:rsidR="0048023B" w:rsidRPr="00894400">
        <w:t xml:space="preserve"> </w:t>
      </w:r>
      <w:r w:rsidR="0048023B">
        <w:t>to</w:t>
      </w:r>
      <w:r w:rsidR="0048023B" w:rsidRPr="00540152">
        <w:t xml:space="preserve"> </w:t>
      </w:r>
      <w:r w:rsidR="0048023B">
        <w:t>develop further procedures</w:t>
      </w:r>
      <w:r w:rsidR="0048023B" w:rsidRPr="00894400">
        <w:t xml:space="preserve"> </w:t>
      </w:r>
      <w:r w:rsidR="0048023B">
        <w:t>with</w:t>
      </w:r>
      <w:r w:rsidR="0048023B" w:rsidRPr="00894400">
        <w:t xml:space="preserve"> </w:t>
      </w:r>
      <w:r w:rsidR="0048023B">
        <w:t>neighboring</w:t>
      </w:r>
      <w:r w:rsidR="0048023B" w:rsidRPr="00540152">
        <w:t xml:space="preserve"> </w:t>
      </w:r>
      <w:r w:rsidR="0048023B">
        <w:t>regions</w:t>
      </w:r>
      <w:r w:rsidR="0048023B" w:rsidRPr="00894400">
        <w:t xml:space="preserve"> </w:t>
      </w:r>
      <w:r w:rsidR="0048023B">
        <w:t>to</w:t>
      </w:r>
      <w:r w:rsidR="0048023B" w:rsidRPr="00894400">
        <w:t xml:space="preserve"> </w:t>
      </w:r>
      <w:r w:rsidR="0048023B">
        <w:t>provide for</w:t>
      </w:r>
      <w:r w:rsidR="000648CD">
        <w:t xml:space="preserve"> the following</w:t>
      </w:r>
      <w:r w:rsidR="0048023B">
        <w:t>:</w:t>
      </w:r>
    </w:p>
    <w:p w:rsidR="00BC0F55" w:rsidRPr="00540152" w:rsidRDefault="000648CD" w:rsidP="00540152">
      <w:pPr>
        <w:pStyle w:val="ListParagraph"/>
      </w:pPr>
      <w:r w:rsidRPr="00540152">
        <w:t>S</w:t>
      </w:r>
      <w:r w:rsidR="0048023B">
        <w:t>haring</w:t>
      </w:r>
      <w:r w:rsidR="0048023B" w:rsidRPr="00540152">
        <w:t xml:space="preserve"> </w:t>
      </w:r>
      <w:r w:rsidR="0048023B">
        <w:t>information</w:t>
      </w:r>
      <w:r w:rsidR="0048023B" w:rsidRPr="00540152">
        <w:t xml:space="preserve"> </w:t>
      </w:r>
      <w:r w:rsidR="0048023B">
        <w:t>regarding</w:t>
      </w:r>
      <w:r w:rsidR="0048023B" w:rsidRPr="00540152">
        <w:t xml:space="preserve"> </w:t>
      </w:r>
      <w:r w:rsidR="0048023B">
        <w:t>the respective needs</w:t>
      </w:r>
      <w:r w:rsidR="0048023B" w:rsidRPr="00540152">
        <w:t xml:space="preserve"> </w:t>
      </w:r>
      <w:r w:rsidR="0048023B">
        <w:t>of each</w:t>
      </w:r>
      <w:r w:rsidR="0048023B" w:rsidRPr="00540152">
        <w:t xml:space="preserve"> </w:t>
      </w:r>
      <w:r w:rsidR="0048023B">
        <w:t xml:space="preserve">region </w:t>
      </w:r>
      <w:r w:rsidR="0048023B" w:rsidRPr="00540152">
        <w:t>and</w:t>
      </w:r>
      <w:r w:rsidR="0048023B">
        <w:t xml:space="preserve"> potential</w:t>
      </w:r>
      <w:r w:rsidR="0048023B" w:rsidRPr="00540152">
        <w:t xml:space="preserve"> </w:t>
      </w:r>
      <w:r w:rsidR="0048023B">
        <w:t>solutions</w:t>
      </w:r>
      <w:r w:rsidR="0048023B" w:rsidRPr="00540152">
        <w:t xml:space="preserve"> </w:t>
      </w:r>
      <w:r w:rsidR="0048023B">
        <w:t>to th</w:t>
      </w:r>
      <w:r w:rsidR="00540152">
        <w:t>e</w:t>
      </w:r>
      <w:r w:rsidR="0048023B">
        <w:t>se needs</w:t>
      </w:r>
    </w:p>
    <w:p w:rsidR="00BC0F55" w:rsidRPr="00540152" w:rsidRDefault="000648CD" w:rsidP="00540152">
      <w:pPr>
        <w:pStyle w:val="ListParagraph"/>
        <w:spacing w:after="240"/>
      </w:pPr>
      <w:r>
        <w:t>I</w:t>
      </w:r>
      <w:r w:rsidR="0048023B">
        <w:t>dentif</w:t>
      </w:r>
      <w:r>
        <w:t xml:space="preserve">ying </w:t>
      </w:r>
      <w:r w:rsidR="0048023B">
        <w:t>and joint</w:t>
      </w:r>
      <w:r>
        <w:t>ly</w:t>
      </w:r>
      <w:r w:rsidR="0048023B">
        <w:t xml:space="preserve"> evaluatin</w:t>
      </w:r>
      <w:r>
        <w:t>g</w:t>
      </w:r>
      <w:r w:rsidR="0048023B" w:rsidRPr="00540152">
        <w:t xml:space="preserve"> </w:t>
      </w:r>
      <w:r w:rsidR="0048023B">
        <w:t>interregional transmission</w:t>
      </w:r>
      <w:r w:rsidR="0048023B" w:rsidRPr="00540152">
        <w:t xml:space="preserve"> </w:t>
      </w:r>
      <w:r w:rsidR="0048023B">
        <w:t>facilities</w:t>
      </w:r>
      <w:r w:rsidR="0048023B" w:rsidRPr="00540152">
        <w:t xml:space="preserve"> </w:t>
      </w:r>
      <w:r w:rsidR="0048023B">
        <w:t xml:space="preserve">that </w:t>
      </w:r>
      <w:r w:rsidR="0048023B" w:rsidRPr="00540152">
        <w:t xml:space="preserve">may </w:t>
      </w:r>
      <w:r w:rsidR="0048023B">
        <w:t>be</w:t>
      </w:r>
      <w:r w:rsidR="0048023B" w:rsidRPr="00540152">
        <w:t xml:space="preserve"> more </w:t>
      </w:r>
      <w:r w:rsidR="0048023B">
        <w:t xml:space="preserve">efficient </w:t>
      </w:r>
      <w:r w:rsidR="0048023B" w:rsidRPr="00540152">
        <w:t>or</w:t>
      </w:r>
      <w:r w:rsidR="0048023B">
        <w:t xml:space="preserve"> cost-effective</w:t>
      </w:r>
      <w:r w:rsidR="0048023B" w:rsidRPr="00540152">
        <w:t xml:space="preserve"> </w:t>
      </w:r>
      <w:r w:rsidR="0048023B">
        <w:t>solutions</w:t>
      </w:r>
      <w:r w:rsidR="0048023B" w:rsidRPr="00540152">
        <w:t xml:space="preserve"> </w:t>
      </w:r>
      <w:r w:rsidR="0048023B">
        <w:t>to th</w:t>
      </w:r>
      <w:r w:rsidR="00540152">
        <w:t>e</w:t>
      </w:r>
      <w:r w:rsidR="0048023B">
        <w:t>se regional needs</w:t>
      </w:r>
    </w:p>
    <w:p w:rsidR="00BC0F55" w:rsidRPr="00894400" w:rsidRDefault="0048023B" w:rsidP="005C24B6">
      <w:r w:rsidRPr="0041791C">
        <w:t>ISO</w:t>
      </w:r>
      <w:r>
        <w:t xml:space="preserve"> New</w:t>
      </w:r>
      <w:r w:rsidRPr="005C24B6">
        <w:t xml:space="preserve"> </w:t>
      </w:r>
      <w:r>
        <w:t>England, NYISO</w:t>
      </w:r>
      <w:r w:rsidR="000648CD">
        <w:t>,</w:t>
      </w:r>
      <w:r w:rsidRPr="005C24B6">
        <w:t xml:space="preserve"> </w:t>
      </w:r>
      <w:r>
        <w:t>and PJM, with</w:t>
      </w:r>
      <w:r w:rsidRPr="00894400">
        <w:t xml:space="preserve"> </w:t>
      </w:r>
      <w:r>
        <w:t>input from</w:t>
      </w:r>
      <w:r w:rsidRPr="005C24B6">
        <w:t xml:space="preserve"> their </w:t>
      </w:r>
      <w:r>
        <w:t>stakeholders</w:t>
      </w:r>
      <w:r w:rsidRPr="00894400">
        <w:t xml:space="preserve"> </w:t>
      </w:r>
      <w:r>
        <w:t>and IPSAC,</w:t>
      </w:r>
      <w:r w:rsidRPr="00894400">
        <w:t xml:space="preserve"> </w:t>
      </w:r>
      <w:r>
        <w:t>jointly</w:t>
      </w:r>
      <w:r w:rsidRPr="005C24B6">
        <w:t xml:space="preserve"> </w:t>
      </w:r>
      <w:r>
        <w:t>developed</w:t>
      </w:r>
      <w:r w:rsidRPr="005C24B6">
        <w:t xml:space="preserve"> </w:t>
      </w:r>
      <w:r>
        <w:t>the Amended Planning</w:t>
      </w:r>
      <w:r w:rsidRPr="005C24B6">
        <w:t xml:space="preserve"> </w:t>
      </w:r>
      <w:r>
        <w:t>Protocol and other documents</w:t>
      </w:r>
      <w:r w:rsidRPr="00894400">
        <w:t xml:space="preserve"> </w:t>
      </w:r>
      <w:r w:rsidR="000D0888">
        <w:t xml:space="preserve">that FERC has determined to comply </w:t>
      </w:r>
      <w:r>
        <w:t>with</w:t>
      </w:r>
      <w:r w:rsidRPr="00894400">
        <w:t xml:space="preserve"> </w:t>
      </w:r>
      <w:r>
        <w:t>the</w:t>
      </w:r>
      <w:r w:rsidR="000D0888">
        <w:t xml:space="preserve"> interregional planning principles </w:t>
      </w:r>
      <w:r>
        <w:t>require</w:t>
      </w:r>
      <w:r w:rsidR="000D0888">
        <w:t>d by Order No. 1000</w:t>
      </w:r>
      <w:r>
        <w:t>.</w:t>
      </w:r>
      <w:r w:rsidR="00F50C0C">
        <w:t xml:space="preserve"> </w:t>
      </w:r>
      <w:r w:rsidR="000D0888">
        <w:t xml:space="preserve">The </w:t>
      </w:r>
      <w:r w:rsidR="00696794">
        <w:t>t</w:t>
      </w:r>
      <w:r w:rsidR="000D0888">
        <w:t xml:space="preserve">hree regions conducted </w:t>
      </w:r>
      <w:r w:rsidR="00F50C0C">
        <w:t xml:space="preserve">NCSP15 </w:t>
      </w:r>
      <w:r w:rsidR="000D0888">
        <w:t xml:space="preserve">in accordance </w:t>
      </w:r>
      <w:r w:rsidR="00F50C0C">
        <w:t>with the</w:t>
      </w:r>
      <w:r w:rsidR="000D0888">
        <w:t>se</w:t>
      </w:r>
      <w:r w:rsidR="00F50C0C">
        <w:t xml:space="preserve"> requirements.</w:t>
      </w:r>
    </w:p>
    <w:p w:rsidR="00BC0F55" w:rsidRPr="00894400" w:rsidRDefault="0058001F" w:rsidP="002A28D7">
      <w:r>
        <w:t>IPSAC</w:t>
      </w:r>
      <w:r w:rsidR="0048023B" w:rsidRPr="002A28D7">
        <w:t xml:space="preserve"> </w:t>
      </w:r>
      <w:r>
        <w:t xml:space="preserve">discussions of system needs and a </w:t>
      </w:r>
      <w:r w:rsidR="0048023B" w:rsidRPr="00894400">
        <w:t>listing of</w:t>
      </w:r>
      <w:r w:rsidR="0048023B">
        <w:t xml:space="preserve"> recent projects</w:t>
      </w:r>
      <w:r w:rsidR="0048023B" w:rsidRPr="00894400">
        <w:t xml:space="preserve"> in </w:t>
      </w:r>
      <w:r w:rsidR="0048023B">
        <w:t xml:space="preserve">ISO </w:t>
      </w:r>
      <w:r w:rsidR="0048023B" w:rsidRPr="00894400">
        <w:t xml:space="preserve">New </w:t>
      </w:r>
      <w:r w:rsidR="0048023B">
        <w:t>England,</w:t>
      </w:r>
      <w:r w:rsidR="0048023B" w:rsidRPr="002A28D7">
        <w:t xml:space="preserve"> </w:t>
      </w:r>
      <w:r w:rsidR="0048023B">
        <w:t xml:space="preserve">NYISO, and PJM </w:t>
      </w:r>
      <w:r w:rsidR="000D0888">
        <w:t xml:space="preserve">have </w:t>
      </w:r>
      <w:r w:rsidR="0048023B">
        <w:t>demonstrate</w:t>
      </w:r>
      <w:r w:rsidR="000D0888">
        <w:t>d</w:t>
      </w:r>
      <w:r w:rsidR="0048023B" w:rsidRPr="002A28D7">
        <w:t xml:space="preserve"> </w:t>
      </w:r>
      <w:r w:rsidR="0048023B">
        <w:t>that the ISO/RTOs</w:t>
      </w:r>
      <w:r w:rsidR="0048023B" w:rsidRPr="002A28D7">
        <w:t xml:space="preserve"> </w:t>
      </w:r>
      <w:r w:rsidR="0048023B">
        <w:t>coordinate with</w:t>
      </w:r>
      <w:r w:rsidR="0048023B" w:rsidRPr="00894400">
        <w:t xml:space="preserve"> </w:t>
      </w:r>
      <w:r w:rsidR="0048023B">
        <w:t>each</w:t>
      </w:r>
      <w:r w:rsidR="0048023B" w:rsidRPr="00894400">
        <w:t xml:space="preserve"> </w:t>
      </w:r>
      <w:r w:rsidR="0048023B">
        <w:t xml:space="preserve">other </w:t>
      </w:r>
      <w:r w:rsidR="0048023B" w:rsidRPr="00894400">
        <w:t xml:space="preserve">on </w:t>
      </w:r>
      <w:r w:rsidR="0048023B">
        <w:t>issues</w:t>
      </w:r>
      <w:r w:rsidR="0048023B" w:rsidRPr="00894400">
        <w:t xml:space="preserve"> </w:t>
      </w:r>
      <w:r w:rsidR="0048023B">
        <w:t>that</w:t>
      </w:r>
      <w:r w:rsidR="0048023B" w:rsidRPr="002A28D7">
        <w:t xml:space="preserve"> </w:t>
      </w:r>
      <w:r w:rsidR="0048023B">
        <w:t xml:space="preserve">could affect the interregional performance </w:t>
      </w:r>
      <w:r w:rsidR="0048023B" w:rsidRPr="00894400">
        <w:t>of</w:t>
      </w:r>
      <w:r w:rsidR="0048023B">
        <w:t xml:space="preserve"> the</w:t>
      </w:r>
      <w:r w:rsidR="0048023B" w:rsidRPr="002A28D7">
        <w:t xml:space="preserve"> </w:t>
      </w:r>
      <w:r w:rsidR="0048023B">
        <w:t>overall system.</w:t>
      </w:r>
      <w:r w:rsidR="0048023B" w:rsidRPr="002A28D7">
        <w:t xml:space="preserve"> </w:t>
      </w:r>
      <w:r w:rsidR="0048023B">
        <w:t>This</w:t>
      </w:r>
      <w:r w:rsidR="0048023B" w:rsidRPr="00894400">
        <w:t xml:space="preserve"> </w:t>
      </w:r>
      <w:r w:rsidR="000D0888">
        <w:t xml:space="preserve">project </w:t>
      </w:r>
      <w:r w:rsidR="0048023B">
        <w:t>listing</w:t>
      </w:r>
      <w:r w:rsidR="0048023B" w:rsidRPr="002A28D7">
        <w:t xml:space="preserve"> </w:t>
      </w:r>
      <w:r w:rsidR="0048023B">
        <w:t>contains</w:t>
      </w:r>
      <w:r w:rsidR="0048023B" w:rsidRPr="00894400">
        <w:t xml:space="preserve"> </w:t>
      </w:r>
      <w:r w:rsidR="0048023B">
        <w:t>reliability, economic, and</w:t>
      </w:r>
      <w:r w:rsidR="0048023B" w:rsidRPr="002A28D7">
        <w:t xml:space="preserve"> </w:t>
      </w:r>
      <w:r w:rsidR="0048023B">
        <w:t>system</w:t>
      </w:r>
      <w:r w:rsidR="0048023B" w:rsidRPr="002A28D7">
        <w:t xml:space="preserve"> </w:t>
      </w:r>
      <w:r w:rsidR="0048023B">
        <w:t>interconnection</w:t>
      </w:r>
      <w:r w:rsidR="0048023B" w:rsidRPr="002A28D7">
        <w:t xml:space="preserve"> projects </w:t>
      </w:r>
      <w:r w:rsidR="0048023B">
        <w:t>planned by</w:t>
      </w:r>
      <w:r w:rsidR="0048023B" w:rsidRPr="002A28D7">
        <w:t xml:space="preserve"> their</w:t>
      </w:r>
      <w:r w:rsidR="0048023B">
        <w:t xml:space="preserve"> respective regions.</w:t>
      </w:r>
      <w:r w:rsidR="008D676C">
        <w:t xml:space="preserve"> To date, the </w:t>
      </w:r>
      <w:r w:rsidR="008D676C" w:rsidRPr="00C13FA7">
        <w:t xml:space="preserve">ISO/RTOs have not identified the need for new </w:t>
      </w:r>
      <w:r w:rsidR="00BE5DEE" w:rsidRPr="00C13FA7">
        <w:t>interregional transmission projects</w:t>
      </w:r>
      <w:r w:rsidR="008D676C" w:rsidRPr="00C13FA7">
        <w:t xml:space="preserve"> that would </w:t>
      </w:r>
      <w:r w:rsidR="00C13FA7">
        <w:t xml:space="preserve">be </w:t>
      </w:r>
      <w:r w:rsidR="008D676C" w:rsidRPr="00C13FA7">
        <w:t>more effective</w:t>
      </w:r>
      <w:r w:rsidR="00C13FA7">
        <w:t xml:space="preserve"> </w:t>
      </w:r>
      <w:r w:rsidR="008D676C" w:rsidRPr="00C13FA7">
        <w:t>or cost eff</w:t>
      </w:r>
      <w:r w:rsidR="00C13FA7" w:rsidRPr="00C13FA7">
        <w:t>icient</w:t>
      </w:r>
      <w:r w:rsidR="00C13FA7">
        <w:t xml:space="preserve"> in </w:t>
      </w:r>
      <w:r w:rsidR="008D676C" w:rsidRPr="00C13FA7">
        <w:t>meet</w:t>
      </w:r>
      <w:r w:rsidR="00C13FA7">
        <w:t>ing</w:t>
      </w:r>
      <w:r w:rsidR="008D676C" w:rsidRPr="00C13FA7">
        <w:t xml:space="preserve"> the needs of </w:t>
      </w:r>
      <w:r w:rsidR="00B13C2E" w:rsidRPr="00C13FA7">
        <w:t>multiple regions than proposed regional</w:t>
      </w:r>
      <w:r w:rsidR="00B13C2E">
        <w:t xml:space="preserve"> system improvements. </w:t>
      </w:r>
    </w:p>
    <w:p w:rsidR="00BC0F55" w:rsidRDefault="005C68F3" w:rsidP="002A28D7">
      <w:r w:rsidRPr="005C68F3">
        <w:t xml:space="preserve">The ISO/RTOs have successfully implemented the </w:t>
      </w:r>
      <w:r w:rsidR="00B77BB7" w:rsidRPr="00B77BB7">
        <w:rPr>
          <w:i/>
        </w:rPr>
        <w:t>A</w:t>
      </w:r>
      <w:r w:rsidR="000D0888" w:rsidRPr="00B77BB7">
        <w:rPr>
          <w:i/>
        </w:rPr>
        <w:t xml:space="preserve">mended </w:t>
      </w:r>
      <w:r w:rsidR="00B77BB7" w:rsidRPr="00B77BB7">
        <w:rPr>
          <w:i/>
        </w:rPr>
        <w:t xml:space="preserve">and Restated </w:t>
      </w:r>
      <w:r w:rsidRPr="00B77BB7">
        <w:rPr>
          <w:i/>
        </w:rPr>
        <w:t>Northeastern ISO/RTO Planning Protocol</w:t>
      </w:r>
      <w:r w:rsidRPr="005C68F3">
        <w:t>, which has further improved interregional planning among neighboring areas and will continue to do so as part of regional compliance with Order No. 1000</w:t>
      </w:r>
      <w:r w:rsidR="00811ADF">
        <w:t xml:space="preserve">. </w:t>
      </w:r>
      <w:r>
        <w:t xml:space="preserve">NCSP15 shows </w:t>
      </w:r>
      <w:r w:rsidR="002A28D7">
        <w:t xml:space="preserve">that </w:t>
      </w:r>
      <w:r>
        <w:t>a</w:t>
      </w:r>
      <w:r w:rsidR="0048023B">
        <w:t xml:space="preserve"> number of enhancements</w:t>
      </w:r>
      <w:r w:rsidR="0048023B" w:rsidRPr="00894400">
        <w:t xml:space="preserve"> </w:t>
      </w:r>
      <w:r>
        <w:t>to</w:t>
      </w:r>
      <w:r w:rsidRPr="00BE24BB">
        <w:t xml:space="preserve"> </w:t>
      </w:r>
      <w:r w:rsidR="002A28D7">
        <w:t xml:space="preserve">the </w:t>
      </w:r>
      <w:r>
        <w:t>interregional</w:t>
      </w:r>
      <w:r w:rsidRPr="00BE24BB">
        <w:t xml:space="preserve"> planning</w:t>
      </w:r>
      <w:r>
        <w:t xml:space="preserve"> </w:t>
      </w:r>
      <w:r w:rsidR="002A28D7">
        <w:t xml:space="preserve">process </w:t>
      </w:r>
      <w:r w:rsidR="00EA1D99">
        <w:t>have been achieved</w:t>
      </w:r>
      <w:r>
        <w:t>, including the timely exchange of needed databases and models required to perform planning studies</w:t>
      </w:r>
      <w:r w:rsidR="00EA1D99">
        <w:t xml:space="preserve">. </w:t>
      </w:r>
      <w:r w:rsidR="00BE5DEE">
        <w:t>T</w:t>
      </w:r>
      <w:r w:rsidR="00F50C0C">
        <w:t xml:space="preserve">he ongoing nature of planning studies allows the ISO/RTOs to </w:t>
      </w:r>
      <w:r w:rsidR="00787816">
        <w:t xml:space="preserve">effectively </w:t>
      </w:r>
      <w:r w:rsidR="00B13C2E">
        <w:t xml:space="preserve">align </w:t>
      </w:r>
      <w:r w:rsidR="00EA1D99">
        <w:t xml:space="preserve">the timing of </w:t>
      </w:r>
      <w:r w:rsidR="00F50C0C">
        <w:t xml:space="preserve">their </w:t>
      </w:r>
      <w:r w:rsidR="00B13C2E">
        <w:t>interregional planning activities</w:t>
      </w:r>
      <w:r>
        <w:t xml:space="preserve"> and studies</w:t>
      </w:r>
      <w:r w:rsidR="00B13C2E">
        <w:t>.</w:t>
      </w:r>
      <w:r w:rsidR="00811ADF">
        <w:t xml:space="preserve"> </w:t>
      </w:r>
      <w:r>
        <w:t>I</w:t>
      </w:r>
      <w:r w:rsidR="0048023B">
        <w:t>nterregional</w:t>
      </w:r>
      <w:r w:rsidR="0048023B" w:rsidRPr="002A28D7">
        <w:t xml:space="preserve"> </w:t>
      </w:r>
      <w:r w:rsidR="0048023B">
        <w:t>studies</w:t>
      </w:r>
      <w:r w:rsidR="0048023B" w:rsidRPr="00894400">
        <w:t xml:space="preserve"> for</w:t>
      </w:r>
      <w:r w:rsidR="0048023B">
        <w:t xml:space="preserve"> resource adequacy, transmission</w:t>
      </w:r>
      <w:r w:rsidR="0048023B" w:rsidRPr="002A28D7">
        <w:t xml:space="preserve"> </w:t>
      </w:r>
      <w:r w:rsidR="0048023B">
        <w:t>planning, economic</w:t>
      </w:r>
      <w:r w:rsidR="0048023B" w:rsidRPr="002A28D7">
        <w:t xml:space="preserve"> </w:t>
      </w:r>
      <w:r w:rsidR="0048023B">
        <w:t>performance, and other issues</w:t>
      </w:r>
      <w:r w:rsidR="0048023B" w:rsidRPr="00894400">
        <w:t xml:space="preserve"> </w:t>
      </w:r>
      <w:r w:rsidR="0048023B">
        <w:t>have been</w:t>
      </w:r>
      <w:r w:rsidR="0048023B" w:rsidRPr="002A28D7">
        <w:t xml:space="preserve"> </w:t>
      </w:r>
      <w:r w:rsidR="0048023B">
        <w:t xml:space="preserve">well coordinated </w:t>
      </w:r>
      <w:r w:rsidR="0048023B">
        <w:lastRenderedPageBreak/>
        <w:t>through</w:t>
      </w:r>
      <w:r w:rsidR="0048023B" w:rsidRPr="00894400">
        <w:t xml:space="preserve"> </w:t>
      </w:r>
      <w:r w:rsidR="0048023B">
        <w:t xml:space="preserve">the </w:t>
      </w:r>
      <w:r w:rsidR="00787816">
        <w:t>ISO/RTO interregional planning efforts described in this report</w:t>
      </w:r>
      <w:r w:rsidR="0048023B">
        <w:t>. Interregional issues</w:t>
      </w:r>
      <w:r w:rsidR="002A28D7">
        <w:t>,</w:t>
      </w:r>
      <w:r w:rsidR="0048023B" w:rsidRPr="002A28D7">
        <w:t xml:space="preserve"> such as </w:t>
      </w:r>
      <w:r w:rsidR="00ED3F7F">
        <w:t xml:space="preserve">the effects of </w:t>
      </w:r>
      <w:r w:rsidR="0048023B">
        <w:t>environmental regulation</w:t>
      </w:r>
      <w:r w:rsidR="00ED3F7F">
        <w:t>s</w:t>
      </w:r>
      <w:r w:rsidR="0048023B">
        <w:t xml:space="preserve"> and</w:t>
      </w:r>
      <w:r w:rsidR="0048023B" w:rsidRPr="002A28D7">
        <w:t xml:space="preserve"> </w:t>
      </w:r>
      <w:r w:rsidR="00EA1D99">
        <w:t xml:space="preserve">the development of </w:t>
      </w:r>
      <w:r w:rsidR="0048023B">
        <w:t>renewable/intermittent resource</w:t>
      </w:r>
      <w:r w:rsidR="00EA1D99">
        <w:t>s</w:t>
      </w:r>
      <w:r w:rsidR="002A28D7">
        <w:t>,</w:t>
      </w:r>
      <w:r w:rsidR="0048023B" w:rsidRPr="00894400">
        <w:t xml:space="preserve"> </w:t>
      </w:r>
      <w:r w:rsidR="0048023B">
        <w:t>have also been</w:t>
      </w:r>
      <w:r w:rsidR="0048023B" w:rsidRPr="002A28D7">
        <w:t xml:space="preserve"> </w:t>
      </w:r>
      <w:r w:rsidR="0048023B">
        <w:t>well coordinated through</w:t>
      </w:r>
      <w:r w:rsidR="0048023B" w:rsidRPr="002A28D7">
        <w:t xml:space="preserve"> </w:t>
      </w:r>
      <w:r w:rsidR="0048023B">
        <w:t>the JIPC, IRC</w:t>
      </w:r>
      <w:r w:rsidR="000648CD">
        <w:t>,</w:t>
      </w:r>
      <w:r w:rsidR="0048023B" w:rsidRPr="00894400">
        <w:t xml:space="preserve"> </w:t>
      </w:r>
      <w:r w:rsidR="0048023B">
        <w:t>and EIPC.</w:t>
      </w:r>
      <w:r>
        <w:t xml:space="preserve"> </w:t>
      </w:r>
    </w:p>
    <w:p w:rsidR="000D3471" w:rsidRDefault="000D3471" w:rsidP="005C24B6">
      <w:r w:rsidRPr="000D3471">
        <w:t xml:space="preserve">The ISO/RTOs will continue working together to improve their current methods of sharing system information for consideration in conducting joint and individual planning studies. The ISO/RTOs will also continue improving their level </w:t>
      </w:r>
      <w:bookmarkStart w:id="151" w:name="_GoBack"/>
      <w:bookmarkEnd w:id="151"/>
      <w:r w:rsidRPr="000D3471">
        <w:t>of coordination by enhancing the timelines and procedures for interregional planning.</w:t>
      </w:r>
    </w:p>
    <w:p w:rsidR="00ED3F7F" w:rsidRPr="002A28D7" w:rsidRDefault="00ED3F7F" w:rsidP="002347A2">
      <w:bookmarkStart w:id="152" w:name="7.2__Conclusions"/>
      <w:bookmarkEnd w:id="152"/>
      <w:r w:rsidRPr="002A28D7">
        <w:t>The ISO/RTOs</w:t>
      </w:r>
      <w:r w:rsidR="005B4D7B">
        <w:t>’</w:t>
      </w:r>
      <w:r w:rsidRPr="002A28D7">
        <w:t xml:space="preserve"> planning activities are closely coordinated with neighboring systems. This</w:t>
      </w:r>
      <w:r w:rsidRPr="00ED3F7F">
        <w:rPr>
          <w:spacing w:val="-2"/>
        </w:rPr>
        <w:t xml:space="preserve"> </w:t>
      </w:r>
      <w:r w:rsidRPr="002A28D7">
        <w:t>NCSP</w:t>
      </w:r>
      <w:r w:rsidRPr="00ED3F7F">
        <w:rPr>
          <w:spacing w:val="-2"/>
        </w:rPr>
        <w:t xml:space="preserve"> </w:t>
      </w:r>
      <w:r w:rsidRPr="002A28D7">
        <w:t>report demonstrates the collaborative effort undertaken</w:t>
      </w:r>
      <w:r w:rsidRPr="00ED3F7F">
        <w:rPr>
          <w:spacing w:val="-2"/>
        </w:rPr>
        <w:t xml:space="preserve"> </w:t>
      </w:r>
      <w:r w:rsidRPr="002A28D7">
        <w:t>by</w:t>
      </w:r>
      <w:r w:rsidRPr="00ED3F7F">
        <w:rPr>
          <w:spacing w:val="-2"/>
        </w:rPr>
        <w:t xml:space="preserve"> </w:t>
      </w:r>
      <w:r w:rsidRPr="00ED3F7F">
        <w:t>ISO New</w:t>
      </w:r>
      <w:r w:rsidRPr="00ED3F7F">
        <w:rPr>
          <w:spacing w:val="-2"/>
        </w:rPr>
        <w:t xml:space="preserve"> </w:t>
      </w:r>
      <w:r w:rsidRPr="002A28D7">
        <w:t>England, NYISO, and</w:t>
      </w:r>
      <w:r w:rsidRPr="00ED3F7F">
        <w:rPr>
          <w:spacing w:val="54"/>
        </w:rPr>
        <w:t xml:space="preserve"> </w:t>
      </w:r>
      <w:r w:rsidRPr="002A28D7">
        <w:t>PJM for continued interregional planning.</w:t>
      </w:r>
      <w:r w:rsidR="001B7BD2">
        <w:t xml:space="preserve"> Communication</w:t>
      </w:r>
      <w:r w:rsidRPr="00ED3F7F">
        <w:rPr>
          <w:spacing w:val="-2"/>
        </w:rPr>
        <w:t xml:space="preserve"> </w:t>
      </w:r>
      <w:r w:rsidRPr="002A28D7">
        <w:t>among</w:t>
      </w:r>
      <w:r w:rsidRPr="00ED3F7F">
        <w:rPr>
          <w:spacing w:val="-2"/>
        </w:rPr>
        <w:t xml:space="preserve"> </w:t>
      </w:r>
      <w:r w:rsidRPr="002A28D7">
        <w:t>the</w:t>
      </w:r>
      <w:r w:rsidRPr="00ED3F7F">
        <w:rPr>
          <w:spacing w:val="-3"/>
        </w:rPr>
        <w:t xml:space="preserve"> </w:t>
      </w:r>
      <w:r w:rsidRPr="002A28D7">
        <w:t xml:space="preserve">members of the JIPC has </w:t>
      </w:r>
      <w:r w:rsidR="001B7BD2">
        <w:t xml:space="preserve">helped </w:t>
      </w:r>
      <w:r w:rsidRPr="002A28D7">
        <w:t xml:space="preserve">address regional needs as well as neighboring system concerns. Input from the IPSAC </w:t>
      </w:r>
      <w:r w:rsidR="000D0888">
        <w:t xml:space="preserve">has </w:t>
      </w:r>
      <w:r w:rsidRPr="002A28D7">
        <w:t>provide</w:t>
      </w:r>
      <w:r w:rsidR="000D0888">
        <w:t>d</w:t>
      </w:r>
      <w:r w:rsidRPr="002A28D7">
        <w:t xml:space="preserve"> </w:t>
      </w:r>
      <w:r w:rsidRPr="00A553C0">
        <w:t>additional perspective</w:t>
      </w:r>
      <w:r w:rsidR="000D0888" w:rsidRPr="00A553C0">
        <w:t>s</w:t>
      </w:r>
      <w:r w:rsidRPr="00A553C0">
        <w:t xml:space="preserve"> in addressing current and future challenges</w:t>
      </w:r>
      <w:r w:rsidR="000D0888" w:rsidRPr="00A553C0">
        <w:t>, and stakeholder input will continue to provide valuable contributions in future planning cycles</w:t>
      </w:r>
      <w:r w:rsidRPr="00A553C0">
        <w:t>.</w:t>
      </w:r>
    </w:p>
    <w:p w:rsidR="001619A4" w:rsidRDefault="001619A4" w:rsidP="005C24B6"/>
    <w:p w:rsidR="001619A4" w:rsidRDefault="001619A4" w:rsidP="005C24B6">
      <w:pPr>
        <w:sectPr w:rsidR="001619A4" w:rsidSect="00A240B6">
          <w:footerReference w:type="default" r:id="rId18"/>
          <w:pgSz w:w="12240" w:h="15840" w:code="1"/>
          <w:pgMar w:top="1440" w:right="1440" w:bottom="1440" w:left="1440" w:header="720" w:footer="720" w:gutter="0"/>
          <w:pgNumType w:start="1"/>
          <w:cols w:space="720"/>
        </w:sectPr>
      </w:pPr>
    </w:p>
    <w:p w:rsidR="00BC0F55" w:rsidRPr="00B02B09" w:rsidRDefault="0048023B" w:rsidP="005B4D7B">
      <w:pPr>
        <w:pStyle w:val="Heading1"/>
      </w:pPr>
      <w:bookmarkStart w:id="153" w:name="8_Appendices"/>
      <w:bookmarkStart w:id="154" w:name="_Toc442631690"/>
      <w:bookmarkStart w:id="155" w:name="_Toc443909858"/>
      <w:bookmarkEnd w:id="153"/>
      <w:r w:rsidRPr="00B02B09">
        <w:lastRenderedPageBreak/>
        <w:t>A</w:t>
      </w:r>
      <w:r w:rsidR="00E42DBD" w:rsidRPr="00B02B09">
        <w:t>cronyms</w:t>
      </w:r>
      <w:bookmarkEnd w:id="154"/>
      <w:bookmarkEnd w:id="155"/>
    </w:p>
    <w:p w:rsidR="00B02B09" w:rsidRPr="00B02B09" w:rsidRDefault="00B02B09" w:rsidP="005B4D7B">
      <w:pPr>
        <w:pStyle w:val="BodyText"/>
        <w:tabs>
          <w:tab w:val="left" w:pos="2419"/>
        </w:tabs>
        <w:spacing w:after="120" w:line="240" w:lineRule="auto"/>
        <w:ind w:left="980"/>
        <w:rPr>
          <w:spacing w:val="-1"/>
        </w:rPr>
      </w:pPr>
      <w:bookmarkStart w:id="156" w:name="8.1_List_of_Abbreviations"/>
      <w:bookmarkEnd w:id="156"/>
      <w:r>
        <w:rPr>
          <w:spacing w:val="-1"/>
        </w:rPr>
        <w:t>CO</w:t>
      </w:r>
      <w:r w:rsidRPr="00FD54A5">
        <w:rPr>
          <w:spacing w:val="-1"/>
          <w:vertAlign w:val="subscript"/>
        </w:rPr>
        <w:t>2</w:t>
      </w:r>
      <w:r>
        <w:rPr>
          <w:spacing w:val="-1"/>
        </w:rPr>
        <w:tab/>
        <w:t>carbon dioxide</w:t>
      </w:r>
    </w:p>
    <w:p w:rsidR="00E42DBD" w:rsidRDefault="0048023B" w:rsidP="001619A4">
      <w:pPr>
        <w:pStyle w:val="BodyText"/>
        <w:tabs>
          <w:tab w:val="left" w:pos="2420"/>
        </w:tabs>
        <w:spacing w:after="120" w:line="240" w:lineRule="auto"/>
        <w:ind w:left="980"/>
        <w:rPr>
          <w:spacing w:val="-1"/>
        </w:rPr>
      </w:pPr>
      <w:r w:rsidRPr="007902E1">
        <w:rPr>
          <w:spacing w:val="-1"/>
        </w:rPr>
        <w:t>CARIS</w:t>
      </w:r>
      <w:r w:rsidRPr="007902E1">
        <w:rPr>
          <w:spacing w:val="-1"/>
        </w:rPr>
        <w:tab/>
      </w:r>
      <w:r>
        <w:rPr>
          <w:spacing w:val="-1"/>
        </w:rPr>
        <w:t>Congestion</w:t>
      </w:r>
      <w:r w:rsidRPr="007902E1">
        <w:rPr>
          <w:spacing w:val="-1"/>
        </w:rPr>
        <w:t xml:space="preserve"> </w:t>
      </w:r>
      <w:r>
        <w:rPr>
          <w:spacing w:val="-1"/>
        </w:rPr>
        <w:t xml:space="preserve">Assessment </w:t>
      </w:r>
      <w:r w:rsidRPr="007902E1">
        <w:rPr>
          <w:spacing w:val="-1"/>
        </w:rPr>
        <w:t>and</w:t>
      </w:r>
      <w:r>
        <w:rPr>
          <w:spacing w:val="-1"/>
        </w:rPr>
        <w:t xml:space="preserve"> Resource</w:t>
      </w:r>
      <w:r w:rsidRPr="007902E1">
        <w:rPr>
          <w:spacing w:val="-1"/>
        </w:rPr>
        <w:t xml:space="preserve"> </w:t>
      </w:r>
      <w:r>
        <w:rPr>
          <w:spacing w:val="-1"/>
        </w:rPr>
        <w:t>Integration</w:t>
      </w:r>
      <w:r w:rsidRPr="007902E1">
        <w:rPr>
          <w:spacing w:val="-1"/>
        </w:rPr>
        <w:t xml:space="preserve"> </w:t>
      </w:r>
      <w:r>
        <w:rPr>
          <w:spacing w:val="-1"/>
        </w:rPr>
        <w:t>Study</w:t>
      </w:r>
    </w:p>
    <w:p w:rsidR="00BC0F55" w:rsidRDefault="0048023B" w:rsidP="005B4D7B">
      <w:pPr>
        <w:pStyle w:val="BodyText"/>
        <w:tabs>
          <w:tab w:val="left" w:pos="2420"/>
        </w:tabs>
        <w:spacing w:after="120" w:line="240" w:lineRule="auto"/>
        <w:ind w:left="980"/>
      </w:pPr>
      <w:r>
        <w:t>CEII</w:t>
      </w:r>
      <w:r>
        <w:tab/>
      </w:r>
      <w:r>
        <w:rPr>
          <w:spacing w:val="-1"/>
        </w:rPr>
        <w:t>Critical Energy</w:t>
      </w:r>
      <w:r>
        <w:rPr>
          <w:spacing w:val="-2"/>
        </w:rPr>
        <w:t xml:space="preserve"> </w:t>
      </w:r>
      <w:r>
        <w:rPr>
          <w:spacing w:val="-1"/>
        </w:rPr>
        <w:t>Infrastructure</w:t>
      </w:r>
      <w:r w:rsidR="00B02B09">
        <w:rPr>
          <w:spacing w:val="-1"/>
        </w:rPr>
        <w:t xml:space="preserve"> Information</w:t>
      </w:r>
    </w:p>
    <w:p w:rsidR="00E42DBD" w:rsidRDefault="0048023B" w:rsidP="001619A4">
      <w:pPr>
        <w:pStyle w:val="BodyText"/>
        <w:tabs>
          <w:tab w:val="left" w:pos="2420"/>
        </w:tabs>
        <w:spacing w:after="120" w:line="240" w:lineRule="auto"/>
        <w:ind w:left="980"/>
        <w:rPr>
          <w:spacing w:val="-1"/>
        </w:rPr>
      </w:pPr>
      <w:r>
        <w:rPr>
          <w:spacing w:val="-1"/>
        </w:rPr>
        <w:t>CELT</w:t>
      </w:r>
      <w:r>
        <w:rPr>
          <w:spacing w:val="-1"/>
        </w:rPr>
        <w:tab/>
      </w:r>
      <w:r w:rsidR="00B02B09">
        <w:rPr>
          <w:spacing w:val="-1"/>
        </w:rPr>
        <w:t>c</w:t>
      </w:r>
      <w:r>
        <w:rPr>
          <w:spacing w:val="-1"/>
        </w:rPr>
        <w:t xml:space="preserve">apacity, </w:t>
      </w:r>
      <w:r w:rsidR="00B02B09">
        <w:rPr>
          <w:spacing w:val="-1"/>
        </w:rPr>
        <w:t>e</w:t>
      </w:r>
      <w:r>
        <w:rPr>
          <w:spacing w:val="-1"/>
        </w:rPr>
        <w:t xml:space="preserve">nergy, </w:t>
      </w:r>
      <w:r w:rsidR="00B02B09">
        <w:rPr>
          <w:spacing w:val="-1"/>
        </w:rPr>
        <w:t>l</w:t>
      </w:r>
      <w:r>
        <w:rPr>
          <w:spacing w:val="-1"/>
        </w:rPr>
        <w:t xml:space="preserve">oads, </w:t>
      </w:r>
      <w:r>
        <w:rPr>
          <w:spacing w:val="-2"/>
        </w:rPr>
        <w:t>and</w:t>
      </w:r>
      <w:r>
        <w:rPr>
          <w:spacing w:val="-1"/>
        </w:rPr>
        <w:t xml:space="preserve"> </w:t>
      </w:r>
      <w:r w:rsidR="00B02B09">
        <w:rPr>
          <w:spacing w:val="-1"/>
        </w:rPr>
        <w:t>t</w:t>
      </w:r>
      <w:r>
        <w:rPr>
          <w:spacing w:val="-1"/>
        </w:rPr>
        <w:t>ransmission</w:t>
      </w:r>
    </w:p>
    <w:p w:rsidR="00B02B09" w:rsidRDefault="00B02B09" w:rsidP="005B4D7B">
      <w:pPr>
        <w:pStyle w:val="BodyText"/>
        <w:tabs>
          <w:tab w:val="left" w:pos="2420"/>
        </w:tabs>
        <w:spacing w:after="120" w:line="240" w:lineRule="auto"/>
        <w:ind w:left="980"/>
      </w:pPr>
      <w:r>
        <w:t>CRP</w:t>
      </w:r>
      <w:r>
        <w:tab/>
        <w:t>Comprehensive Reliability Plan</w:t>
      </w:r>
    </w:p>
    <w:p w:rsidR="00B02B09" w:rsidRDefault="00B02B09" w:rsidP="005B4D7B">
      <w:pPr>
        <w:pStyle w:val="BodyText"/>
        <w:tabs>
          <w:tab w:val="left" w:pos="2420"/>
        </w:tabs>
        <w:spacing w:after="120" w:line="240" w:lineRule="auto"/>
        <w:ind w:left="980"/>
      </w:pPr>
      <w:r>
        <w:t>CSPP</w:t>
      </w:r>
      <w:r>
        <w:tab/>
        <w:t>Comprehensive System Planning Process</w:t>
      </w:r>
    </w:p>
    <w:p w:rsidR="00BC0F55" w:rsidRDefault="0048023B" w:rsidP="005B4D7B">
      <w:pPr>
        <w:pStyle w:val="BodyText"/>
        <w:tabs>
          <w:tab w:val="left" w:pos="2419"/>
        </w:tabs>
        <w:spacing w:after="120" w:line="240" w:lineRule="auto"/>
        <w:ind w:left="980"/>
      </w:pPr>
      <w:r>
        <w:rPr>
          <w:spacing w:val="-1"/>
        </w:rPr>
        <w:t>DOE</w:t>
      </w:r>
      <w:r>
        <w:rPr>
          <w:spacing w:val="-1"/>
        </w:rPr>
        <w:tab/>
      </w:r>
      <w:r>
        <w:t xml:space="preserve">US </w:t>
      </w:r>
      <w:r>
        <w:rPr>
          <w:spacing w:val="-1"/>
        </w:rPr>
        <w:t xml:space="preserve">Department </w:t>
      </w:r>
      <w:r>
        <w:t>of</w:t>
      </w:r>
      <w:r>
        <w:rPr>
          <w:spacing w:val="-1"/>
        </w:rPr>
        <w:t xml:space="preserve"> Energy</w:t>
      </w:r>
    </w:p>
    <w:p w:rsidR="00E42DBD" w:rsidRDefault="0048023B" w:rsidP="001619A4">
      <w:pPr>
        <w:tabs>
          <w:tab w:val="left" w:pos="2419"/>
        </w:tabs>
        <w:spacing w:after="120" w:line="240" w:lineRule="auto"/>
        <w:ind w:left="980"/>
        <w:rPr>
          <w:spacing w:val="-1"/>
        </w:rPr>
      </w:pPr>
      <w:r>
        <w:rPr>
          <w:spacing w:val="-1"/>
        </w:rPr>
        <w:t>EIPC</w:t>
      </w:r>
      <w:r>
        <w:rPr>
          <w:spacing w:val="-1"/>
        </w:rPr>
        <w:tab/>
        <w:t>Eastern</w:t>
      </w:r>
      <w:r>
        <w:rPr>
          <w:spacing w:val="-2"/>
        </w:rPr>
        <w:t xml:space="preserve"> </w:t>
      </w:r>
      <w:r>
        <w:rPr>
          <w:spacing w:val="-1"/>
        </w:rPr>
        <w:t>Interconnection</w:t>
      </w:r>
      <w:r>
        <w:rPr>
          <w:spacing w:val="-2"/>
        </w:rPr>
        <w:t xml:space="preserve"> </w:t>
      </w:r>
      <w:r>
        <w:rPr>
          <w:spacing w:val="-1"/>
        </w:rPr>
        <w:t>Planning</w:t>
      </w:r>
      <w:r>
        <w:rPr>
          <w:spacing w:val="-2"/>
        </w:rPr>
        <w:t xml:space="preserve"> </w:t>
      </w:r>
      <w:r>
        <w:rPr>
          <w:spacing w:val="-1"/>
        </w:rPr>
        <w:t>Collaborative</w:t>
      </w:r>
    </w:p>
    <w:p w:rsidR="00B02B09" w:rsidRDefault="00B02B09" w:rsidP="005B4D7B">
      <w:pPr>
        <w:tabs>
          <w:tab w:val="left" w:pos="2419"/>
        </w:tabs>
        <w:spacing w:after="120" w:line="240" w:lineRule="auto"/>
        <w:ind w:left="980"/>
        <w:rPr>
          <w:spacing w:val="-1"/>
        </w:rPr>
      </w:pPr>
      <w:r>
        <w:rPr>
          <w:spacing w:val="-1"/>
        </w:rPr>
        <w:t>EPA</w:t>
      </w:r>
      <w:r>
        <w:rPr>
          <w:spacing w:val="-1"/>
        </w:rPr>
        <w:tab/>
        <w:t>US Environmental Protection Agency</w:t>
      </w:r>
    </w:p>
    <w:p w:rsidR="00E42DBD" w:rsidRDefault="0048023B" w:rsidP="005B4D7B">
      <w:pPr>
        <w:pStyle w:val="BodyText"/>
        <w:tabs>
          <w:tab w:val="left" w:pos="2419"/>
        </w:tabs>
        <w:spacing w:after="120" w:line="240" w:lineRule="auto"/>
        <w:ind w:left="980"/>
        <w:rPr>
          <w:spacing w:val="-1"/>
        </w:rPr>
      </w:pPr>
      <w:r>
        <w:rPr>
          <w:spacing w:val="-1"/>
        </w:rPr>
        <w:t>ERAG</w:t>
      </w:r>
      <w:r>
        <w:rPr>
          <w:spacing w:val="-1"/>
        </w:rPr>
        <w:tab/>
        <w:t>Eastern</w:t>
      </w:r>
      <w:r>
        <w:rPr>
          <w:spacing w:val="-2"/>
        </w:rPr>
        <w:t xml:space="preserve"> </w:t>
      </w:r>
      <w:r>
        <w:rPr>
          <w:spacing w:val="-1"/>
        </w:rPr>
        <w:t>Interconnection</w:t>
      </w:r>
      <w:r>
        <w:rPr>
          <w:spacing w:val="-4"/>
        </w:rPr>
        <w:t xml:space="preserve"> </w:t>
      </w:r>
      <w:r>
        <w:rPr>
          <w:spacing w:val="-1"/>
        </w:rPr>
        <w:t>Reliability</w:t>
      </w:r>
      <w:r>
        <w:rPr>
          <w:spacing w:val="-2"/>
        </w:rPr>
        <w:t xml:space="preserve"> </w:t>
      </w:r>
      <w:r>
        <w:rPr>
          <w:spacing w:val="-1"/>
        </w:rPr>
        <w:t>Assessment Group</w:t>
      </w:r>
    </w:p>
    <w:p w:rsidR="00B02B09" w:rsidRDefault="00B02B09" w:rsidP="005B4D7B">
      <w:pPr>
        <w:pStyle w:val="BodyText"/>
        <w:tabs>
          <w:tab w:val="left" w:pos="2419"/>
        </w:tabs>
        <w:spacing w:after="120" w:line="240" w:lineRule="auto"/>
        <w:ind w:left="980"/>
        <w:rPr>
          <w:spacing w:val="-1"/>
        </w:rPr>
      </w:pPr>
      <w:r>
        <w:rPr>
          <w:spacing w:val="-1"/>
        </w:rPr>
        <w:t>ERO</w:t>
      </w:r>
      <w:r>
        <w:rPr>
          <w:spacing w:val="-1"/>
        </w:rPr>
        <w:tab/>
        <w:t>Electric Reliability Organization</w:t>
      </w:r>
    </w:p>
    <w:p w:rsidR="00BC0F55" w:rsidRDefault="0048023B" w:rsidP="005B4D7B">
      <w:pPr>
        <w:pStyle w:val="BodyText"/>
        <w:tabs>
          <w:tab w:val="left" w:pos="2419"/>
        </w:tabs>
        <w:spacing w:after="120" w:line="240" w:lineRule="auto"/>
        <w:ind w:left="980"/>
      </w:pPr>
      <w:r>
        <w:rPr>
          <w:spacing w:val="-1"/>
        </w:rPr>
        <w:t>FERC</w:t>
      </w:r>
      <w:r>
        <w:rPr>
          <w:spacing w:val="-1"/>
        </w:rPr>
        <w:tab/>
        <w:t>Federal Energy</w:t>
      </w:r>
      <w:r>
        <w:rPr>
          <w:spacing w:val="-2"/>
        </w:rPr>
        <w:t xml:space="preserve"> </w:t>
      </w:r>
      <w:r>
        <w:rPr>
          <w:spacing w:val="-1"/>
        </w:rPr>
        <w:t>Regulatory</w:t>
      </w:r>
      <w:r>
        <w:rPr>
          <w:spacing w:val="-2"/>
        </w:rPr>
        <w:t xml:space="preserve"> </w:t>
      </w:r>
      <w:r>
        <w:rPr>
          <w:spacing w:val="-1"/>
        </w:rPr>
        <w:t>Commission</w:t>
      </w:r>
    </w:p>
    <w:p w:rsidR="00BC0F55" w:rsidRDefault="0048023B" w:rsidP="005B4D7B">
      <w:pPr>
        <w:pStyle w:val="BodyText"/>
        <w:tabs>
          <w:tab w:val="left" w:pos="2419"/>
        </w:tabs>
        <w:spacing w:after="120" w:line="240" w:lineRule="auto"/>
        <w:ind w:left="980"/>
      </w:pPr>
      <w:r>
        <w:rPr>
          <w:spacing w:val="-1"/>
        </w:rPr>
        <w:t>HVDC</w:t>
      </w:r>
      <w:r>
        <w:rPr>
          <w:spacing w:val="-1"/>
        </w:rPr>
        <w:tab/>
      </w:r>
      <w:r w:rsidR="00B02B09">
        <w:rPr>
          <w:spacing w:val="-1"/>
        </w:rPr>
        <w:t>h</w:t>
      </w:r>
      <w:r>
        <w:rPr>
          <w:spacing w:val="-1"/>
        </w:rPr>
        <w:t>igh</w:t>
      </w:r>
      <w:r w:rsidR="00B02B09">
        <w:rPr>
          <w:spacing w:val="-1"/>
        </w:rPr>
        <w:t>-v</w:t>
      </w:r>
      <w:r>
        <w:rPr>
          <w:spacing w:val="-1"/>
        </w:rPr>
        <w:t xml:space="preserve">oltage </w:t>
      </w:r>
      <w:r w:rsidR="00B02B09">
        <w:rPr>
          <w:spacing w:val="-1"/>
        </w:rPr>
        <w:t>d</w:t>
      </w:r>
      <w:r>
        <w:rPr>
          <w:spacing w:val="-1"/>
        </w:rPr>
        <w:t>irect</w:t>
      </w:r>
      <w:r>
        <w:rPr>
          <w:spacing w:val="-4"/>
        </w:rPr>
        <w:t xml:space="preserve"> </w:t>
      </w:r>
      <w:r w:rsidR="00B02B09">
        <w:rPr>
          <w:spacing w:val="-4"/>
        </w:rPr>
        <w:t>c</w:t>
      </w:r>
      <w:r>
        <w:rPr>
          <w:spacing w:val="-2"/>
        </w:rPr>
        <w:t>urrent</w:t>
      </w:r>
    </w:p>
    <w:p w:rsidR="00B02B09" w:rsidRDefault="0048023B" w:rsidP="005B4D7B">
      <w:pPr>
        <w:pStyle w:val="BodyText"/>
        <w:tabs>
          <w:tab w:val="left" w:pos="2419"/>
        </w:tabs>
        <w:spacing w:after="120" w:line="240" w:lineRule="auto"/>
        <w:ind w:left="2419" w:hanging="1439"/>
        <w:rPr>
          <w:spacing w:val="-1"/>
        </w:rPr>
      </w:pPr>
      <w:r>
        <w:t>IESO</w:t>
      </w:r>
      <w:r>
        <w:tab/>
      </w:r>
      <w:r>
        <w:rPr>
          <w:spacing w:val="-1"/>
        </w:rPr>
        <w:t>Independent Electric</w:t>
      </w:r>
      <w:r>
        <w:t xml:space="preserve"> </w:t>
      </w:r>
      <w:r>
        <w:rPr>
          <w:spacing w:val="-1"/>
        </w:rPr>
        <w:t>System</w:t>
      </w:r>
      <w:r>
        <w:t xml:space="preserve"> </w:t>
      </w:r>
      <w:r>
        <w:rPr>
          <w:spacing w:val="-1"/>
        </w:rPr>
        <w:t xml:space="preserve">Operator </w:t>
      </w:r>
      <w:r>
        <w:t>of</w:t>
      </w:r>
      <w:r>
        <w:rPr>
          <w:spacing w:val="-1"/>
        </w:rPr>
        <w:t xml:space="preserve"> Ontario</w:t>
      </w:r>
    </w:p>
    <w:p w:rsidR="00BC0F55" w:rsidRDefault="0048023B" w:rsidP="005B4D7B">
      <w:pPr>
        <w:pStyle w:val="BodyText"/>
        <w:tabs>
          <w:tab w:val="left" w:pos="2419"/>
        </w:tabs>
        <w:spacing w:after="120" w:line="240" w:lineRule="auto"/>
        <w:ind w:left="2419" w:hanging="1439"/>
      </w:pPr>
      <w:r>
        <w:rPr>
          <w:spacing w:val="-1"/>
        </w:rPr>
        <w:t>IPEC</w:t>
      </w:r>
      <w:r w:rsidR="00B02B09">
        <w:rPr>
          <w:spacing w:val="-1"/>
        </w:rPr>
        <w:tab/>
      </w:r>
      <w:r>
        <w:rPr>
          <w:spacing w:val="-1"/>
        </w:rPr>
        <w:t>Indian</w:t>
      </w:r>
      <w:r>
        <w:rPr>
          <w:spacing w:val="-2"/>
        </w:rPr>
        <w:t xml:space="preserve"> </w:t>
      </w:r>
      <w:r>
        <w:rPr>
          <w:spacing w:val="-1"/>
        </w:rPr>
        <w:t xml:space="preserve">Point </w:t>
      </w:r>
      <w:r>
        <w:rPr>
          <w:spacing w:val="-2"/>
        </w:rPr>
        <w:t xml:space="preserve">Energy </w:t>
      </w:r>
      <w:r>
        <w:rPr>
          <w:spacing w:val="-1"/>
        </w:rPr>
        <w:t>Center</w:t>
      </w:r>
    </w:p>
    <w:p w:rsidR="00E42DBD" w:rsidRDefault="0048023B" w:rsidP="005B4D7B">
      <w:pPr>
        <w:pStyle w:val="BodyText"/>
        <w:tabs>
          <w:tab w:val="left" w:pos="2420"/>
        </w:tabs>
        <w:spacing w:after="120" w:line="240" w:lineRule="auto"/>
        <w:ind w:left="980" w:hanging="1"/>
        <w:rPr>
          <w:spacing w:val="-1"/>
        </w:rPr>
      </w:pPr>
      <w:r>
        <w:rPr>
          <w:spacing w:val="-1"/>
        </w:rPr>
        <w:t>IPSAC</w:t>
      </w:r>
      <w:r>
        <w:rPr>
          <w:spacing w:val="-1"/>
        </w:rPr>
        <w:tab/>
        <w:t>Inter</w:t>
      </w:r>
      <w:r w:rsidR="00C22359">
        <w:rPr>
          <w:spacing w:val="-1"/>
        </w:rPr>
        <w:t xml:space="preserve">regional </w:t>
      </w:r>
      <w:r>
        <w:rPr>
          <w:spacing w:val="-1"/>
        </w:rPr>
        <w:t>Planning</w:t>
      </w:r>
      <w:r>
        <w:rPr>
          <w:spacing w:val="-2"/>
        </w:rPr>
        <w:t xml:space="preserve"> </w:t>
      </w:r>
      <w:r>
        <w:rPr>
          <w:spacing w:val="-1"/>
        </w:rPr>
        <w:t>Stakeholder Advisory</w:t>
      </w:r>
      <w:r>
        <w:rPr>
          <w:spacing w:val="-2"/>
        </w:rPr>
        <w:t xml:space="preserve"> </w:t>
      </w:r>
      <w:r>
        <w:rPr>
          <w:spacing w:val="-1"/>
        </w:rPr>
        <w:t>Committee</w:t>
      </w:r>
    </w:p>
    <w:p w:rsidR="00BC0F55" w:rsidRDefault="0048023B" w:rsidP="005B4D7B">
      <w:pPr>
        <w:pStyle w:val="BodyText"/>
        <w:tabs>
          <w:tab w:val="left" w:pos="2420"/>
        </w:tabs>
        <w:spacing w:after="120" w:line="240" w:lineRule="auto"/>
        <w:ind w:left="980" w:hanging="1"/>
      </w:pPr>
      <w:r>
        <w:rPr>
          <w:spacing w:val="-1"/>
        </w:rPr>
        <w:t>IRC</w:t>
      </w:r>
      <w:r>
        <w:rPr>
          <w:spacing w:val="-1"/>
        </w:rPr>
        <w:tab/>
        <w:t>ISO/RTO Council</w:t>
      </w:r>
    </w:p>
    <w:p w:rsidR="00E42DBD" w:rsidRDefault="0048023B" w:rsidP="005B4D7B">
      <w:pPr>
        <w:pStyle w:val="BodyText"/>
        <w:tabs>
          <w:tab w:val="left" w:pos="2420"/>
        </w:tabs>
        <w:spacing w:after="120" w:line="240" w:lineRule="auto"/>
        <w:ind w:left="980"/>
        <w:rPr>
          <w:spacing w:val="-1"/>
        </w:rPr>
      </w:pPr>
      <w:r>
        <w:rPr>
          <w:spacing w:val="-1"/>
        </w:rPr>
        <w:t>ISO-NE</w:t>
      </w:r>
      <w:r>
        <w:rPr>
          <w:spacing w:val="-1"/>
        </w:rPr>
        <w:tab/>
        <w:t xml:space="preserve">Independent </w:t>
      </w:r>
      <w:r>
        <w:rPr>
          <w:spacing w:val="-2"/>
        </w:rPr>
        <w:t>System</w:t>
      </w:r>
      <w:r>
        <w:t xml:space="preserve"> </w:t>
      </w:r>
      <w:r>
        <w:rPr>
          <w:spacing w:val="-1"/>
        </w:rPr>
        <w:t xml:space="preserve">Operator </w:t>
      </w:r>
      <w:r>
        <w:t>of</w:t>
      </w:r>
      <w:r>
        <w:rPr>
          <w:spacing w:val="-1"/>
        </w:rPr>
        <w:t xml:space="preserve"> New</w:t>
      </w:r>
      <w:r>
        <w:rPr>
          <w:spacing w:val="-2"/>
        </w:rPr>
        <w:t xml:space="preserve"> </w:t>
      </w:r>
      <w:r>
        <w:rPr>
          <w:spacing w:val="-1"/>
        </w:rPr>
        <w:t>England</w:t>
      </w:r>
    </w:p>
    <w:p w:rsidR="00BC0F55" w:rsidRPr="007902E1" w:rsidRDefault="0048023B" w:rsidP="007902E1">
      <w:pPr>
        <w:pStyle w:val="BodyText"/>
        <w:tabs>
          <w:tab w:val="left" w:pos="2420"/>
        </w:tabs>
        <w:spacing w:after="120" w:line="240" w:lineRule="auto"/>
        <w:ind w:left="980" w:hanging="1"/>
        <w:rPr>
          <w:spacing w:val="-1"/>
        </w:rPr>
      </w:pPr>
      <w:r w:rsidRPr="007902E1">
        <w:rPr>
          <w:spacing w:val="-1"/>
        </w:rPr>
        <w:t>JIPC</w:t>
      </w:r>
      <w:r w:rsidRPr="007902E1">
        <w:rPr>
          <w:spacing w:val="-1"/>
        </w:rPr>
        <w:tab/>
      </w:r>
      <w:r>
        <w:rPr>
          <w:spacing w:val="-1"/>
        </w:rPr>
        <w:t>Joint ISO/RTO Planning</w:t>
      </w:r>
      <w:r w:rsidRPr="007902E1">
        <w:rPr>
          <w:spacing w:val="-1"/>
        </w:rPr>
        <w:t xml:space="preserve"> </w:t>
      </w:r>
      <w:r>
        <w:rPr>
          <w:spacing w:val="-1"/>
        </w:rPr>
        <w:t>Committee</w:t>
      </w:r>
    </w:p>
    <w:p w:rsidR="00BC0F55" w:rsidRDefault="0048023B" w:rsidP="005B4D7B">
      <w:pPr>
        <w:pStyle w:val="BodyText"/>
        <w:tabs>
          <w:tab w:val="left" w:pos="2420"/>
        </w:tabs>
        <w:spacing w:after="120" w:line="240" w:lineRule="auto"/>
        <w:ind w:left="980"/>
      </w:pPr>
      <w:r>
        <w:rPr>
          <w:spacing w:val="-1"/>
        </w:rPr>
        <w:t>LTRA</w:t>
      </w:r>
      <w:r>
        <w:rPr>
          <w:spacing w:val="-1"/>
        </w:rPr>
        <w:tab/>
      </w:r>
      <w:r w:rsidR="00B02B09">
        <w:rPr>
          <w:spacing w:val="-1"/>
        </w:rPr>
        <w:t>l</w:t>
      </w:r>
      <w:r>
        <w:rPr>
          <w:spacing w:val="-1"/>
        </w:rPr>
        <w:t>ong</w:t>
      </w:r>
      <w:r w:rsidR="00B02B09">
        <w:rPr>
          <w:spacing w:val="-1"/>
        </w:rPr>
        <w:t>-</w:t>
      </w:r>
      <w:r w:rsidR="00B02B09">
        <w:rPr>
          <w:spacing w:val="-2"/>
        </w:rPr>
        <w:t>t</w:t>
      </w:r>
      <w:r>
        <w:t xml:space="preserve">erm </w:t>
      </w:r>
      <w:r w:rsidR="00B02B09">
        <w:t>r</w:t>
      </w:r>
      <w:r>
        <w:rPr>
          <w:spacing w:val="-1"/>
        </w:rPr>
        <w:t>eliability</w:t>
      </w:r>
      <w:r>
        <w:rPr>
          <w:spacing w:val="-2"/>
        </w:rPr>
        <w:t xml:space="preserve"> </w:t>
      </w:r>
      <w:r w:rsidR="00B02B09">
        <w:rPr>
          <w:spacing w:val="-2"/>
        </w:rPr>
        <w:t>a</w:t>
      </w:r>
      <w:r>
        <w:rPr>
          <w:spacing w:val="-1"/>
        </w:rPr>
        <w:t>ssessment</w:t>
      </w:r>
    </w:p>
    <w:p w:rsidR="00E42DBD" w:rsidRDefault="0048023B" w:rsidP="005B4D7B">
      <w:pPr>
        <w:pStyle w:val="BodyText"/>
        <w:tabs>
          <w:tab w:val="left" w:pos="2420"/>
        </w:tabs>
        <w:spacing w:after="120" w:line="240" w:lineRule="auto"/>
        <w:ind w:left="980"/>
        <w:rPr>
          <w:spacing w:val="-1"/>
        </w:rPr>
      </w:pPr>
      <w:r>
        <w:rPr>
          <w:spacing w:val="-1"/>
          <w:w w:val="95"/>
        </w:rPr>
        <w:t>MISO</w:t>
      </w:r>
      <w:r>
        <w:rPr>
          <w:spacing w:val="-1"/>
          <w:w w:val="95"/>
        </w:rPr>
        <w:tab/>
      </w:r>
      <w:r>
        <w:rPr>
          <w:spacing w:val="-1"/>
        </w:rPr>
        <w:t>Midcontinent Independent System</w:t>
      </w:r>
      <w:r>
        <w:t xml:space="preserve"> </w:t>
      </w:r>
      <w:r>
        <w:rPr>
          <w:spacing w:val="-1"/>
        </w:rPr>
        <w:t>Operator</w:t>
      </w:r>
    </w:p>
    <w:p w:rsidR="00BC0F55" w:rsidRDefault="0048023B" w:rsidP="005B4D7B">
      <w:pPr>
        <w:pStyle w:val="BodyText"/>
        <w:tabs>
          <w:tab w:val="left" w:pos="2420"/>
        </w:tabs>
        <w:spacing w:after="120" w:line="240" w:lineRule="auto"/>
        <w:ind w:left="980"/>
      </w:pPr>
      <w:r>
        <w:rPr>
          <w:spacing w:val="-1"/>
        </w:rPr>
        <w:t>MPRP</w:t>
      </w:r>
      <w:r>
        <w:rPr>
          <w:spacing w:val="-1"/>
        </w:rPr>
        <w:tab/>
        <w:t>Maine Power Reliability</w:t>
      </w:r>
      <w:r>
        <w:rPr>
          <w:spacing w:val="-2"/>
        </w:rPr>
        <w:t xml:space="preserve"> </w:t>
      </w:r>
      <w:r>
        <w:rPr>
          <w:spacing w:val="-1"/>
        </w:rPr>
        <w:t>Program</w:t>
      </w:r>
    </w:p>
    <w:p w:rsidR="00AC68B7" w:rsidRDefault="00AC68B7" w:rsidP="005B4D7B">
      <w:pPr>
        <w:pStyle w:val="BodyText"/>
        <w:tabs>
          <w:tab w:val="left" w:pos="2420"/>
        </w:tabs>
        <w:spacing w:after="120" w:line="240" w:lineRule="auto"/>
        <w:ind w:left="980" w:hanging="1"/>
        <w:rPr>
          <w:spacing w:val="-1"/>
        </w:rPr>
      </w:pPr>
      <w:r w:rsidRPr="00A30096">
        <w:rPr>
          <w:spacing w:val="-1"/>
        </w:rPr>
        <w:t>MRO</w:t>
      </w:r>
      <w:r w:rsidR="00A30096" w:rsidRPr="00A30096">
        <w:rPr>
          <w:spacing w:val="-1"/>
        </w:rPr>
        <w:tab/>
      </w:r>
      <w:r w:rsidR="00A30096" w:rsidRPr="00A30096">
        <w:t>Midwest Reliability Organization</w:t>
      </w:r>
    </w:p>
    <w:p w:rsidR="00B02B09" w:rsidRDefault="00B02B09" w:rsidP="005B4D7B">
      <w:pPr>
        <w:pStyle w:val="BodyText"/>
        <w:tabs>
          <w:tab w:val="left" w:pos="2420"/>
        </w:tabs>
        <w:spacing w:after="120" w:line="240" w:lineRule="auto"/>
        <w:ind w:left="980" w:hanging="1"/>
        <w:rPr>
          <w:spacing w:val="-1"/>
        </w:rPr>
      </w:pPr>
      <w:r>
        <w:rPr>
          <w:spacing w:val="-1"/>
        </w:rPr>
        <w:t>NCPC</w:t>
      </w:r>
      <w:r>
        <w:rPr>
          <w:spacing w:val="-1"/>
        </w:rPr>
        <w:tab/>
        <w:t>Northeast Coordinated System Plan</w:t>
      </w:r>
    </w:p>
    <w:p w:rsidR="00E42DBD" w:rsidRDefault="0048023B" w:rsidP="005B4D7B">
      <w:pPr>
        <w:pStyle w:val="BodyText"/>
        <w:tabs>
          <w:tab w:val="left" w:pos="2420"/>
        </w:tabs>
        <w:spacing w:after="120" w:line="240" w:lineRule="auto"/>
        <w:ind w:left="980" w:hanging="1"/>
        <w:rPr>
          <w:spacing w:val="-1"/>
        </w:rPr>
      </w:pPr>
      <w:r>
        <w:rPr>
          <w:spacing w:val="-1"/>
        </w:rPr>
        <w:t>NEEWS</w:t>
      </w:r>
      <w:r>
        <w:rPr>
          <w:spacing w:val="-1"/>
        </w:rPr>
        <w:tab/>
      </w:r>
      <w:r>
        <w:t>New</w:t>
      </w:r>
      <w:r>
        <w:rPr>
          <w:spacing w:val="-2"/>
        </w:rPr>
        <w:t xml:space="preserve"> </w:t>
      </w:r>
      <w:r>
        <w:rPr>
          <w:spacing w:val="-1"/>
        </w:rPr>
        <w:t>England East</w:t>
      </w:r>
      <w:r w:rsidR="00B02B09">
        <w:rPr>
          <w:spacing w:val="-1"/>
        </w:rPr>
        <w:t>–</w:t>
      </w:r>
      <w:r>
        <w:rPr>
          <w:spacing w:val="-1"/>
        </w:rPr>
        <w:t>West Solution</w:t>
      </w:r>
    </w:p>
    <w:p w:rsidR="00B02B09" w:rsidRDefault="00B02B09" w:rsidP="005B4D7B">
      <w:pPr>
        <w:pStyle w:val="BodyText"/>
        <w:tabs>
          <w:tab w:val="left" w:pos="2420"/>
        </w:tabs>
        <w:spacing w:after="120" w:line="240" w:lineRule="auto"/>
        <w:ind w:left="980" w:hanging="1"/>
        <w:rPr>
          <w:spacing w:val="-1"/>
        </w:rPr>
      </w:pPr>
      <w:r>
        <w:rPr>
          <w:spacing w:val="-1"/>
        </w:rPr>
        <w:t>NEPOOL</w:t>
      </w:r>
      <w:r>
        <w:rPr>
          <w:spacing w:val="-1"/>
        </w:rPr>
        <w:tab/>
        <w:t>New England Power Pool</w:t>
      </w:r>
    </w:p>
    <w:p w:rsidR="00B02B09" w:rsidRDefault="00B02B09" w:rsidP="005B4D7B">
      <w:pPr>
        <w:pStyle w:val="BodyText"/>
        <w:tabs>
          <w:tab w:val="left" w:pos="2420"/>
        </w:tabs>
        <w:spacing w:after="120" w:line="240" w:lineRule="auto"/>
        <w:ind w:left="980" w:hanging="1"/>
        <w:rPr>
          <w:spacing w:val="-1"/>
        </w:rPr>
      </w:pPr>
      <w:r>
        <w:rPr>
          <w:spacing w:val="-1"/>
        </w:rPr>
        <w:t>NERC</w:t>
      </w:r>
      <w:r>
        <w:rPr>
          <w:spacing w:val="-1"/>
        </w:rPr>
        <w:tab/>
        <w:t>North American Electric Reliability Corporation</w:t>
      </w:r>
    </w:p>
    <w:p w:rsidR="00E42DBD" w:rsidRDefault="0048023B" w:rsidP="005B4D7B">
      <w:pPr>
        <w:pStyle w:val="BodyText"/>
        <w:tabs>
          <w:tab w:val="left" w:pos="2420"/>
        </w:tabs>
        <w:spacing w:after="120" w:line="240" w:lineRule="auto"/>
        <w:ind w:left="980"/>
        <w:rPr>
          <w:spacing w:val="-1"/>
        </w:rPr>
      </w:pPr>
      <w:r>
        <w:rPr>
          <w:spacing w:val="-1"/>
        </w:rPr>
        <w:t>NPCC</w:t>
      </w:r>
      <w:r>
        <w:rPr>
          <w:spacing w:val="-1"/>
        </w:rPr>
        <w:tab/>
        <w:t>Northeast Power Coordinating</w:t>
      </w:r>
      <w:r>
        <w:rPr>
          <w:spacing w:val="-2"/>
        </w:rPr>
        <w:t xml:space="preserve"> </w:t>
      </w:r>
      <w:r>
        <w:rPr>
          <w:spacing w:val="-1"/>
        </w:rPr>
        <w:t>Council</w:t>
      </w:r>
    </w:p>
    <w:p w:rsidR="00E42DBD" w:rsidRDefault="0048023B" w:rsidP="005B4D7B">
      <w:pPr>
        <w:pStyle w:val="BodyText"/>
        <w:tabs>
          <w:tab w:val="left" w:pos="2420"/>
        </w:tabs>
        <w:spacing w:after="120" w:line="240" w:lineRule="auto"/>
        <w:ind w:left="980"/>
        <w:rPr>
          <w:spacing w:val="-1"/>
        </w:rPr>
      </w:pPr>
      <w:r>
        <w:rPr>
          <w:spacing w:val="-1"/>
          <w:w w:val="95"/>
        </w:rPr>
        <w:t>NYISO</w:t>
      </w:r>
      <w:r>
        <w:rPr>
          <w:spacing w:val="-1"/>
          <w:w w:val="95"/>
        </w:rPr>
        <w:tab/>
      </w:r>
      <w:r>
        <w:t>New</w:t>
      </w:r>
      <w:r>
        <w:rPr>
          <w:spacing w:val="-2"/>
        </w:rPr>
        <w:t xml:space="preserve"> </w:t>
      </w:r>
      <w:r>
        <w:rPr>
          <w:spacing w:val="-1"/>
        </w:rPr>
        <w:t>York</w:t>
      </w:r>
      <w:r>
        <w:rPr>
          <w:spacing w:val="-2"/>
        </w:rPr>
        <w:t xml:space="preserve"> </w:t>
      </w:r>
      <w:r>
        <w:rPr>
          <w:spacing w:val="-1"/>
        </w:rPr>
        <w:t xml:space="preserve">Independent </w:t>
      </w:r>
      <w:r>
        <w:rPr>
          <w:spacing w:val="-2"/>
        </w:rPr>
        <w:t>System</w:t>
      </w:r>
      <w:r>
        <w:t xml:space="preserve"> </w:t>
      </w:r>
      <w:r>
        <w:rPr>
          <w:spacing w:val="-1"/>
        </w:rPr>
        <w:t>Operator</w:t>
      </w:r>
    </w:p>
    <w:p w:rsidR="00E42DBD" w:rsidRDefault="0048023B" w:rsidP="005B4D7B">
      <w:pPr>
        <w:pStyle w:val="BodyText"/>
        <w:tabs>
          <w:tab w:val="left" w:pos="2420"/>
        </w:tabs>
        <w:spacing w:after="120" w:line="240" w:lineRule="auto"/>
        <w:ind w:left="980"/>
        <w:rPr>
          <w:spacing w:val="-1"/>
        </w:rPr>
      </w:pPr>
      <w:r>
        <w:rPr>
          <w:spacing w:val="-1"/>
        </w:rPr>
        <w:t>NYSPSC</w:t>
      </w:r>
      <w:r>
        <w:rPr>
          <w:spacing w:val="-1"/>
        </w:rPr>
        <w:tab/>
      </w:r>
      <w:r>
        <w:t>New</w:t>
      </w:r>
      <w:r>
        <w:rPr>
          <w:spacing w:val="-2"/>
        </w:rPr>
        <w:t xml:space="preserve"> </w:t>
      </w:r>
      <w:r>
        <w:rPr>
          <w:spacing w:val="-1"/>
        </w:rPr>
        <w:t>York</w:t>
      </w:r>
      <w:r>
        <w:rPr>
          <w:spacing w:val="-2"/>
        </w:rPr>
        <w:t xml:space="preserve"> </w:t>
      </w:r>
      <w:r>
        <w:rPr>
          <w:spacing w:val="-1"/>
        </w:rPr>
        <w:t>State Public</w:t>
      </w:r>
      <w:r>
        <w:t xml:space="preserve"> </w:t>
      </w:r>
      <w:r>
        <w:rPr>
          <w:spacing w:val="-1"/>
        </w:rPr>
        <w:t>Service Commission</w:t>
      </w:r>
    </w:p>
    <w:p w:rsidR="00BC0F55" w:rsidRDefault="0048023B" w:rsidP="005B4D7B">
      <w:pPr>
        <w:pStyle w:val="BodyText"/>
        <w:tabs>
          <w:tab w:val="left" w:pos="2420"/>
        </w:tabs>
        <w:spacing w:after="120" w:line="240" w:lineRule="auto"/>
        <w:ind w:left="980"/>
      </w:pPr>
      <w:r>
        <w:rPr>
          <w:spacing w:val="-1"/>
        </w:rPr>
        <w:t>OATT</w:t>
      </w:r>
      <w:r>
        <w:rPr>
          <w:spacing w:val="-1"/>
        </w:rPr>
        <w:tab/>
        <w:t>Open</w:t>
      </w:r>
      <w:r>
        <w:rPr>
          <w:spacing w:val="-2"/>
        </w:rPr>
        <w:t xml:space="preserve"> </w:t>
      </w:r>
      <w:r>
        <w:rPr>
          <w:spacing w:val="-1"/>
        </w:rPr>
        <w:t>Access</w:t>
      </w:r>
      <w:r>
        <w:t xml:space="preserve"> </w:t>
      </w:r>
      <w:r>
        <w:rPr>
          <w:spacing w:val="-1"/>
        </w:rPr>
        <w:t>Transmission</w:t>
      </w:r>
      <w:r>
        <w:rPr>
          <w:spacing w:val="-2"/>
        </w:rPr>
        <w:t xml:space="preserve"> </w:t>
      </w:r>
      <w:r>
        <w:rPr>
          <w:spacing w:val="-1"/>
        </w:rPr>
        <w:t>Tariff</w:t>
      </w:r>
    </w:p>
    <w:p w:rsidR="00B02B09" w:rsidRDefault="00B02B09" w:rsidP="005B4D7B">
      <w:pPr>
        <w:pStyle w:val="BodyText"/>
        <w:tabs>
          <w:tab w:val="left" w:pos="2420"/>
        </w:tabs>
        <w:spacing w:after="120" w:line="240" w:lineRule="auto"/>
        <w:ind w:left="980"/>
        <w:rPr>
          <w:spacing w:val="-1"/>
        </w:rPr>
      </w:pPr>
      <w:r>
        <w:rPr>
          <w:spacing w:val="-1"/>
        </w:rPr>
        <w:t>PAC</w:t>
      </w:r>
      <w:r>
        <w:rPr>
          <w:spacing w:val="-1"/>
        </w:rPr>
        <w:tab/>
        <w:t>Planning Advisory Committee</w:t>
      </w:r>
    </w:p>
    <w:p w:rsidR="00B02B09" w:rsidRDefault="00B02B09" w:rsidP="005B4D7B">
      <w:pPr>
        <w:pStyle w:val="BodyText"/>
        <w:tabs>
          <w:tab w:val="left" w:pos="2420"/>
        </w:tabs>
        <w:spacing w:after="120" w:line="240" w:lineRule="auto"/>
        <w:ind w:left="980"/>
        <w:rPr>
          <w:spacing w:val="-1"/>
        </w:rPr>
      </w:pPr>
      <w:r>
        <w:rPr>
          <w:spacing w:val="-1"/>
        </w:rPr>
        <w:lastRenderedPageBreak/>
        <w:t>PTO</w:t>
      </w:r>
      <w:r>
        <w:rPr>
          <w:spacing w:val="-1"/>
        </w:rPr>
        <w:tab/>
        <w:t>participating transmission owner</w:t>
      </w:r>
    </w:p>
    <w:p w:rsidR="00BC0F55" w:rsidRDefault="0048023B" w:rsidP="005B4D7B">
      <w:pPr>
        <w:pStyle w:val="BodyText"/>
        <w:tabs>
          <w:tab w:val="left" w:pos="2420"/>
        </w:tabs>
        <w:spacing w:after="120" w:line="240" w:lineRule="auto"/>
        <w:ind w:left="980"/>
      </w:pPr>
      <w:r>
        <w:rPr>
          <w:spacing w:val="-1"/>
        </w:rPr>
        <w:t>PV</w:t>
      </w:r>
      <w:r>
        <w:rPr>
          <w:spacing w:val="-1"/>
        </w:rPr>
        <w:tab/>
      </w:r>
      <w:r w:rsidR="00B02B09">
        <w:rPr>
          <w:spacing w:val="-1"/>
        </w:rPr>
        <w:t>p</w:t>
      </w:r>
      <w:r>
        <w:rPr>
          <w:spacing w:val="-1"/>
        </w:rPr>
        <w:t>hotovoltaic</w:t>
      </w:r>
    </w:p>
    <w:p w:rsidR="00BC0F55" w:rsidRDefault="0048023B" w:rsidP="005B4D7B">
      <w:pPr>
        <w:pStyle w:val="BodyText"/>
        <w:tabs>
          <w:tab w:val="left" w:pos="2420"/>
        </w:tabs>
        <w:spacing w:after="120" w:line="240" w:lineRule="auto"/>
        <w:ind w:left="980"/>
      </w:pPr>
      <w:r>
        <w:rPr>
          <w:spacing w:val="-1"/>
        </w:rPr>
        <w:t>RFC</w:t>
      </w:r>
      <w:r>
        <w:rPr>
          <w:spacing w:val="-1"/>
        </w:rPr>
        <w:tab/>
        <w:t>Reliability</w:t>
      </w:r>
      <w:r>
        <w:rPr>
          <w:i/>
          <w:spacing w:val="-1"/>
        </w:rPr>
        <w:t>First</w:t>
      </w:r>
      <w:r>
        <w:rPr>
          <w:i/>
        </w:rPr>
        <w:t xml:space="preserve"> </w:t>
      </w:r>
      <w:r>
        <w:rPr>
          <w:spacing w:val="-1"/>
        </w:rPr>
        <w:t>Corporation</w:t>
      </w:r>
    </w:p>
    <w:p w:rsidR="00BC0F55" w:rsidRDefault="0048023B" w:rsidP="005B4D7B">
      <w:pPr>
        <w:pStyle w:val="BodyText"/>
        <w:tabs>
          <w:tab w:val="left" w:pos="2420"/>
        </w:tabs>
        <w:spacing w:after="120" w:line="240" w:lineRule="auto"/>
        <w:ind w:left="980"/>
      </w:pPr>
      <w:r>
        <w:rPr>
          <w:spacing w:val="-1"/>
        </w:rPr>
        <w:t>RNA</w:t>
      </w:r>
      <w:r>
        <w:rPr>
          <w:spacing w:val="-1"/>
        </w:rPr>
        <w:tab/>
        <w:t>Reliability</w:t>
      </w:r>
      <w:r>
        <w:rPr>
          <w:spacing w:val="-2"/>
        </w:rPr>
        <w:t xml:space="preserve"> </w:t>
      </w:r>
      <w:r>
        <w:rPr>
          <w:spacing w:val="-1"/>
        </w:rPr>
        <w:t>Needs</w:t>
      </w:r>
      <w:r>
        <w:t xml:space="preserve"> </w:t>
      </w:r>
      <w:r>
        <w:rPr>
          <w:spacing w:val="-1"/>
        </w:rPr>
        <w:t>Assessment</w:t>
      </w:r>
    </w:p>
    <w:p w:rsidR="00BC0F55" w:rsidRDefault="0048023B" w:rsidP="005B4D7B">
      <w:pPr>
        <w:pStyle w:val="BodyText"/>
        <w:tabs>
          <w:tab w:val="left" w:pos="2420"/>
        </w:tabs>
        <w:spacing w:after="120" w:line="240" w:lineRule="auto"/>
        <w:ind w:left="980"/>
      </w:pPr>
      <w:r>
        <w:rPr>
          <w:spacing w:val="-1"/>
        </w:rPr>
        <w:t>ROFR</w:t>
      </w:r>
      <w:r>
        <w:rPr>
          <w:spacing w:val="-1"/>
        </w:rPr>
        <w:tab/>
      </w:r>
      <w:r w:rsidR="00B02B09">
        <w:rPr>
          <w:spacing w:val="-1"/>
        </w:rPr>
        <w:t>r</w:t>
      </w:r>
      <w:r>
        <w:rPr>
          <w:spacing w:val="-1"/>
        </w:rPr>
        <w:t>ight-of-</w:t>
      </w:r>
      <w:r w:rsidR="00B02B09">
        <w:rPr>
          <w:spacing w:val="-1"/>
        </w:rPr>
        <w:t>f</w:t>
      </w:r>
      <w:r>
        <w:rPr>
          <w:spacing w:val="-1"/>
        </w:rPr>
        <w:t>irst-</w:t>
      </w:r>
      <w:r w:rsidR="00B02B09">
        <w:rPr>
          <w:spacing w:val="-1"/>
        </w:rPr>
        <w:t>r</w:t>
      </w:r>
      <w:r>
        <w:rPr>
          <w:spacing w:val="-1"/>
        </w:rPr>
        <w:t>efusal</w:t>
      </w:r>
    </w:p>
    <w:p w:rsidR="00B02B09" w:rsidRPr="007902E1" w:rsidRDefault="00B02B09" w:rsidP="005B4D7B">
      <w:pPr>
        <w:pStyle w:val="BodyText"/>
        <w:tabs>
          <w:tab w:val="left" w:pos="2420"/>
        </w:tabs>
        <w:spacing w:after="120" w:line="240" w:lineRule="auto"/>
        <w:ind w:left="980"/>
        <w:rPr>
          <w:spacing w:val="-1"/>
        </w:rPr>
      </w:pPr>
      <w:r w:rsidRPr="007902E1">
        <w:rPr>
          <w:spacing w:val="-1"/>
        </w:rPr>
        <w:t>RPP</w:t>
      </w:r>
      <w:r w:rsidRPr="007902E1">
        <w:rPr>
          <w:spacing w:val="-1"/>
        </w:rPr>
        <w:tab/>
        <w:t>Reliability Planning Process</w:t>
      </w:r>
    </w:p>
    <w:p w:rsidR="00BC0F55" w:rsidRPr="007902E1" w:rsidRDefault="0048023B" w:rsidP="005B4D7B">
      <w:pPr>
        <w:pStyle w:val="BodyText"/>
        <w:tabs>
          <w:tab w:val="left" w:pos="2420"/>
        </w:tabs>
        <w:spacing w:after="120" w:line="240" w:lineRule="auto"/>
        <w:ind w:left="980"/>
        <w:rPr>
          <w:spacing w:val="-1"/>
        </w:rPr>
      </w:pPr>
      <w:r w:rsidRPr="007902E1">
        <w:rPr>
          <w:spacing w:val="-1"/>
        </w:rPr>
        <w:t>RSP</w:t>
      </w:r>
      <w:r w:rsidRPr="007902E1">
        <w:rPr>
          <w:spacing w:val="-1"/>
        </w:rPr>
        <w:tab/>
      </w:r>
      <w:r>
        <w:rPr>
          <w:spacing w:val="-1"/>
        </w:rPr>
        <w:t xml:space="preserve">Regional </w:t>
      </w:r>
      <w:r w:rsidRPr="007902E1">
        <w:rPr>
          <w:spacing w:val="-1"/>
        </w:rPr>
        <w:t xml:space="preserve">System </w:t>
      </w:r>
      <w:r>
        <w:rPr>
          <w:spacing w:val="-1"/>
        </w:rPr>
        <w:t>Plan</w:t>
      </w:r>
    </w:p>
    <w:p w:rsidR="00F76E87" w:rsidRDefault="0048023B" w:rsidP="005B4D7B">
      <w:pPr>
        <w:pStyle w:val="BodyText"/>
        <w:tabs>
          <w:tab w:val="left" w:pos="2419"/>
        </w:tabs>
        <w:spacing w:after="120" w:line="240" w:lineRule="auto"/>
        <w:ind w:left="980"/>
        <w:rPr>
          <w:spacing w:val="-1"/>
        </w:rPr>
      </w:pPr>
      <w:r>
        <w:t>RTEP</w:t>
      </w:r>
      <w:r>
        <w:tab/>
      </w:r>
      <w:r>
        <w:rPr>
          <w:spacing w:val="-1"/>
        </w:rPr>
        <w:t>Regional</w:t>
      </w:r>
      <w:r>
        <w:rPr>
          <w:spacing w:val="-3"/>
        </w:rPr>
        <w:t xml:space="preserve"> </w:t>
      </w:r>
      <w:r>
        <w:rPr>
          <w:spacing w:val="-1"/>
        </w:rPr>
        <w:t>Transmission</w:t>
      </w:r>
      <w:r>
        <w:rPr>
          <w:spacing w:val="-2"/>
        </w:rPr>
        <w:t xml:space="preserve"> </w:t>
      </w:r>
      <w:r>
        <w:rPr>
          <w:spacing w:val="-1"/>
        </w:rPr>
        <w:t>Expansion</w:t>
      </w:r>
      <w:r>
        <w:rPr>
          <w:spacing w:val="-2"/>
        </w:rPr>
        <w:t xml:space="preserve"> </w:t>
      </w:r>
      <w:r>
        <w:rPr>
          <w:spacing w:val="-1"/>
        </w:rPr>
        <w:t>Plan</w:t>
      </w:r>
    </w:p>
    <w:p w:rsidR="00BC0F55" w:rsidRDefault="0048023B" w:rsidP="005B4D7B">
      <w:pPr>
        <w:pStyle w:val="BodyText"/>
        <w:tabs>
          <w:tab w:val="left" w:pos="2419"/>
        </w:tabs>
        <w:spacing w:after="120" w:line="240" w:lineRule="auto"/>
        <w:ind w:left="980"/>
      </w:pPr>
      <w:r>
        <w:t>RTO</w:t>
      </w:r>
      <w:r>
        <w:tab/>
      </w:r>
      <w:r>
        <w:rPr>
          <w:spacing w:val="-1"/>
        </w:rPr>
        <w:t>Regional</w:t>
      </w:r>
      <w:r>
        <w:rPr>
          <w:spacing w:val="-3"/>
        </w:rPr>
        <w:t xml:space="preserve"> </w:t>
      </w:r>
      <w:r>
        <w:rPr>
          <w:spacing w:val="-1"/>
        </w:rPr>
        <w:t>Transmission</w:t>
      </w:r>
      <w:r>
        <w:rPr>
          <w:spacing w:val="-2"/>
        </w:rPr>
        <w:t xml:space="preserve"> </w:t>
      </w:r>
      <w:r>
        <w:rPr>
          <w:spacing w:val="-1"/>
        </w:rPr>
        <w:t>O</w:t>
      </w:r>
      <w:r w:rsidR="00A364F6">
        <w:rPr>
          <w:spacing w:val="-1"/>
        </w:rPr>
        <w:t>rganization</w:t>
      </w:r>
    </w:p>
    <w:p w:rsidR="00BC0F55" w:rsidRDefault="0048023B" w:rsidP="005B4D7B">
      <w:pPr>
        <w:pStyle w:val="BodyText"/>
        <w:tabs>
          <w:tab w:val="left" w:pos="2419"/>
        </w:tabs>
        <w:spacing w:after="120" w:line="240" w:lineRule="auto"/>
        <w:ind w:left="980"/>
        <w:rPr>
          <w:spacing w:val="-2"/>
        </w:rPr>
      </w:pPr>
      <w:r>
        <w:rPr>
          <w:spacing w:val="-1"/>
        </w:rPr>
        <w:t>SEMA</w:t>
      </w:r>
      <w:r>
        <w:rPr>
          <w:spacing w:val="-1"/>
        </w:rPr>
        <w:tab/>
        <w:t>Southeastern</w:t>
      </w:r>
      <w:r>
        <w:rPr>
          <w:spacing w:val="-2"/>
        </w:rPr>
        <w:t xml:space="preserve"> Massachusetts</w:t>
      </w:r>
    </w:p>
    <w:p w:rsidR="00AC68B7" w:rsidRDefault="00AC68B7" w:rsidP="005B4D7B">
      <w:pPr>
        <w:pStyle w:val="BodyText"/>
        <w:tabs>
          <w:tab w:val="left" w:pos="2419"/>
        </w:tabs>
        <w:spacing w:after="120" w:line="240" w:lineRule="auto"/>
        <w:ind w:left="980"/>
      </w:pPr>
      <w:r w:rsidRPr="00A30096">
        <w:rPr>
          <w:spacing w:val="-2"/>
        </w:rPr>
        <w:t>SERC</w:t>
      </w:r>
      <w:r w:rsidR="00A30096" w:rsidRPr="00A30096">
        <w:rPr>
          <w:spacing w:val="-2"/>
        </w:rPr>
        <w:tab/>
      </w:r>
      <w:r w:rsidR="00A30096" w:rsidRPr="00A30096">
        <w:t>Southeast Electric Reliability Corporation</w:t>
      </w:r>
    </w:p>
    <w:p w:rsidR="00B02B09" w:rsidRDefault="00B02B09" w:rsidP="005B4D7B">
      <w:pPr>
        <w:pStyle w:val="BodyText"/>
        <w:tabs>
          <w:tab w:val="left" w:pos="2420"/>
        </w:tabs>
        <w:spacing w:after="120" w:line="240" w:lineRule="auto"/>
        <w:ind w:left="980"/>
      </w:pPr>
      <w:r>
        <w:t>TEAC</w:t>
      </w:r>
      <w:r>
        <w:tab/>
        <w:t>Transmission Expansion Advisory Committee</w:t>
      </w:r>
    </w:p>
    <w:p w:rsidR="00BC0F55" w:rsidRDefault="0048023B" w:rsidP="005B4D7B">
      <w:pPr>
        <w:pStyle w:val="BodyText"/>
        <w:tabs>
          <w:tab w:val="left" w:pos="2420"/>
        </w:tabs>
        <w:spacing w:after="120" w:line="240" w:lineRule="auto"/>
        <w:ind w:left="980"/>
      </w:pPr>
      <w:r>
        <w:t>TVA</w:t>
      </w:r>
      <w:r>
        <w:tab/>
      </w:r>
      <w:r>
        <w:rPr>
          <w:spacing w:val="-1"/>
        </w:rPr>
        <w:t>Tennessee Valley</w:t>
      </w:r>
      <w:r>
        <w:rPr>
          <w:spacing w:val="-2"/>
        </w:rPr>
        <w:t xml:space="preserve"> </w:t>
      </w:r>
      <w:r>
        <w:rPr>
          <w:spacing w:val="-1"/>
        </w:rPr>
        <w:t>Authority</w:t>
      </w:r>
    </w:p>
    <w:p w:rsidR="00BC0F55" w:rsidRDefault="0048023B" w:rsidP="005B4D7B">
      <w:pPr>
        <w:pStyle w:val="BodyText"/>
        <w:tabs>
          <w:tab w:val="left" w:pos="2420"/>
        </w:tabs>
        <w:spacing w:after="120" w:line="240" w:lineRule="auto"/>
        <w:ind w:left="980"/>
      </w:pPr>
      <w:r>
        <w:rPr>
          <w:spacing w:val="-1"/>
        </w:rPr>
        <w:t>VACAR</w:t>
      </w:r>
      <w:r>
        <w:rPr>
          <w:spacing w:val="-1"/>
        </w:rPr>
        <w:tab/>
        <w:t>Virginia-Carolinas</w:t>
      </w:r>
      <w:r w:rsidR="00B02B09">
        <w:rPr>
          <w:spacing w:val="-1"/>
        </w:rPr>
        <w:t xml:space="preserve"> Area</w:t>
      </w:r>
    </w:p>
    <w:p w:rsidR="00BC0F55" w:rsidRDefault="00BC0F55" w:rsidP="005C24B6">
      <w:pPr>
        <w:spacing w:before="121"/>
        <w:ind w:left="259" w:right="357"/>
        <w:rPr>
          <w:rFonts w:eastAsia="Cambria" w:cs="Cambria"/>
        </w:rPr>
      </w:pPr>
      <w:bookmarkStart w:id="157" w:name="8.2_References"/>
      <w:bookmarkEnd w:id="157"/>
    </w:p>
    <w:sectPr w:rsidR="00BC0F55" w:rsidSect="00A30096">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900" w:rsidRDefault="00A02900">
      <w:r>
        <w:separator/>
      </w:r>
    </w:p>
  </w:endnote>
  <w:endnote w:type="continuationSeparator" w:id="0">
    <w:p w:rsidR="00A02900" w:rsidRDefault="00A02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023" w:rsidRPr="0042744E" w:rsidRDefault="000F2023" w:rsidP="004274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6902636"/>
      <w:docPartObj>
        <w:docPartGallery w:val="Page Numbers (Bottom of Page)"/>
        <w:docPartUnique/>
      </w:docPartObj>
    </w:sdtPr>
    <w:sdtEndPr>
      <w:rPr>
        <w:noProof/>
      </w:rPr>
    </w:sdtEndPr>
    <w:sdtContent>
      <w:p w:rsidR="000F2023" w:rsidRPr="0042744E" w:rsidRDefault="000F2023" w:rsidP="0042744E">
        <w:pPr>
          <w:pStyle w:val="Footer"/>
        </w:pPr>
        <w:r>
          <w:t>ISO New England, New York ISO, and PJM</w:t>
        </w:r>
        <w:r>
          <w:tab/>
        </w:r>
        <w:r>
          <w:tab/>
        </w:r>
        <w:r>
          <w:fldChar w:fldCharType="begin"/>
        </w:r>
        <w:r>
          <w:instrText xml:space="preserve"> PAGE   \* MERGEFORMAT </w:instrText>
        </w:r>
        <w:r>
          <w:fldChar w:fldCharType="separate"/>
        </w:r>
        <w:r w:rsidR="00115D36">
          <w:rPr>
            <w:noProof/>
          </w:rPr>
          <w:t>iv</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657880"/>
      <w:docPartObj>
        <w:docPartGallery w:val="Page Numbers (Bottom of Page)"/>
        <w:docPartUnique/>
      </w:docPartObj>
    </w:sdtPr>
    <w:sdtEndPr>
      <w:rPr>
        <w:noProof/>
      </w:rPr>
    </w:sdtEndPr>
    <w:sdtContent>
      <w:p w:rsidR="000F2023" w:rsidRPr="0042744E" w:rsidRDefault="000F2023" w:rsidP="0042744E">
        <w:pPr>
          <w:pStyle w:val="Footer"/>
        </w:pPr>
        <w:r>
          <w:t>ISO New England, NYISO, and PJM</w:t>
        </w:r>
        <w:r>
          <w:tab/>
        </w:r>
        <w:r>
          <w:tab/>
        </w:r>
        <w:r>
          <w:fldChar w:fldCharType="begin"/>
        </w:r>
        <w:r>
          <w:instrText xml:space="preserve"> PAGE   \* MERGEFORMAT </w:instrText>
        </w:r>
        <w:r>
          <w:fldChar w:fldCharType="separate"/>
        </w:r>
        <w:r w:rsidR="00C520FF">
          <w:rPr>
            <w:noProof/>
          </w:rPr>
          <w:t>18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900" w:rsidRDefault="00A02900">
      <w:r>
        <w:separator/>
      </w:r>
    </w:p>
  </w:footnote>
  <w:footnote w:type="continuationSeparator" w:id="0">
    <w:p w:rsidR="00A02900" w:rsidRDefault="00A02900">
      <w:r>
        <w:continuationSeparator/>
      </w:r>
    </w:p>
  </w:footnote>
  <w:footnote w:type="continuationNotice" w:id="1">
    <w:p w:rsidR="00A02900" w:rsidRDefault="00A02900">
      <w:pPr>
        <w:spacing w:after="0" w:line="240" w:lineRule="auto"/>
      </w:pPr>
    </w:p>
  </w:footnote>
  <w:footnote w:id="2">
    <w:p w:rsidR="000F2023" w:rsidRPr="00A240B6" w:rsidRDefault="000F2023" w:rsidP="00831D75">
      <w:pPr>
        <w:pStyle w:val="FootnoteText"/>
        <w:rPr>
          <w:szCs w:val="18"/>
        </w:rPr>
      </w:pPr>
      <w:r w:rsidRPr="00A240B6">
        <w:rPr>
          <w:rStyle w:val="FootnoteReference"/>
          <w:sz w:val="18"/>
          <w:szCs w:val="18"/>
        </w:rPr>
        <w:footnoteRef/>
      </w:r>
      <w:r w:rsidRPr="00A240B6">
        <w:rPr>
          <w:szCs w:val="18"/>
        </w:rPr>
        <w:t xml:space="preserve"> More information about NERC is available at </w:t>
      </w:r>
      <w:hyperlink r:id="rId1">
        <w:r w:rsidRPr="00A240B6">
          <w:rPr>
            <w:rStyle w:val="Hyperlink"/>
            <w:color w:val="auto"/>
            <w:szCs w:val="18"/>
          </w:rPr>
          <w:t>http://www.nerc.com/.</w:t>
        </w:r>
      </w:hyperlink>
      <w:r w:rsidRPr="00A240B6">
        <w:rPr>
          <w:szCs w:val="18"/>
        </w:rPr>
        <w:t xml:space="preserve"> See also the </w:t>
      </w:r>
      <w:r w:rsidRPr="00A240B6">
        <w:rPr>
          <w:i/>
          <w:szCs w:val="18"/>
        </w:rPr>
        <w:t xml:space="preserve">Northeast Power Coordinating Council (NPCC) Regional Reliability Reference Directory #1—Design and Operation of the Bulk Power System </w:t>
      </w:r>
      <w:r w:rsidRPr="00A240B6">
        <w:rPr>
          <w:szCs w:val="18"/>
        </w:rPr>
        <w:t xml:space="preserve">(December 1, 2009), </w:t>
      </w:r>
      <w:hyperlink r:id="rId2" w:history="1">
        <w:r w:rsidRPr="00A240B6">
          <w:rPr>
            <w:rStyle w:val="Hyperlink"/>
            <w:szCs w:val="18"/>
          </w:rPr>
          <w:t>https://www.npcc.org/Standards/Directories/Directory_1_TFCP_rev_20151001_GJD.pdf</w:t>
        </w:r>
      </w:hyperlink>
      <w:r w:rsidRPr="00A240B6">
        <w:rPr>
          <w:szCs w:val="18"/>
        </w:rPr>
        <w:t xml:space="preserve">; </w:t>
      </w:r>
      <w:r w:rsidRPr="00A240B6">
        <w:rPr>
          <w:i/>
          <w:szCs w:val="18"/>
        </w:rPr>
        <w:t xml:space="preserve">ISO-NE Planning Procedure 3—Reliability Standards for the New England Area Bulk Power Supply System </w:t>
      </w:r>
      <w:r w:rsidRPr="00A240B6">
        <w:rPr>
          <w:szCs w:val="18"/>
        </w:rPr>
        <w:t xml:space="preserve">(March 1, 2013), </w:t>
      </w:r>
      <w:hyperlink r:id="rId3" w:history="1">
        <w:r w:rsidRPr="00A240B6">
          <w:rPr>
            <w:rStyle w:val="Hyperlink"/>
            <w:szCs w:val="18"/>
          </w:rPr>
          <w:t>http://www.iso-ne.com/rules_proceds/isone_plan/pp03/pp3_final.pdf</w:t>
        </w:r>
      </w:hyperlink>
      <w:r w:rsidRPr="00A240B6">
        <w:rPr>
          <w:szCs w:val="18"/>
        </w:rPr>
        <w:t>;</w:t>
      </w:r>
      <w:r>
        <w:rPr>
          <w:szCs w:val="18"/>
        </w:rPr>
        <w:t xml:space="preserve"> and</w:t>
      </w:r>
      <w:r w:rsidRPr="00A240B6">
        <w:rPr>
          <w:szCs w:val="18"/>
        </w:rPr>
        <w:t xml:space="preserve"> </w:t>
      </w:r>
      <w:r w:rsidRPr="00A240B6">
        <w:rPr>
          <w:i/>
          <w:szCs w:val="18"/>
        </w:rPr>
        <w:t>New York State Reliability Council Reliability Rules and Compliance Manual</w:t>
      </w:r>
      <w:r w:rsidRPr="00A240B6">
        <w:rPr>
          <w:szCs w:val="18"/>
        </w:rPr>
        <w:t xml:space="preserve"> (August 14, 2015), </w:t>
      </w:r>
      <w:hyperlink r:id="rId4" w:history="1">
        <w:r w:rsidRPr="00A240B6">
          <w:rPr>
            <w:rStyle w:val="Hyperlink"/>
            <w:szCs w:val="18"/>
          </w:rPr>
          <w:t>http://www.nysrc.org/pdf/Reliability%20Rules%20Manuals/RRC%20Manual%20V35%20Final%208-14-15.pdf</w:t>
        </w:r>
      </w:hyperlink>
      <w:r w:rsidRPr="00A240B6">
        <w:rPr>
          <w:szCs w:val="18"/>
        </w:rPr>
        <w:t>.</w:t>
      </w:r>
    </w:p>
  </w:footnote>
  <w:footnote w:id="3">
    <w:p w:rsidR="000F2023" w:rsidRPr="00A240B6" w:rsidRDefault="000F2023">
      <w:pPr>
        <w:pStyle w:val="FootnoteText"/>
        <w:rPr>
          <w:szCs w:val="18"/>
          <w:u w:val="single"/>
        </w:rPr>
      </w:pPr>
      <w:r w:rsidRPr="00A240B6">
        <w:rPr>
          <w:rStyle w:val="FootnoteReference"/>
          <w:sz w:val="18"/>
          <w:szCs w:val="18"/>
        </w:rPr>
        <w:footnoteRef/>
      </w:r>
      <w:r w:rsidRPr="00A240B6">
        <w:rPr>
          <w:szCs w:val="18"/>
          <w:vertAlign w:val="superscript"/>
        </w:rPr>
        <w:t xml:space="preserve"> </w:t>
      </w:r>
      <w:r w:rsidRPr="00A240B6">
        <w:rPr>
          <w:rFonts w:eastAsia="Cambria" w:cs="Cambria"/>
          <w:szCs w:val="18"/>
        </w:rPr>
        <w:t>NYISO and PJM, and NYISO and ISO-NE, have coordinated transaction scheduling, which features scheduling every 15</w:t>
      </w:r>
      <w:r>
        <w:rPr>
          <w:rFonts w:eastAsia="Cambria" w:cs="Cambria"/>
          <w:szCs w:val="18"/>
        </w:rPr>
        <w:t> </w:t>
      </w:r>
      <w:r w:rsidRPr="00A240B6">
        <w:rPr>
          <w:rFonts w:eastAsia="Cambria" w:cs="Cambria"/>
          <w:szCs w:val="18"/>
        </w:rPr>
        <w:t>minutes, external transaction bidding, coordinated economic clearing of transactions, and the elimination of fees and charges for interface bids. See the NYISO webpage, “Markets &amp; Operations,” at http://www.nyiso.com/public/markets_operations/index.jsp.</w:t>
      </w:r>
    </w:p>
  </w:footnote>
  <w:footnote w:id="4">
    <w:p w:rsidR="000F2023" w:rsidRDefault="000F2023">
      <w:pPr>
        <w:pStyle w:val="FootnoteText"/>
      </w:pPr>
      <w:r>
        <w:rPr>
          <w:rStyle w:val="FootnoteReference"/>
        </w:rPr>
        <w:footnoteRef/>
      </w:r>
      <w:r>
        <w:t xml:space="preserve"> </w:t>
      </w:r>
      <w:r w:rsidRPr="00453DF0">
        <w:rPr>
          <w:rFonts w:cs="Times New Roman"/>
          <w:szCs w:val="18"/>
        </w:rPr>
        <w:t xml:space="preserve">FERC, </w:t>
      </w:r>
      <w:r w:rsidRPr="00453DF0">
        <w:rPr>
          <w:rFonts w:cs="Times New Roman"/>
          <w:i/>
          <w:szCs w:val="18"/>
        </w:rPr>
        <w:t>Transmission Planning and Cost Allocation by Transmission Owning and Operating Public Utilities</w:t>
      </w:r>
      <w:r w:rsidRPr="00453DF0">
        <w:rPr>
          <w:rFonts w:cs="Times New Roman"/>
          <w:szCs w:val="18"/>
        </w:rPr>
        <w:t>, Order No. 1000, 18 CFR Part 35, 136 FERC ¶ 61,051 (July 21, 2011) (Order No. 1000).</w:t>
      </w:r>
    </w:p>
  </w:footnote>
  <w:footnote w:id="5">
    <w:p w:rsidR="000F2023" w:rsidRPr="00A240B6" w:rsidRDefault="000F2023" w:rsidP="00003AB2">
      <w:pPr>
        <w:pStyle w:val="FootnoteText"/>
        <w:rPr>
          <w:rFonts w:eastAsia="Cambria" w:cs="Cambria"/>
          <w:szCs w:val="18"/>
        </w:rPr>
      </w:pPr>
      <w:r w:rsidRPr="00A240B6">
        <w:rPr>
          <w:rFonts w:eastAsia="Cambria" w:cs="Cambria"/>
          <w:szCs w:val="18"/>
          <w:vertAlign w:val="superscript"/>
        </w:rPr>
        <w:footnoteRef/>
      </w:r>
      <w:r w:rsidRPr="00A240B6">
        <w:rPr>
          <w:rFonts w:eastAsia="Cambria" w:cs="Cambria"/>
          <w:szCs w:val="18"/>
        </w:rPr>
        <w:t xml:space="preserve"> For compliance with NERC reliability standards, a </w:t>
      </w:r>
      <w:r w:rsidRPr="00A240B6">
        <w:rPr>
          <w:rFonts w:eastAsia="Cambria" w:cs="Cambria"/>
          <w:i/>
          <w:szCs w:val="18"/>
        </w:rPr>
        <w:t>balancing authority area</w:t>
      </w:r>
      <w:r w:rsidRPr="00A240B6">
        <w:rPr>
          <w:rFonts w:eastAsia="Cambria" w:cs="Cambria"/>
          <w:szCs w:val="18"/>
        </w:rPr>
        <w:t xml:space="preserve"> comprises the generation, transmission, and loads within metered boundaries for which a responsible entity (defined by NERC to be a balancing authority) integrates resource plans for that area, maintains the area's load-resource balance, and supports the area's interconnection frequency in real time. </w:t>
      </w:r>
    </w:p>
  </w:footnote>
  <w:footnote w:id="6">
    <w:p w:rsidR="000F2023" w:rsidRPr="00A240B6" w:rsidRDefault="000F2023" w:rsidP="00A641F4">
      <w:pPr>
        <w:pStyle w:val="FootnoteText"/>
        <w:rPr>
          <w:szCs w:val="18"/>
        </w:rPr>
      </w:pPr>
      <w:r w:rsidRPr="00A240B6">
        <w:rPr>
          <w:rStyle w:val="FootnoteReference"/>
          <w:sz w:val="18"/>
          <w:szCs w:val="18"/>
        </w:rPr>
        <w:footnoteRef/>
      </w:r>
      <w:r w:rsidRPr="00A240B6">
        <w:rPr>
          <w:szCs w:val="18"/>
        </w:rPr>
        <w:t xml:space="preserve"> PJM, NYISO, and ISO-NE, </w:t>
      </w:r>
      <w:r w:rsidRPr="00A240B6">
        <w:rPr>
          <w:i/>
          <w:szCs w:val="18"/>
        </w:rPr>
        <w:t>Amended and Restated Northeastern ISO/RTO Planning Coordination Protocol</w:t>
      </w:r>
      <w:r w:rsidRPr="00A240B6">
        <w:rPr>
          <w:szCs w:val="18"/>
        </w:rPr>
        <w:t xml:space="preserve"> (Amended Planning Protocol) (July 13, 2015), </w:t>
      </w:r>
      <w:hyperlink r:id="rId5" w:history="1">
        <w:r w:rsidRPr="00A240B6">
          <w:rPr>
            <w:rStyle w:val="Hyperlink"/>
            <w:szCs w:val="18"/>
          </w:rPr>
          <w:t>http://www.iso-ne.com/static-assets/documents/2015/07/northeastern_protocol_dmeast.doc</w:t>
        </w:r>
      </w:hyperlink>
      <w:r w:rsidRPr="00A240B6">
        <w:rPr>
          <w:szCs w:val="18"/>
        </w:rPr>
        <w:t>. Hydro-Québec TransÉnergie, the Independent Electric System Operator of Ontario (IESO), and</w:t>
      </w:r>
      <w:r w:rsidRPr="00A240B6">
        <w:rPr>
          <w:w w:val="99"/>
          <w:szCs w:val="18"/>
        </w:rPr>
        <w:t xml:space="preserve"> </w:t>
      </w:r>
      <w:r w:rsidRPr="00A240B6">
        <w:rPr>
          <w:szCs w:val="18"/>
        </w:rPr>
        <w:t>the Transmission and System Operator Division of New Brunswick Power participate in the protocol on a limited</w:t>
      </w:r>
      <w:r w:rsidRPr="00A240B6">
        <w:rPr>
          <w:w w:val="99"/>
          <w:szCs w:val="18"/>
        </w:rPr>
        <w:t xml:space="preserve"> </w:t>
      </w:r>
      <w:r w:rsidRPr="00A240B6">
        <w:rPr>
          <w:szCs w:val="18"/>
        </w:rPr>
        <w:t>basis to share data and information.</w:t>
      </w:r>
    </w:p>
  </w:footnote>
  <w:footnote w:id="7">
    <w:p w:rsidR="000F2023" w:rsidRPr="00A240B6" w:rsidRDefault="000F2023" w:rsidP="00FF526C">
      <w:pPr>
        <w:pStyle w:val="FootnoteText"/>
        <w:rPr>
          <w:szCs w:val="18"/>
          <w:u w:val="single" w:color="0000FF"/>
        </w:rPr>
      </w:pPr>
      <w:r w:rsidRPr="00A240B6">
        <w:rPr>
          <w:rStyle w:val="FootnoteReference"/>
          <w:sz w:val="18"/>
          <w:szCs w:val="18"/>
        </w:rPr>
        <w:footnoteRef/>
      </w:r>
      <w:r w:rsidRPr="00A240B6">
        <w:rPr>
          <w:szCs w:val="18"/>
          <w:vertAlign w:val="superscript"/>
        </w:rPr>
        <w:t xml:space="preserve"> </w:t>
      </w:r>
      <w:r w:rsidRPr="00A240B6">
        <w:rPr>
          <w:szCs w:val="18"/>
        </w:rPr>
        <w:t xml:space="preserve">All IPSAC presentations, studies, and other supporting material is available at each ISO/RTO’s website: </w:t>
      </w:r>
      <w:hyperlink r:id="rId6" w:history="1">
        <w:r w:rsidRPr="00A240B6">
          <w:rPr>
            <w:rStyle w:val="Hyperlink"/>
            <w:szCs w:val="18"/>
          </w:rPr>
          <w:t>http://www.pjm.com/committees-and-groups/stakeholder-meetings/stakeholder-groups/ipsac-ny-ne.aspx</w:t>
        </w:r>
      </w:hyperlink>
      <w:r w:rsidRPr="00A240B6">
        <w:rPr>
          <w:color w:val="auto"/>
          <w:szCs w:val="18"/>
        </w:rPr>
        <w:t>;</w:t>
      </w:r>
      <w:r w:rsidRPr="00A240B6">
        <w:rPr>
          <w:szCs w:val="18"/>
        </w:rPr>
        <w:t xml:space="preserve"> </w:t>
      </w:r>
      <w:hyperlink r:id="rId7" w:history="1">
        <w:r w:rsidRPr="00A240B6">
          <w:rPr>
            <w:rStyle w:val="Hyperlink"/>
            <w:szCs w:val="18"/>
          </w:rPr>
          <w:t>http://www.nyiso.com/public/markets_operations/services/planning/groups/ipsac/index.jsp</w:t>
        </w:r>
      </w:hyperlink>
      <w:r w:rsidRPr="00A240B6">
        <w:rPr>
          <w:szCs w:val="18"/>
        </w:rPr>
        <w:t xml:space="preserve">; and </w:t>
      </w:r>
      <w:hyperlink r:id="rId8" w:history="1">
        <w:r w:rsidRPr="00A240B6">
          <w:rPr>
            <w:rStyle w:val="Hyperlink"/>
            <w:szCs w:val="18"/>
          </w:rPr>
          <w:t>http://www.iso-ne.com/committees/planning/ipsac</w:t>
        </w:r>
      </w:hyperlink>
      <w:r w:rsidRPr="00A240B6">
        <w:rPr>
          <w:szCs w:val="18"/>
        </w:rPr>
        <w:t>.</w:t>
      </w:r>
    </w:p>
  </w:footnote>
  <w:footnote w:id="8">
    <w:p w:rsidR="000F2023" w:rsidRPr="00A240B6" w:rsidRDefault="000F2023" w:rsidP="00A240B6">
      <w:pPr>
        <w:pStyle w:val="FootnoteText"/>
        <w:rPr>
          <w:rFonts w:asciiTheme="majorHAnsi" w:hAnsiTheme="majorHAnsi"/>
          <w:szCs w:val="18"/>
        </w:rPr>
      </w:pPr>
      <w:r w:rsidRPr="00A240B6">
        <w:rPr>
          <w:rStyle w:val="FootnoteReference"/>
          <w:rFonts w:asciiTheme="majorHAnsi" w:hAnsiTheme="majorHAnsi"/>
          <w:sz w:val="18"/>
          <w:szCs w:val="18"/>
        </w:rPr>
        <w:footnoteRef/>
      </w:r>
      <w:r w:rsidRPr="00A240B6">
        <w:rPr>
          <w:rFonts w:asciiTheme="majorHAnsi" w:hAnsiTheme="majorHAnsi"/>
          <w:szCs w:val="18"/>
        </w:rPr>
        <w:t xml:space="preserve"> See (1) the Amended Planning Protocol; (2) ISO-NE, NYISO, and PJM, </w:t>
      </w:r>
      <w:r w:rsidRPr="00A240B6">
        <w:rPr>
          <w:rFonts w:asciiTheme="majorHAnsi" w:hAnsiTheme="majorHAnsi"/>
          <w:i/>
          <w:szCs w:val="18"/>
        </w:rPr>
        <w:t>Filing of Amended and Restated Northeastern ISO/RTO Planning Coordination Protocol on behalf of ISO New England Inc., New York Independent System Operator, Inc., and PJM Interconnection, L.L.C</w:t>
      </w:r>
      <w:r w:rsidRPr="00A240B6">
        <w:rPr>
          <w:rFonts w:asciiTheme="majorHAnsi" w:hAnsiTheme="majorHAnsi"/>
          <w:szCs w:val="18"/>
        </w:rPr>
        <w:t xml:space="preserve">., Docket No. ER13-___-000 (July 10, 2013), </w:t>
      </w:r>
      <w:hyperlink r:id="rId9" w:history="1">
        <w:r w:rsidRPr="00A240B6">
          <w:rPr>
            <w:rStyle w:val="Hyperlink"/>
            <w:rFonts w:asciiTheme="majorHAnsi" w:hAnsiTheme="majorHAnsi"/>
            <w:szCs w:val="18"/>
          </w:rPr>
          <w:t>http://www.iso-ne.com/regulatory/ferc/filings/2013/jul/er13-1957-000_7-10-2013_protocol.pdf</w:t>
        </w:r>
      </w:hyperlink>
      <w:r w:rsidRPr="00A240B6">
        <w:rPr>
          <w:rFonts w:asciiTheme="majorHAnsi" w:hAnsiTheme="majorHAnsi"/>
          <w:szCs w:val="18"/>
        </w:rPr>
        <w:t xml:space="preserve">; and (3) FERC, </w:t>
      </w:r>
      <w:r w:rsidRPr="00A240B6">
        <w:rPr>
          <w:rFonts w:asciiTheme="majorHAnsi" w:hAnsiTheme="majorHAnsi"/>
          <w:i/>
          <w:szCs w:val="18"/>
        </w:rPr>
        <w:t>Order 1000 Compliance Filing</w:t>
      </w:r>
      <w:r w:rsidRPr="00A240B6">
        <w:rPr>
          <w:rFonts w:asciiTheme="majorHAnsi" w:hAnsiTheme="majorHAnsi"/>
          <w:szCs w:val="18"/>
        </w:rPr>
        <w:t>, Docket Nos. ER13-1957-001, ER13-1942-001, ER13-1946-001, ER13-1960-001, ER13-1947-001, and ER15-2200-000, final order (November 19, 2015),</w:t>
      </w:r>
      <w:r w:rsidRPr="00A240B6">
        <w:rPr>
          <w:szCs w:val="18"/>
        </w:rPr>
        <w:t xml:space="preserve"> </w:t>
      </w:r>
      <w:hyperlink r:id="rId10" w:history="1">
        <w:r w:rsidRPr="00A240B6">
          <w:rPr>
            <w:rStyle w:val="Hyperlink"/>
            <w:rFonts w:asciiTheme="majorHAnsi" w:hAnsiTheme="majorHAnsi"/>
            <w:szCs w:val="18"/>
          </w:rPr>
          <w:t>http://www.iso-ne.com/static-assets/documents/2015/11/er13-1957-001_er13-1960-001_ltr_order_accept_regional_transmission_require_cost_allocation_order_1000.pdf</w:t>
        </w:r>
      </w:hyperlink>
      <w:r w:rsidRPr="00A240B6">
        <w:rPr>
          <w:rFonts w:asciiTheme="majorHAnsi" w:hAnsiTheme="majorHAnsi"/>
          <w:szCs w:val="18"/>
        </w:rPr>
        <w:t>. NYISO, PJM, and ISO-NE also made separate filings of tariff and agreement changes to reflect compliance with interregional requirements of Order No.</w:t>
      </w:r>
      <w:r>
        <w:rPr>
          <w:rFonts w:asciiTheme="majorHAnsi" w:hAnsiTheme="majorHAnsi"/>
          <w:szCs w:val="18"/>
        </w:rPr>
        <w:t> </w:t>
      </w:r>
      <w:r w:rsidRPr="00A240B6">
        <w:rPr>
          <w:rFonts w:asciiTheme="majorHAnsi" w:hAnsiTheme="majorHAnsi"/>
          <w:szCs w:val="18"/>
        </w:rPr>
        <w:t>1000.</w:t>
      </w:r>
    </w:p>
  </w:footnote>
  <w:footnote w:id="9">
    <w:p w:rsidR="000F2023" w:rsidRPr="00A240B6" w:rsidRDefault="000F2023" w:rsidP="00A240B6">
      <w:pPr>
        <w:pStyle w:val="FootnoteText"/>
        <w:rPr>
          <w:szCs w:val="18"/>
        </w:rPr>
      </w:pPr>
      <w:r w:rsidRPr="00A240B6">
        <w:rPr>
          <w:rStyle w:val="FootnoteReference"/>
          <w:sz w:val="18"/>
          <w:szCs w:val="18"/>
        </w:rPr>
        <w:footnoteRef/>
      </w:r>
      <w:r w:rsidRPr="00A240B6">
        <w:rPr>
          <w:rStyle w:val="FoonoteTextChar"/>
          <w:szCs w:val="18"/>
        </w:rPr>
        <w:t xml:space="preserve"> FERC, </w:t>
      </w:r>
      <w:r w:rsidRPr="00A240B6">
        <w:rPr>
          <w:rStyle w:val="FoonoteTextChar"/>
          <w:i/>
          <w:szCs w:val="18"/>
        </w:rPr>
        <w:t>Transmission Planning and Cost Allocation by Transmission Owning and Operating Public Utilities</w:t>
      </w:r>
      <w:r w:rsidRPr="00A240B6">
        <w:rPr>
          <w:rStyle w:val="FoonoteTextChar"/>
          <w:szCs w:val="18"/>
        </w:rPr>
        <w:t>, Order No. 1000, 18 CFR Part 35, 136 FERC ¶ 61,051 (July 21, 2011) (Order No. 1000). Also see additional Order No. 1000 filings and materials.</w:t>
      </w:r>
    </w:p>
  </w:footnote>
  <w:footnote w:id="10">
    <w:p w:rsidR="000F2023" w:rsidRPr="00A240B6" w:rsidRDefault="000F2023">
      <w:pPr>
        <w:pStyle w:val="FootnoteText"/>
        <w:rPr>
          <w:szCs w:val="18"/>
        </w:rPr>
      </w:pPr>
      <w:r w:rsidRPr="00A240B6">
        <w:rPr>
          <w:rStyle w:val="FootnoteReference"/>
          <w:sz w:val="18"/>
          <w:szCs w:val="18"/>
        </w:rPr>
        <w:footnoteRef/>
      </w:r>
      <w:r w:rsidRPr="00A240B6">
        <w:rPr>
          <w:szCs w:val="18"/>
        </w:rPr>
        <w:t xml:space="preserve"> FERC, </w:t>
      </w:r>
      <w:r w:rsidRPr="00A240B6">
        <w:rPr>
          <w:rFonts w:cs="Times New Roman"/>
          <w:i/>
          <w:szCs w:val="18"/>
        </w:rPr>
        <w:t>Preventing Undue Discrimination and Preference in Transmission Service</w:t>
      </w:r>
      <w:r w:rsidRPr="00A240B6">
        <w:rPr>
          <w:rFonts w:cs="Times New Roman"/>
          <w:szCs w:val="18"/>
        </w:rPr>
        <w:t>, Order No. 890, 18 CFR Parts 35 and 37, FERC Stats. and Regs. ¶ 31,241 (February 16, 2007).</w:t>
      </w:r>
    </w:p>
  </w:footnote>
  <w:footnote w:id="11">
    <w:p w:rsidR="000F2023" w:rsidRDefault="000F2023">
      <w:pPr>
        <w:pStyle w:val="FootnoteText"/>
      </w:pPr>
      <w:r>
        <w:rPr>
          <w:rStyle w:val="FootnoteReference"/>
        </w:rPr>
        <w:footnoteRef/>
      </w:r>
      <w:r>
        <w:t xml:space="preserve"> </w:t>
      </w:r>
      <w:r w:rsidRPr="00A240B6">
        <w:rPr>
          <w:szCs w:val="18"/>
        </w:rPr>
        <w:t xml:space="preserve">PJM, NYISO, and ISO-NE, </w:t>
      </w:r>
      <w:r w:rsidRPr="00A240B6">
        <w:rPr>
          <w:i/>
          <w:szCs w:val="18"/>
        </w:rPr>
        <w:t>Amended and Restated Northeastern ISO/RTO Planning Coordination Protocol</w:t>
      </w:r>
      <w:r w:rsidRPr="00A240B6">
        <w:rPr>
          <w:szCs w:val="18"/>
        </w:rPr>
        <w:t xml:space="preserve"> (Amended Planning Protocol) (July 13, 2015), </w:t>
      </w:r>
      <w:hyperlink r:id="rId11" w:history="1">
        <w:r w:rsidRPr="00A240B6">
          <w:rPr>
            <w:rStyle w:val="Hyperlink"/>
            <w:szCs w:val="18"/>
          </w:rPr>
          <w:t>http://www.iso-ne.com/static-assets/documents/2015/07/northeastern_protocol_dmeast.doc</w:t>
        </w:r>
      </w:hyperlink>
      <w:r w:rsidRPr="00A240B6">
        <w:rPr>
          <w:szCs w:val="18"/>
        </w:rPr>
        <w:t>.</w:t>
      </w:r>
    </w:p>
  </w:footnote>
  <w:footnote w:id="12">
    <w:p w:rsidR="000F2023" w:rsidRPr="00A240B6" w:rsidRDefault="000F2023" w:rsidP="00894400">
      <w:pPr>
        <w:pStyle w:val="FootnoteText"/>
        <w:rPr>
          <w:color w:val="auto"/>
          <w:szCs w:val="18"/>
        </w:rPr>
      </w:pPr>
      <w:r w:rsidRPr="00A240B6">
        <w:rPr>
          <w:rStyle w:val="FootnoteReference"/>
          <w:color w:val="auto"/>
          <w:sz w:val="18"/>
          <w:szCs w:val="18"/>
        </w:rPr>
        <w:footnoteRef/>
      </w:r>
      <w:r w:rsidRPr="00A240B6">
        <w:rPr>
          <w:color w:val="auto"/>
          <w:szCs w:val="18"/>
        </w:rPr>
        <w:t xml:space="preserve"> See,</w:t>
      </w:r>
      <w:r w:rsidRPr="00A240B6">
        <w:rPr>
          <w:color w:val="auto"/>
          <w:spacing w:val="-4"/>
          <w:szCs w:val="18"/>
        </w:rPr>
        <w:t xml:space="preserve"> </w:t>
      </w:r>
      <w:r w:rsidRPr="00A240B6">
        <w:rPr>
          <w:color w:val="auto"/>
          <w:spacing w:val="-1"/>
          <w:szCs w:val="18"/>
        </w:rPr>
        <w:t>generally,</w:t>
      </w:r>
      <w:r w:rsidRPr="00A240B6">
        <w:rPr>
          <w:color w:val="auto"/>
          <w:spacing w:val="-3"/>
          <w:szCs w:val="18"/>
        </w:rPr>
        <w:t xml:space="preserve"> </w:t>
      </w:r>
      <w:r>
        <w:rPr>
          <w:color w:val="auto"/>
          <w:spacing w:val="-3"/>
          <w:szCs w:val="18"/>
        </w:rPr>
        <w:t xml:space="preserve">FERC </w:t>
      </w:r>
      <w:r w:rsidRPr="00A240B6">
        <w:rPr>
          <w:color w:val="auto"/>
          <w:spacing w:val="-1"/>
          <w:szCs w:val="18"/>
        </w:rPr>
        <w:t>Order</w:t>
      </w:r>
      <w:r w:rsidRPr="00A240B6">
        <w:rPr>
          <w:color w:val="auto"/>
          <w:spacing w:val="-5"/>
          <w:szCs w:val="18"/>
        </w:rPr>
        <w:t xml:space="preserve"> No. </w:t>
      </w:r>
      <w:r w:rsidRPr="00A240B6">
        <w:rPr>
          <w:color w:val="auto"/>
          <w:szCs w:val="18"/>
        </w:rPr>
        <w:t>1000</w:t>
      </w:r>
      <w:r w:rsidRPr="00A240B6">
        <w:rPr>
          <w:color w:val="auto"/>
          <w:spacing w:val="-4"/>
          <w:szCs w:val="18"/>
        </w:rPr>
        <w:t xml:space="preserve"> </w:t>
      </w:r>
      <w:r w:rsidRPr="00A240B6">
        <w:rPr>
          <w:color w:val="auto"/>
          <w:szCs w:val="18"/>
        </w:rPr>
        <w:t>at</w:t>
      </w:r>
      <w:r w:rsidRPr="00A240B6">
        <w:rPr>
          <w:color w:val="auto"/>
          <w:spacing w:val="-3"/>
          <w:szCs w:val="18"/>
        </w:rPr>
        <w:t xml:space="preserve"> </w:t>
      </w:r>
      <w:r w:rsidRPr="00A240B6">
        <w:rPr>
          <w:color w:val="auto"/>
          <w:spacing w:val="-1"/>
          <w:szCs w:val="18"/>
        </w:rPr>
        <w:t>¶¶</w:t>
      </w:r>
      <w:r w:rsidRPr="00A240B6">
        <w:rPr>
          <w:color w:val="auto"/>
          <w:spacing w:val="-5"/>
          <w:szCs w:val="18"/>
        </w:rPr>
        <w:t xml:space="preserve"> </w:t>
      </w:r>
      <w:r w:rsidRPr="00A240B6">
        <w:rPr>
          <w:color w:val="auto"/>
          <w:szCs w:val="18"/>
        </w:rPr>
        <w:t>612-685 (http://www.ferc.gov/whats-new/comm-meet/2011/072111/E-6.pdf).</w:t>
      </w:r>
    </w:p>
  </w:footnote>
  <w:footnote w:id="13">
    <w:p w:rsidR="000F2023" w:rsidRPr="00A240B6" w:rsidRDefault="000F2023" w:rsidP="00160474">
      <w:pPr>
        <w:pStyle w:val="FootnoteText"/>
        <w:rPr>
          <w:szCs w:val="18"/>
        </w:rPr>
      </w:pPr>
      <w:r w:rsidRPr="00A240B6">
        <w:rPr>
          <w:rStyle w:val="FootnoteReference"/>
          <w:sz w:val="18"/>
          <w:szCs w:val="18"/>
        </w:rPr>
        <w:footnoteRef/>
      </w:r>
      <w:r w:rsidRPr="00A240B6">
        <w:rPr>
          <w:szCs w:val="18"/>
        </w:rPr>
        <w:t xml:space="preserve"> </w:t>
      </w:r>
      <w:r w:rsidRPr="00A240B6">
        <w:rPr>
          <w:i/>
          <w:spacing w:val="-1"/>
          <w:szCs w:val="18"/>
        </w:rPr>
        <w:t>See</w:t>
      </w:r>
      <w:r w:rsidRPr="00A240B6">
        <w:rPr>
          <w:i/>
          <w:spacing w:val="-3"/>
          <w:szCs w:val="18"/>
        </w:rPr>
        <w:t xml:space="preserve"> </w:t>
      </w:r>
      <w:r w:rsidRPr="00A240B6">
        <w:rPr>
          <w:spacing w:val="-1"/>
          <w:szCs w:val="18"/>
        </w:rPr>
        <w:t>the pertinent</w:t>
      </w:r>
      <w:r w:rsidRPr="00A240B6">
        <w:rPr>
          <w:spacing w:val="-3"/>
          <w:szCs w:val="18"/>
        </w:rPr>
        <w:t xml:space="preserve"> </w:t>
      </w:r>
      <w:r w:rsidRPr="00A240B6">
        <w:rPr>
          <w:spacing w:val="-1"/>
          <w:szCs w:val="18"/>
        </w:rPr>
        <w:t>portions</w:t>
      </w:r>
      <w:r w:rsidRPr="00A240B6">
        <w:rPr>
          <w:spacing w:val="-4"/>
          <w:szCs w:val="18"/>
        </w:rPr>
        <w:t xml:space="preserve"> </w:t>
      </w:r>
      <w:r w:rsidRPr="00A240B6">
        <w:rPr>
          <w:szCs w:val="18"/>
        </w:rPr>
        <w:t>of</w:t>
      </w:r>
      <w:r w:rsidRPr="00A240B6">
        <w:rPr>
          <w:spacing w:val="-2"/>
          <w:szCs w:val="18"/>
        </w:rPr>
        <w:t xml:space="preserve"> the</w:t>
      </w:r>
      <w:r w:rsidRPr="00A240B6">
        <w:rPr>
          <w:spacing w:val="-1"/>
          <w:szCs w:val="18"/>
        </w:rPr>
        <w:t xml:space="preserve"> July 10,</w:t>
      </w:r>
      <w:r w:rsidRPr="00A240B6">
        <w:rPr>
          <w:spacing w:val="-3"/>
          <w:szCs w:val="18"/>
        </w:rPr>
        <w:t xml:space="preserve"> </w:t>
      </w:r>
      <w:r w:rsidRPr="00A240B6">
        <w:rPr>
          <w:spacing w:val="-1"/>
          <w:szCs w:val="18"/>
        </w:rPr>
        <w:t>2013, filings</w:t>
      </w:r>
      <w:r w:rsidRPr="00A240B6">
        <w:rPr>
          <w:spacing w:val="-3"/>
          <w:szCs w:val="18"/>
        </w:rPr>
        <w:t xml:space="preserve"> </w:t>
      </w:r>
      <w:r w:rsidRPr="00A240B6">
        <w:rPr>
          <w:szCs w:val="18"/>
        </w:rPr>
        <w:t>in</w:t>
      </w:r>
      <w:r w:rsidRPr="00A240B6">
        <w:rPr>
          <w:spacing w:val="-3"/>
          <w:szCs w:val="18"/>
        </w:rPr>
        <w:t xml:space="preserve"> </w:t>
      </w:r>
      <w:r w:rsidRPr="00A240B6">
        <w:rPr>
          <w:spacing w:val="-1"/>
          <w:szCs w:val="18"/>
        </w:rPr>
        <w:t>FERC</w:t>
      </w:r>
      <w:r w:rsidRPr="00A240B6">
        <w:rPr>
          <w:spacing w:val="-3"/>
          <w:szCs w:val="18"/>
        </w:rPr>
        <w:t xml:space="preserve"> </w:t>
      </w:r>
      <w:r w:rsidRPr="00A240B6">
        <w:rPr>
          <w:spacing w:val="-1"/>
          <w:szCs w:val="18"/>
        </w:rPr>
        <w:t>Docket</w:t>
      </w:r>
      <w:r w:rsidRPr="00A240B6">
        <w:rPr>
          <w:spacing w:val="-3"/>
          <w:szCs w:val="18"/>
        </w:rPr>
        <w:t xml:space="preserve"> </w:t>
      </w:r>
      <w:r w:rsidRPr="00A240B6">
        <w:rPr>
          <w:spacing w:val="-1"/>
          <w:szCs w:val="18"/>
        </w:rPr>
        <w:t>Nos.</w:t>
      </w:r>
      <w:r w:rsidRPr="00A240B6">
        <w:rPr>
          <w:spacing w:val="-3"/>
          <w:szCs w:val="18"/>
        </w:rPr>
        <w:t xml:space="preserve"> </w:t>
      </w:r>
      <w:r w:rsidRPr="00A240B6">
        <w:rPr>
          <w:spacing w:val="-1"/>
          <w:szCs w:val="18"/>
        </w:rPr>
        <w:t>ER13-1926</w:t>
      </w:r>
      <w:r w:rsidRPr="00A240B6">
        <w:rPr>
          <w:spacing w:val="-3"/>
          <w:szCs w:val="18"/>
        </w:rPr>
        <w:t xml:space="preserve"> </w:t>
      </w:r>
      <w:r w:rsidRPr="00A240B6">
        <w:rPr>
          <w:spacing w:val="-1"/>
          <w:szCs w:val="18"/>
        </w:rPr>
        <w:t>(PJM</w:t>
      </w:r>
      <w:r w:rsidRPr="00A240B6">
        <w:rPr>
          <w:spacing w:val="-3"/>
          <w:szCs w:val="18"/>
        </w:rPr>
        <w:t xml:space="preserve"> </w:t>
      </w:r>
      <w:r w:rsidRPr="00A240B6">
        <w:rPr>
          <w:spacing w:val="-1"/>
          <w:szCs w:val="18"/>
        </w:rPr>
        <w:t>transmission</w:t>
      </w:r>
      <w:r w:rsidRPr="00A240B6">
        <w:rPr>
          <w:spacing w:val="-2"/>
          <w:szCs w:val="18"/>
        </w:rPr>
        <w:t xml:space="preserve"> </w:t>
      </w:r>
      <w:r w:rsidRPr="00A240B6">
        <w:rPr>
          <w:spacing w:val="-1"/>
          <w:szCs w:val="18"/>
        </w:rPr>
        <w:t>owners),</w:t>
      </w:r>
      <w:r w:rsidRPr="00A240B6">
        <w:rPr>
          <w:spacing w:val="-2"/>
          <w:szCs w:val="18"/>
        </w:rPr>
        <w:t xml:space="preserve"> </w:t>
      </w:r>
      <w:r w:rsidRPr="00A240B6">
        <w:rPr>
          <w:spacing w:val="-1"/>
          <w:szCs w:val="18"/>
        </w:rPr>
        <w:t>ER13-</w:t>
      </w:r>
      <w:r w:rsidRPr="00A240B6">
        <w:rPr>
          <w:spacing w:val="111"/>
          <w:szCs w:val="18"/>
        </w:rPr>
        <w:t xml:space="preserve"> </w:t>
      </w:r>
      <w:r w:rsidRPr="00A240B6">
        <w:rPr>
          <w:szCs w:val="18"/>
        </w:rPr>
        <w:t>1942</w:t>
      </w:r>
      <w:r w:rsidRPr="00A240B6">
        <w:rPr>
          <w:spacing w:val="-6"/>
          <w:szCs w:val="18"/>
        </w:rPr>
        <w:t xml:space="preserve"> </w:t>
      </w:r>
      <w:r w:rsidRPr="00A240B6">
        <w:rPr>
          <w:spacing w:val="-1"/>
          <w:szCs w:val="18"/>
        </w:rPr>
        <w:t>(NYISO</w:t>
      </w:r>
      <w:r w:rsidRPr="00A240B6">
        <w:rPr>
          <w:spacing w:val="-3"/>
          <w:szCs w:val="18"/>
        </w:rPr>
        <w:t xml:space="preserve"> </w:t>
      </w:r>
      <w:r w:rsidRPr="00A240B6">
        <w:rPr>
          <w:spacing w:val="-1"/>
          <w:szCs w:val="18"/>
        </w:rPr>
        <w:t>transmission</w:t>
      </w:r>
      <w:r w:rsidRPr="00A240B6">
        <w:rPr>
          <w:spacing w:val="-4"/>
          <w:szCs w:val="18"/>
        </w:rPr>
        <w:t xml:space="preserve"> </w:t>
      </w:r>
      <w:r w:rsidRPr="00A240B6">
        <w:rPr>
          <w:spacing w:val="-1"/>
          <w:szCs w:val="18"/>
        </w:rPr>
        <w:t>owners),</w:t>
      </w:r>
      <w:r w:rsidRPr="00A240B6">
        <w:rPr>
          <w:spacing w:val="-3"/>
          <w:szCs w:val="18"/>
        </w:rPr>
        <w:t xml:space="preserve"> </w:t>
      </w:r>
      <w:r w:rsidRPr="00A240B6">
        <w:rPr>
          <w:spacing w:val="-1"/>
          <w:szCs w:val="18"/>
        </w:rPr>
        <w:t>and</w:t>
      </w:r>
      <w:r w:rsidRPr="00A240B6">
        <w:rPr>
          <w:spacing w:val="-2"/>
          <w:szCs w:val="18"/>
        </w:rPr>
        <w:t xml:space="preserve"> </w:t>
      </w:r>
      <w:r w:rsidRPr="00A240B6">
        <w:rPr>
          <w:spacing w:val="-1"/>
          <w:szCs w:val="18"/>
        </w:rPr>
        <w:t>ER13-1960</w:t>
      </w:r>
      <w:r w:rsidRPr="00A240B6">
        <w:rPr>
          <w:spacing w:val="-3"/>
          <w:szCs w:val="18"/>
        </w:rPr>
        <w:t xml:space="preserve"> </w:t>
      </w:r>
      <w:r w:rsidRPr="00A240B6">
        <w:rPr>
          <w:spacing w:val="-1"/>
          <w:szCs w:val="18"/>
        </w:rPr>
        <w:t>(ISO-NE</w:t>
      </w:r>
      <w:r w:rsidRPr="00A240B6">
        <w:rPr>
          <w:spacing w:val="-4"/>
          <w:szCs w:val="18"/>
        </w:rPr>
        <w:t xml:space="preserve"> </w:t>
      </w:r>
      <w:r w:rsidRPr="00A240B6">
        <w:rPr>
          <w:spacing w:val="-1"/>
          <w:szCs w:val="18"/>
        </w:rPr>
        <w:t>transmission</w:t>
      </w:r>
      <w:r w:rsidRPr="00A240B6">
        <w:rPr>
          <w:spacing w:val="-4"/>
          <w:szCs w:val="18"/>
        </w:rPr>
        <w:t xml:space="preserve"> </w:t>
      </w:r>
      <w:r w:rsidRPr="00A240B6">
        <w:rPr>
          <w:spacing w:val="-1"/>
          <w:szCs w:val="18"/>
        </w:rPr>
        <w:t xml:space="preserve">owners). </w:t>
      </w:r>
    </w:p>
  </w:footnote>
  <w:footnote w:id="14">
    <w:p w:rsidR="000F2023" w:rsidRPr="00A240B6" w:rsidRDefault="000F2023" w:rsidP="005B4D7B">
      <w:pPr>
        <w:pStyle w:val="FootnoteText"/>
        <w:rPr>
          <w:szCs w:val="18"/>
        </w:rPr>
      </w:pPr>
      <w:r w:rsidRPr="00A240B6">
        <w:rPr>
          <w:rStyle w:val="FootnoteReference"/>
          <w:sz w:val="18"/>
          <w:szCs w:val="18"/>
        </w:rPr>
        <w:footnoteRef/>
      </w:r>
      <w:r w:rsidRPr="00A240B6">
        <w:rPr>
          <w:szCs w:val="18"/>
        </w:rPr>
        <w:t xml:space="preserve"> IPSAC is an open stakeholder group that supports the comprehensive interregional planning process implemented by </w:t>
      </w:r>
      <w:r w:rsidRPr="00C22359">
        <w:rPr>
          <w:szCs w:val="18"/>
        </w:rPr>
        <w:t xml:space="preserve">the three ISO/RTOs under the </w:t>
      </w:r>
      <w:r w:rsidRPr="00C22359">
        <w:rPr>
          <w:i/>
          <w:szCs w:val="18"/>
        </w:rPr>
        <w:t>Amended Planning Protocol</w:t>
      </w:r>
      <w:r w:rsidRPr="00C22359">
        <w:rPr>
          <w:szCs w:val="18"/>
        </w:rPr>
        <w:t>. ISO-NE materials for the</w:t>
      </w:r>
      <w:r w:rsidRPr="00A240B6">
        <w:rPr>
          <w:szCs w:val="18"/>
        </w:rPr>
        <w:t xml:space="preserve"> IPSAC </w:t>
      </w:r>
      <w:r w:rsidRPr="00CB3FB1">
        <w:rPr>
          <w:color w:val="auto"/>
          <w:szCs w:val="18"/>
        </w:rPr>
        <w:t xml:space="preserve">meetings are posted at </w:t>
      </w:r>
      <w:hyperlink r:id="rId12">
        <w:r w:rsidRPr="00CB3FB1">
          <w:rPr>
            <w:color w:val="auto"/>
            <w:szCs w:val="18"/>
          </w:rPr>
          <w:t>http://www.iso-</w:t>
        </w:r>
      </w:hyperlink>
      <w:hyperlink r:id="rId13">
        <w:r w:rsidRPr="00CB3FB1">
          <w:rPr>
            <w:color w:val="auto"/>
            <w:szCs w:val="18"/>
          </w:rPr>
          <w:t xml:space="preserve"> ne.com/committees/comm_wkgrps/othr/ipsac/mtrls/index.html.</w:t>
        </w:r>
      </w:hyperlink>
      <w:r w:rsidRPr="00CB3FB1">
        <w:rPr>
          <w:color w:val="auto"/>
          <w:szCs w:val="18"/>
        </w:rPr>
        <w:t xml:space="preserve"> PJM </w:t>
      </w:r>
      <w:r w:rsidRPr="00A240B6">
        <w:rPr>
          <w:szCs w:val="18"/>
        </w:rPr>
        <w:t xml:space="preserve">materials are posted at </w:t>
      </w:r>
      <w:hyperlink r:id="rId14" w:history="1">
        <w:r w:rsidRPr="00A240B6">
          <w:rPr>
            <w:rStyle w:val="Hyperlink"/>
            <w:szCs w:val="18"/>
          </w:rPr>
          <w:t>http://www.pjm.com/committees-and-groups/stakeholder-meetings/stakeholder-groups/ipsac-midwest.aspx</w:t>
        </w:r>
      </w:hyperlink>
      <w:r w:rsidRPr="00A240B6">
        <w:rPr>
          <w:szCs w:val="18"/>
        </w:rPr>
        <w:t xml:space="preserve">. NYISO materials are posted at </w:t>
      </w:r>
      <w:hyperlink r:id="rId15" w:history="1">
        <w:r w:rsidRPr="00A240B6">
          <w:rPr>
            <w:rStyle w:val="Hyperlink"/>
            <w:szCs w:val="18"/>
          </w:rPr>
          <w:t>http://www.nyiso.com/public/committees/documents.jsp?com=oc_ipsac</w:t>
        </w:r>
      </w:hyperlink>
      <w:r w:rsidRPr="00A240B6">
        <w:rPr>
          <w:szCs w:val="18"/>
        </w:rPr>
        <w:t xml:space="preserve">. For </w:t>
      </w:r>
      <w:r w:rsidRPr="00A240B6">
        <w:rPr>
          <w:spacing w:val="-1"/>
          <w:szCs w:val="18"/>
        </w:rPr>
        <w:t>access to the protected NYISO IPSAC site, please contact the NYISO Customer Service Department at (518) 356-6060 or http://www.nyiso.com/public/services/customer_relations/index.jsp.</w:t>
      </w:r>
    </w:p>
  </w:footnote>
  <w:footnote w:id="15">
    <w:p w:rsidR="000F2023" w:rsidRDefault="000F2023">
      <w:pPr>
        <w:pStyle w:val="FootnoteText"/>
      </w:pPr>
      <w:r w:rsidRPr="000E4687">
        <w:rPr>
          <w:rStyle w:val="FootnoteReference"/>
        </w:rPr>
        <w:footnoteRef/>
      </w:r>
      <w:r w:rsidRPr="000E4687">
        <w:t xml:space="preserve"> </w:t>
      </w:r>
      <w:r>
        <w:t xml:space="preserve">FERC, </w:t>
      </w:r>
      <w:r w:rsidRPr="000E4687">
        <w:t xml:space="preserve">Docket Nos. ER13-1957-001, ER13-1942-001, ER13-1946-001, ER13-1960-001, ER13-1947-001, and ER15-2200-000, </w:t>
      </w:r>
      <w:r w:rsidRPr="000E4687">
        <w:rPr>
          <w:i/>
        </w:rPr>
        <w:t>Acceptance for Filing</w:t>
      </w:r>
      <w:r w:rsidRPr="000E4687">
        <w:t xml:space="preserve"> (November 19, 2015</w:t>
      </w:r>
      <w:r w:rsidRPr="008E0956">
        <w:t>); see also ISO New England Inc.,</w:t>
      </w:r>
      <w:r w:rsidRPr="000E4687">
        <w:t xml:space="preserve"> 151 FERC ¶ 61,133 (2015).</w:t>
      </w:r>
    </w:p>
  </w:footnote>
  <w:footnote w:id="16">
    <w:p w:rsidR="000F2023" w:rsidRPr="00A240B6" w:rsidRDefault="000F2023" w:rsidP="00894400">
      <w:pPr>
        <w:pStyle w:val="FootnoteText"/>
        <w:rPr>
          <w:rFonts w:asciiTheme="majorHAnsi" w:hAnsiTheme="majorHAnsi"/>
          <w:szCs w:val="18"/>
        </w:rPr>
      </w:pPr>
      <w:r w:rsidRPr="00A240B6">
        <w:rPr>
          <w:rStyle w:val="FootnoteReference"/>
          <w:rFonts w:asciiTheme="majorHAnsi" w:hAnsiTheme="majorHAnsi"/>
          <w:sz w:val="18"/>
          <w:szCs w:val="18"/>
        </w:rPr>
        <w:footnoteRef/>
      </w:r>
      <w:r w:rsidRPr="00A240B6">
        <w:rPr>
          <w:rFonts w:asciiTheme="majorHAnsi" w:hAnsiTheme="majorHAnsi"/>
          <w:szCs w:val="18"/>
        </w:rPr>
        <w:t xml:space="preserve"> Obtaining a PJM account and sign in enables easy access to training, committee activities, notifications, and in-person/WebEx meetings. Find this resource on the PJM home page at</w:t>
      </w:r>
      <w:r w:rsidRPr="00A240B6">
        <w:rPr>
          <w:szCs w:val="18"/>
        </w:rPr>
        <w:t xml:space="preserve"> </w:t>
      </w:r>
      <w:r w:rsidRPr="00A240B6">
        <w:rPr>
          <w:rFonts w:asciiTheme="majorHAnsi" w:hAnsiTheme="majorHAnsi"/>
          <w:szCs w:val="18"/>
        </w:rPr>
        <w:t>http://www.pjm.com/.</w:t>
      </w:r>
    </w:p>
  </w:footnote>
  <w:footnote w:id="17">
    <w:p w:rsidR="000F2023" w:rsidRPr="00A240B6" w:rsidRDefault="000F2023" w:rsidP="00894400">
      <w:pPr>
        <w:pStyle w:val="FootnoteText"/>
        <w:rPr>
          <w:rFonts w:asciiTheme="majorHAnsi" w:hAnsiTheme="majorHAnsi"/>
          <w:szCs w:val="18"/>
        </w:rPr>
      </w:pPr>
      <w:r w:rsidRPr="00A240B6">
        <w:rPr>
          <w:rStyle w:val="FootnoteReference"/>
          <w:rFonts w:asciiTheme="majorHAnsi" w:hAnsiTheme="majorHAnsi"/>
          <w:sz w:val="18"/>
          <w:szCs w:val="18"/>
        </w:rPr>
        <w:footnoteRef/>
      </w:r>
      <w:r w:rsidRPr="00A240B6">
        <w:rPr>
          <w:rFonts w:asciiTheme="majorHAnsi" w:hAnsiTheme="majorHAnsi"/>
          <w:szCs w:val="18"/>
        </w:rPr>
        <w:t xml:space="preserve"> </w:t>
      </w:r>
      <w:r>
        <w:rPr>
          <w:rFonts w:asciiTheme="majorHAnsi" w:hAnsiTheme="majorHAnsi"/>
          <w:szCs w:val="18"/>
        </w:rPr>
        <w:t>I</w:t>
      </w:r>
      <w:r w:rsidRPr="00A240B6">
        <w:rPr>
          <w:rFonts w:asciiTheme="majorHAnsi" w:hAnsiTheme="majorHAnsi"/>
          <w:szCs w:val="18"/>
        </w:rPr>
        <w:t xml:space="preserve">nformation </w:t>
      </w:r>
      <w:r>
        <w:rPr>
          <w:rFonts w:asciiTheme="majorHAnsi" w:hAnsiTheme="majorHAnsi"/>
          <w:szCs w:val="18"/>
        </w:rPr>
        <w:t xml:space="preserve">on PJM’s TEAC </w:t>
      </w:r>
      <w:r w:rsidRPr="00A240B6">
        <w:rPr>
          <w:rFonts w:asciiTheme="majorHAnsi" w:hAnsiTheme="majorHAnsi"/>
          <w:szCs w:val="18"/>
        </w:rPr>
        <w:t xml:space="preserve">is available at </w:t>
      </w:r>
      <w:hyperlink r:id="rId16" w:history="1">
        <w:r w:rsidRPr="00A240B6">
          <w:rPr>
            <w:rFonts w:asciiTheme="majorHAnsi" w:hAnsiTheme="majorHAnsi"/>
            <w:szCs w:val="18"/>
          </w:rPr>
          <w:t>http://pjm.com/committees-and-groups/committees/teac.aspx</w:t>
        </w:r>
      </w:hyperlink>
      <w:r w:rsidRPr="00A240B6">
        <w:rPr>
          <w:rFonts w:asciiTheme="majorHAnsi" w:hAnsiTheme="majorHAnsi"/>
          <w:szCs w:val="18"/>
        </w:rPr>
        <w:t>.</w:t>
      </w:r>
    </w:p>
  </w:footnote>
  <w:footnote w:id="18">
    <w:p w:rsidR="000F2023" w:rsidRPr="00A240B6" w:rsidRDefault="000F2023" w:rsidP="00894400">
      <w:pPr>
        <w:pStyle w:val="FootnoteText"/>
        <w:rPr>
          <w:szCs w:val="18"/>
        </w:rPr>
      </w:pPr>
      <w:r w:rsidRPr="00A240B6">
        <w:rPr>
          <w:rStyle w:val="FootnoteReference"/>
          <w:sz w:val="18"/>
          <w:szCs w:val="18"/>
        </w:rPr>
        <w:footnoteRef/>
      </w:r>
      <w:r w:rsidRPr="00A240B6">
        <w:rPr>
          <w:szCs w:val="18"/>
        </w:rPr>
        <w:t xml:space="preserve"> Information on </w:t>
      </w:r>
      <w:r>
        <w:rPr>
          <w:szCs w:val="18"/>
        </w:rPr>
        <w:t xml:space="preserve">PJM’s </w:t>
      </w:r>
      <w:r w:rsidRPr="00A240B6">
        <w:rPr>
          <w:szCs w:val="18"/>
        </w:rPr>
        <w:t xml:space="preserve">RTEP and related reports is available at </w:t>
      </w:r>
      <w:hyperlink r:id="rId17" w:history="1">
        <w:r w:rsidRPr="00A240B6">
          <w:rPr>
            <w:rStyle w:val="Hyperlink"/>
            <w:szCs w:val="18"/>
          </w:rPr>
          <w:t>http://pjm.com/documents/reports/rtep-documents.aspx</w:t>
        </w:r>
      </w:hyperlink>
      <w:r w:rsidRPr="00A240B6">
        <w:rPr>
          <w:szCs w:val="18"/>
        </w:rPr>
        <w:t>.</w:t>
      </w:r>
    </w:p>
  </w:footnote>
  <w:footnote w:id="19">
    <w:p w:rsidR="000F2023" w:rsidRPr="00A240B6" w:rsidRDefault="000F2023" w:rsidP="00894400">
      <w:pPr>
        <w:pStyle w:val="FootnoteText"/>
        <w:rPr>
          <w:szCs w:val="18"/>
        </w:rPr>
      </w:pPr>
      <w:r w:rsidRPr="00A240B6">
        <w:rPr>
          <w:rStyle w:val="FootnoteReference"/>
          <w:sz w:val="18"/>
          <w:szCs w:val="18"/>
        </w:rPr>
        <w:footnoteRef/>
      </w:r>
      <w:r w:rsidRPr="00A240B6">
        <w:rPr>
          <w:szCs w:val="18"/>
        </w:rPr>
        <w:t xml:space="preserve"> Information on these changes is available at PJM’s “Load Forecast Development Process,” webpage; </w:t>
      </w:r>
      <w:hyperlink r:id="rId18" w:history="1">
        <w:r w:rsidRPr="00A240B6">
          <w:rPr>
            <w:rStyle w:val="Hyperlink"/>
            <w:szCs w:val="18"/>
          </w:rPr>
          <w:t>http://www.pjm.com/planning/resource-adequacy-planning/load-forecast-dev-process.aspx</w:t>
        </w:r>
      </w:hyperlink>
      <w:r w:rsidRPr="00A240B6">
        <w:rPr>
          <w:szCs w:val="18"/>
        </w:rPr>
        <w:t>.</w:t>
      </w:r>
    </w:p>
  </w:footnote>
  <w:footnote w:id="20">
    <w:p w:rsidR="000F2023" w:rsidRPr="00A240B6" w:rsidRDefault="000F2023" w:rsidP="00960F60">
      <w:pPr>
        <w:spacing w:after="80" w:line="240" w:lineRule="auto"/>
        <w:rPr>
          <w:rFonts w:asciiTheme="majorHAnsi" w:hAnsiTheme="majorHAnsi"/>
          <w:sz w:val="18"/>
          <w:szCs w:val="18"/>
        </w:rPr>
      </w:pPr>
      <w:r w:rsidRPr="00A240B6">
        <w:rPr>
          <w:rStyle w:val="FootnoteReference"/>
          <w:rFonts w:asciiTheme="majorHAnsi" w:hAnsiTheme="majorHAnsi"/>
          <w:sz w:val="18"/>
          <w:szCs w:val="18"/>
        </w:rPr>
        <w:footnoteRef/>
      </w:r>
      <w:r w:rsidRPr="00A240B6">
        <w:rPr>
          <w:rFonts w:asciiTheme="majorHAnsi" w:hAnsiTheme="majorHAnsi"/>
          <w:sz w:val="18"/>
          <w:szCs w:val="18"/>
        </w:rPr>
        <w:t xml:space="preserve"> Additional information on this </w:t>
      </w:r>
      <w:r w:rsidRPr="00A240B6">
        <w:rPr>
          <w:sz w:val="18"/>
          <w:szCs w:val="18"/>
        </w:rPr>
        <w:t xml:space="preserve">competitive transmission solution solicitation </w:t>
      </w:r>
      <w:r w:rsidRPr="00A240B6">
        <w:rPr>
          <w:rFonts w:asciiTheme="majorHAnsi" w:hAnsiTheme="majorHAnsi"/>
          <w:sz w:val="18"/>
          <w:szCs w:val="18"/>
        </w:rPr>
        <w:t xml:space="preserve">process is available at PJM’s “FERC Order 1000 Implementation” webpage; </w:t>
      </w:r>
      <w:hyperlink r:id="rId19" w:history="1">
        <w:r w:rsidRPr="00A240B6">
          <w:rPr>
            <w:rFonts w:asciiTheme="majorHAnsi" w:hAnsiTheme="majorHAnsi"/>
            <w:sz w:val="18"/>
            <w:szCs w:val="18"/>
          </w:rPr>
          <w:t>http://pjm.com/planning/rtep-development/expansion-plan-process/ferc-order-1000.aspx</w:t>
        </w:r>
      </w:hyperlink>
      <w:r w:rsidRPr="00A240B6">
        <w:rPr>
          <w:rFonts w:asciiTheme="majorHAnsi" w:hAnsiTheme="majorHAnsi"/>
          <w:sz w:val="18"/>
          <w:szCs w:val="18"/>
        </w:rPr>
        <w:t xml:space="preserve">.Information on generator interconnections, merchant transmission, long-term firm transmission service requests, customer information, generator deactivation requests, and other relevant PJM planning information is available at PJM’s “Planning” webpage; </w:t>
      </w:r>
      <w:hyperlink r:id="rId20" w:history="1">
        <w:r w:rsidRPr="00A240B6">
          <w:rPr>
            <w:rStyle w:val="Hyperlink"/>
            <w:rFonts w:asciiTheme="majorHAnsi" w:hAnsiTheme="majorHAnsi"/>
            <w:sz w:val="18"/>
            <w:szCs w:val="18"/>
          </w:rPr>
          <w:t>http://pjm.com/planning.aspx</w:t>
        </w:r>
      </w:hyperlink>
      <w:r w:rsidRPr="00A240B6">
        <w:rPr>
          <w:rFonts w:asciiTheme="majorHAnsi" w:hAnsiTheme="majorHAnsi"/>
          <w:sz w:val="18"/>
          <w:szCs w:val="18"/>
        </w:rPr>
        <w:t xml:space="preserve">. PJM‘s posted material on interregional planning under the Amended Planning Protocol is available at its “Inter-Regional Planning Stakeholder Advisory Committee - New York / New England” webpage; </w:t>
      </w:r>
      <w:hyperlink r:id="rId21" w:history="1">
        <w:r w:rsidRPr="00A240B6">
          <w:rPr>
            <w:rStyle w:val="Hyperlink"/>
            <w:rFonts w:asciiTheme="majorHAnsi" w:hAnsiTheme="majorHAnsi"/>
            <w:sz w:val="18"/>
            <w:szCs w:val="18"/>
          </w:rPr>
          <w:t>http://www.pjm.com/committees-and-groups/stakeholder-meetings/stakeholder-groups/ipsac-ny-ne.aspx</w:t>
        </w:r>
      </w:hyperlink>
      <w:r w:rsidRPr="00A240B6">
        <w:rPr>
          <w:rFonts w:asciiTheme="majorHAnsi" w:hAnsiTheme="majorHAnsi"/>
          <w:sz w:val="18"/>
          <w:szCs w:val="18"/>
        </w:rPr>
        <w:t>.</w:t>
      </w:r>
    </w:p>
  </w:footnote>
  <w:footnote w:id="21">
    <w:p w:rsidR="000F2023" w:rsidRPr="009141E9" w:rsidRDefault="000F2023" w:rsidP="00044078">
      <w:pPr>
        <w:pStyle w:val="FootnoteText"/>
      </w:pPr>
      <w:r w:rsidRPr="009141E9">
        <w:rPr>
          <w:rStyle w:val="FootnoteReference"/>
        </w:rPr>
        <w:footnoteRef/>
      </w:r>
      <w:r w:rsidRPr="009141E9">
        <w:t xml:space="preserve"> </w:t>
      </w:r>
      <w:r w:rsidRPr="009141E9">
        <w:rPr>
          <w:szCs w:val="18"/>
        </w:rPr>
        <w:t xml:space="preserve">NYISO, </w:t>
      </w:r>
      <w:r w:rsidRPr="009141E9">
        <w:rPr>
          <w:i/>
          <w:szCs w:val="18"/>
        </w:rPr>
        <w:t>Reliability Planning Process Manual</w:t>
      </w:r>
      <w:r w:rsidRPr="009141E9">
        <w:rPr>
          <w:szCs w:val="18"/>
        </w:rPr>
        <w:t xml:space="preserve"> (December 2014), </w:t>
      </w:r>
      <w:hyperlink r:id="rId22" w:history="1">
        <w:r w:rsidRPr="009141E9">
          <w:rPr>
            <w:rStyle w:val="Hyperlink"/>
            <w:szCs w:val="18"/>
          </w:rPr>
          <w:t>http://www.nyiso.com/public/webdocs/markets_operations/documents/Manuals_and_Guides/Manuals/Planning/rpp_mnl.pdf</w:t>
        </w:r>
      </w:hyperlink>
      <w:r w:rsidRPr="009141E9">
        <w:rPr>
          <w:szCs w:val="18"/>
        </w:rPr>
        <w:t>.</w:t>
      </w:r>
    </w:p>
  </w:footnote>
  <w:footnote w:id="22">
    <w:p w:rsidR="000F2023" w:rsidRPr="009141E9" w:rsidRDefault="000F2023" w:rsidP="000505C8">
      <w:pPr>
        <w:pStyle w:val="FootnoteText"/>
      </w:pPr>
      <w:r w:rsidRPr="009141E9">
        <w:rPr>
          <w:rStyle w:val="FootnoteReference"/>
        </w:rPr>
        <w:footnoteRef/>
      </w:r>
      <w:r w:rsidRPr="009141E9">
        <w:t xml:space="preserve"> </w:t>
      </w:r>
      <w:r w:rsidRPr="009141E9">
        <w:rPr>
          <w:szCs w:val="18"/>
        </w:rPr>
        <w:t xml:space="preserve">NYISO, </w:t>
      </w:r>
      <w:r w:rsidRPr="009141E9">
        <w:rPr>
          <w:i/>
          <w:szCs w:val="18"/>
        </w:rPr>
        <w:t>2014 Comprehensive Reliability Plan</w:t>
      </w:r>
      <w:r w:rsidRPr="009141E9">
        <w:rPr>
          <w:szCs w:val="18"/>
        </w:rPr>
        <w:t xml:space="preserve"> (July 21, 2015), </w:t>
      </w:r>
      <w:hyperlink r:id="rId23" w:history="1">
        <w:r w:rsidRPr="009141E9">
          <w:rPr>
            <w:rStyle w:val="Hyperlink"/>
            <w:szCs w:val="18"/>
          </w:rPr>
          <w:t>http://www.nyiso.com/public/webdocs/markets_operations/services/planning/Planning_Studies/Reliability_Planning_Studies/Reliability_Assessment_Documents/2014CRP_Final_20150721.pdf</w:t>
        </w:r>
      </w:hyperlink>
      <w:r w:rsidRPr="009141E9">
        <w:rPr>
          <w:szCs w:val="18"/>
        </w:rPr>
        <w:t>.</w:t>
      </w:r>
    </w:p>
  </w:footnote>
  <w:footnote w:id="23">
    <w:p w:rsidR="000F2023" w:rsidRPr="009141E9" w:rsidRDefault="000F2023" w:rsidP="000505C8">
      <w:pPr>
        <w:pStyle w:val="FootnoteText"/>
      </w:pPr>
      <w:r w:rsidRPr="009141E9">
        <w:rPr>
          <w:rStyle w:val="FootnoteReference"/>
        </w:rPr>
        <w:footnoteRef/>
      </w:r>
      <w:r w:rsidRPr="009141E9">
        <w:t xml:space="preserve"> </w:t>
      </w:r>
      <w:hyperlink r:id="rId24" w:history="1"/>
      <w:proofErr w:type="gramStart"/>
      <w:r w:rsidRPr="009141E9">
        <w:rPr>
          <w:szCs w:val="18"/>
        </w:rPr>
        <w:t xml:space="preserve">NYISO, </w:t>
      </w:r>
      <w:r w:rsidRPr="009141E9">
        <w:rPr>
          <w:i/>
          <w:szCs w:val="18"/>
        </w:rPr>
        <w:t xml:space="preserve">Economic Planning Process Manual—Congestion Assessment and Resource Integration Studies (CARIS) </w:t>
      </w:r>
      <w:r w:rsidRPr="009141E9">
        <w:rPr>
          <w:szCs w:val="18"/>
        </w:rPr>
        <w:t xml:space="preserve">(May 2014), </w:t>
      </w:r>
      <w:hyperlink r:id="rId25" w:history="1">
        <w:r w:rsidRPr="009141E9">
          <w:rPr>
            <w:rStyle w:val="Hyperlink"/>
            <w:szCs w:val="18"/>
          </w:rPr>
          <w:t>http://www.nyiso.com/public/webdocs/markets_operations/documents/Manuals_and_Guides/Manuals/Planning/epp_caris_mnl.pdf</w:t>
        </w:r>
      </w:hyperlink>
      <w:r w:rsidRPr="009141E9">
        <w:rPr>
          <w:szCs w:val="18"/>
        </w:rPr>
        <w:t>.</w:t>
      </w:r>
      <w:proofErr w:type="gramEnd"/>
    </w:p>
  </w:footnote>
  <w:footnote w:id="24">
    <w:p w:rsidR="000F2023" w:rsidRDefault="000F2023" w:rsidP="00DD5A26">
      <w:pPr>
        <w:pStyle w:val="FootnoteText"/>
      </w:pPr>
      <w:r>
        <w:rPr>
          <w:rStyle w:val="FootnoteReference"/>
        </w:rPr>
        <w:footnoteRef/>
      </w:r>
      <w:r>
        <w:t xml:space="preserve"> </w:t>
      </w:r>
      <w:proofErr w:type="gramStart"/>
      <w:r>
        <w:t xml:space="preserve">NYISO, </w:t>
      </w:r>
      <w:r w:rsidRPr="00DD5A26">
        <w:rPr>
          <w:i/>
        </w:rPr>
        <w:t>2015 Congestion Assessment and Resource Integration Study</w:t>
      </w:r>
      <w:r>
        <w:t xml:space="preserve"> (November 17, 2015), </w:t>
      </w:r>
      <w:hyperlink r:id="rId26" w:history="1">
        <w:r w:rsidRPr="00DD5A26">
          <w:rPr>
            <w:rStyle w:val="Hyperlink"/>
          </w:rPr>
          <w:t>http://www.nyiso.com/public/webdocs/markets_operations/services/planning/Planning_Studies/Economic_Planning_Studies_(CARIS)/CARIS_Final_Reports/2015_CARIS_Report_FINAL.pdf</w:t>
        </w:r>
      </w:hyperlink>
      <w:r>
        <w:t>.</w:t>
      </w:r>
      <w:proofErr w:type="gramEnd"/>
    </w:p>
  </w:footnote>
  <w:footnote w:id="25">
    <w:p w:rsidR="000F2023" w:rsidRPr="009141E9" w:rsidRDefault="000F2023">
      <w:pPr>
        <w:pStyle w:val="FootnoteText"/>
        <w:rPr>
          <w:highlight w:val="yellow"/>
        </w:rPr>
      </w:pPr>
      <w:r w:rsidRPr="009141E9">
        <w:rPr>
          <w:rStyle w:val="FootnoteReference"/>
        </w:rPr>
        <w:footnoteRef/>
      </w:r>
      <w:r w:rsidRPr="009141E9">
        <w:t xml:space="preserve"> </w:t>
      </w:r>
      <w:proofErr w:type="gramStart"/>
      <w:r w:rsidRPr="009141E9">
        <w:rPr>
          <w:szCs w:val="18"/>
        </w:rPr>
        <w:t xml:space="preserve">NYISO, </w:t>
      </w:r>
      <w:r w:rsidRPr="009141E9">
        <w:rPr>
          <w:i/>
          <w:szCs w:val="18"/>
        </w:rPr>
        <w:t>Public Policy Transmission Planning Process Manual</w:t>
      </w:r>
      <w:r w:rsidRPr="009141E9">
        <w:rPr>
          <w:szCs w:val="18"/>
        </w:rPr>
        <w:t xml:space="preserve"> (July 2015), </w:t>
      </w:r>
      <w:hyperlink r:id="rId27" w:history="1">
        <w:r w:rsidRPr="009141E9">
          <w:rPr>
            <w:rStyle w:val="Hyperlink"/>
            <w:szCs w:val="18"/>
          </w:rPr>
          <w:t>http://www.nyiso.com/public/webdocs/markets_operations/documents/Manuals_and_Guides/Manuals/Planning/M-36_Public%20Policy%20Manual_v1_0_Final.pdf</w:t>
        </w:r>
      </w:hyperlink>
      <w:r w:rsidRPr="009141E9">
        <w:rPr>
          <w:szCs w:val="18"/>
        </w:rPr>
        <w:t>.</w:t>
      </w:r>
      <w:proofErr w:type="gramEnd"/>
    </w:p>
  </w:footnote>
  <w:footnote w:id="26">
    <w:p w:rsidR="000F2023" w:rsidRPr="009141E9" w:rsidRDefault="000F2023" w:rsidP="000505C8">
      <w:pPr>
        <w:pStyle w:val="FootnoteText"/>
      </w:pPr>
      <w:r w:rsidRPr="009141E9">
        <w:rPr>
          <w:rStyle w:val="FootnoteReference"/>
        </w:rPr>
        <w:footnoteRef/>
      </w:r>
      <w:r w:rsidRPr="009141E9">
        <w:t xml:space="preserve"> </w:t>
      </w:r>
      <w:r w:rsidRPr="009141E9">
        <w:rPr>
          <w:szCs w:val="18"/>
        </w:rPr>
        <w:t xml:space="preserve">NYPSC, </w:t>
      </w:r>
      <w:r w:rsidRPr="009141E9">
        <w:rPr>
          <w:i/>
          <w:szCs w:val="18"/>
        </w:rPr>
        <w:t xml:space="preserve">Order Addressing Public Policy Requirements for </w:t>
      </w:r>
      <w:r>
        <w:rPr>
          <w:i/>
          <w:szCs w:val="18"/>
        </w:rPr>
        <w:t>T</w:t>
      </w:r>
      <w:r w:rsidRPr="009141E9">
        <w:rPr>
          <w:i/>
          <w:szCs w:val="18"/>
        </w:rPr>
        <w:t>ransmission Planning Purposes</w:t>
      </w:r>
      <w:r w:rsidRPr="009141E9">
        <w:rPr>
          <w:szCs w:val="18"/>
        </w:rPr>
        <w:t xml:space="preserve">, Western New York Public Policy Transmission Need Order (July 20, 2015), </w:t>
      </w:r>
      <w:hyperlink r:id="rId28" w:history="1">
        <w:r w:rsidRPr="009141E9">
          <w:rPr>
            <w:rStyle w:val="Hyperlink"/>
            <w:szCs w:val="18"/>
          </w:rPr>
          <w:t>http://www.nyiso.com/public/webdocs/markets_operations/services/planning/Planning_Studies/Public_Policy_Documents/Public_Policy_Transmission_Needs/2015_07_20_PSC_Order_NYISO_Pblc_Plcy_Trnsmssn_Nds_14-E-0454.pdf</w:t>
        </w:r>
      </w:hyperlink>
      <w:r w:rsidRPr="009141E9">
        <w:rPr>
          <w:szCs w:val="18"/>
        </w:rPr>
        <w:t>.</w:t>
      </w:r>
    </w:p>
  </w:footnote>
  <w:footnote w:id="27">
    <w:p w:rsidR="000F2023" w:rsidRDefault="000F2023" w:rsidP="000505C8">
      <w:pPr>
        <w:pStyle w:val="FootnoteText"/>
      </w:pPr>
      <w:r w:rsidRPr="009141E9">
        <w:rPr>
          <w:rStyle w:val="FootnoteReference"/>
        </w:rPr>
        <w:footnoteRef/>
      </w:r>
      <w:r w:rsidRPr="009141E9">
        <w:t xml:space="preserve"> </w:t>
      </w:r>
      <w:r w:rsidRPr="009141E9">
        <w:rPr>
          <w:szCs w:val="18"/>
        </w:rPr>
        <w:t xml:space="preserve">NYPSC, </w:t>
      </w:r>
      <w:r w:rsidRPr="009141E9">
        <w:rPr>
          <w:i/>
          <w:szCs w:val="18"/>
        </w:rPr>
        <w:t>Proceeding on Motion of the Commission to Examine Alternating Current Transmission Upgrades</w:t>
      </w:r>
      <w:r w:rsidRPr="009141E9">
        <w:rPr>
          <w:szCs w:val="18"/>
        </w:rPr>
        <w:t xml:space="preserve">, AC transmission public policy transmission need order (December 17, 2015), </w:t>
      </w:r>
      <w:hyperlink r:id="rId29" w:history="1">
        <w:r w:rsidRPr="009141E9">
          <w:rPr>
            <w:rStyle w:val="Hyperlink"/>
            <w:szCs w:val="18"/>
          </w:rPr>
          <w:t>http://www.nyiso.com/public/webdocs/markets_operations/services/planning/Planning_Studies/Public_Policy_Documents/Public_Policy_Transmission_Needs/2015-12-17_PSC_Order_AC_Transmission.pdf</w:t>
        </w:r>
      </w:hyperlink>
      <w:r w:rsidRPr="009141E9">
        <w:rPr>
          <w:szCs w:val="18"/>
        </w:rPr>
        <w:t>.</w:t>
      </w:r>
    </w:p>
  </w:footnote>
  <w:footnote w:id="28">
    <w:p w:rsidR="000F2023" w:rsidRPr="003B321B" w:rsidRDefault="000F2023" w:rsidP="00960F60">
      <w:pPr>
        <w:pStyle w:val="FoonoteText"/>
        <w:rPr>
          <w:szCs w:val="18"/>
        </w:rPr>
      </w:pPr>
      <w:r w:rsidRPr="00A240B6">
        <w:rPr>
          <w:rStyle w:val="FootnoteReference"/>
          <w:rFonts w:asciiTheme="majorHAnsi" w:hAnsiTheme="majorHAnsi"/>
          <w:sz w:val="18"/>
          <w:szCs w:val="18"/>
        </w:rPr>
        <w:footnoteRef/>
      </w:r>
      <w:r w:rsidRPr="00A240B6">
        <w:rPr>
          <w:szCs w:val="18"/>
        </w:rPr>
        <w:t xml:space="preserve"> The ISO planning process is documented on its website</w:t>
      </w:r>
      <w:r>
        <w:rPr>
          <w:szCs w:val="18"/>
        </w:rPr>
        <w:t xml:space="preserve"> at </w:t>
      </w:r>
      <w:hyperlink r:id="rId30" w:history="1">
        <w:r w:rsidRPr="00701B53">
          <w:rPr>
            <w:rStyle w:val="Hyperlink"/>
            <w:szCs w:val="18"/>
          </w:rPr>
          <w:t>http://www.iso-ne.com/system-planning</w:t>
        </w:r>
      </w:hyperlink>
      <w:r>
        <w:rPr>
          <w:szCs w:val="18"/>
        </w:rPr>
        <w:t xml:space="preserve">. </w:t>
      </w:r>
      <w:r w:rsidRPr="003B321B">
        <w:rPr>
          <w:szCs w:val="18"/>
        </w:rPr>
        <w:t xml:space="preserve">The </w:t>
      </w:r>
      <w:r w:rsidRPr="003B321B">
        <w:rPr>
          <w:i/>
          <w:szCs w:val="18"/>
        </w:rPr>
        <w:t>Transmission Planning Process Guide</w:t>
      </w:r>
      <w:r w:rsidRPr="003B321B">
        <w:rPr>
          <w:szCs w:val="18"/>
        </w:rPr>
        <w:t xml:space="preserve"> outlines the steps in the regional system planning process. The </w:t>
      </w:r>
      <w:r w:rsidRPr="003B321B">
        <w:rPr>
          <w:i/>
          <w:szCs w:val="18"/>
        </w:rPr>
        <w:t>Transmission Planning Technical Guide</w:t>
      </w:r>
      <w:r w:rsidRPr="003B321B">
        <w:rPr>
          <w:szCs w:val="18"/>
        </w:rPr>
        <w:t xml:space="preserve"> documents several assumptions used in ISO planning studies. </w:t>
      </w:r>
      <w:r>
        <w:rPr>
          <w:szCs w:val="18"/>
        </w:rPr>
        <w:t xml:space="preserve">The guides are available at </w:t>
      </w:r>
      <w:hyperlink r:id="rId31" w:history="1">
        <w:r w:rsidRPr="003B321B">
          <w:rPr>
            <w:rStyle w:val="Hyperlink"/>
            <w:szCs w:val="18"/>
          </w:rPr>
          <w:t>http://www.iso-ne.com/system-planning/transmission-planning/transmission-planning-guides</w:t>
        </w:r>
      </w:hyperlink>
      <w:r>
        <w:rPr>
          <w:szCs w:val="18"/>
        </w:rPr>
        <w:t xml:space="preserve">. Also see </w:t>
      </w:r>
      <w:r w:rsidRPr="003B321B">
        <w:rPr>
          <w:szCs w:val="18"/>
        </w:rPr>
        <w:t>ISO-NE</w:t>
      </w:r>
      <w:r>
        <w:rPr>
          <w:szCs w:val="18"/>
        </w:rPr>
        <w:t>,</w:t>
      </w:r>
      <w:r w:rsidRPr="003B321B">
        <w:rPr>
          <w:szCs w:val="18"/>
        </w:rPr>
        <w:t xml:space="preserve"> </w:t>
      </w:r>
      <w:r w:rsidRPr="008E0956">
        <w:rPr>
          <w:i/>
          <w:szCs w:val="18"/>
        </w:rPr>
        <w:t>2015 Regional System</w:t>
      </w:r>
      <w:r w:rsidRPr="003B321B">
        <w:rPr>
          <w:szCs w:val="18"/>
        </w:rPr>
        <w:t xml:space="preserve"> Plan (November 5, 2015)</w:t>
      </w:r>
      <w:r>
        <w:rPr>
          <w:szCs w:val="18"/>
        </w:rPr>
        <w:t xml:space="preserve">; </w:t>
      </w:r>
      <w:r w:rsidRPr="003B321B">
        <w:rPr>
          <w:i/>
          <w:szCs w:val="18"/>
        </w:rPr>
        <w:t>Open Access Transmission Tariff</w:t>
      </w:r>
      <w:r w:rsidRPr="003B321B">
        <w:rPr>
          <w:szCs w:val="18"/>
        </w:rPr>
        <w:t xml:space="preserve"> (December 15, 2015)</w:t>
      </w:r>
      <w:r>
        <w:rPr>
          <w:szCs w:val="18"/>
        </w:rPr>
        <w:t xml:space="preserve">; </w:t>
      </w:r>
      <w:r w:rsidRPr="003B321B">
        <w:rPr>
          <w:i/>
          <w:szCs w:val="18"/>
        </w:rPr>
        <w:t>2015 Capacity, Energy, Loads, and Transmission (CELT) Forecast Report</w:t>
      </w:r>
      <w:r w:rsidRPr="003B321B">
        <w:rPr>
          <w:szCs w:val="18"/>
        </w:rPr>
        <w:t>, (May 15, 2015). Earlier ISO-NE CELT reports are available at http://www.iso-ne.com/system-planning/system-plans-studies/celt.</w:t>
      </w:r>
    </w:p>
  </w:footnote>
  <w:footnote w:id="29">
    <w:p w:rsidR="000F2023" w:rsidRPr="003B321B" w:rsidRDefault="000F2023" w:rsidP="00543CFE">
      <w:pPr>
        <w:pStyle w:val="FoonoteText"/>
        <w:rPr>
          <w:rFonts w:asciiTheme="majorHAnsi" w:hAnsiTheme="majorHAnsi"/>
          <w:szCs w:val="18"/>
        </w:rPr>
      </w:pPr>
      <w:r w:rsidRPr="003B321B">
        <w:rPr>
          <w:rStyle w:val="FootnoteReference"/>
          <w:rFonts w:asciiTheme="majorHAnsi" w:hAnsiTheme="majorHAnsi"/>
          <w:sz w:val="18"/>
          <w:szCs w:val="18"/>
        </w:rPr>
        <w:footnoteRef/>
      </w:r>
      <w:r w:rsidRPr="003B321B">
        <w:rPr>
          <w:rFonts w:asciiTheme="majorHAnsi" w:hAnsiTheme="majorHAnsi"/>
          <w:szCs w:val="18"/>
        </w:rPr>
        <w:t xml:space="preserve"> Any stakeholder can designate a representative to the PAC by providing written notice to ISO-NE. PAC materials are available at </w:t>
      </w:r>
      <w:hyperlink r:id="rId32" w:history="1">
        <w:r w:rsidRPr="003B321B">
          <w:rPr>
            <w:rStyle w:val="Hyperlink"/>
            <w:rFonts w:asciiTheme="majorHAnsi" w:hAnsiTheme="majorHAnsi"/>
            <w:szCs w:val="18"/>
          </w:rPr>
          <w:t>http://www.iso-ne.com/committees/comm_wkgrps/prtcpnts_comm/pac/index.html</w:t>
        </w:r>
      </w:hyperlink>
      <w:r w:rsidRPr="003B321B">
        <w:rPr>
          <w:rFonts w:asciiTheme="majorHAnsi" w:hAnsiTheme="majorHAnsi"/>
          <w:szCs w:val="18"/>
        </w:rPr>
        <w:t xml:space="preserve">. PAC agendas; minutes; materials; draft reports, including stakeholder questions and ISO responses; and final reports are posted on the ISO-NE website. </w:t>
      </w:r>
    </w:p>
  </w:footnote>
  <w:footnote w:id="30">
    <w:p w:rsidR="000F2023" w:rsidRPr="003B321B" w:rsidRDefault="000F2023" w:rsidP="00543CFE">
      <w:pPr>
        <w:pStyle w:val="FoonoteText"/>
        <w:rPr>
          <w:rFonts w:asciiTheme="majorHAnsi" w:hAnsiTheme="majorHAnsi"/>
          <w:szCs w:val="18"/>
        </w:rPr>
      </w:pPr>
      <w:r w:rsidRPr="003B321B">
        <w:rPr>
          <w:rStyle w:val="FootnoteReference"/>
          <w:rFonts w:asciiTheme="majorHAnsi" w:hAnsiTheme="majorHAnsi"/>
          <w:sz w:val="18"/>
          <w:szCs w:val="18"/>
        </w:rPr>
        <w:footnoteRef/>
      </w:r>
      <w:r w:rsidRPr="003B321B">
        <w:rPr>
          <w:rFonts w:asciiTheme="majorHAnsi" w:hAnsiTheme="majorHAnsi"/>
          <w:szCs w:val="18"/>
        </w:rPr>
        <w:t xml:space="preserve"> NEPOOL members serve as ISO stakeholders and market participants. More information on NEPOOL participants is available at </w:t>
      </w:r>
      <w:hyperlink r:id="rId33" w:history="1">
        <w:r w:rsidRPr="003B321B">
          <w:rPr>
            <w:rStyle w:val="Hyperlink"/>
            <w:rFonts w:asciiTheme="majorHAnsi" w:hAnsiTheme="majorHAnsi"/>
            <w:szCs w:val="18"/>
          </w:rPr>
          <w:t>http://www.iso-ne.com/participate/governing-agreements/nepool-agreement</w:t>
        </w:r>
      </w:hyperlink>
      <w:r w:rsidRPr="003B321B">
        <w:rPr>
          <w:rFonts w:asciiTheme="majorHAnsi" w:hAnsiTheme="majorHAnsi"/>
          <w:szCs w:val="18"/>
        </w:rPr>
        <w:t>.</w:t>
      </w:r>
    </w:p>
  </w:footnote>
  <w:footnote w:id="31">
    <w:p w:rsidR="000F2023" w:rsidRPr="003B321B" w:rsidRDefault="000F2023" w:rsidP="00894400">
      <w:pPr>
        <w:pStyle w:val="FootnoteText"/>
        <w:rPr>
          <w:szCs w:val="18"/>
        </w:rPr>
      </w:pPr>
      <w:r w:rsidRPr="003B321B">
        <w:rPr>
          <w:rStyle w:val="FootnoteReference"/>
          <w:rFonts w:asciiTheme="majorHAnsi" w:hAnsiTheme="majorHAnsi"/>
          <w:color w:val="auto"/>
          <w:sz w:val="18"/>
          <w:szCs w:val="18"/>
        </w:rPr>
        <w:footnoteRef/>
      </w:r>
      <w:r w:rsidRPr="003B321B">
        <w:rPr>
          <w:color w:val="auto"/>
          <w:szCs w:val="18"/>
        </w:rPr>
        <w:t xml:space="preserve"> ISO-NE,</w:t>
      </w:r>
      <w:r w:rsidRPr="003B321B">
        <w:rPr>
          <w:i/>
          <w:color w:val="auto"/>
          <w:spacing w:val="-4"/>
          <w:szCs w:val="18"/>
        </w:rPr>
        <w:t xml:space="preserve"> </w:t>
      </w:r>
      <w:r w:rsidRPr="003B321B">
        <w:rPr>
          <w:i/>
          <w:color w:val="auto"/>
          <w:szCs w:val="18"/>
        </w:rPr>
        <w:t>2015 Regional</w:t>
      </w:r>
      <w:r w:rsidRPr="003B321B">
        <w:rPr>
          <w:i/>
          <w:color w:val="auto"/>
          <w:spacing w:val="-2"/>
          <w:szCs w:val="18"/>
        </w:rPr>
        <w:t xml:space="preserve"> </w:t>
      </w:r>
      <w:r w:rsidRPr="003B321B">
        <w:rPr>
          <w:i/>
          <w:color w:val="auto"/>
          <w:szCs w:val="18"/>
        </w:rPr>
        <w:t>System</w:t>
      </w:r>
      <w:r w:rsidRPr="003B321B">
        <w:rPr>
          <w:i/>
          <w:color w:val="auto"/>
          <w:spacing w:val="-2"/>
          <w:szCs w:val="18"/>
        </w:rPr>
        <w:t xml:space="preserve"> Plan </w:t>
      </w:r>
      <w:r w:rsidRPr="003B321B">
        <w:rPr>
          <w:color w:val="auto"/>
          <w:szCs w:val="18"/>
        </w:rPr>
        <w:t>(November</w:t>
      </w:r>
      <w:r w:rsidRPr="003B321B">
        <w:rPr>
          <w:color w:val="auto"/>
          <w:spacing w:val="-5"/>
          <w:szCs w:val="18"/>
        </w:rPr>
        <w:t xml:space="preserve"> </w:t>
      </w:r>
      <w:r w:rsidRPr="003B321B">
        <w:rPr>
          <w:color w:val="auto"/>
          <w:szCs w:val="18"/>
        </w:rPr>
        <w:t>5,</w:t>
      </w:r>
      <w:r w:rsidRPr="003B321B">
        <w:rPr>
          <w:color w:val="auto"/>
          <w:spacing w:val="-2"/>
          <w:szCs w:val="18"/>
        </w:rPr>
        <w:t xml:space="preserve"> </w:t>
      </w:r>
      <w:r w:rsidRPr="003B321B">
        <w:rPr>
          <w:color w:val="auto"/>
          <w:szCs w:val="18"/>
        </w:rPr>
        <w:t>2015),</w:t>
      </w:r>
      <w:r w:rsidRPr="003B321B">
        <w:rPr>
          <w:color w:val="auto"/>
        </w:rPr>
        <w:t xml:space="preserve"> </w:t>
      </w:r>
      <w:hyperlink r:id="rId34" w:history="1">
        <w:r w:rsidRPr="003B321B">
          <w:rPr>
            <w:rStyle w:val="Hyperlink"/>
            <w:color w:val="auto"/>
            <w:szCs w:val="18"/>
          </w:rPr>
          <w:t>http://www.iso-ne.com/static-assets/documents/2015/11/rsp15_final_110515.docx</w:t>
        </w:r>
      </w:hyperlink>
      <w:r w:rsidRPr="003B321B">
        <w:rPr>
          <w:szCs w:val="18"/>
        </w:rPr>
        <w:t>.</w:t>
      </w:r>
      <w:r w:rsidRPr="003B321B">
        <w:rPr>
          <w:spacing w:val="-3"/>
          <w:szCs w:val="18"/>
        </w:rPr>
        <w:t xml:space="preserve"> </w:t>
      </w:r>
      <w:r w:rsidRPr="003B321B">
        <w:rPr>
          <w:szCs w:val="18"/>
        </w:rPr>
        <w:t>The ISO-NE</w:t>
      </w:r>
      <w:r w:rsidRPr="003B321B">
        <w:rPr>
          <w:spacing w:val="-2"/>
          <w:szCs w:val="18"/>
        </w:rPr>
        <w:t xml:space="preserve"> </w:t>
      </w:r>
      <w:r w:rsidRPr="003B321B">
        <w:rPr>
          <w:szCs w:val="18"/>
        </w:rPr>
        <w:t>board</w:t>
      </w:r>
      <w:r w:rsidRPr="003B321B">
        <w:rPr>
          <w:spacing w:val="-4"/>
          <w:szCs w:val="18"/>
        </w:rPr>
        <w:t xml:space="preserve"> </w:t>
      </w:r>
      <w:r w:rsidRPr="003B321B">
        <w:rPr>
          <w:szCs w:val="18"/>
        </w:rPr>
        <w:t>of</w:t>
      </w:r>
      <w:r w:rsidRPr="003B321B">
        <w:rPr>
          <w:spacing w:val="-3"/>
          <w:szCs w:val="18"/>
        </w:rPr>
        <w:t xml:space="preserve"> </w:t>
      </w:r>
      <w:r w:rsidRPr="003B321B">
        <w:rPr>
          <w:szCs w:val="18"/>
        </w:rPr>
        <w:t>directors</w:t>
      </w:r>
      <w:r w:rsidRPr="003B321B">
        <w:rPr>
          <w:spacing w:val="-3"/>
          <w:szCs w:val="18"/>
        </w:rPr>
        <w:t xml:space="preserve"> </w:t>
      </w:r>
      <w:r w:rsidRPr="003B321B">
        <w:rPr>
          <w:szCs w:val="18"/>
        </w:rPr>
        <w:t>approved the</w:t>
      </w:r>
      <w:r w:rsidRPr="003B321B">
        <w:rPr>
          <w:spacing w:val="-3"/>
          <w:szCs w:val="18"/>
        </w:rPr>
        <w:t xml:space="preserve"> </w:t>
      </w:r>
      <w:r w:rsidRPr="003B321B">
        <w:rPr>
          <w:szCs w:val="18"/>
        </w:rPr>
        <w:t>annual</w:t>
      </w:r>
      <w:r w:rsidRPr="003B321B">
        <w:rPr>
          <w:spacing w:val="-3"/>
          <w:szCs w:val="18"/>
        </w:rPr>
        <w:t xml:space="preserve"> </w:t>
      </w:r>
      <w:r w:rsidRPr="003B321B">
        <w:rPr>
          <w:szCs w:val="18"/>
        </w:rPr>
        <w:t>plan</w:t>
      </w:r>
      <w:r w:rsidRPr="003B321B">
        <w:rPr>
          <w:spacing w:val="-2"/>
          <w:szCs w:val="18"/>
        </w:rPr>
        <w:t xml:space="preserve"> </w:t>
      </w:r>
      <w:r w:rsidRPr="003B321B">
        <w:rPr>
          <w:szCs w:val="18"/>
        </w:rPr>
        <w:t>on</w:t>
      </w:r>
      <w:r>
        <w:rPr>
          <w:szCs w:val="18"/>
        </w:rPr>
        <w:t xml:space="preserve"> November</w:t>
      </w:r>
      <w:r w:rsidRPr="003B321B">
        <w:rPr>
          <w:spacing w:val="-8"/>
          <w:szCs w:val="18"/>
        </w:rPr>
        <w:t xml:space="preserve"> </w:t>
      </w:r>
      <w:r w:rsidRPr="003B321B">
        <w:rPr>
          <w:szCs w:val="18"/>
        </w:rPr>
        <w:t>5,</w:t>
      </w:r>
      <w:r w:rsidRPr="003B321B">
        <w:rPr>
          <w:spacing w:val="-6"/>
          <w:szCs w:val="18"/>
        </w:rPr>
        <w:t xml:space="preserve"> </w:t>
      </w:r>
      <w:r w:rsidRPr="003B321B">
        <w:rPr>
          <w:szCs w:val="18"/>
        </w:rPr>
        <w:t xml:space="preserve">2015. Historically, the Regional System Plan was published annually. The ISO, however, is now planning on publishing RSPs every odd-numbered year (with the next one scheduled for 2017). </w:t>
      </w:r>
    </w:p>
  </w:footnote>
  <w:footnote w:id="32">
    <w:p w:rsidR="000F2023" w:rsidRPr="003B321B" w:rsidRDefault="000F2023" w:rsidP="00894400">
      <w:pPr>
        <w:pStyle w:val="FootnoteText"/>
        <w:rPr>
          <w:szCs w:val="18"/>
        </w:rPr>
      </w:pPr>
      <w:r w:rsidRPr="003B321B">
        <w:rPr>
          <w:rStyle w:val="FootnoteReference"/>
          <w:rFonts w:asciiTheme="majorHAnsi" w:hAnsiTheme="majorHAnsi"/>
          <w:sz w:val="18"/>
          <w:szCs w:val="18"/>
        </w:rPr>
        <w:footnoteRef/>
      </w:r>
      <w:r w:rsidRPr="003B321B">
        <w:rPr>
          <w:szCs w:val="18"/>
        </w:rPr>
        <w:t xml:space="preserve"> The </w:t>
      </w:r>
      <w:r w:rsidRPr="003B321B">
        <w:rPr>
          <w:i/>
          <w:szCs w:val="18"/>
        </w:rPr>
        <w:t>RSP Project List</w:t>
      </w:r>
      <w:r w:rsidRPr="003B321B">
        <w:rPr>
          <w:szCs w:val="18"/>
        </w:rPr>
        <w:t xml:space="preserve"> is posted at http://www.iso-ne.com/system-planning/system-plans-studies/rsp.</w:t>
      </w:r>
    </w:p>
  </w:footnote>
  <w:footnote w:id="33">
    <w:p w:rsidR="000F2023" w:rsidRPr="003B321B" w:rsidRDefault="000F2023" w:rsidP="00894400">
      <w:pPr>
        <w:pStyle w:val="FootnoteText"/>
        <w:rPr>
          <w:szCs w:val="18"/>
        </w:rPr>
      </w:pPr>
      <w:r w:rsidRPr="003B321B">
        <w:rPr>
          <w:rStyle w:val="FootnoteReference"/>
          <w:sz w:val="18"/>
          <w:szCs w:val="18"/>
        </w:rPr>
        <w:footnoteRef/>
      </w:r>
      <w:r w:rsidRPr="003B321B">
        <w:rPr>
          <w:szCs w:val="18"/>
        </w:rPr>
        <w:t xml:space="preserve"> See the latest information on ISO-NE studies at http://www.iso-ne.com/system-planning/system-plans-studies/interconnection-request-studies.</w:t>
      </w:r>
    </w:p>
  </w:footnote>
  <w:footnote w:id="34">
    <w:p w:rsidR="000F2023" w:rsidRPr="003B321B" w:rsidRDefault="000F2023" w:rsidP="00894400">
      <w:pPr>
        <w:pStyle w:val="FootnoteText"/>
        <w:rPr>
          <w:rStyle w:val="Hyperlink"/>
          <w:color w:val="auto"/>
          <w:szCs w:val="18"/>
        </w:rPr>
      </w:pPr>
      <w:r w:rsidRPr="003B321B">
        <w:rPr>
          <w:rStyle w:val="FootnoteReference"/>
          <w:sz w:val="18"/>
          <w:szCs w:val="18"/>
        </w:rPr>
        <w:footnoteRef/>
      </w:r>
      <w:r w:rsidRPr="003B321B">
        <w:rPr>
          <w:szCs w:val="18"/>
        </w:rPr>
        <w:t xml:space="preserve"> The CELT report is posted at </w:t>
      </w:r>
      <w:hyperlink r:id="rId35" w:history="1">
        <w:r w:rsidRPr="003B321B">
          <w:rPr>
            <w:rStyle w:val="Hyperlink"/>
            <w:szCs w:val="18"/>
          </w:rPr>
          <w:t>http://www.iso-ne.com/system-planning/system-plans-studies/celt</w:t>
        </w:r>
      </w:hyperlink>
      <w:r w:rsidRPr="003B321B">
        <w:rPr>
          <w:szCs w:val="18"/>
        </w:rPr>
        <w:t xml:space="preserve">. Stakeholders also can obtain publicly available models of the transmission system network through the FERC 715 process, which requires transmitting utilities that operate facilities rated at or above 100 kV to submit information to FERC annually; see </w:t>
      </w:r>
      <w:hyperlink r:id="rId36" w:history="1">
        <w:r w:rsidRPr="003B321B">
          <w:rPr>
            <w:rStyle w:val="Hyperlink"/>
            <w:szCs w:val="18"/>
          </w:rPr>
          <w:t>http://www.ferc.gov/docs-filing/forms/form-715/overview.asp</w:t>
        </w:r>
      </w:hyperlink>
      <w:r w:rsidRPr="003B321B">
        <w:rPr>
          <w:szCs w:val="18"/>
        </w:rPr>
        <w:t xml:space="preserve">. </w:t>
      </w:r>
      <w:r w:rsidRPr="003B321B">
        <w:rPr>
          <w:i/>
          <w:szCs w:val="18"/>
        </w:rPr>
        <w:t>ISO New England Information Policy</w:t>
      </w:r>
      <w:r w:rsidRPr="003B321B">
        <w:rPr>
          <w:szCs w:val="18"/>
        </w:rPr>
        <w:t xml:space="preserve"> (ISO tariff, Attachment D) </w:t>
      </w:r>
      <w:r w:rsidRPr="003E64EA">
        <w:rPr>
          <w:szCs w:val="18"/>
        </w:rPr>
        <w:t>(2015) contains the requirements for controlling the disclosure of CEII and confidential information; see</w:t>
      </w:r>
      <w:r w:rsidRPr="003B321B">
        <w:rPr>
          <w:szCs w:val="18"/>
        </w:rPr>
        <w:t xml:space="preserve"> </w:t>
      </w:r>
      <w:hyperlink r:id="rId37" w:history="1">
        <w:r w:rsidRPr="003B321B">
          <w:rPr>
            <w:rStyle w:val="Hyperlink"/>
            <w:szCs w:val="18"/>
          </w:rPr>
          <w:t>http://www.iso-ne.com/static-assets/documents/regulatory/tariff/attach_d/attachment_d.pdf</w:t>
        </w:r>
      </w:hyperlink>
      <w:r w:rsidRPr="003B321B">
        <w:rPr>
          <w:rStyle w:val="Hyperlink"/>
          <w:color w:val="auto"/>
          <w:szCs w:val="18"/>
        </w:rPr>
        <w:t xml:space="preserve">. Access to CEII materials can be gained by contacting ISO Customer Service at 413-540-4220 or </w:t>
      </w:r>
      <w:hyperlink r:id="rId38" w:history="1">
        <w:r w:rsidRPr="003B321B">
          <w:rPr>
            <w:rStyle w:val="Hyperlink"/>
            <w:color w:val="auto"/>
            <w:szCs w:val="18"/>
          </w:rPr>
          <w:t>custserv@iso-ne.com</w:t>
        </w:r>
      </w:hyperlink>
      <w:r w:rsidRPr="003B321B">
        <w:rPr>
          <w:rStyle w:val="Hyperlink"/>
          <w:color w:val="auto"/>
          <w:szCs w:val="18"/>
        </w:rPr>
        <w:t>.</w:t>
      </w:r>
    </w:p>
  </w:footnote>
  <w:footnote w:id="35">
    <w:p w:rsidR="000F2023" w:rsidRPr="003B321B" w:rsidRDefault="000F2023" w:rsidP="0016108D">
      <w:pPr>
        <w:pStyle w:val="FoonoteText"/>
        <w:rPr>
          <w:szCs w:val="18"/>
        </w:rPr>
      </w:pPr>
      <w:r w:rsidRPr="003B321B">
        <w:rPr>
          <w:rStyle w:val="FootnoteReference"/>
          <w:sz w:val="18"/>
          <w:szCs w:val="18"/>
          <w:vertAlign w:val="baseline"/>
        </w:rPr>
        <w:footnoteRef/>
      </w:r>
      <w:r w:rsidRPr="003B321B">
        <w:rPr>
          <w:szCs w:val="18"/>
        </w:rPr>
        <w:t xml:space="preserve"> See the December 14, 2015, IPSAC discussion, “Interregional Planning Timelines in the Context of Order 1000” at </w:t>
      </w:r>
      <w:hyperlink r:id="rId39" w:history="1">
        <w:r w:rsidRPr="003B321B">
          <w:rPr>
            <w:rStyle w:val="Hyperlink"/>
            <w:color w:val="000000" w:themeColor="text1"/>
            <w:szCs w:val="18"/>
          </w:rPr>
          <w:t>http://www.iso-ne.com/static-assets/documents/2015/12/121415_ipsac_interregional_timelines.pdf</w:t>
        </w:r>
      </w:hyperlink>
      <w:r w:rsidRPr="003B321B">
        <w:rPr>
          <w:rStyle w:val="Hyperlink"/>
          <w:color w:val="000000" w:themeColor="text1"/>
          <w:szCs w:val="18"/>
        </w:rPr>
        <w:t>.</w:t>
      </w:r>
    </w:p>
  </w:footnote>
  <w:footnote w:id="36">
    <w:p w:rsidR="000F2023" w:rsidRPr="003B321B" w:rsidRDefault="000F2023" w:rsidP="008A5171">
      <w:pPr>
        <w:pStyle w:val="FootnoteText"/>
        <w:rPr>
          <w:szCs w:val="18"/>
        </w:rPr>
      </w:pPr>
      <w:r w:rsidRPr="003B321B">
        <w:rPr>
          <w:rStyle w:val="FootnoteReference"/>
          <w:sz w:val="18"/>
          <w:szCs w:val="18"/>
        </w:rPr>
        <w:footnoteRef/>
      </w:r>
      <w:r w:rsidRPr="003B321B">
        <w:rPr>
          <w:szCs w:val="18"/>
        </w:rPr>
        <w:t xml:space="preserve"> See IPSAC presentation on December 14, 2015. http://www.iso-ne.com/static-assets/documents/2015/12/121415_queue_interconnection.pdf.</w:t>
      </w:r>
    </w:p>
  </w:footnote>
  <w:footnote w:id="37">
    <w:p w:rsidR="000F2023" w:rsidRPr="003B321B" w:rsidRDefault="000F2023" w:rsidP="005C24B6">
      <w:pPr>
        <w:pStyle w:val="FootnoteText"/>
        <w:rPr>
          <w:szCs w:val="18"/>
        </w:rPr>
      </w:pPr>
      <w:r w:rsidRPr="003B321B">
        <w:rPr>
          <w:rStyle w:val="FootnoteReference"/>
          <w:sz w:val="18"/>
          <w:szCs w:val="18"/>
        </w:rPr>
        <w:footnoteRef/>
      </w:r>
      <w:r w:rsidRPr="003B321B">
        <w:rPr>
          <w:szCs w:val="18"/>
        </w:rPr>
        <w:t xml:space="preserve"> See the December 14, 2015, IPSAC discussion</w:t>
      </w:r>
      <w:r>
        <w:rPr>
          <w:szCs w:val="18"/>
        </w:rPr>
        <w:t>s,</w:t>
      </w:r>
      <w:r w:rsidRPr="003B321B">
        <w:rPr>
          <w:szCs w:val="18"/>
        </w:rPr>
        <w:t xml:space="preserve"> “Queue Interconnection Studies of Projects Potentially Affecting Neighboring Systems</w:t>
      </w:r>
      <w:r>
        <w:rPr>
          <w:szCs w:val="18"/>
        </w:rPr>
        <w:t>,</w:t>
      </w:r>
      <w:r w:rsidRPr="003B321B">
        <w:rPr>
          <w:szCs w:val="18"/>
        </w:rPr>
        <w:t xml:space="preserve">” “NYISO Planning Update,” “PJM Regional Transmission Expansion Planning (RTEP 2015) Process,” and “2015 Regional System Plan (RSP15)” at </w:t>
      </w:r>
      <w:hyperlink r:id="rId40" w:history="1">
        <w:r w:rsidRPr="003B321B">
          <w:rPr>
            <w:rStyle w:val="Hyperlink"/>
            <w:szCs w:val="18"/>
          </w:rPr>
          <w:t>http://www.iso-ne.com/committees/planning/ipsac</w:t>
        </w:r>
      </w:hyperlink>
      <w:r w:rsidRPr="003B321B">
        <w:rPr>
          <w:szCs w:val="18"/>
        </w:rPr>
        <w:t>.</w:t>
      </w:r>
    </w:p>
  </w:footnote>
  <w:footnote w:id="38">
    <w:p w:rsidR="000F2023" w:rsidRPr="003E64EA" w:rsidRDefault="000F2023">
      <w:pPr>
        <w:pStyle w:val="FootnoteText"/>
        <w:rPr>
          <w:szCs w:val="18"/>
        </w:rPr>
      </w:pPr>
      <w:r w:rsidRPr="00E009FF">
        <w:rPr>
          <w:rStyle w:val="FootnoteReference"/>
          <w:sz w:val="18"/>
          <w:szCs w:val="18"/>
        </w:rPr>
        <w:footnoteRef/>
      </w:r>
      <w:r w:rsidRPr="00E009FF">
        <w:rPr>
          <w:szCs w:val="18"/>
        </w:rPr>
        <w:t xml:space="preserve"> More information about NERC is available at </w:t>
      </w:r>
      <w:hyperlink r:id="rId41">
        <w:r w:rsidRPr="00E009FF">
          <w:rPr>
            <w:rStyle w:val="Hyperlink"/>
            <w:color w:val="auto"/>
            <w:szCs w:val="18"/>
          </w:rPr>
          <w:t>http://www.nerc.com/.</w:t>
        </w:r>
      </w:hyperlink>
    </w:p>
  </w:footnote>
  <w:footnote w:id="39">
    <w:p w:rsidR="000F2023" w:rsidRPr="003E64EA" w:rsidRDefault="000F2023" w:rsidP="00642AD8">
      <w:pPr>
        <w:pStyle w:val="FootnoteText"/>
        <w:rPr>
          <w:szCs w:val="18"/>
        </w:rPr>
      </w:pPr>
      <w:r w:rsidRPr="003E64EA">
        <w:rPr>
          <w:rStyle w:val="FootnoteReference"/>
          <w:sz w:val="18"/>
          <w:szCs w:val="18"/>
        </w:rPr>
        <w:footnoteRef/>
      </w:r>
      <w:r w:rsidRPr="003E64EA">
        <w:rPr>
          <w:szCs w:val="18"/>
        </w:rPr>
        <w:t xml:space="preserve"> </w:t>
      </w:r>
      <w:r w:rsidRPr="003E64EA">
        <w:rPr>
          <w:rStyle w:val="FoonoteTextChar"/>
          <w:szCs w:val="18"/>
        </w:rPr>
        <w:t xml:space="preserve">NERC, </w:t>
      </w:r>
      <w:hyperlink r:id="rId42" w:history="1">
        <w:r w:rsidRPr="003E64EA">
          <w:rPr>
            <w:rStyle w:val="FoonoteTextChar"/>
            <w:i/>
            <w:szCs w:val="18"/>
          </w:rPr>
          <w:t>2015 Long-Term Reliability Assessment</w:t>
        </w:r>
      </w:hyperlink>
      <w:r w:rsidRPr="003E64EA">
        <w:rPr>
          <w:rStyle w:val="FoonoteTextChar"/>
          <w:szCs w:val="18"/>
        </w:rPr>
        <w:t xml:space="preserve"> (December 2015)</w:t>
      </w:r>
      <w:r>
        <w:rPr>
          <w:rStyle w:val="FoonoteTextChar"/>
          <w:szCs w:val="18"/>
        </w:rPr>
        <w:t xml:space="preserve">, </w:t>
      </w:r>
      <w:hyperlink r:id="rId43" w:history="1">
        <w:r w:rsidRPr="00E009FF">
          <w:rPr>
            <w:rStyle w:val="Hyperlink"/>
            <w:rFonts w:cs="Times New Roman"/>
            <w:szCs w:val="18"/>
          </w:rPr>
          <w:t>http://www.nerc.com/pa/RAPA/ra/Reliability%20Assessments%20DL/2015LTRA%20-%20Final%20Report.pdf</w:t>
        </w:r>
      </w:hyperlink>
      <w:r>
        <w:rPr>
          <w:rStyle w:val="FoonoteTextChar"/>
          <w:szCs w:val="18"/>
        </w:rPr>
        <w:t>.</w:t>
      </w:r>
    </w:p>
  </w:footnote>
  <w:footnote w:id="40">
    <w:p w:rsidR="000F2023" w:rsidRDefault="000F2023">
      <w:pPr>
        <w:pStyle w:val="FootnoteText"/>
      </w:pPr>
      <w:r>
        <w:rPr>
          <w:rStyle w:val="FootnoteReference"/>
        </w:rPr>
        <w:footnoteRef/>
      </w:r>
      <w:r>
        <w:t xml:space="preserve"> See the EIPC, “Phase II Documents,” webpage (2015), </w:t>
      </w:r>
      <w:hyperlink r:id="rId44" w:history="1">
        <w:r w:rsidRPr="00152ABE">
          <w:rPr>
            <w:rStyle w:val="Hyperlink"/>
          </w:rPr>
          <w:t>http://www.eipconline.com/phase-ii-documents.html</w:t>
        </w:r>
      </w:hyperlink>
      <w:r>
        <w:t>.</w:t>
      </w:r>
    </w:p>
  </w:footnote>
  <w:footnote w:id="41">
    <w:p w:rsidR="000F2023" w:rsidRDefault="000F2023">
      <w:pPr>
        <w:pStyle w:val="FootnoteText"/>
      </w:pPr>
      <w:r>
        <w:rPr>
          <w:rStyle w:val="FootnoteReference"/>
        </w:rPr>
        <w:footnoteRef/>
      </w:r>
      <w:r>
        <w:t xml:space="preserve"> The 2015 EIPC </w:t>
      </w:r>
      <w:r w:rsidRPr="00625E4C">
        <w:rPr>
          <w:i/>
        </w:rPr>
        <w:t>Gas-Electric Study</w:t>
      </w:r>
      <w:r>
        <w:t xml:space="preserve"> is available at </w:t>
      </w:r>
      <w:r w:rsidRPr="00571DAD">
        <w:t>http://www.eipconline.com/phase-ii-documents.html</w:t>
      </w:r>
      <w:r>
        <w:t>.</w:t>
      </w:r>
    </w:p>
  </w:footnote>
  <w:footnote w:id="42">
    <w:p w:rsidR="000F2023" w:rsidRDefault="000F2023" w:rsidP="00625E4C">
      <w:pPr>
        <w:pStyle w:val="FootnoteText"/>
      </w:pPr>
      <w:r>
        <w:rPr>
          <w:rStyle w:val="FootnoteReference"/>
        </w:rPr>
        <w:footnoteRef/>
      </w:r>
      <w:r>
        <w:t xml:space="preserve"> EIPC, </w:t>
      </w:r>
      <w:r w:rsidRPr="00625E4C">
        <w:rPr>
          <w:i/>
        </w:rPr>
        <w:t>2023 Roll-Up Update and Heat Wave and Drought Scenario</w:t>
      </w:r>
      <w:r>
        <w:t xml:space="preserve">, final report (January 23, 2015), </w:t>
      </w:r>
      <w:hyperlink r:id="rId45" w:history="1">
        <w:r w:rsidRPr="00625E4C">
          <w:rPr>
            <w:rStyle w:val="Hyperlink"/>
          </w:rPr>
          <w:t>http://nebula.wsimg.com/0ca33e3fbfd7be8f37880ebaaa7146e2?AccessKeyId=E28DFA42F06A3AC21303&amp;disposition=0&amp;alloworigin=1</w:t>
        </w:r>
      </w:hyperlink>
      <w:r>
        <w:t>.</w:t>
      </w:r>
    </w:p>
  </w:footnote>
  <w:footnote w:id="43">
    <w:p w:rsidR="000F2023" w:rsidRDefault="000F2023">
      <w:pPr>
        <w:pStyle w:val="FootnoteText"/>
      </w:pPr>
      <w:r>
        <w:rPr>
          <w:rStyle w:val="FootnoteReference"/>
        </w:rPr>
        <w:footnoteRef/>
      </w:r>
      <w:r>
        <w:t xml:space="preserve"> Additional information on EIPC’s 2015 </w:t>
      </w:r>
      <w:r w:rsidRPr="00A30096">
        <w:rPr>
          <w:i/>
        </w:rPr>
        <w:t>Report for 2025 Summer and Winter Roll-Up Integration Cases</w:t>
      </w:r>
      <w:r>
        <w:t xml:space="preserve"> is available at </w:t>
      </w:r>
      <w:r w:rsidRPr="00A30096">
        <w:t>http://www.eipconline.com/non-doe-documents.html</w:t>
      </w:r>
      <w:r>
        <w:t>.</w:t>
      </w:r>
    </w:p>
  </w:footnote>
  <w:footnote w:id="44">
    <w:p w:rsidR="000F2023" w:rsidRPr="003E64EA" w:rsidRDefault="000F2023" w:rsidP="003C4128">
      <w:pPr>
        <w:pStyle w:val="FootnoteText"/>
        <w:rPr>
          <w:szCs w:val="18"/>
        </w:rPr>
      </w:pPr>
      <w:r w:rsidRPr="003E64EA">
        <w:rPr>
          <w:rStyle w:val="FootnoteReference"/>
          <w:sz w:val="18"/>
          <w:szCs w:val="18"/>
        </w:rPr>
        <w:footnoteRef/>
      </w:r>
      <w:r w:rsidRPr="003E64EA">
        <w:rPr>
          <w:szCs w:val="18"/>
        </w:rPr>
        <w:t xml:space="preserve"> IRC, “Reports and Filings,” webpage (2014), </w:t>
      </w:r>
      <w:hyperlink r:id="rId46" w:history="1">
        <w:r w:rsidRPr="003E64EA">
          <w:rPr>
            <w:rStyle w:val="Hyperlink"/>
            <w:szCs w:val="18"/>
          </w:rPr>
          <w:t>http://www.isorto.org/Reports/default</w:t>
        </w:r>
      </w:hyperlink>
      <w:r w:rsidRPr="003E64EA">
        <w:rPr>
          <w:szCs w:val="18"/>
        </w:rPr>
        <w:t>.</w:t>
      </w:r>
    </w:p>
  </w:footnote>
  <w:footnote w:id="45">
    <w:p w:rsidR="000F2023" w:rsidRPr="003E64EA" w:rsidRDefault="000F2023" w:rsidP="003C4128">
      <w:pPr>
        <w:pStyle w:val="FootnoteText"/>
        <w:rPr>
          <w:szCs w:val="18"/>
        </w:rPr>
      </w:pPr>
      <w:r w:rsidRPr="003E64EA">
        <w:rPr>
          <w:rStyle w:val="FootnoteReference"/>
          <w:sz w:val="18"/>
          <w:szCs w:val="18"/>
        </w:rPr>
        <w:footnoteRef/>
      </w:r>
      <w:r w:rsidRPr="003E64EA">
        <w:rPr>
          <w:szCs w:val="18"/>
        </w:rPr>
        <w:t xml:space="preserve"> ISO/RTO Council, </w:t>
      </w:r>
      <w:r w:rsidRPr="00897710">
        <w:rPr>
          <w:i/>
          <w:szCs w:val="18"/>
        </w:rPr>
        <w:t>Coordination of the Scheduling Processes of Interstate Natural Gas Pipelines and Public Utilities</w:t>
      </w:r>
      <w:r>
        <w:rPr>
          <w:szCs w:val="18"/>
        </w:rPr>
        <w:t xml:space="preserve">, comments, </w:t>
      </w:r>
      <w:r w:rsidRPr="003E64EA">
        <w:rPr>
          <w:rFonts w:eastAsia="Times New Roman"/>
          <w:szCs w:val="18"/>
        </w:rPr>
        <w:t xml:space="preserve">FERC filing (November 25, 2014), </w:t>
      </w:r>
      <w:hyperlink r:id="rId47" w:history="1">
        <w:r w:rsidRPr="003E64EA">
          <w:rPr>
            <w:rStyle w:val="Hyperlink"/>
            <w:szCs w:val="18"/>
          </w:rPr>
          <w:t>http://www.isorto.org/ircreportsandfilings/iso-comments-to-ferc-regarding-coordination-of-interstate-natural-gas-pipelines-scheduling-processes</w:t>
        </w:r>
      </w:hyperlink>
      <w:r>
        <w:rPr>
          <w:rStyle w:val="Hyperlink"/>
          <w:szCs w:val="18"/>
        </w:rPr>
        <w:t xml:space="preserve"> </w:t>
      </w:r>
      <w:r w:rsidRPr="003E64EA">
        <w:rPr>
          <w:szCs w:val="18"/>
        </w:rPr>
        <w:t>(</w:t>
      </w:r>
      <w:hyperlink r:id="rId48" w:history="1">
        <w:r w:rsidRPr="003E64EA">
          <w:rPr>
            <w:rStyle w:val="Hyperlink"/>
            <w:szCs w:val="18"/>
          </w:rPr>
          <w:t>http://ircweb.businesscatalyst.com/Documents/Report/20141125_IRCComments-FERC-InterstateNaturalGasPipelineScheduling.pdf</w:t>
        </w:r>
      </w:hyperlink>
      <w:r w:rsidRPr="003E64EA">
        <w:rPr>
          <w:szCs w:val="18"/>
        </w:rPr>
        <w:t>).</w:t>
      </w:r>
    </w:p>
  </w:footnote>
  <w:footnote w:id="46">
    <w:p w:rsidR="000F2023" w:rsidRPr="003E64EA" w:rsidRDefault="000F2023" w:rsidP="00E42DBD">
      <w:pPr>
        <w:pStyle w:val="FootnoteText"/>
        <w:rPr>
          <w:szCs w:val="18"/>
        </w:rPr>
      </w:pPr>
      <w:r w:rsidRPr="003E64EA">
        <w:rPr>
          <w:rStyle w:val="FootnoteReference"/>
          <w:rFonts w:cstheme="minorBidi"/>
          <w:sz w:val="18"/>
          <w:szCs w:val="18"/>
        </w:rPr>
        <w:footnoteRef/>
      </w:r>
      <w:r w:rsidRPr="003E64EA">
        <w:rPr>
          <w:szCs w:val="18"/>
          <w:vertAlign w:val="superscript"/>
        </w:rPr>
        <w:t xml:space="preserve"> </w:t>
      </w:r>
      <w:r w:rsidRPr="003E64EA">
        <w:rPr>
          <w:szCs w:val="18"/>
        </w:rPr>
        <w:t>The NPCC region covers nearly 1.2 million square miles populated by more than 55 million people. NPCC in the United States includes the six New England states and the state of New York. NPCC Canada includes the provinces of Ontario, Québec, and the Maritime provinces of New Brunswick and Nova Scotia. As full members, New Brunswick and Nova Scotia also ensure that NPCC reliability issues are addressed for Prince Edward Island. Additional information</w:t>
      </w:r>
      <w:r w:rsidRPr="003E64EA">
        <w:rPr>
          <w:spacing w:val="-2"/>
          <w:szCs w:val="18"/>
        </w:rPr>
        <w:t xml:space="preserve"> </w:t>
      </w:r>
      <w:r w:rsidRPr="003E64EA">
        <w:rPr>
          <w:szCs w:val="18"/>
        </w:rPr>
        <w:t>on</w:t>
      </w:r>
      <w:r w:rsidRPr="003E64EA">
        <w:rPr>
          <w:spacing w:val="-2"/>
          <w:szCs w:val="18"/>
        </w:rPr>
        <w:t xml:space="preserve"> </w:t>
      </w:r>
      <w:r w:rsidRPr="003E64EA">
        <w:rPr>
          <w:szCs w:val="18"/>
        </w:rPr>
        <w:t>NPCC is available at</w:t>
      </w:r>
      <w:r w:rsidRPr="003E64EA">
        <w:rPr>
          <w:color w:val="0000FF"/>
          <w:szCs w:val="18"/>
        </w:rPr>
        <w:t xml:space="preserve"> </w:t>
      </w:r>
      <w:hyperlink r:id="rId49">
        <w:r w:rsidRPr="0066126F">
          <w:rPr>
            <w:color w:val="auto"/>
            <w:szCs w:val="18"/>
          </w:rPr>
          <w:t>http://www.npcc.org/</w:t>
        </w:r>
      </w:hyperlink>
      <w:r w:rsidRPr="0066126F">
        <w:rPr>
          <w:color w:val="auto"/>
          <w:szCs w:val="18"/>
        </w:rPr>
        <w:t>.</w:t>
      </w:r>
    </w:p>
  </w:footnote>
  <w:footnote w:id="47">
    <w:p w:rsidR="000F2023" w:rsidRPr="003E64EA" w:rsidRDefault="000F2023" w:rsidP="00E42DBD">
      <w:pPr>
        <w:pStyle w:val="FootnoteText"/>
        <w:rPr>
          <w:szCs w:val="18"/>
        </w:rPr>
      </w:pPr>
      <w:r w:rsidRPr="003E64EA">
        <w:rPr>
          <w:rStyle w:val="FootnoteReference"/>
          <w:rFonts w:cstheme="minorBidi"/>
          <w:sz w:val="18"/>
          <w:szCs w:val="18"/>
        </w:rPr>
        <w:footnoteRef/>
      </w:r>
      <w:r w:rsidRPr="003E64EA">
        <w:rPr>
          <w:szCs w:val="18"/>
        </w:rPr>
        <w:t xml:space="preserve"> NPCC seasonal reliability assessments are available in the </w:t>
      </w:r>
      <w:hyperlink r:id="rId50">
        <w:r w:rsidRPr="003E64EA">
          <w:rPr>
            <w:szCs w:val="18"/>
          </w:rPr>
          <w:t>NPCC library.</w:t>
        </w:r>
      </w:hyperlink>
      <w:r w:rsidRPr="003E64EA">
        <w:rPr>
          <w:szCs w:val="18"/>
        </w:rPr>
        <w:t xml:space="preserve"> For the most recent seasonal assessment, see the </w:t>
      </w:r>
      <w:hyperlink r:id="rId51">
        <w:r w:rsidRPr="003E64EA">
          <w:rPr>
            <w:i/>
            <w:szCs w:val="18"/>
          </w:rPr>
          <w:t>NPCC Reliability Assessment for Winter 2015-2016</w:t>
        </w:r>
        <w:r w:rsidRPr="003E64EA">
          <w:rPr>
            <w:szCs w:val="18"/>
          </w:rPr>
          <w:t xml:space="preserve"> </w:t>
        </w:r>
      </w:hyperlink>
      <w:r w:rsidRPr="003E64EA">
        <w:rPr>
          <w:szCs w:val="18"/>
        </w:rPr>
        <w:t>(December 1, 2015).</w:t>
      </w:r>
    </w:p>
  </w:footnote>
  <w:footnote w:id="48">
    <w:p w:rsidR="000F2023" w:rsidRPr="003E64EA" w:rsidRDefault="000F2023" w:rsidP="00E42DBD">
      <w:pPr>
        <w:pStyle w:val="FootnoteText"/>
        <w:rPr>
          <w:szCs w:val="18"/>
        </w:rPr>
      </w:pPr>
      <w:r w:rsidRPr="003E64EA">
        <w:rPr>
          <w:rStyle w:val="FootnoteReference"/>
          <w:rFonts w:cstheme="minorBidi"/>
          <w:sz w:val="18"/>
          <w:szCs w:val="18"/>
        </w:rPr>
        <w:footnoteRef/>
      </w:r>
      <w:r w:rsidRPr="003E64EA">
        <w:rPr>
          <w:szCs w:val="18"/>
          <w:vertAlign w:val="superscript"/>
        </w:rPr>
        <w:t xml:space="preserve"> </w:t>
      </w:r>
      <w:r w:rsidRPr="003E64EA">
        <w:rPr>
          <w:szCs w:val="18"/>
        </w:rPr>
        <w:t xml:space="preserve">Information on the Eastern Interconnection Reliability Assessment Group is available at </w:t>
      </w:r>
      <w:hyperlink r:id="rId52" w:history="1">
        <w:r w:rsidRPr="00C059B4">
          <w:rPr>
            <w:rStyle w:val="Hyperlink"/>
            <w:szCs w:val="18"/>
          </w:rPr>
          <w:t>https://rfirst.org/reliability/easterninterconnectionreliabilityassessmentgroup/pages/default.aspx</w:t>
        </w:r>
      </w:hyperlink>
      <w:r>
        <w:rPr>
          <w:szCs w:val="18"/>
        </w:rPr>
        <w:t>.</w:t>
      </w:r>
    </w:p>
  </w:footnote>
  <w:footnote w:id="49">
    <w:p w:rsidR="000F2023" w:rsidRPr="00E42DBD" w:rsidRDefault="000F2023" w:rsidP="00897710">
      <w:pPr>
        <w:pStyle w:val="FootnoteText"/>
      </w:pPr>
      <w:r w:rsidRPr="00D25FA1">
        <w:rPr>
          <w:rStyle w:val="FootnoteReference"/>
          <w:rFonts w:cstheme="minorBidi"/>
          <w:sz w:val="18"/>
          <w:szCs w:val="18"/>
        </w:rPr>
        <w:footnoteRef/>
      </w:r>
      <w:r w:rsidRPr="00D25FA1">
        <w:rPr>
          <w:szCs w:val="18"/>
        </w:rPr>
        <w:t xml:space="preserve"> The most recent version of this work is documented at RFC’s “Reliability Reports” webpage: </w:t>
      </w:r>
      <w:hyperlink r:id="rId53" w:history="1">
        <w:r w:rsidRPr="00D25FA1">
          <w:rPr>
            <w:rStyle w:val="Hyperlink"/>
          </w:rPr>
          <w:t>https://rfirst.org/reliability/Pages/ReliabilityReports.aspx</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023" w:rsidRDefault="000F2023" w:rsidP="0084201C">
    <w:pPr>
      <w:tabs>
        <w:tab w:val="center" w:pos="4680"/>
        <w:tab w:val="right" w:pos="9360"/>
      </w:tabs>
      <w:spacing w:after="0" w:line="240" w:lineRule="auto"/>
      <w:jc w:val="both"/>
    </w:pPr>
  </w:p>
  <w:p w:rsidR="000F2023" w:rsidRPr="0084201C" w:rsidRDefault="000F2023" w:rsidP="0084201C">
    <w:pPr>
      <w:tabs>
        <w:tab w:val="center" w:pos="4680"/>
        <w:tab w:val="right" w:pos="9360"/>
      </w:tabs>
      <w:spacing w:after="0" w:line="240" w:lineRule="auto"/>
      <w:jc w:val="both"/>
    </w:pPr>
    <w:r w:rsidRPr="0084201C">
      <w:t xml:space="preserve">            </w:t>
    </w:r>
  </w:p>
  <w:p w:rsidR="000F2023" w:rsidRPr="0084201C" w:rsidRDefault="000F2023" w:rsidP="0084201C">
    <w:pPr>
      <w:tabs>
        <w:tab w:val="center" w:pos="4680"/>
        <w:tab w:val="right" w:pos="9360"/>
      </w:tabs>
      <w:spacing w:after="0" w:line="240" w:lineRule="auto"/>
    </w:pPr>
    <w:r w:rsidRPr="0084201C">
      <w:rPr>
        <w:noProof/>
      </w:rPr>
      <w:drawing>
        <wp:inline distT="0" distB="0" distL="0" distR="0" wp14:anchorId="78DCE7EF" wp14:editId="4DBABBE0">
          <wp:extent cx="1664335" cy="6642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335" cy="664210"/>
                  </a:xfrm>
                  <a:prstGeom prst="rect">
                    <a:avLst/>
                  </a:prstGeom>
                  <a:noFill/>
                </pic:spPr>
              </pic:pic>
            </a:graphicData>
          </a:graphic>
        </wp:inline>
      </w:drawing>
    </w:r>
    <w:r w:rsidRPr="0084201C">
      <w:t xml:space="preserve">      </w:t>
    </w:r>
    <w:r w:rsidRPr="0084201C">
      <w:rPr>
        <w:noProof/>
      </w:rPr>
      <w:drawing>
        <wp:inline distT="0" distB="0" distL="0" distR="0" wp14:anchorId="0FC66A8D" wp14:editId="49F26576">
          <wp:extent cx="2273935" cy="676910"/>
          <wp:effectExtent l="0" t="0" r="0" b="889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73935" cy="676910"/>
                  </a:xfrm>
                  <a:prstGeom prst="rect">
                    <a:avLst/>
                  </a:prstGeom>
                  <a:noFill/>
                </pic:spPr>
              </pic:pic>
            </a:graphicData>
          </a:graphic>
        </wp:inline>
      </w:drawing>
    </w:r>
    <w:r w:rsidRPr="0084201C">
      <w:t xml:space="preserve">  </w:t>
    </w:r>
    <w:r w:rsidRPr="0084201C">
      <w:rPr>
        <w:noProof/>
      </w:rPr>
      <w:drawing>
        <wp:inline distT="0" distB="0" distL="0" distR="0" wp14:anchorId="732B2938" wp14:editId="59D942E0">
          <wp:extent cx="1713230" cy="694690"/>
          <wp:effectExtent l="0" t="0" r="127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3230" cy="694690"/>
                  </a:xfrm>
                  <a:prstGeom prst="rect">
                    <a:avLst/>
                  </a:prstGeom>
                  <a:noFill/>
                </pic:spPr>
              </pic:pic>
            </a:graphicData>
          </a:graphic>
        </wp:inline>
      </w:drawing>
    </w:r>
  </w:p>
  <w:p w:rsidR="000F2023" w:rsidRPr="00CC45C7" w:rsidRDefault="000F2023" w:rsidP="0084201C">
    <w:pPr>
      <w:tabs>
        <w:tab w:val="center" w:pos="4680"/>
        <w:tab w:val="right" w:pos="9360"/>
      </w:tabs>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023" w:rsidRPr="00CC45C7" w:rsidRDefault="000F2023" w:rsidP="0084201C">
    <w:pPr>
      <w:tabs>
        <w:tab w:val="center" w:pos="4680"/>
        <w:tab w:val="right" w:pos="9360"/>
      </w:tabs>
      <w:spacing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023" w:rsidRPr="00C35773" w:rsidRDefault="000F2023" w:rsidP="00C35773">
    <w:pPr>
      <w:spacing w:line="14" w:lineRule="auto"/>
      <w:rPr>
        <w:color w:val="000000" w:themeColor="text1"/>
        <w:sz w:val="20"/>
        <w:szCs w:val="20"/>
      </w:rPr>
    </w:pPr>
    <w:r>
      <w:rPr>
        <w:noProof/>
        <w:color w:val="000000" w:themeColor="text1"/>
      </w:rPr>
      <mc:AlternateContent>
        <mc:Choice Requires="wps">
          <w:drawing>
            <wp:anchor distT="0" distB="0" distL="114300" distR="114300" simplePos="0" relativeHeight="503292344" behindDoc="1" locked="0" layoutInCell="1" allowOverlap="1" wp14:anchorId="0C6F2A32" wp14:editId="1FB274FE">
              <wp:simplePos x="0" y="0"/>
              <wp:positionH relativeFrom="page">
                <wp:posOffset>2453640</wp:posOffset>
              </wp:positionH>
              <wp:positionV relativeFrom="page">
                <wp:posOffset>533400</wp:posOffset>
              </wp:positionV>
              <wp:extent cx="3794760" cy="254000"/>
              <wp:effectExtent l="0" t="0" r="15240" b="1270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476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023" w:rsidRDefault="000F2023" w:rsidP="00C35773">
                          <w:pPr>
                            <w:tabs>
                              <w:tab w:val="left" w:pos="5285"/>
                            </w:tabs>
                            <w:spacing w:line="384" w:lineRule="exact"/>
                            <w:ind w:left="20"/>
                            <w:rPr>
                              <w:rFonts w:ascii="Calibri" w:eastAsia="Calibri" w:hAnsi="Calibri" w:cs="Calibri"/>
                              <w:sz w:val="36"/>
                              <w:szCs w:val="36"/>
                            </w:rPr>
                          </w:pPr>
                          <w:r>
                            <w:rPr>
                              <w:rFonts w:ascii="Calibri"/>
                              <w:i/>
                              <w:sz w:val="32"/>
                            </w:rPr>
                            <w:t xml:space="preserve">2015 </w:t>
                          </w:r>
                          <w:r w:rsidRPr="00C05AB5">
                            <w:rPr>
                              <w:rFonts w:ascii="Calibri"/>
                              <w:i/>
                              <w:sz w:val="32"/>
                            </w:rPr>
                            <w:t>Northeastern</w:t>
                          </w:r>
                          <w:r w:rsidRPr="00C05AB5">
                            <w:rPr>
                              <w:rFonts w:ascii="Calibri"/>
                              <w:i/>
                              <w:spacing w:val="-18"/>
                              <w:sz w:val="32"/>
                            </w:rPr>
                            <w:t xml:space="preserve"> </w:t>
                          </w:r>
                          <w:r w:rsidRPr="00C05AB5">
                            <w:rPr>
                              <w:rFonts w:ascii="Calibri"/>
                              <w:i/>
                              <w:spacing w:val="-1"/>
                              <w:sz w:val="32"/>
                            </w:rPr>
                            <w:t>Coordinated</w:t>
                          </w:r>
                          <w:r w:rsidRPr="00C05AB5">
                            <w:rPr>
                              <w:rFonts w:ascii="Calibri"/>
                              <w:i/>
                              <w:spacing w:val="-16"/>
                              <w:sz w:val="32"/>
                            </w:rPr>
                            <w:t xml:space="preserve"> </w:t>
                          </w:r>
                          <w:r w:rsidRPr="00C05AB5">
                            <w:rPr>
                              <w:rFonts w:ascii="Calibri"/>
                              <w:i/>
                              <w:spacing w:val="-1"/>
                              <w:sz w:val="32"/>
                            </w:rPr>
                            <w:t>System</w:t>
                          </w:r>
                          <w:r w:rsidRPr="00C05AB5">
                            <w:rPr>
                              <w:rFonts w:ascii="Calibri"/>
                              <w:i/>
                              <w:spacing w:val="-17"/>
                              <w:sz w:val="32"/>
                            </w:rPr>
                            <w:t xml:space="preserve"> </w:t>
                          </w:r>
                          <w:r w:rsidRPr="00C05AB5">
                            <w:rPr>
                              <w:rFonts w:ascii="Calibri"/>
                              <w:i/>
                              <w:sz w:val="32"/>
                            </w:rPr>
                            <w:t>Plan</w:t>
                          </w:r>
                          <w:r w:rsidRPr="00C05AB5">
                            <w:rPr>
                              <w:rFonts w:ascii="Calibri"/>
                              <w:i/>
                              <w:sz w:val="32"/>
                            </w:rPr>
                            <w:tab/>
                            <w:t>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193.2pt;margin-top:42pt;width:298.8pt;height:20pt;z-index:-24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" filled="f" stroked="f">
              <v:textbox inset="0,0,0,0">
                <w:txbxContent>
                  <w:p w:rsidR="000F2023" w:rsidRDefault="000F2023" w:rsidP="00C35773">
                    <w:pPr>
                      <w:tabs>
                        <w:tab w:val="left" w:pos="5285"/>
                      </w:tabs>
                      <w:spacing w:line="384" w:lineRule="exact"/>
                      <w:ind w:left="20"/>
                      <w:rPr>
                        <w:rFonts w:ascii="Calibri" w:eastAsia="Calibri" w:hAnsi="Calibri" w:cs="Calibri"/>
                        <w:sz w:val="36"/>
                        <w:szCs w:val="36"/>
                      </w:rPr>
                    </w:pPr>
                    <w:r>
                      <w:rPr>
                        <w:rFonts w:ascii="Calibri"/>
                        <w:i/>
                        <w:sz w:val="32"/>
                      </w:rPr>
                      <w:t xml:space="preserve">2015 </w:t>
                    </w:r>
                    <w:r w:rsidRPr="00C05AB5">
                      <w:rPr>
                        <w:rFonts w:ascii="Calibri"/>
                        <w:i/>
                        <w:sz w:val="32"/>
                      </w:rPr>
                      <w:t>Northeastern</w:t>
                    </w:r>
                    <w:r w:rsidRPr="00C05AB5">
                      <w:rPr>
                        <w:rFonts w:ascii="Calibri"/>
                        <w:i/>
                        <w:spacing w:val="-18"/>
                        <w:sz w:val="32"/>
                      </w:rPr>
                      <w:t xml:space="preserve"> </w:t>
                    </w:r>
                    <w:r w:rsidRPr="00C05AB5">
                      <w:rPr>
                        <w:rFonts w:ascii="Calibri"/>
                        <w:i/>
                        <w:spacing w:val="-1"/>
                        <w:sz w:val="32"/>
                      </w:rPr>
                      <w:t>Coordinated</w:t>
                    </w:r>
                    <w:r w:rsidRPr="00C05AB5">
                      <w:rPr>
                        <w:rFonts w:ascii="Calibri"/>
                        <w:i/>
                        <w:spacing w:val="-16"/>
                        <w:sz w:val="32"/>
                      </w:rPr>
                      <w:t xml:space="preserve"> </w:t>
                    </w:r>
                    <w:r w:rsidRPr="00C05AB5">
                      <w:rPr>
                        <w:rFonts w:ascii="Calibri"/>
                        <w:i/>
                        <w:spacing w:val="-1"/>
                        <w:sz w:val="32"/>
                      </w:rPr>
                      <w:t>System</w:t>
                    </w:r>
                    <w:r w:rsidRPr="00C05AB5">
                      <w:rPr>
                        <w:rFonts w:ascii="Calibri"/>
                        <w:i/>
                        <w:spacing w:val="-17"/>
                        <w:sz w:val="32"/>
                      </w:rPr>
                      <w:t xml:space="preserve"> </w:t>
                    </w:r>
                    <w:r w:rsidRPr="00C05AB5">
                      <w:rPr>
                        <w:rFonts w:ascii="Calibri"/>
                        <w:i/>
                        <w:sz w:val="32"/>
                      </w:rPr>
                      <w:t>Plan</w:t>
                    </w:r>
                    <w:r w:rsidRPr="00C05AB5">
                      <w:rPr>
                        <w:rFonts w:ascii="Calibri"/>
                        <w:i/>
                        <w:sz w:val="32"/>
                      </w:rPr>
                      <w:tab/>
                      <w:t>2015</w:t>
                    </w:r>
                  </w:p>
                </w:txbxContent>
              </v:textbox>
              <w10:wrap anchorx="page" anchory="page"/>
            </v:shape>
          </w:pict>
        </mc:Fallback>
      </mc:AlternateContent>
    </w:r>
    <w:r>
      <w:rPr>
        <w:noProof/>
        <w:color w:val="000000" w:themeColor="text1"/>
      </w:rPr>
      <mc:AlternateContent>
        <mc:Choice Requires="wpg">
          <w:drawing>
            <wp:anchor distT="0" distB="0" distL="114300" distR="114300" simplePos="0" relativeHeight="503291320" behindDoc="1" locked="0" layoutInCell="1" allowOverlap="1" wp14:anchorId="1C3EE9ED" wp14:editId="34A0DEAC">
              <wp:simplePos x="0" y="0"/>
              <wp:positionH relativeFrom="page">
                <wp:posOffset>825500</wp:posOffset>
              </wp:positionH>
              <wp:positionV relativeFrom="page">
                <wp:posOffset>444500</wp:posOffset>
              </wp:positionV>
              <wp:extent cx="6112510" cy="396240"/>
              <wp:effectExtent l="0" t="0" r="21590" b="3810"/>
              <wp:wrapNone/>
              <wp:docPr id="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2510" cy="396240"/>
                        <a:chOff x="1300" y="700"/>
                        <a:chExt cx="9626" cy="624"/>
                      </a:xfrm>
                    </wpg:grpSpPr>
                    <wpg:grpSp>
                      <wpg:cNvPr id="7" name="Group 28"/>
                      <wpg:cNvGrpSpPr>
                        <a:grpSpLocks/>
                      </wpg:cNvGrpSpPr>
                      <wpg:grpSpPr bwMode="auto">
                        <a:xfrm>
                          <a:off x="1310" y="1313"/>
                          <a:ext cx="9605" cy="2"/>
                          <a:chOff x="1310" y="1313"/>
                          <a:chExt cx="9605" cy="2"/>
                        </a:xfrm>
                      </wpg:grpSpPr>
                      <wps:wsp>
                        <wps:cNvPr id="8" name="Freeform 29"/>
                        <wps:cNvSpPr>
                          <a:spLocks/>
                        </wps:cNvSpPr>
                        <wps:spPr bwMode="auto">
                          <a:xfrm>
                            <a:off x="1310" y="1313"/>
                            <a:ext cx="9605" cy="2"/>
                          </a:xfrm>
                          <a:custGeom>
                            <a:avLst/>
                            <a:gdLst>
                              <a:gd name="T0" fmla="+- 0 1310 1310"/>
                              <a:gd name="T1" fmla="*/ T0 w 9605"/>
                              <a:gd name="T2" fmla="+- 0 10915 1310"/>
                              <a:gd name="T3" fmla="*/ T2 w 9605"/>
                            </a:gdLst>
                            <a:ahLst/>
                            <a:cxnLst>
                              <a:cxn ang="0">
                                <a:pos x="T1" y="0"/>
                              </a:cxn>
                              <a:cxn ang="0">
                                <a:pos x="T3" y="0"/>
                              </a:cxn>
                            </a:cxnLst>
                            <a:rect l="0" t="0" r="r" b="b"/>
                            <a:pathLst>
                              <a:path w="9605">
                                <a:moveTo>
                                  <a:pt x="0" y="0"/>
                                </a:moveTo>
                                <a:lnTo>
                                  <a:pt x="9605" y="0"/>
                                </a:lnTo>
                              </a:path>
                            </a:pathLst>
                          </a:custGeom>
                          <a:noFill/>
                          <a:ln w="13462">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26"/>
                      <wpg:cNvGrpSpPr>
                        <a:grpSpLocks/>
                      </wpg:cNvGrpSpPr>
                      <wpg:grpSpPr bwMode="auto">
                        <a:xfrm>
                          <a:off x="9720" y="710"/>
                          <a:ext cx="2" cy="593"/>
                          <a:chOff x="9720" y="710"/>
                          <a:chExt cx="2" cy="593"/>
                        </a:xfrm>
                      </wpg:grpSpPr>
                      <wps:wsp>
                        <wps:cNvPr id="10" name="Freeform 27"/>
                        <wps:cNvSpPr>
                          <a:spLocks/>
                        </wps:cNvSpPr>
                        <wps:spPr bwMode="auto">
                          <a:xfrm>
                            <a:off x="9720" y="710"/>
                            <a:ext cx="2" cy="593"/>
                          </a:xfrm>
                          <a:custGeom>
                            <a:avLst/>
                            <a:gdLst>
                              <a:gd name="T0" fmla="+- 0 710 710"/>
                              <a:gd name="T1" fmla="*/ 710 h 593"/>
                              <a:gd name="T2" fmla="+- 0 1303 710"/>
                              <a:gd name="T3" fmla="*/ 1303 h 593"/>
                            </a:gdLst>
                            <a:ahLst/>
                            <a:cxnLst>
                              <a:cxn ang="0">
                                <a:pos x="0" y="T1"/>
                              </a:cxn>
                              <a:cxn ang="0">
                                <a:pos x="0" y="T3"/>
                              </a:cxn>
                            </a:cxnLst>
                            <a:rect l="0" t="0" r="r" b="b"/>
                            <a:pathLst>
                              <a:path h="593">
                                <a:moveTo>
                                  <a:pt x="0" y="0"/>
                                </a:moveTo>
                                <a:lnTo>
                                  <a:pt x="0" y="593"/>
                                </a:lnTo>
                              </a:path>
                            </a:pathLst>
                          </a:custGeom>
                          <a:noFill/>
                          <a:ln w="13449">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65pt;margin-top:35pt;width:481.3pt;height:31.2pt;z-index:-25160;mso-position-horizontal-relative:page;mso-position-vertical-relative:page" coordorigin="1300,700" coordsize="9626,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">
              <v:group id="Group 28" o:spid="_x0000_s1027" style="position:absolute;left:1310;top:1313;width:9605;height:2" coordorigin="1310,1313" coordsize="96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29" o:spid="_x0000_s1028" style="position:absolute;left:1310;top:1313;width:9605;height:2;visibility:visible;mso-wrap-style:square;v-text-anchor:top" coordsize="96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BRqcEA&#10;AADaAAAADwAAAGRycy9kb3ducmV2LnhtbERPPU/DMBDdkfgP1iGxEScdUBXqRAhRVHVqExiyXeMj&#10;SWufo9ht039fD0iMT+97Vc7WiAtNfnCsIEtSEMSt0wN3Cr7r9csShA/IGo1jUnAjD2Xx+LDCXLsr&#10;7+lShU7EEPY5KuhDGHMpfduTRZ+4kThyv26yGCKcOqknvMZwa+QiTV+lxYFjQ48jffTUnqqzVfCT&#10;fa3Ntjkezf4wUHOoT7tMfir1/DS/v4EINId/8Z97oxXErfFKvAGy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UanBAAAA2gAAAA8AAAAAAAAAAAAAAAAAmAIAAGRycy9kb3du&#10;cmV2LnhtbFBLBQYAAAAABAAEAPUAAACGAwAAAAA=&#10;" path="m,l9605,e" filled="f" strokecolor="#818181" strokeweight="1.06pt">
                  <v:path arrowok="t" o:connecttype="custom" o:connectlocs="0,0;9605,0" o:connectangles="0,0"/>
                </v:shape>
              </v:group>
              <v:group id="Group 26" o:spid="_x0000_s1029" style="position:absolute;left:9720;top:710;width:2;height:593" coordorigin="9720,710" coordsize="2,5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27" o:spid="_x0000_s1030" style="position:absolute;left:9720;top:710;width:2;height:593;visibility:visible;mso-wrap-style:square;v-text-anchor:top" coordsize="2,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VWMMIA&#10;AADbAAAADwAAAGRycy9kb3ducmV2LnhtbESPQW/CMAyF75P4D5GRuI10k0BQCGggIdYjLT/Aary2&#10;rHGiJoPu38+HSdxsvef3Pm/3o+vVnYbYeTbwNs9AEdfedtwYuFan1xWomJAt9p7JwC9F2O8mL1vM&#10;rX/whe5lapSEcMzRQJtSyLWOdUsO49wHYtG+/OAwyTo02g74kHDX6/csW2qHHUtDi4GOLdXf5Y8z&#10;kPmqWIfb+dBXpT4tbueCQyyMmU3Hjw2oRGN6mv+vP63gC738IgPo3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RVYwwgAAANsAAAAPAAAAAAAAAAAAAAAAAJgCAABkcnMvZG93&#10;bnJldi54bWxQSwUGAAAAAAQABAD1AAAAhwMAAAAA&#10;" path="m,l,593e" filled="f" strokecolor="#818181" strokeweight=".37358mm">
                  <v:path arrowok="t" o:connecttype="custom" o:connectlocs="0,710;0,1303" o:connectangles="0,0"/>
                </v:shape>
              </v:group>
              <w10:wrap anchorx="page" anchory="page"/>
            </v:group>
          </w:pict>
        </mc:Fallback>
      </mc:AlternateContent>
    </w:r>
  </w:p>
  <w:p w:rsidR="000F2023" w:rsidRPr="00C35773" w:rsidRDefault="000F2023" w:rsidP="00C3577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023" w:rsidRDefault="000F2023">
    <w:pPr>
      <w:spacing w:line="14" w:lineRule="auto"/>
      <w:rPr>
        <w:sz w:val="20"/>
        <w:szCs w:val="20"/>
      </w:rPr>
    </w:pPr>
    <w:r>
      <w:rPr>
        <w:noProof/>
      </w:rPr>
      <mc:AlternateContent>
        <mc:Choice Requires="wps">
          <w:drawing>
            <wp:anchor distT="0" distB="0" distL="114300" distR="114300" simplePos="0" relativeHeight="503289272" behindDoc="1" locked="0" layoutInCell="1" allowOverlap="1" wp14:anchorId="36D8EE01" wp14:editId="3B2F5EC0">
              <wp:simplePos x="0" y="0"/>
              <wp:positionH relativeFrom="page">
                <wp:posOffset>2468880</wp:posOffset>
              </wp:positionH>
              <wp:positionV relativeFrom="page">
                <wp:posOffset>533400</wp:posOffset>
              </wp:positionV>
              <wp:extent cx="3741420" cy="254000"/>
              <wp:effectExtent l="0" t="0" r="11430" b="12700"/>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142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023" w:rsidRDefault="000F2023">
                          <w:pPr>
                            <w:tabs>
                              <w:tab w:val="left" w:pos="5285"/>
                            </w:tabs>
                            <w:spacing w:line="384" w:lineRule="exact"/>
                            <w:ind w:left="20"/>
                            <w:rPr>
                              <w:rFonts w:ascii="Calibri" w:eastAsia="Calibri" w:hAnsi="Calibri" w:cs="Calibri"/>
                              <w:sz w:val="36"/>
                              <w:szCs w:val="36"/>
                            </w:rPr>
                          </w:pPr>
                          <w:r>
                            <w:rPr>
                              <w:rFonts w:ascii="Calibri"/>
                              <w:i/>
                              <w:sz w:val="32"/>
                            </w:rPr>
                            <w:t xml:space="preserve">2015 </w:t>
                          </w:r>
                          <w:r w:rsidRPr="00642AD8">
                            <w:rPr>
                              <w:rFonts w:ascii="Calibri"/>
                              <w:i/>
                              <w:sz w:val="32"/>
                            </w:rPr>
                            <w:t>Northeastern</w:t>
                          </w:r>
                          <w:r w:rsidRPr="00642AD8">
                            <w:rPr>
                              <w:rFonts w:ascii="Calibri"/>
                              <w:i/>
                              <w:spacing w:val="-18"/>
                              <w:sz w:val="32"/>
                            </w:rPr>
                            <w:t xml:space="preserve"> </w:t>
                          </w:r>
                          <w:r w:rsidRPr="00642AD8">
                            <w:rPr>
                              <w:rFonts w:ascii="Calibri"/>
                              <w:i/>
                              <w:spacing w:val="-1"/>
                              <w:sz w:val="32"/>
                            </w:rPr>
                            <w:t>Coordinated</w:t>
                          </w:r>
                          <w:r w:rsidRPr="00642AD8">
                            <w:rPr>
                              <w:rFonts w:ascii="Calibri"/>
                              <w:i/>
                              <w:spacing w:val="-16"/>
                              <w:sz w:val="32"/>
                            </w:rPr>
                            <w:t xml:space="preserve"> </w:t>
                          </w:r>
                          <w:r w:rsidRPr="00642AD8">
                            <w:rPr>
                              <w:rFonts w:ascii="Calibri"/>
                              <w:i/>
                              <w:spacing w:val="-1"/>
                              <w:sz w:val="32"/>
                            </w:rPr>
                            <w:t>System</w:t>
                          </w:r>
                          <w:r w:rsidRPr="00642AD8">
                            <w:rPr>
                              <w:rFonts w:ascii="Calibri"/>
                              <w:i/>
                              <w:spacing w:val="-17"/>
                              <w:sz w:val="32"/>
                            </w:rPr>
                            <w:t xml:space="preserve"> </w:t>
                          </w:r>
                          <w:r w:rsidRPr="00642AD8">
                            <w:rPr>
                              <w:rFonts w:ascii="Calibri"/>
                              <w:i/>
                              <w:sz w:val="32"/>
                            </w:rPr>
                            <w:t>Plan</w:t>
                          </w:r>
                          <w:r w:rsidRPr="00642AD8">
                            <w:rPr>
                              <w:rFonts w:ascii="Calibri"/>
                              <w:i/>
                              <w:sz w:val="32"/>
                            </w:rPr>
                            <w:tab/>
                            <w:t>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94.4pt;margin-top:42pt;width:294.6pt;height:20pt;z-index:-27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" filled="f" stroked="f">
              <v:textbox inset="0,0,0,0">
                <w:txbxContent>
                  <w:p w:rsidR="000F2023" w:rsidRDefault="000F2023">
                    <w:pPr>
                      <w:tabs>
                        <w:tab w:val="left" w:pos="5285"/>
                      </w:tabs>
                      <w:spacing w:line="384" w:lineRule="exact"/>
                      <w:ind w:left="20"/>
                      <w:rPr>
                        <w:rFonts w:ascii="Calibri" w:eastAsia="Calibri" w:hAnsi="Calibri" w:cs="Calibri"/>
                        <w:sz w:val="36"/>
                        <w:szCs w:val="36"/>
                      </w:rPr>
                    </w:pPr>
                    <w:r>
                      <w:rPr>
                        <w:rFonts w:ascii="Calibri"/>
                        <w:i/>
                        <w:sz w:val="32"/>
                      </w:rPr>
                      <w:t xml:space="preserve">2015 </w:t>
                    </w:r>
                    <w:r w:rsidRPr="00642AD8">
                      <w:rPr>
                        <w:rFonts w:ascii="Calibri"/>
                        <w:i/>
                        <w:sz w:val="32"/>
                      </w:rPr>
                      <w:t>Northeastern</w:t>
                    </w:r>
                    <w:r w:rsidRPr="00642AD8">
                      <w:rPr>
                        <w:rFonts w:ascii="Calibri"/>
                        <w:i/>
                        <w:spacing w:val="-18"/>
                        <w:sz w:val="32"/>
                      </w:rPr>
                      <w:t xml:space="preserve"> </w:t>
                    </w:r>
                    <w:r w:rsidRPr="00642AD8">
                      <w:rPr>
                        <w:rFonts w:ascii="Calibri"/>
                        <w:i/>
                        <w:spacing w:val="-1"/>
                        <w:sz w:val="32"/>
                      </w:rPr>
                      <w:t>Coordinated</w:t>
                    </w:r>
                    <w:r w:rsidRPr="00642AD8">
                      <w:rPr>
                        <w:rFonts w:ascii="Calibri"/>
                        <w:i/>
                        <w:spacing w:val="-16"/>
                        <w:sz w:val="32"/>
                      </w:rPr>
                      <w:t xml:space="preserve"> </w:t>
                    </w:r>
                    <w:r w:rsidRPr="00642AD8">
                      <w:rPr>
                        <w:rFonts w:ascii="Calibri"/>
                        <w:i/>
                        <w:spacing w:val="-1"/>
                        <w:sz w:val="32"/>
                      </w:rPr>
                      <w:t>System</w:t>
                    </w:r>
                    <w:r w:rsidRPr="00642AD8">
                      <w:rPr>
                        <w:rFonts w:ascii="Calibri"/>
                        <w:i/>
                        <w:spacing w:val="-17"/>
                        <w:sz w:val="32"/>
                      </w:rPr>
                      <w:t xml:space="preserve"> </w:t>
                    </w:r>
                    <w:r w:rsidRPr="00642AD8">
                      <w:rPr>
                        <w:rFonts w:ascii="Calibri"/>
                        <w:i/>
                        <w:sz w:val="32"/>
                      </w:rPr>
                      <w:t>Plan</w:t>
                    </w:r>
                    <w:r w:rsidRPr="00642AD8">
                      <w:rPr>
                        <w:rFonts w:ascii="Calibri"/>
                        <w:i/>
                        <w:sz w:val="32"/>
                      </w:rPr>
                      <w:tab/>
                      <w:t>2015</w:t>
                    </w:r>
                  </w:p>
                </w:txbxContent>
              </v:textbox>
              <w10:wrap anchorx="page" anchory="page"/>
            </v:shape>
          </w:pict>
        </mc:Fallback>
      </mc:AlternateContent>
    </w:r>
    <w:r>
      <w:rPr>
        <w:noProof/>
      </w:rPr>
      <mc:AlternateContent>
        <mc:Choice Requires="wpg">
          <w:drawing>
            <wp:anchor distT="0" distB="0" distL="114300" distR="114300" simplePos="0" relativeHeight="503288248" behindDoc="1" locked="0" layoutInCell="1" allowOverlap="1" wp14:anchorId="2352C30B" wp14:editId="391147ED">
              <wp:simplePos x="0" y="0"/>
              <wp:positionH relativeFrom="page">
                <wp:posOffset>825500</wp:posOffset>
              </wp:positionH>
              <wp:positionV relativeFrom="page">
                <wp:posOffset>444500</wp:posOffset>
              </wp:positionV>
              <wp:extent cx="6112510" cy="396240"/>
              <wp:effectExtent l="0" t="0" r="21590" b="3810"/>
              <wp:wrapNone/>
              <wp:docPr id="1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2510" cy="396240"/>
                        <a:chOff x="1300" y="700"/>
                        <a:chExt cx="9626" cy="624"/>
                      </a:xfrm>
                    </wpg:grpSpPr>
                    <wpg:grpSp>
                      <wpg:cNvPr id="17" name="Group 28"/>
                      <wpg:cNvGrpSpPr>
                        <a:grpSpLocks/>
                      </wpg:cNvGrpSpPr>
                      <wpg:grpSpPr bwMode="auto">
                        <a:xfrm>
                          <a:off x="1310" y="1313"/>
                          <a:ext cx="9605" cy="2"/>
                          <a:chOff x="1310" y="1313"/>
                          <a:chExt cx="9605" cy="2"/>
                        </a:xfrm>
                      </wpg:grpSpPr>
                      <wps:wsp>
                        <wps:cNvPr id="18" name="Freeform 29"/>
                        <wps:cNvSpPr>
                          <a:spLocks/>
                        </wps:cNvSpPr>
                        <wps:spPr bwMode="auto">
                          <a:xfrm>
                            <a:off x="1310" y="1313"/>
                            <a:ext cx="9605" cy="2"/>
                          </a:xfrm>
                          <a:custGeom>
                            <a:avLst/>
                            <a:gdLst>
                              <a:gd name="T0" fmla="+- 0 1310 1310"/>
                              <a:gd name="T1" fmla="*/ T0 w 9605"/>
                              <a:gd name="T2" fmla="+- 0 10915 1310"/>
                              <a:gd name="T3" fmla="*/ T2 w 9605"/>
                            </a:gdLst>
                            <a:ahLst/>
                            <a:cxnLst>
                              <a:cxn ang="0">
                                <a:pos x="T1" y="0"/>
                              </a:cxn>
                              <a:cxn ang="0">
                                <a:pos x="T3" y="0"/>
                              </a:cxn>
                            </a:cxnLst>
                            <a:rect l="0" t="0" r="r" b="b"/>
                            <a:pathLst>
                              <a:path w="9605">
                                <a:moveTo>
                                  <a:pt x="0" y="0"/>
                                </a:moveTo>
                                <a:lnTo>
                                  <a:pt x="9605" y="0"/>
                                </a:lnTo>
                              </a:path>
                            </a:pathLst>
                          </a:custGeom>
                          <a:noFill/>
                          <a:ln w="13462">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26"/>
                      <wpg:cNvGrpSpPr>
                        <a:grpSpLocks/>
                      </wpg:cNvGrpSpPr>
                      <wpg:grpSpPr bwMode="auto">
                        <a:xfrm>
                          <a:off x="9720" y="710"/>
                          <a:ext cx="2" cy="593"/>
                          <a:chOff x="9720" y="710"/>
                          <a:chExt cx="2" cy="593"/>
                        </a:xfrm>
                      </wpg:grpSpPr>
                      <wps:wsp>
                        <wps:cNvPr id="22" name="Freeform 27"/>
                        <wps:cNvSpPr>
                          <a:spLocks/>
                        </wps:cNvSpPr>
                        <wps:spPr bwMode="auto">
                          <a:xfrm>
                            <a:off x="9720" y="710"/>
                            <a:ext cx="2" cy="593"/>
                          </a:xfrm>
                          <a:custGeom>
                            <a:avLst/>
                            <a:gdLst>
                              <a:gd name="T0" fmla="+- 0 710 710"/>
                              <a:gd name="T1" fmla="*/ 710 h 593"/>
                              <a:gd name="T2" fmla="+- 0 1303 710"/>
                              <a:gd name="T3" fmla="*/ 1303 h 593"/>
                            </a:gdLst>
                            <a:ahLst/>
                            <a:cxnLst>
                              <a:cxn ang="0">
                                <a:pos x="0" y="T1"/>
                              </a:cxn>
                              <a:cxn ang="0">
                                <a:pos x="0" y="T3"/>
                              </a:cxn>
                            </a:cxnLst>
                            <a:rect l="0" t="0" r="r" b="b"/>
                            <a:pathLst>
                              <a:path h="593">
                                <a:moveTo>
                                  <a:pt x="0" y="0"/>
                                </a:moveTo>
                                <a:lnTo>
                                  <a:pt x="0" y="593"/>
                                </a:lnTo>
                              </a:path>
                            </a:pathLst>
                          </a:custGeom>
                          <a:noFill/>
                          <a:ln w="13449">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65pt;margin-top:35pt;width:481.3pt;height:31.2pt;z-index:-28232;mso-position-horizontal-relative:page;mso-position-vertical-relative:page" coordorigin="1300,700" coordsize="9626,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">
              <v:group id="Group 28" o:spid="_x0000_s1027" style="position:absolute;left:1310;top:1313;width:9605;height:2" coordorigin="1310,1313" coordsize="96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29" o:spid="_x0000_s1028" style="position:absolute;left:1310;top:1313;width:9605;height:2;visibility:visible;mso-wrap-style:square;v-text-anchor:top" coordsize="96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sMfsQA&#10;AADbAAAADwAAAGRycy9kb3ducmV2LnhtbESPT2/CMAzF75P2HSJP4jbS7oCmQkAIjWnixJ/twM00&#10;pi0kTtUEKN9+PiBxs/We3/t5Muu9U1fqYhPYQD7MQBGXwTZcGfjdLd8/QcWEbNEFJgN3ijCbvr5M&#10;sLDhxhu6blOlJIRjgQbqlNpC61jW5DEOQ0ss2jF0HpOsXaVthzcJ905/ZNlIe2xYGmpsaVFTed5e&#10;vIG//HvpVvvTyW0ODe0Pu/M611/GDN76+RhUoj49zY/rHyv4Aiu/yAB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rDH7EAAAA2wAAAA8AAAAAAAAAAAAAAAAAmAIAAGRycy9k&#10;b3ducmV2LnhtbFBLBQYAAAAABAAEAPUAAACJAwAAAAA=&#10;" path="m,l9605,e" filled="f" strokecolor="#818181" strokeweight="1.06pt">
                  <v:path arrowok="t" o:connecttype="custom" o:connectlocs="0,0;9605,0" o:connectangles="0,0"/>
                </v:shape>
              </v:group>
              <v:group id="Group 26" o:spid="_x0000_s1029" style="position:absolute;left:9720;top:710;width:2;height:593" coordorigin="9720,710" coordsize="2,5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7" o:spid="_x0000_s1030" style="position:absolute;left:9720;top:710;width:2;height:593;visibility:visible;mso-wrap-style:square;v-text-anchor:top" coordsize="2,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enYcEA&#10;AADbAAAADwAAAGRycy9kb3ducmV2LnhtbESP0YrCMBRE34X9h3AXfNPUguJ2jeIuiNtHWz/g0lzb&#10;anMTmqj17zeC4OMwM2eY1WYwnbhR71vLCmbTBARxZXXLtYJjuZssQfiArLGzTAoe5GGz/hitMNP2&#10;zge6FaEWEcI+QwVNCC6T0lcNGfRT64ijd7K9wRBlX0vd4z3CTSfTJFlIgy3HhQYd/TZUXYqrUZDY&#10;Mv9y5/1PVxZyNz/vc3Y+V2r8OWy/QQQawjv8av9pBWkKzy/xB8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3p2HBAAAA2wAAAA8AAAAAAAAAAAAAAAAAmAIAAGRycy9kb3du&#10;cmV2LnhtbFBLBQYAAAAABAAEAPUAAACGAwAAAAA=&#10;" path="m,l,593e" filled="f" strokecolor="#818181" strokeweight=".37358mm">
                  <v:path arrowok="t" o:connecttype="custom" o:connectlocs="0,710;0,1303" o:connectangles="0,0"/>
                </v:shape>
              </v:group>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D60A1"/>
    <w:multiLevelType w:val="hybridMultilevel"/>
    <w:tmpl w:val="9A02CA46"/>
    <w:lvl w:ilvl="0" w:tplc="04090001">
      <w:start w:val="1"/>
      <w:numFmt w:val="bullet"/>
      <w:lvlText w:val=""/>
      <w:lvlJc w:val="left"/>
      <w:pPr>
        <w:ind w:left="979" w:hanging="360"/>
      </w:pPr>
      <w:rPr>
        <w:rFonts w:ascii="Symbol" w:hAnsi="Symbol" w:hint="default"/>
        <w:spacing w:val="-1"/>
        <w:sz w:val="22"/>
        <w:szCs w:val="22"/>
      </w:rPr>
    </w:lvl>
    <w:lvl w:ilvl="1" w:tplc="F356E3EA">
      <w:start w:val="1"/>
      <w:numFmt w:val="bullet"/>
      <w:lvlText w:val="•"/>
      <w:lvlJc w:val="left"/>
      <w:pPr>
        <w:ind w:left="1867" w:hanging="360"/>
      </w:pPr>
      <w:rPr>
        <w:rFonts w:hint="default"/>
      </w:rPr>
    </w:lvl>
    <w:lvl w:ilvl="2" w:tplc="3ED4DF80">
      <w:start w:val="1"/>
      <w:numFmt w:val="bullet"/>
      <w:lvlText w:val="•"/>
      <w:lvlJc w:val="left"/>
      <w:pPr>
        <w:ind w:left="2755" w:hanging="360"/>
      </w:pPr>
      <w:rPr>
        <w:rFonts w:hint="default"/>
      </w:rPr>
    </w:lvl>
    <w:lvl w:ilvl="3" w:tplc="D9FC31A2">
      <w:start w:val="1"/>
      <w:numFmt w:val="bullet"/>
      <w:lvlText w:val="•"/>
      <w:lvlJc w:val="left"/>
      <w:pPr>
        <w:ind w:left="3643" w:hanging="360"/>
      </w:pPr>
      <w:rPr>
        <w:rFonts w:hint="default"/>
      </w:rPr>
    </w:lvl>
    <w:lvl w:ilvl="4" w:tplc="80C0A3B8">
      <w:start w:val="1"/>
      <w:numFmt w:val="bullet"/>
      <w:lvlText w:val="•"/>
      <w:lvlJc w:val="left"/>
      <w:pPr>
        <w:ind w:left="4531" w:hanging="360"/>
      </w:pPr>
      <w:rPr>
        <w:rFonts w:hint="default"/>
      </w:rPr>
    </w:lvl>
    <w:lvl w:ilvl="5" w:tplc="79867938">
      <w:start w:val="1"/>
      <w:numFmt w:val="bullet"/>
      <w:lvlText w:val="•"/>
      <w:lvlJc w:val="left"/>
      <w:pPr>
        <w:ind w:left="5419" w:hanging="360"/>
      </w:pPr>
      <w:rPr>
        <w:rFonts w:hint="default"/>
      </w:rPr>
    </w:lvl>
    <w:lvl w:ilvl="6" w:tplc="E640CFC4">
      <w:start w:val="1"/>
      <w:numFmt w:val="bullet"/>
      <w:lvlText w:val="•"/>
      <w:lvlJc w:val="left"/>
      <w:pPr>
        <w:ind w:left="6307" w:hanging="360"/>
      </w:pPr>
      <w:rPr>
        <w:rFonts w:hint="default"/>
      </w:rPr>
    </w:lvl>
    <w:lvl w:ilvl="7" w:tplc="11F44268">
      <w:start w:val="1"/>
      <w:numFmt w:val="bullet"/>
      <w:lvlText w:val="•"/>
      <w:lvlJc w:val="left"/>
      <w:pPr>
        <w:ind w:left="7195" w:hanging="360"/>
      </w:pPr>
      <w:rPr>
        <w:rFonts w:hint="default"/>
      </w:rPr>
    </w:lvl>
    <w:lvl w:ilvl="8" w:tplc="09CE8CCC">
      <w:start w:val="1"/>
      <w:numFmt w:val="bullet"/>
      <w:lvlText w:val="•"/>
      <w:lvlJc w:val="left"/>
      <w:pPr>
        <w:ind w:left="8083" w:hanging="360"/>
      </w:pPr>
      <w:rPr>
        <w:rFonts w:hint="default"/>
      </w:rPr>
    </w:lvl>
  </w:abstractNum>
  <w:abstractNum w:abstractNumId="1">
    <w:nsid w:val="06023CD0"/>
    <w:multiLevelType w:val="hybridMultilevel"/>
    <w:tmpl w:val="785E0A54"/>
    <w:lvl w:ilvl="0" w:tplc="9238D90C">
      <w:start w:val="1"/>
      <w:numFmt w:val="bullet"/>
      <w:lvlText w:val="•"/>
      <w:lvlJc w:val="left"/>
      <w:pPr>
        <w:tabs>
          <w:tab w:val="num" w:pos="720"/>
        </w:tabs>
        <w:ind w:left="720" w:hanging="360"/>
      </w:pPr>
      <w:rPr>
        <w:rFonts w:ascii="Arial" w:hAnsi="Arial" w:hint="default"/>
      </w:rPr>
    </w:lvl>
    <w:lvl w:ilvl="1" w:tplc="4FD05A02">
      <w:start w:val="1323"/>
      <w:numFmt w:val="bullet"/>
      <w:lvlText w:val="–"/>
      <w:lvlJc w:val="left"/>
      <w:pPr>
        <w:tabs>
          <w:tab w:val="num" w:pos="1440"/>
        </w:tabs>
        <w:ind w:left="1440" w:hanging="360"/>
      </w:pPr>
      <w:rPr>
        <w:rFonts w:ascii="Arial" w:hAnsi="Arial" w:hint="default"/>
      </w:rPr>
    </w:lvl>
    <w:lvl w:ilvl="2" w:tplc="9C0869EA">
      <w:start w:val="1323"/>
      <w:numFmt w:val="bullet"/>
      <w:lvlText w:val="•"/>
      <w:lvlJc w:val="left"/>
      <w:pPr>
        <w:tabs>
          <w:tab w:val="num" w:pos="2160"/>
        </w:tabs>
        <w:ind w:left="2160" w:hanging="360"/>
      </w:pPr>
      <w:rPr>
        <w:rFonts w:ascii="Arial" w:hAnsi="Arial" w:hint="default"/>
      </w:rPr>
    </w:lvl>
    <w:lvl w:ilvl="3" w:tplc="A0402C78" w:tentative="1">
      <w:start w:val="1"/>
      <w:numFmt w:val="bullet"/>
      <w:lvlText w:val="•"/>
      <w:lvlJc w:val="left"/>
      <w:pPr>
        <w:tabs>
          <w:tab w:val="num" w:pos="2880"/>
        </w:tabs>
        <w:ind w:left="2880" w:hanging="360"/>
      </w:pPr>
      <w:rPr>
        <w:rFonts w:ascii="Arial" w:hAnsi="Arial" w:hint="default"/>
      </w:rPr>
    </w:lvl>
    <w:lvl w:ilvl="4" w:tplc="7C58ADB4" w:tentative="1">
      <w:start w:val="1"/>
      <w:numFmt w:val="bullet"/>
      <w:lvlText w:val="•"/>
      <w:lvlJc w:val="left"/>
      <w:pPr>
        <w:tabs>
          <w:tab w:val="num" w:pos="3600"/>
        </w:tabs>
        <w:ind w:left="3600" w:hanging="360"/>
      </w:pPr>
      <w:rPr>
        <w:rFonts w:ascii="Arial" w:hAnsi="Arial" w:hint="default"/>
      </w:rPr>
    </w:lvl>
    <w:lvl w:ilvl="5" w:tplc="7F8240BE" w:tentative="1">
      <w:start w:val="1"/>
      <w:numFmt w:val="bullet"/>
      <w:lvlText w:val="•"/>
      <w:lvlJc w:val="left"/>
      <w:pPr>
        <w:tabs>
          <w:tab w:val="num" w:pos="4320"/>
        </w:tabs>
        <w:ind w:left="4320" w:hanging="360"/>
      </w:pPr>
      <w:rPr>
        <w:rFonts w:ascii="Arial" w:hAnsi="Arial" w:hint="default"/>
      </w:rPr>
    </w:lvl>
    <w:lvl w:ilvl="6" w:tplc="3ACADC04" w:tentative="1">
      <w:start w:val="1"/>
      <w:numFmt w:val="bullet"/>
      <w:lvlText w:val="•"/>
      <w:lvlJc w:val="left"/>
      <w:pPr>
        <w:tabs>
          <w:tab w:val="num" w:pos="5040"/>
        </w:tabs>
        <w:ind w:left="5040" w:hanging="360"/>
      </w:pPr>
      <w:rPr>
        <w:rFonts w:ascii="Arial" w:hAnsi="Arial" w:hint="default"/>
      </w:rPr>
    </w:lvl>
    <w:lvl w:ilvl="7" w:tplc="04F0DB5E" w:tentative="1">
      <w:start w:val="1"/>
      <w:numFmt w:val="bullet"/>
      <w:lvlText w:val="•"/>
      <w:lvlJc w:val="left"/>
      <w:pPr>
        <w:tabs>
          <w:tab w:val="num" w:pos="5760"/>
        </w:tabs>
        <w:ind w:left="5760" w:hanging="360"/>
      </w:pPr>
      <w:rPr>
        <w:rFonts w:ascii="Arial" w:hAnsi="Arial" w:hint="default"/>
      </w:rPr>
    </w:lvl>
    <w:lvl w:ilvl="8" w:tplc="34088BA4" w:tentative="1">
      <w:start w:val="1"/>
      <w:numFmt w:val="bullet"/>
      <w:lvlText w:val="•"/>
      <w:lvlJc w:val="left"/>
      <w:pPr>
        <w:tabs>
          <w:tab w:val="num" w:pos="6480"/>
        </w:tabs>
        <w:ind w:left="6480" w:hanging="360"/>
      </w:pPr>
      <w:rPr>
        <w:rFonts w:ascii="Arial" w:hAnsi="Arial" w:hint="default"/>
      </w:rPr>
    </w:lvl>
  </w:abstractNum>
  <w:abstractNum w:abstractNumId="2">
    <w:nsid w:val="08665836"/>
    <w:multiLevelType w:val="hybridMultilevel"/>
    <w:tmpl w:val="9EEC57A8"/>
    <w:lvl w:ilvl="0" w:tplc="2C58AC86">
      <w:start w:val="1"/>
      <w:numFmt w:val="bullet"/>
      <w:lvlText w:val=""/>
      <w:lvlJc w:val="left"/>
      <w:pPr>
        <w:ind w:left="980" w:hanging="361"/>
      </w:pPr>
      <w:rPr>
        <w:rFonts w:ascii="Symbol" w:eastAsia="Symbol" w:hAnsi="Symbol" w:hint="default"/>
        <w:sz w:val="22"/>
        <w:szCs w:val="22"/>
      </w:rPr>
    </w:lvl>
    <w:lvl w:ilvl="1" w:tplc="FA9CCF4C">
      <w:start w:val="1"/>
      <w:numFmt w:val="bullet"/>
      <w:lvlText w:val="•"/>
      <w:lvlJc w:val="left"/>
      <w:pPr>
        <w:ind w:left="1868" w:hanging="361"/>
      </w:pPr>
      <w:rPr>
        <w:rFonts w:hint="default"/>
      </w:rPr>
    </w:lvl>
    <w:lvl w:ilvl="2" w:tplc="5712B4A4">
      <w:start w:val="1"/>
      <w:numFmt w:val="bullet"/>
      <w:lvlText w:val="•"/>
      <w:lvlJc w:val="left"/>
      <w:pPr>
        <w:ind w:left="2756" w:hanging="361"/>
      </w:pPr>
      <w:rPr>
        <w:rFonts w:hint="default"/>
      </w:rPr>
    </w:lvl>
    <w:lvl w:ilvl="3" w:tplc="AAFC2CE8">
      <w:start w:val="1"/>
      <w:numFmt w:val="bullet"/>
      <w:lvlText w:val="•"/>
      <w:lvlJc w:val="left"/>
      <w:pPr>
        <w:ind w:left="3644" w:hanging="361"/>
      </w:pPr>
      <w:rPr>
        <w:rFonts w:hint="default"/>
      </w:rPr>
    </w:lvl>
    <w:lvl w:ilvl="4" w:tplc="48F09888">
      <w:start w:val="1"/>
      <w:numFmt w:val="bullet"/>
      <w:lvlText w:val="•"/>
      <w:lvlJc w:val="left"/>
      <w:pPr>
        <w:ind w:left="4532" w:hanging="361"/>
      </w:pPr>
      <w:rPr>
        <w:rFonts w:hint="default"/>
      </w:rPr>
    </w:lvl>
    <w:lvl w:ilvl="5" w:tplc="432A24A4">
      <w:start w:val="1"/>
      <w:numFmt w:val="bullet"/>
      <w:lvlText w:val="•"/>
      <w:lvlJc w:val="left"/>
      <w:pPr>
        <w:ind w:left="5420" w:hanging="361"/>
      </w:pPr>
      <w:rPr>
        <w:rFonts w:hint="default"/>
      </w:rPr>
    </w:lvl>
    <w:lvl w:ilvl="6" w:tplc="2B549B64">
      <w:start w:val="1"/>
      <w:numFmt w:val="bullet"/>
      <w:lvlText w:val="•"/>
      <w:lvlJc w:val="left"/>
      <w:pPr>
        <w:ind w:left="6308" w:hanging="361"/>
      </w:pPr>
      <w:rPr>
        <w:rFonts w:hint="default"/>
      </w:rPr>
    </w:lvl>
    <w:lvl w:ilvl="7" w:tplc="EA92ABC2">
      <w:start w:val="1"/>
      <w:numFmt w:val="bullet"/>
      <w:lvlText w:val="•"/>
      <w:lvlJc w:val="left"/>
      <w:pPr>
        <w:ind w:left="7196" w:hanging="361"/>
      </w:pPr>
      <w:rPr>
        <w:rFonts w:hint="default"/>
      </w:rPr>
    </w:lvl>
    <w:lvl w:ilvl="8" w:tplc="BD781830">
      <w:start w:val="1"/>
      <w:numFmt w:val="bullet"/>
      <w:lvlText w:val="•"/>
      <w:lvlJc w:val="left"/>
      <w:pPr>
        <w:ind w:left="8084" w:hanging="361"/>
      </w:pPr>
      <w:rPr>
        <w:rFonts w:hint="default"/>
      </w:rPr>
    </w:lvl>
  </w:abstractNum>
  <w:abstractNum w:abstractNumId="3">
    <w:nsid w:val="0B754499"/>
    <w:multiLevelType w:val="hybridMultilevel"/>
    <w:tmpl w:val="C1C2E6AC"/>
    <w:lvl w:ilvl="0" w:tplc="04090001">
      <w:start w:val="1"/>
      <w:numFmt w:val="bullet"/>
      <w:lvlText w:val=""/>
      <w:lvlJc w:val="left"/>
      <w:pPr>
        <w:ind w:left="980" w:hanging="360"/>
      </w:pPr>
      <w:rPr>
        <w:rFonts w:ascii="Symbol" w:hAnsi="Symbol" w:hint="default"/>
        <w:spacing w:val="-1"/>
        <w:sz w:val="22"/>
        <w:szCs w:val="22"/>
      </w:rPr>
    </w:lvl>
    <w:lvl w:ilvl="1" w:tplc="631CAF14">
      <w:start w:val="1"/>
      <w:numFmt w:val="bullet"/>
      <w:lvlText w:val="•"/>
      <w:lvlJc w:val="left"/>
      <w:pPr>
        <w:ind w:left="1868" w:hanging="360"/>
      </w:pPr>
      <w:rPr>
        <w:rFonts w:hint="default"/>
      </w:rPr>
    </w:lvl>
    <w:lvl w:ilvl="2" w:tplc="27566F40">
      <w:start w:val="1"/>
      <w:numFmt w:val="bullet"/>
      <w:lvlText w:val="•"/>
      <w:lvlJc w:val="left"/>
      <w:pPr>
        <w:ind w:left="2756" w:hanging="360"/>
      </w:pPr>
      <w:rPr>
        <w:rFonts w:hint="default"/>
      </w:rPr>
    </w:lvl>
    <w:lvl w:ilvl="3" w:tplc="55F063E8">
      <w:start w:val="1"/>
      <w:numFmt w:val="bullet"/>
      <w:lvlText w:val="•"/>
      <w:lvlJc w:val="left"/>
      <w:pPr>
        <w:ind w:left="3644" w:hanging="360"/>
      </w:pPr>
      <w:rPr>
        <w:rFonts w:hint="default"/>
      </w:rPr>
    </w:lvl>
    <w:lvl w:ilvl="4" w:tplc="449CA584">
      <w:start w:val="1"/>
      <w:numFmt w:val="bullet"/>
      <w:lvlText w:val="•"/>
      <w:lvlJc w:val="left"/>
      <w:pPr>
        <w:ind w:left="4532" w:hanging="360"/>
      </w:pPr>
      <w:rPr>
        <w:rFonts w:hint="default"/>
      </w:rPr>
    </w:lvl>
    <w:lvl w:ilvl="5" w:tplc="5246E2CE">
      <w:start w:val="1"/>
      <w:numFmt w:val="bullet"/>
      <w:lvlText w:val="•"/>
      <w:lvlJc w:val="left"/>
      <w:pPr>
        <w:ind w:left="5420" w:hanging="360"/>
      </w:pPr>
      <w:rPr>
        <w:rFonts w:hint="default"/>
      </w:rPr>
    </w:lvl>
    <w:lvl w:ilvl="6" w:tplc="B0E6D630">
      <w:start w:val="1"/>
      <w:numFmt w:val="bullet"/>
      <w:lvlText w:val="•"/>
      <w:lvlJc w:val="left"/>
      <w:pPr>
        <w:ind w:left="6308" w:hanging="360"/>
      </w:pPr>
      <w:rPr>
        <w:rFonts w:hint="default"/>
      </w:rPr>
    </w:lvl>
    <w:lvl w:ilvl="7" w:tplc="A4D4EAF6">
      <w:start w:val="1"/>
      <w:numFmt w:val="bullet"/>
      <w:lvlText w:val="•"/>
      <w:lvlJc w:val="left"/>
      <w:pPr>
        <w:ind w:left="7196" w:hanging="360"/>
      </w:pPr>
      <w:rPr>
        <w:rFonts w:hint="default"/>
      </w:rPr>
    </w:lvl>
    <w:lvl w:ilvl="8" w:tplc="77AA3F78">
      <w:start w:val="1"/>
      <w:numFmt w:val="bullet"/>
      <w:lvlText w:val="•"/>
      <w:lvlJc w:val="left"/>
      <w:pPr>
        <w:ind w:left="8084" w:hanging="360"/>
      </w:pPr>
      <w:rPr>
        <w:rFonts w:hint="default"/>
      </w:rPr>
    </w:lvl>
  </w:abstractNum>
  <w:abstractNum w:abstractNumId="4">
    <w:nsid w:val="107A3867"/>
    <w:multiLevelType w:val="hybridMultilevel"/>
    <w:tmpl w:val="012C5558"/>
    <w:lvl w:ilvl="0" w:tplc="7FB6C9CA">
      <w:start w:val="1"/>
      <w:numFmt w:val="bullet"/>
      <w:lvlText w:val=""/>
      <w:lvlJc w:val="left"/>
      <w:pPr>
        <w:ind w:left="979" w:hanging="361"/>
      </w:pPr>
      <w:rPr>
        <w:rFonts w:ascii="Symbol" w:eastAsia="Symbol" w:hAnsi="Symbol" w:hint="default"/>
        <w:sz w:val="22"/>
        <w:szCs w:val="22"/>
      </w:rPr>
    </w:lvl>
    <w:lvl w:ilvl="1" w:tplc="F25419A2">
      <w:start w:val="1"/>
      <w:numFmt w:val="bullet"/>
      <w:lvlText w:val="•"/>
      <w:lvlJc w:val="left"/>
      <w:pPr>
        <w:ind w:left="1867" w:hanging="361"/>
      </w:pPr>
      <w:rPr>
        <w:rFonts w:hint="default"/>
      </w:rPr>
    </w:lvl>
    <w:lvl w:ilvl="2" w:tplc="CFD4B108">
      <w:start w:val="1"/>
      <w:numFmt w:val="bullet"/>
      <w:lvlText w:val="•"/>
      <w:lvlJc w:val="left"/>
      <w:pPr>
        <w:ind w:left="2755" w:hanging="361"/>
      </w:pPr>
      <w:rPr>
        <w:rFonts w:hint="default"/>
      </w:rPr>
    </w:lvl>
    <w:lvl w:ilvl="3" w:tplc="0568AC16">
      <w:start w:val="1"/>
      <w:numFmt w:val="bullet"/>
      <w:lvlText w:val="•"/>
      <w:lvlJc w:val="left"/>
      <w:pPr>
        <w:ind w:left="3643" w:hanging="361"/>
      </w:pPr>
      <w:rPr>
        <w:rFonts w:hint="default"/>
      </w:rPr>
    </w:lvl>
    <w:lvl w:ilvl="4" w:tplc="494EA5AA">
      <w:start w:val="1"/>
      <w:numFmt w:val="bullet"/>
      <w:lvlText w:val="•"/>
      <w:lvlJc w:val="left"/>
      <w:pPr>
        <w:ind w:left="4531" w:hanging="361"/>
      </w:pPr>
      <w:rPr>
        <w:rFonts w:hint="default"/>
      </w:rPr>
    </w:lvl>
    <w:lvl w:ilvl="5" w:tplc="EC7E25D4">
      <w:start w:val="1"/>
      <w:numFmt w:val="bullet"/>
      <w:lvlText w:val="•"/>
      <w:lvlJc w:val="left"/>
      <w:pPr>
        <w:ind w:left="5420" w:hanging="361"/>
      </w:pPr>
      <w:rPr>
        <w:rFonts w:hint="default"/>
      </w:rPr>
    </w:lvl>
    <w:lvl w:ilvl="6" w:tplc="BB68FF0C">
      <w:start w:val="1"/>
      <w:numFmt w:val="bullet"/>
      <w:lvlText w:val="•"/>
      <w:lvlJc w:val="left"/>
      <w:pPr>
        <w:ind w:left="6308" w:hanging="361"/>
      </w:pPr>
      <w:rPr>
        <w:rFonts w:hint="default"/>
      </w:rPr>
    </w:lvl>
    <w:lvl w:ilvl="7" w:tplc="01C060B8">
      <w:start w:val="1"/>
      <w:numFmt w:val="bullet"/>
      <w:lvlText w:val="•"/>
      <w:lvlJc w:val="left"/>
      <w:pPr>
        <w:ind w:left="7196" w:hanging="361"/>
      </w:pPr>
      <w:rPr>
        <w:rFonts w:hint="default"/>
      </w:rPr>
    </w:lvl>
    <w:lvl w:ilvl="8" w:tplc="091AA37A">
      <w:start w:val="1"/>
      <w:numFmt w:val="bullet"/>
      <w:lvlText w:val="•"/>
      <w:lvlJc w:val="left"/>
      <w:pPr>
        <w:ind w:left="8084" w:hanging="361"/>
      </w:pPr>
      <w:rPr>
        <w:rFonts w:hint="default"/>
      </w:rPr>
    </w:lvl>
  </w:abstractNum>
  <w:abstractNum w:abstractNumId="5">
    <w:nsid w:val="14401FB8"/>
    <w:multiLevelType w:val="multilevel"/>
    <w:tmpl w:val="D7929916"/>
    <w:lvl w:ilvl="0">
      <w:start w:val="1"/>
      <w:numFmt w:val="decimal"/>
      <w:lvlText w:val="%1"/>
      <w:lvlJc w:val="left"/>
      <w:pPr>
        <w:ind w:left="699" w:hanging="440"/>
      </w:pPr>
      <w:rPr>
        <w:rFonts w:ascii="Cambria" w:eastAsia="Cambria" w:hAnsi="Cambria" w:hint="default"/>
        <w:sz w:val="22"/>
        <w:szCs w:val="22"/>
      </w:rPr>
    </w:lvl>
    <w:lvl w:ilvl="1">
      <w:start w:val="1"/>
      <w:numFmt w:val="decimal"/>
      <w:lvlText w:val="%1.%2"/>
      <w:lvlJc w:val="left"/>
      <w:pPr>
        <w:ind w:left="1141" w:hanging="660"/>
      </w:pPr>
      <w:rPr>
        <w:rFonts w:ascii="Cambria" w:eastAsia="Cambria" w:hAnsi="Cambria" w:hint="default"/>
        <w:sz w:val="22"/>
        <w:szCs w:val="22"/>
      </w:rPr>
    </w:lvl>
    <w:lvl w:ilvl="2">
      <w:start w:val="1"/>
      <w:numFmt w:val="decimal"/>
      <w:lvlText w:val="%1.%2.%3"/>
      <w:lvlJc w:val="left"/>
      <w:pPr>
        <w:ind w:left="1629" w:hanging="929"/>
      </w:pPr>
      <w:rPr>
        <w:rFonts w:ascii="Cambria" w:eastAsia="Cambria" w:hAnsi="Cambria" w:hint="default"/>
        <w:sz w:val="22"/>
        <w:szCs w:val="22"/>
      </w:rPr>
    </w:lvl>
    <w:lvl w:ilvl="3">
      <w:start w:val="1"/>
      <w:numFmt w:val="bullet"/>
      <w:lvlText w:val="•"/>
      <w:lvlJc w:val="left"/>
      <w:pPr>
        <w:ind w:left="1141" w:hanging="929"/>
      </w:pPr>
      <w:rPr>
        <w:rFonts w:hint="default"/>
      </w:rPr>
    </w:lvl>
    <w:lvl w:ilvl="4">
      <w:start w:val="1"/>
      <w:numFmt w:val="bullet"/>
      <w:lvlText w:val="•"/>
      <w:lvlJc w:val="left"/>
      <w:pPr>
        <w:ind w:left="1142" w:hanging="929"/>
      </w:pPr>
      <w:rPr>
        <w:rFonts w:hint="default"/>
      </w:rPr>
    </w:lvl>
    <w:lvl w:ilvl="5">
      <w:start w:val="1"/>
      <w:numFmt w:val="bullet"/>
      <w:lvlText w:val="•"/>
      <w:lvlJc w:val="left"/>
      <w:pPr>
        <w:ind w:left="1142" w:hanging="929"/>
      </w:pPr>
      <w:rPr>
        <w:rFonts w:hint="default"/>
      </w:rPr>
    </w:lvl>
    <w:lvl w:ilvl="6">
      <w:start w:val="1"/>
      <w:numFmt w:val="bullet"/>
      <w:lvlText w:val="•"/>
      <w:lvlJc w:val="left"/>
      <w:pPr>
        <w:ind w:left="1142" w:hanging="929"/>
      </w:pPr>
      <w:rPr>
        <w:rFonts w:hint="default"/>
      </w:rPr>
    </w:lvl>
    <w:lvl w:ilvl="7">
      <w:start w:val="1"/>
      <w:numFmt w:val="bullet"/>
      <w:lvlText w:val="•"/>
      <w:lvlJc w:val="left"/>
      <w:pPr>
        <w:ind w:left="1142" w:hanging="929"/>
      </w:pPr>
      <w:rPr>
        <w:rFonts w:hint="default"/>
      </w:rPr>
    </w:lvl>
    <w:lvl w:ilvl="8">
      <w:start w:val="1"/>
      <w:numFmt w:val="bullet"/>
      <w:lvlText w:val="•"/>
      <w:lvlJc w:val="left"/>
      <w:pPr>
        <w:ind w:left="1579" w:hanging="929"/>
      </w:pPr>
      <w:rPr>
        <w:rFonts w:hint="default"/>
      </w:rPr>
    </w:lvl>
  </w:abstractNum>
  <w:abstractNum w:abstractNumId="6">
    <w:nsid w:val="17D7506D"/>
    <w:multiLevelType w:val="hybridMultilevel"/>
    <w:tmpl w:val="5A0E678A"/>
    <w:lvl w:ilvl="0" w:tplc="04090001">
      <w:start w:val="1"/>
      <w:numFmt w:val="bullet"/>
      <w:lvlText w:val=""/>
      <w:lvlJc w:val="left"/>
      <w:pPr>
        <w:ind w:left="1021" w:hanging="360"/>
      </w:pPr>
      <w:rPr>
        <w:rFonts w:ascii="Symbol" w:hAnsi="Symbol" w:hint="default"/>
      </w:rPr>
    </w:lvl>
    <w:lvl w:ilvl="1" w:tplc="04090003" w:tentative="1">
      <w:start w:val="1"/>
      <w:numFmt w:val="bullet"/>
      <w:lvlText w:val="o"/>
      <w:lvlJc w:val="left"/>
      <w:pPr>
        <w:ind w:left="1741" w:hanging="360"/>
      </w:pPr>
      <w:rPr>
        <w:rFonts w:ascii="Courier New" w:hAnsi="Courier New" w:cs="Courier New" w:hint="default"/>
      </w:rPr>
    </w:lvl>
    <w:lvl w:ilvl="2" w:tplc="04090005" w:tentative="1">
      <w:start w:val="1"/>
      <w:numFmt w:val="bullet"/>
      <w:lvlText w:val=""/>
      <w:lvlJc w:val="left"/>
      <w:pPr>
        <w:ind w:left="2461" w:hanging="360"/>
      </w:pPr>
      <w:rPr>
        <w:rFonts w:ascii="Wingdings" w:hAnsi="Wingdings" w:hint="default"/>
      </w:rPr>
    </w:lvl>
    <w:lvl w:ilvl="3" w:tplc="04090001" w:tentative="1">
      <w:start w:val="1"/>
      <w:numFmt w:val="bullet"/>
      <w:lvlText w:val=""/>
      <w:lvlJc w:val="left"/>
      <w:pPr>
        <w:ind w:left="3181" w:hanging="360"/>
      </w:pPr>
      <w:rPr>
        <w:rFonts w:ascii="Symbol" w:hAnsi="Symbol" w:hint="default"/>
      </w:rPr>
    </w:lvl>
    <w:lvl w:ilvl="4" w:tplc="04090003" w:tentative="1">
      <w:start w:val="1"/>
      <w:numFmt w:val="bullet"/>
      <w:lvlText w:val="o"/>
      <w:lvlJc w:val="left"/>
      <w:pPr>
        <w:ind w:left="3901" w:hanging="360"/>
      </w:pPr>
      <w:rPr>
        <w:rFonts w:ascii="Courier New" w:hAnsi="Courier New" w:cs="Courier New" w:hint="default"/>
      </w:rPr>
    </w:lvl>
    <w:lvl w:ilvl="5" w:tplc="04090005" w:tentative="1">
      <w:start w:val="1"/>
      <w:numFmt w:val="bullet"/>
      <w:lvlText w:val=""/>
      <w:lvlJc w:val="left"/>
      <w:pPr>
        <w:ind w:left="4621" w:hanging="360"/>
      </w:pPr>
      <w:rPr>
        <w:rFonts w:ascii="Wingdings" w:hAnsi="Wingdings" w:hint="default"/>
      </w:rPr>
    </w:lvl>
    <w:lvl w:ilvl="6" w:tplc="04090001" w:tentative="1">
      <w:start w:val="1"/>
      <w:numFmt w:val="bullet"/>
      <w:lvlText w:val=""/>
      <w:lvlJc w:val="left"/>
      <w:pPr>
        <w:ind w:left="5341" w:hanging="360"/>
      </w:pPr>
      <w:rPr>
        <w:rFonts w:ascii="Symbol" w:hAnsi="Symbol" w:hint="default"/>
      </w:rPr>
    </w:lvl>
    <w:lvl w:ilvl="7" w:tplc="04090003" w:tentative="1">
      <w:start w:val="1"/>
      <w:numFmt w:val="bullet"/>
      <w:lvlText w:val="o"/>
      <w:lvlJc w:val="left"/>
      <w:pPr>
        <w:ind w:left="6061" w:hanging="360"/>
      </w:pPr>
      <w:rPr>
        <w:rFonts w:ascii="Courier New" w:hAnsi="Courier New" w:cs="Courier New" w:hint="default"/>
      </w:rPr>
    </w:lvl>
    <w:lvl w:ilvl="8" w:tplc="04090005" w:tentative="1">
      <w:start w:val="1"/>
      <w:numFmt w:val="bullet"/>
      <w:lvlText w:val=""/>
      <w:lvlJc w:val="left"/>
      <w:pPr>
        <w:ind w:left="6781" w:hanging="360"/>
      </w:pPr>
      <w:rPr>
        <w:rFonts w:ascii="Wingdings" w:hAnsi="Wingdings" w:hint="default"/>
      </w:rPr>
    </w:lvl>
  </w:abstractNum>
  <w:abstractNum w:abstractNumId="7">
    <w:nsid w:val="1B6660B1"/>
    <w:multiLevelType w:val="hybridMultilevel"/>
    <w:tmpl w:val="442CC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906C77"/>
    <w:multiLevelType w:val="hybridMultilevel"/>
    <w:tmpl w:val="DB8297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01A35A6"/>
    <w:multiLevelType w:val="multilevel"/>
    <w:tmpl w:val="D87E13D2"/>
    <w:styleLink w:val="Style1"/>
    <w:lvl w:ilvl="0">
      <w:start w:val="1"/>
      <w:numFmt w:val="decimal"/>
      <w:suff w:val="space"/>
      <w:lvlText w:val="%1"/>
      <w:lvlJc w:val="left"/>
      <w:pPr>
        <w:ind w:left="0" w:firstLine="0"/>
      </w:pPr>
      <w:rPr>
        <w:rFonts w:ascii="Calibri" w:hAnsi="Calibri" w:hint="default"/>
        <w:b/>
        <w:bCs/>
        <w:i w:val="0"/>
        <w:color w:val="365F91"/>
        <w:sz w:val="36"/>
        <w:szCs w:val="28"/>
      </w:rPr>
    </w:lvl>
    <w:lvl w:ilvl="1">
      <w:start w:val="1"/>
      <w:numFmt w:val="decimal"/>
      <w:suff w:val="space"/>
      <w:lvlText w:val="%1.%2"/>
      <w:lvlJc w:val="left"/>
      <w:pPr>
        <w:ind w:left="0" w:firstLine="0"/>
      </w:pPr>
      <w:rPr>
        <w:rFonts w:ascii="Calibri" w:hAnsi="Calibri" w:hint="default"/>
        <w:b/>
        <w:bCs/>
        <w:i w:val="0"/>
        <w:color w:val="auto"/>
        <w:w w:val="99"/>
        <w:sz w:val="24"/>
        <w:szCs w:val="26"/>
      </w:rPr>
    </w:lvl>
    <w:lvl w:ilvl="2">
      <w:start w:val="1"/>
      <w:numFmt w:val="decimal"/>
      <w:suff w:val="space"/>
      <w:lvlText w:val="%3.1.1"/>
      <w:lvlJc w:val="left"/>
      <w:pPr>
        <w:ind w:left="0" w:firstLine="0"/>
      </w:pPr>
      <w:rPr>
        <w:rFonts w:ascii="Calibri" w:hAnsi="Calibri" w:hint="default"/>
        <w:b/>
        <w:i w:val="0"/>
        <w:sz w:val="24"/>
        <w:szCs w:val="22"/>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0">
    <w:nsid w:val="22026C98"/>
    <w:multiLevelType w:val="hybridMultilevel"/>
    <w:tmpl w:val="9640B1C4"/>
    <w:lvl w:ilvl="0" w:tplc="3EC0A530">
      <w:start w:val="1"/>
      <w:numFmt w:val="bullet"/>
      <w:lvlText w:val=""/>
      <w:lvlJc w:val="left"/>
      <w:pPr>
        <w:ind w:left="980" w:hanging="361"/>
      </w:pPr>
      <w:rPr>
        <w:rFonts w:ascii="Symbol" w:eastAsia="Symbol" w:hAnsi="Symbol" w:hint="default"/>
        <w:sz w:val="22"/>
        <w:szCs w:val="22"/>
      </w:rPr>
    </w:lvl>
    <w:lvl w:ilvl="1" w:tplc="9154E5AA">
      <w:start w:val="1"/>
      <w:numFmt w:val="bullet"/>
      <w:lvlText w:val="•"/>
      <w:lvlJc w:val="left"/>
      <w:pPr>
        <w:ind w:left="1868" w:hanging="361"/>
      </w:pPr>
      <w:rPr>
        <w:rFonts w:hint="default"/>
      </w:rPr>
    </w:lvl>
    <w:lvl w:ilvl="2" w:tplc="4462B538">
      <w:start w:val="1"/>
      <w:numFmt w:val="bullet"/>
      <w:lvlText w:val="•"/>
      <w:lvlJc w:val="left"/>
      <w:pPr>
        <w:ind w:left="2756" w:hanging="361"/>
      </w:pPr>
      <w:rPr>
        <w:rFonts w:hint="default"/>
      </w:rPr>
    </w:lvl>
    <w:lvl w:ilvl="3" w:tplc="DB2CE5F0">
      <w:start w:val="1"/>
      <w:numFmt w:val="bullet"/>
      <w:lvlText w:val="•"/>
      <w:lvlJc w:val="left"/>
      <w:pPr>
        <w:ind w:left="3644" w:hanging="361"/>
      </w:pPr>
      <w:rPr>
        <w:rFonts w:hint="default"/>
      </w:rPr>
    </w:lvl>
    <w:lvl w:ilvl="4" w:tplc="ED1C124A">
      <w:start w:val="1"/>
      <w:numFmt w:val="bullet"/>
      <w:lvlText w:val="•"/>
      <w:lvlJc w:val="left"/>
      <w:pPr>
        <w:ind w:left="4532" w:hanging="361"/>
      </w:pPr>
      <w:rPr>
        <w:rFonts w:hint="default"/>
      </w:rPr>
    </w:lvl>
    <w:lvl w:ilvl="5" w:tplc="0B32C77A">
      <w:start w:val="1"/>
      <w:numFmt w:val="bullet"/>
      <w:lvlText w:val="•"/>
      <w:lvlJc w:val="left"/>
      <w:pPr>
        <w:ind w:left="5420" w:hanging="361"/>
      </w:pPr>
      <w:rPr>
        <w:rFonts w:hint="default"/>
      </w:rPr>
    </w:lvl>
    <w:lvl w:ilvl="6" w:tplc="42BED7D2">
      <w:start w:val="1"/>
      <w:numFmt w:val="bullet"/>
      <w:lvlText w:val="•"/>
      <w:lvlJc w:val="left"/>
      <w:pPr>
        <w:ind w:left="6308" w:hanging="361"/>
      </w:pPr>
      <w:rPr>
        <w:rFonts w:hint="default"/>
      </w:rPr>
    </w:lvl>
    <w:lvl w:ilvl="7" w:tplc="42AEA214">
      <w:start w:val="1"/>
      <w:numFmt w:val="bullet"/>
      <w:lvlText w:val="•"/>
      <w:lvlJc w:val="left"/>
      <w:pPr>
        <w:ind w:left="7196" w:hanging="361"/>
      </w:pPr>
      <w:rPr>
        <w:rFonts w:hint="default"/>
      </w:rPr>
    </w:lvl>
    <w:lvl w:ilvl="8" w:tplc="67E642B4">
      <w:start w:val="1"/>
      <w:numFmt w:val="bullet"/>
      <w:lvlText w:val="•"/>
      <w:lvlJc w:val="left"/>
      <w:pPr>
        <w:ind w:left="8084" w:hanging="361"/>
      </w:pPr>
      <w:rPr>
        <w:rFonts w:hint="default"/>
      </w:rPr>
    </w:lvl>
  </w:abstractNum>
  <w:abstractNum w:abstractNumId="11">
    <w:nsid w:val="22E032D8"/>
    <w:multiLevelType w:val="multilevel"/>
    <w:tmpl w:val="A16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9A2B74"/>
    <w:multiLevelType w:val="hybridMultilevel"/>
    <w:tmpl w:val="6030941C"/>
    <w:lvl w:ilvl="0" w:tplc="04090001">
      <w:start w:val="1"/>
      <w:numFmt w:val="bullet"/>
      <w:lvlText w:val=""/>
      <w:lvlJc w:val="left"/>
      <w:pPr>
        <w:ind w:left="980" w:hanging="360"/>
      </w:pPr>
      <w:rPr>
        <w:rFonts w:ascii="Symbol" w:hAnsi="Symbol"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13">
    <w:nsid w:val="28340DC1"/>
    <w:multiLevelType w:val="multilevel"/>
    <w:tmpl w:val="7F94BC58"/>
    <w:lvl w:ilvl="0">
      <w:start w:val="5"/>
      <w:numFmt w:val="decimal"/>
      <w:lvlText w:val="%1"/>
      <w:lvlJc w:val="left"/>
      <w:pPr>
        <w:ind w:left="979" w:hanging="720"/>
      </w:pPr>
      <w:rPr>
        <w:rFonts w:ascii="Cambria" w:eastAsia="Cambria" w:hAnsi="Cambria" w:hint="default"/>
        <w:b/>
        <w:bCs/>
        <w:color w:val="365F91"/>
        <w:sz w:val="28"/>
        <w:szCs w:val="28"/>
      </w:rPr>
    </w:lvl>
    <w:lvl w:ilvl="1">
      <w:start w:val="1"/>
      <w:numFmt w:val="decimal"/>
      <w:lvlText w:val="%1.%2"/>
      <w:lvlJc w:val="left"/>
      <w:pPr>
        <w:ind w:left="259" w:hanging="721"/>
      </w:pPr>
      <w:rPr>
        <w:rFonts w:ascii="Cambria" w:eastAsia="Cambria" w:hAnsi="Cambria" w:hint="default"/>
        <w:b/>
        <w:bCs/>
        <w:color w:val="4F81BD"/>
        <w:w w:val="99"/>
        <w:sz w:val="26"/>
        <w:szCs w:val="26"/>
      </w:rPr>
    </w:lvl>
    <w:lvl w:ilvl="2">
      <w:start w:val="1"/>
      <w:numFmt w:val="decimal"/>
      <w:lvlText w:val="%1.%2.%3"/>
      <w:lvlJc w:val="left"/>
      <w:pPr>
        <w:ind w:left="979" w:hanging="721"/>
      </w:pPr>
      <w:rPr>
        <w:rFonts w:ascii="Cambria" w:eastAsia="Cambria" w:hAnsi="Cambria" w:hint="default"/>
        <w:b/>
        <w:bCs/>
        <w:color w:val="4F81BD"/>
        <w:spacing w:val="-2"/>
        <w:sz w:val="22"/>
        <w:szCs w:val="22"/>
      </w:rPr>
    </w:lvl>
    <w:lvl w:ilvl="3">
      <w:start w:val="1"/>
      <w:numFmt w:val="bullet"/>
      <w:lvlText w:val="•"/>
      <w:lvlJc w:val="left"/>
      <w:pPr>
        <w:ind w:left="980" w:hanging="721"/>
      </w:pPr>
      <w:rPr>
        <w:rFonts w:hint="default"/>
      </w:rPr>
    </w:lvl>
    <w:lvl w:ilvl="4">
      <w:start w:val="1"/>
      <w:numFmt w:val="bullet"/>
      <w:lvlText w:val="•"/>
      <w:lvlJc w:val="left"/>
      <w:pPr>
        <w:ind w:left="980" w:hanging="721"/>
      </w:pPr>
      <w:rPr>
        <w:rFonts w:hint="default"/>
      </w:rPr>
    </w:lvl>
    <w:lvl w:ilvl="5">
      <w:start w:val="1"/>
      <w:numFmt w:val="bullet"/>
      <w:lvlText w:val="•"/>
      <w:lvlJc w:val="left"/>
      <w:pPr>
        <w:ind w:left="2460" w:hanging="721"/>
      </w:pPr>
      <w:rPr>
        <w:rFonts w:hint="default"/>
      </w:rPr>
    </w:lvl>
    <w:lvl w:ilvl="6">
      <w:start w:val="1"/>
      <w:numFmt w:val="bullet"/>
      <w:lvlText w:val="•"/>
      <w:lvlJc w:val="left"/>
      <w:pPr>
        <w:ind w:left="3940" w:hanging="721"/>
      </w:pPr>
      <w:rPr>
        <w:rFonts w:hint="default"/>
      </w:rPr>
    </w:lvl>
    <w:lvl w:ilvl="7">
      <w:start w:val="1"/>
      <w:numFmt w:val="bullet"/>
      <w:lvlText w:val="•"/>
      <w:lvlJc w:val="left"/>
      <w:pPr>
        <w:ind w:left="5420" w:hanging="721"/>
      </w:pPr>
      <w:rPr>
        <w:rFonts w:hint="default"/>
      </w:rPr>
    </w:lvl>
    <w:lvl w:ilvl="8">
      <w:start w:val="1"/>
      <w:numFmt w:val="bullet"/>
      <w:lvlText w:val="•"/>
      <w:lvlJc w:val="left"/>
      <w:pPr>
        <w:ind w:left="6900" w:hanging="721"/>
      </w:pPr>
      <w:rPr>
        <w:rFonts w:hint="default"/>
      </w:rPr>
    </w:lvl>
  </w:abstractNum>
  <w:abstractNum w:abstractNumId="14">
    <w:nsid w:val="29084DEC"/>
    <w:multiLevelType w:val="multilevel"/>
    <w:tmpl w:val="FAD4265A"/>
    <w:lvl w:ilvl="0">
      <w:start w:val="1"/>
      <w:numFmt w:val="decimal"/>
      <w:lvlText w:val="%1"/>
      <w:lvlJc w:val="left"/>
      <w:pPr>
        <w:ind w:left="260" w:hanging="720"/>
      </w:pPr>
      <w:rPr>
        <w:rFonts w:ascii="Cambria" w:eastAsia="Cambria" w:hAnsi="Cambria" w:hint="default"/>
        <w:b/>
        <w:bCs/>
        <w:color w:val="365F91"/>
        <w:sz w:val="28"/>
        <w:szCs w:val="28"/>
      </w:rPr>
    </w:lvl>
    <w:lvl w:ilvl="1">
      <w:start w:val="1"/>
      <w:numFmt w:val="decimal"/>
      <w:lvlText w:val="%1.%2"/>
      <w:lvlJc w:val="left"/>
      <w:pPr>
        <w:ind w:left="901" w:hanging="721"/>
      </w:pPr>
      <w:rPr>
        <w:rFonts w:ascii="Cambria" w:eastAsia="Cambria" w:hAnsi="Cambria" w:hint="default"/>
        <w:b/>
        <w:bCs/>
        <w:color w:val="4F81BD"/>
        <w:w w:val="99"/>
        <w:sz w:val="26"/>
        <w:szCs w:val="26"/>
      </w:rPr>
    </w:lvl>
    <w:lvl w:ilvl="2">
      <w:start w:val="1"/>
      <w:numFmt w:val="bullet"/>
      <w:lvlText w:val=""/>
      <w:lvlJc w:val="left"/>
      <w:pPr>
        <w:ind w:left="980" w:hanging="361"/>
      </w:pPr>
      <w:rPr>
        <w:rFonts w:ascii="Symbol" w:eastAsia="Symbol" w:hAnsi="Symbol" w:hint="default"/>
        <w:sz w:val="22"/>
        <w:szCs w:val="22"/>
      </w:rPr>
    </w:lvl>
    <w:lvl w:ilvl="3">
      <w:start w:val="1"/>
      <w:numFmt w:val="bullet"/>
      <w:lvlText w:val="•"/>
      <w:lvlJc w:val="left"/>
      <w:pPr>
        <w:ind w:left="980" w:hanging="361"/>
      </w:pPr>
      <w:rPr>
        <w:rFonts w:hint="default"/>
      </w:rPr>
    </w:lvl>
    <w:lvl w:ilvl="4">
      <w:start w:val="1"/>
      <w:numFmt w:val="bullet"/>
      <w:lvlText w:val="•"/>
      <w:lvlJc w:val="left"/>
      <w:pPr>
        <w:ind w:left="1025" w:hanging="361"/>
      </w:pPr>
      <w:rPr>
        <w:rFonts w:hint="default"/>
      </w:rPr>
    </w:lvl>
    <w:lvl w:ilvl="5">
      <w:start w:val="1"/>
      <w:numFmt w:val="bullet"/>
      <w:lvlText w:val="•"/>
      <w:lvlJc w:val="left"/>
      <w:pPr>
        <w:ind w:left="2498" w:hanging="361"/>
      </w:pPr>
      <w:rPr>
        <w:rFonts w:hint="default"/>
      </w:rPr>
    </w:lvl>
    <w:lvl w:ilvl="6">
      <w:start w:val="1"/>
      <w:numFmt w:val="bullet"/>
      <w:lvlText w:val="•"/>
      <w:lvlJc w:val="left"/>
      <w:pPr>
        <w:ind w:left="3970" w:hanging="361"/>
      </w:pPr>
      <w:rPr>
        <w:rFonts w:hint="default"/>
      </w:rPr>
    </w:lvl>
    <w:lvl w:ilvl="7">
      <w:start w:val="1"/>
      <w:numFmt w:val="bullet"/>
      <w:lvlText w:val="•"/>
      <w:lvlJc w:val="left"/>
      <w:pPr>
        <w:ind w:left="5442" w:hanging="361"/>
      </w:pPr>
      <w:rPr>
        <w:rFonts w:hint="default"/>
      </w:rPr>
    </w:lvl>
    <w:lvl w:ilvl="8">
      <w:start w:val="1"/>
      <w:numFmt w:val="bullet"/>
      <w:lvlText w:val="•"/>
      <w:lvlJc w:val="left"/>
      <w:pPr>
        <w:ind w:left="6915" w:hanging="361"/>
      </w:pPr>
      <w:rPr>
        <w:rFonts w:hint="default"/>
      </w:rPr>
    </w:lvl>
  </w:abstractNum>
  <w:abstractNum w:abstractNumId="15">
    <w:nsid w:val="2A5819D8"/>
    <w:multiLevelType w:val="hybridMultilevel"/>
    <w:tmpl w:val="4D949C68"/>
    <w:lvl w:ilvl="0" w:tplc="C0BA1EE0">
      <w:start w:val="1"/>
      <w:numFmt w:val="decimal"/>
      <w:lvlText w:val="(%1)"/>
      <w:lvlJc w:val="left"/>
      <w:pPr>
        <w:ind w:left="979" w:hanging="360"/>
      </w:pPr>
      <w:rPr>
        <w:rFonts w:ascii="Cambria" w:eastAsia="Cambria" w:hAnsi="Cambria" w:hint="default"/>
        <w:spacing w:val="-1"/>
        <w:sz w:val="22"/>
        <w:szCs w:val="22"/>
      </w:rPr>
    </w:lvl>
    <w:lvl w:ilvl="1" w:tplc="F356E3EA">
      <w:start w:val="1"/>
      <w:numFmt w:val="bullet"/>
      <w:lvlText w:val="•"/>
      <w:lvlJc w:val="left"/>
      <w:pPr>
        <w:ind w:left="1867" w:hanging="360"/>
      </w:pPr>
      <w:rPr>
        <w:rFonts w:hint="default"/>
      </w:rPr>
    </w:lvl>
    <w:lvl w:ilvl="2" w:tplc="3ED4DF80">
      <w:start w:val="1"/>
      <w:numFmt w:val="bullet"/>
      <w:lvlText w:val="•"/>
      <w:lvlJc w:val="left"/>
      <w:pPr>
        <w:ind w:left="2755" w:hanging="360"/>
      </w:pPr>
      <w:rPr>
        <w:rFonts w:hint="default"/>
      </w:rPr>
    </w:lvl>
    <w:lvl w:ilvl="3" w:tplc="D9FC31A2">
      <w:start w:val="1"/>
      <w:numFmt w:val="bullet"/>
      <w:lvlText w:val="•"/>
      <w:lvlJc w:val="left"/>
      <w:pPr>
        <w:ind w:left="3643" w:hanging="360"/>
      </w:pPr>
      <w:rPr>
        <w:rFonts w:hint="default"/>
      </w:rPr>
    </w:lvl>
    <w:lvl w:ilvl="4" w:tplc="80C0A3B8">
      <w:start w:val="1"/>
      <w:numFmt w:val="bullet"/>
      <w:lvlText w:val="•"/>
      <w:lvlJc w:val="left"/>
      <w:pPr>
        <w:ind w:left="4531" w:hanging="360"/>
      </w:pPr>
      <w:rPr>
        <w:rFonts w:hint="default"/>
      </w:rPr>
    </w:lvl>
    <w:lvl w:ilvl="5" w:tplc="79867938">
      <w:start w:val="1"/>
      <w:numFmt w:val="bullet"/>
      <w:lvlText w:val="•"/>
      <w:lvlJc w:val="left"/>
      <w:pPr>
        <w:ind w:left="5419" w:hanging="360"/>
      </w:pPr>
      <w:rPr>
        <w:rFonts w:hint="default"/>
      </w:rPr>
    </w:lvl>
    <w:lvl w:ilvl="6" w:tplc="E640CFC4">
      <w:start w:val="1"/>
      <w:numFmt w:val="bullet"/>
      <w:lvlText w:val="•"/>
      <w:lvlJc w:val="left"/>
      <w:pPr>
        <w:ind w:left="6307" w:hanging="360"/>
      </w:pPr>
      <w:rPr>
        <w:rFonts w:hint="default"/>
      </w:rPr>
    </w:lvl>
    <w:lvl w:ilvl="7" w:tplc="11F44268">
      <w:start w:val="1"/>
      <w:numFmt w:val="bullet"/>
      <w:lvlText w:val="•"/>
      <w:lvlJc w:val="left"/>
      <w:pPr>
        <w:ind w:left="7195" w:hanging="360"/>
      </w:pPr>
      <w:rPr>
        <w:rFonts w:hint="default"/>
      </w:rPr>
    </w:lvl>
    <w:lvl w:ilvl="8" w:tplc="09CE8CCC">
      <w:start w:val="1"/>
      <w:numFmt w:val="bullet"/>
      <w:lvlText w:val="•"/>
      <w:lvlJc w:val="left"/>
      <w:pPr>
        <w:ind w:left="8083" w:hanging="360"/>
      </w:pPr>
      <w:rPr>
        <w:rFonts w:hint="default"/>
      </w:rPr>
    </w:lvl>
  </w:abstractNum>
  <w:abstractNum w:abstractNumId="16">
    <w:nsid w:val="2CB00BC0"/>
    <w:multiLevelType w:val="hybridMultilevel"/>
    <w:tmpl w:val="F3C0D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A45465"/>
    <w:multiLevelType w:val="multilevel"/>
    <w:tmpl w:val="8D268BA6"/>
    <w:lvl w:ilvl="0">
      <w:start w:val="4"/>
      <w:numFmt w:val="decimal"/>
      <w:lvlText w:val="%1"/>
      <w:lvlJc w:val="left"/>
      <w:pPr>
        <w:ind w:left="260" w:hanging="721"/>
      </w:pPr>
      <w:rPr>
        <w:rFonts w:hint="default"/>
      </w:rPr>
    </w:lvl>
    <w:lvl w:ilvl="1">
      <w:start w:val="1"/>
      <w:numFmt w:val="decimal"/>
      <w:lvlText w:val="%1.%2"/>
      <w:lvlJc w:val="left"/>
      <w:pPr>
        <w:ind w:left="260" w:hanging="721"/>
      </w:pPr>
      <w:rPr>
        <w:rFonts w:ascii="Cambria" w:eastAsia="Cambria" w:hAnsi="Cambria" w:hint="default"/>
        <w:b/>
        <w:bCs/>
        <w:color w:val="4F81BD"/>
        <w:w w:val="99"/>
        <w:sz w:val="26"/>
        <w:szCs w:val="26"/>
      </w:rPr>
    </w:lvl>
    <w:lvl w:ilvl="2">
      <w:start w:val="1"/>
      <w:numFmt w:val="decimal"/>
      <w:lvlText w:val="%1.%2.%3"/>
      <w:lvlJc w:val="left"/>
      <w:pPr>
        <w:ind w:left="721" w:hanging="721"/>
        <w:jc w:val="right"/>
      </w:pPr>
      <w:rPr>
        <w:rFonts w:ascii="Cambria" w:eastAsia="Cambria" w:hAnsi="Cambria" w:hint="default"/>
        <w:b/>
        <w:bCs/>
        <w:color w:val="4F81BD"/>
        <w:spacing w:val="-2"/>
        <w:sz w:val="22"/>
        <w:szCs w:val="22"/>
      </w:rPr>
    </w:lvl>
    <w:lvl w:ilvl="3">
      <w:start w:val="1"/>
      <w:numFmt w:val="bullet"/>
      <w:lvlText w:val="•"/>
      <w:lvlJc w:val="left"/>
      <w:pPr>
        <w:ind w:left="2953" w:hanging="721"/>
      </w:pPr>
      <w:rPr>
        <w:rFonts w:hint="default"/>
      </w:rPr>
    </w:lvl>
    <w:lvl w:ilvl="4">
      <w:start w:val="1"/>
      <w:numFmt w:val="bullet"/>
      <w:lvlText w:val="•"/>
      <w:lvlJc w:val="left"/>
      <w:pPr>
        <w:ind w:left="3940" w:hanging="721"/>
      </w:pPr>
      <w:rPr>
        <w:rFonts w:hint="default"/>
      </w:rPr>
    </w:lvl>
    <w:lvl w:ilvl="5">
      <w:start w:val="1"/>
      <w:numFmt w:val="bullet"/>
      <w:lvlText w:val="•"/>
      <w:lvlJc w:val="left"/>
      <w:pPr>
        <w:ind w:left="4926" w:hanging="721"/>
      </w:pPr>
      <w:rPr>
        <w:rFonts w:hint="default"/>
      </w:rPr>
    </w:lvl>
    <w:lvl w:ilvl="6">
      <w:start w:val="1"/>
      <w:numFmt w:val="bullet"/>
      <w:lvlText w:val="•"/>
      <w:lvlJc w:val="left"/>
      <w:pPr>
        <w:ind w:left="5913" w:hanging="721"/>
      </w:pPr>
      <w:rPr>
        <w:rFonts w:hint="default"/>
      </w:rPr>
    </w:lvl>
    <w:lvl w:ilvl="7">
      <w:start w:val="1"/>
      <w:numFmt w:val="bullet"/>
      <w:lvlText w:val="•"/>
      <w:lvlJc w:val="left"/>
      <w:pPr>
        <w:ind w:left="6900" w:hanging="721"/>
      </w:pPr>
      <w:rPr>
        <w:rFonts w:hint="default"/>
      </w:rPr>
    </w:lvl>
    <w:lvl w:ilvl="8">
      <w:start w:val="1"/>
      <w:numFmt w:val="bullet"/>
      <w:lvlText w:val="•"/>
      <w:lvlJc w:val="left"/>
      <w:pPr>
        <w:ind w:left="7886" w:hanging="721"/>
      </w:pPr>
      <w:rPr>
        <w:rFonts w:hint="default"/>
      </w:rPr>
    </w:lvl>
  </w:abstractNum>
  <w:abstractNum w:abstractNumId="18">
    <w:nsid w:val="312755B5"/>
    <w:multiLevelType w:val="hybridMultilevel"/>
    <w:tmpl w:val="9C48E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702D7E"/>
    <w:multiLevelType w:val="hybridMultilevel"/>
    <w:tmpl w:val="F21CD12C"/>
    <w:lvl w:ilvl="0" w:tplc="11E26CD4">
      <w:start w:val="1"/>
      <w:numFmt w:val="decimal"/>
      <w:lvlText w:val="(%1)"/>
      <w:lvlJc w:val="left"/>
      <w:pPr>
        <w:ind w:left="980" w:hanging="360"/>
      </w:pPr>
      <w:rPr>
        <w:rFonts w:ascii="Cambria" w:eastAsia="Cambria" w:hAnsi="Cambria" w:hint="default"/>
        <w:spacing w:val="-1"/>
        <w:sz w:val="22"/>
        <w:szCs w:val="22"/>
      </w:rPr>
    </w:lvl>
    <w:lvl w:ilvl="1" w:tplc="631CAF14">
      <w:start w:val="1"/>
      <w:numFmt w:val="bullet"/>
      <w:lvlText w:val="•"/>
      <w:lvlJc w:val="left"/>
      <w:pPr>
        <w:ind w:left="1868" w:hanging="360"/>
      </w:pPr>
      <w:rPr>
        <w:rFonts w:hint="default"/>
      </w:rPr>
    </w:lvl>
    <w:lvl w:ilvl="2" w:tplc="27566F40">
      <w:start w:val="1"/>
      <w:numFmt w:val="bullet"/>
      <w:lvlText w:val="•"/>
      <w:lvlJc w:val="left"/>
      <w:pPr>
        <w:ind w:left="2756" w:hanging="360"/>
      </w:pPr>
      <w:rPr>
        <w:rFonts w:hint="default"/>
      </w:rPr>
    </w:lvl>
    <w:lvl w:ilvl="3" w:tplc="55F063E8">
      <w:start w:val="1"/>
      <w:numFmt w:val="bullet"/>
      <w:lvlText w:val="•"/>
      <w:lvlJc w:val="left"/>
      <w:pPr>
        <w:ind w:left="3644" w:hanging="360"/>
      </w:pPr>
      <w:rPr>
        <w:rFonts w:hint="default"/>
      </w:rPr>
    </w:lvl>
    <w:lvl w:ilvl="4" w:tplc="449CA584">
      <w:start w:val="1"/>
      <w:numFmt w:val="bullet"/>
      <w:lvlText w:val="•"/>
      <w:lvlJc w:val="left"/>
      <w:pPr>
        <w:ind w:left="4532" w:hanging="360"/>
      </w:pPr>
      <w:rPr>
        <w:rFonts w:hint="default"/>
      </w:rPr>
    </w:lvl>
    <w:lvl w:ilvl="5" w:tplc="5246E2CE">
      <w:start w:val="1"/>
      <w:numFmt w:val="bullet"/>
      <w:lvlText w:val="•"/>
      <w:lvlJc w:val="left"/>
      <w:pPr>
        <w:ind w:left="5420" w:hanging="360"/>
      </w:pPr>
      <w:rPr>
        <w:rFonts w:hint="default"/>
      </w:rPr>
    </w:lvl>
    <w:lvl w:ilvl="6" w:tplc="B0E6D630">
      <w:start w:val="1"/>
      <w:numFmt w:val="bullet"/>
      <w:lvlText w:val="•"/>
      <w:lvlJc w:val="left"/>
      <w:pPr>
        <w:ind w:left="6308" w:hanging="360"/>
      </w:pPr>
      <w:rPr>
        <w:rFonts w:hint="default"/>
      </w:rPr>
    </w:lvl>
    <w:lvl w:ilvl="7" w:tplc="A4D4EAF6">
      <w:start w:val="1"/>
      <w:numFmt w:val="bullet"/>
      <w:lvlText w:val="•"/>
      <w:lvlJc w:val="left"/>
      <w:pPr>
        <w:ind w:left="7196" w:hanging="360"/>
      </w:pPr>
      <w:rPr>
        <w:rFonts w:hint="default"/>
      </w:rPr>
    </w:lvl>
    <w:lvl w:ilvl="8" w:tplc="77AA3F78">
      <w:start w:val="1"/>
      <w:numFmt w:val="bullet"/>
      <w:lvlText w:val="•"/>
      <w:lvlJc w:val="left"/>
      <w:pPr>
        <w:ind w:left="8084" w:hanging="360"/>
      </w:pPr>
      <w:rPr>
        <w:rFonts w:hint="default"/>
      </w:rPr>
    </w:lvl>
  </w:abstractNum>
  <w:abstractNum w:abstractNumId="20">
    <w:nsid w:val="38F138AC"/>
    <w:multiLevelType w:val="multilevel"/>
    <w:tmpl w:val="DB721EA8"/>
    <w:lvl w:ilvl="0">
      <w:start w:val="3"/>
      <w:numFmt w:val="decimal"/>
      <w:lvlText w:val="%1"/>
      <w:lvlJc w:val="left"/>
      <w:pPr>
        <w:ind w:left="1747" w:hanging="768"/>
      </w:pPr>
      <w:rPr>
        <w:rFonts w:hint="default"/>
      </w:rPr>
    </w:lvl>
    <w:lvl w:ilvl="1">
      <w:start w:val="1"/>
      <w:numFmt w:val="decimal"/>
      <w:lvlText w:val="%1.%2"/>
      <w:lvlJc w:val="left"/>
      <w:pPr>
        <w:ind w:left="1747" w:hanging="768"/>
      </w:pPr>
      <w:rPr>
        <w:rFonts w:hint="default"/>
      </w:rPr>
    </w:lvl>
    <w:lvl w:ilvl="2">
      <w:start w:val="1"/>
      <w:numFmt w:val="decimal"/>
      <w:lvlText w:val="%1.%2.%3"/>
      <w:lvlJc w:val="left"/>
      <w:pPr>
        <w:ind w:left="1747" w:hanging="768"/>
      </w:pPr>
      <w:rPr>
        <w:rFonts w:ascii="Cambria" w:eastAsia="Cambria" w:hAnsi="Cambria" w:hint="default"/>
        <w:b/>
        <w:bCs/>
        <w:color w:val="4F81BD"/>
        <w:spacing w:val="-2"/>
        <w:sz w:val="22"/>
        <w:szCs w:val="22"/>
      </w:rPr>
    </w:lvl>
    <w:lvl w:ilvl="3">
      <w:start w:val="1"/>
      <w:numFmt w:val="bullet"/>
      <w:lvlText w:val="•"/>
      <w:lvlJc w:val="left"/>
      <w:pPr>
        <w:ind w:left="4181" w:hanging="768"/>
      </w:pPr>
      <w:rPr>
        <w:rFonts w:hint="default"/>
      </w:rPr>
    </w:lvl>
    <w:lvl w:ilvl="4">
      <w:start w:val="1"/>
      <w:numFmt w:val="bullet"/>
      <w:lvlText w:val="•"/>
      <w:lvlJc w:val="left"/>
      <w:pPr>
        <w:ind w:left="4992" w:hanging="768"/>
      </w:pPr>
      <w:rPr>
        <w:rFonts w:hint="default"/>
      </w:rPr>
    </w:lvl>
    <w:lvl w:ilvl="5">
      <w:start w:val="1"/>
      <w:numFmt w:val="bullet"/>
      <w:lvlText w:val="•"/>
      <w:lvlJc w:val="left"/>
      <w:pPr>
        <w:ind w:left="5804" w:hanging="768"/>
      </w:pPr>
      <w:rPr>
        <w:rFonts w:hint="default"/>
      </w:rPr>
    </w:lvl>
    <w:lvl w:ilvl="6">
      <w:start w:val="1"/>
      <w:numFmt w:val="bullet"/>
      <w:lvlText w:val="•"/>
      <w:lvlJc w:val="left"/>
      <w:pPr>
        <w:ind w:left="6615" w:hanging="768"/>
      </w:pPr>
      <w:rPr>
        <w:rFonts w:hint="default"/>
      </w:rPr>
    </w:lvl>
    <w:lvl w:ilvl="7">
      <w:start w:val="1"/>
      <w:numFmt w:val="bullet"/>
      <w:lvlText w:val="•"/>
      <w:lvlJc w:val="left"/>
      <w:pPr>
        <w:ind w:left="7426" w:hanging="768"/>
      </w:pPr>
      <w:rPr>
        <w:rFonts w:hint="default"/>
      </w:rPr>
    </w:lvl>
    <w:lvl w:ilvl="8">
      <w:start w:val="1"/>
      <w:numFmt w:val="bullet"/>
      <w:lvlText w:val="•"/>
      <w:lvlJc w:val="left"/>
      <w:pPr>
        <w:ind w:left="8237" w:hanging="768"/>
      </w:pPr>
      <w:rPr>
        <w:rFonts w:hint="default"/>
      </w:rPr>
    </w:lvl>
  </w:abstractNum>
  <w:abstractNum w:abstractNumId="21">
    <w:nsid w:val="3D477FC8"/>
    <w:multiLevelType w:val="hybridMultilevel"/>
    <w:tmpl w:val="D90E9A7C"/>
    <w:lvl w:ilvl="0" w:tplc="04090001">
      <w:start w:val="1"/>
      <w:numFmt w:val="bullet"/>
      <w:lvlText w:val=""/>
      <w:lvlJc w:val="left"/>
      <w:pPr>
        <w:ind w:left="980" w:hanging="360"/>
      </w:pPr>
      <w:rPr>
        <w:rFonts w:ascii="Symbol" w:hAnsi="Symbol"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22">
    <w:nsid w:val="40A12DF1"/>
    <w:multiLevelType w:val="multilevel"/>
    <w:tmpl w:val="851E5346"/>
    <w:lvl w:ilvl="0">
      <w:start w:val="3"/>
      <w:numFmt w:val="decimal"/>
      <w:lvlText w:val="%1"/>
      <w:lvlJc w:val="left"/>
      <w:pPr>
        <w:ind w:left="1699" w:hanging="720"/>
      </w:pPr>
      <w:rPr>
        <w:rFonts w:hint="default"/>
      </w:rPr>
    </w:lvl>
    <w:lvl w:ilvl="1">
      <w:start w:val="3"/>
      <w:numFmt w:val="decimal"/>
      <w:lvlText w:val="%1.%2"/>
      <w:lvlJc w:val="left"/>
      <w:pPr>
        <w:ind w:left="1699" w:hanging="720"/>
      </w:pPr>
      <w:rPr>
        <w:rFonts w:hint="default"/>
      </w:rPr>
    </w:lvl>
    <w:lvl w:ilvl="2">
      <w:start w:val="1"/>
      <w:numFmt w:val="decimal"/>
      <w:lvlText w:val="%1.%2.%3"/>
      <w:lvlJc w:val="left"/>
      <w:pPr>
        <w:ind w:left="1699" w:hanging="720"/>
      </w:pPr>
      <w:rPr>
        <w:rFonts w:ascii="Cambria" w:eastAsia="Cambria" w:hAnsi="Cambria" w:hint="default"/>
        <w:b/>
        <w:bCs/>
        <w:color w:val="4F81BD"/>
        <w:spacing w:val="-2"/>
        <w:sz w:val="22"/>
        <w:szCs w:val="22"/>
      </w:rPr>
    </w:lvl>
    <w:lvl w:ilvl="3">
      <w:start w:val="1"/>
      <w:numFmt w:val="bullet"/>
      <w:lvlText w:val="•"/>
      <w:lvlJc w:val="left"/>
      <w:pPr>
        <w:ind w:left="4147" w:hanging="720"/>
      </w:pPr>
      <w:rPr>
        <w:rFonts w:hint="default"/>
      </w:rPr>
    </w:lvl>
    <w:lvl w:ilvl="4">
      <w:start w:val="1"/>
      <w:numFmt w:val="bullet"/>
      <w:lvlText w:val="•"/>
      <w:lvlJc w:val="left"/>
      <w:pPr>
        <w:ind w:left="4963" w:hanging="720"/>
      </w:pPr>
      <w:rPr>
        <w:rFonts w:hint="default"/>
      </w:rPr>
    </w:lvl>
    <w:lvl w:ilvl="5">
      <w:start w:val="1"/>
      <w:numFmt w:val="bullet"/>
      <w:lvlText w:val="•"/>
      <w:lvlJc w:val="left"/>
      <w:pPr>
        <w:ind w:left="5779" w:hanging="720"/>
      </w:pPr>
      <w:rPr>
        <w:rFonts w:hint="default"/>
      </w:rPr>
    </w:lvl>
    <w:lvl w:ilvl="6">
      <w:start w:val="1"/>
      <w:numFmt w:val="bullet"/>
      <w:lvlText w:val="•"/>
      <w:lvlJc w:val="left"/>
      <w:pPr>
        <w:ind w:left="6595" w:hanging="720"/>
      </w:pPr>
      <w:rPr>
        <w:rFonts w:hint="default"/>
      </w:rPr>
    </w:lvl>
    <w:lvl w:ilvl="7">
      <w:start w:val="1"/>
      <w:numFmt w:val="bullet"/>
      <w:lvlText w:val="•"/>
      <w:lvlJc w:val="left"/>
      <w:pPr>
        <w:ind w:left="7411" w:hanging="720"/>
      </w:pPr>
      <w:rPr>
        <w:rFonts w:hint="default"/>
      </w:rPr>
    </w:lvl>
    <w:lvl w:ilvl="8">
      <w:start w:val="1"/>
      <w:numFmt w:val="bullet"/>
      <w:lvlText w:val="•"/>
      <w:lvlJc w:val="left"/>
      <w:pPr>
        <w:ind w:left="8227" w:hanging="720"/>
      </w:pPr>
      <w:rPr>
        <w:rFonts w:hint="default"/>
      </w:rPr>
    </w:lvl>
  </w:abstractNum>
  <w:abstractNum w:abstractNumId="23">
    <w:nsid w:val="4A3344A7"/>
    <w:multiLevelType w:val="hybridMultilevel"/>
    <w:tmpl w:val="392A4B58"/>
    <w:lvl w:ilvl="0" w:tplc="04090001">
      <w:start w:val="1"/>
      <w:numFmt w:val="bullet"/>
      <w:lvlText w:val=""/>
      <w:lvlJc w:val="left"/>
      <w:pPr>
        <w:ind w:left="980" w:hanging="360"/>
      </w:pPr>
      <w:rPr>
        <w:rFonts w:ascii="Symbol" w:hAnsi="Symbol"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24">
    <w:nsid w:val="4CBE4AA0"/>
    <w:multiLevelType w:val="hybridMultilevel"/>
    <w:tmpl w:val="318AEBA0"/>
    <w:lvl w:ilvl="0" w:tplc="0409000F">
      <w:start w:val="1"/>
      <w:numFmt w:val="decimal"/>
      <w:lvlText w:val="%1."/>
      <w:lvlJc w:val="left"/>
      <w:pPr>
        <w:ind w:left="1621" w:hanging="360"/>
      </w:pPr>
    </w:lvl>
    <w:lvl w:ilvl="1" w:tplc="04090019" w:tentative="1">
      <w:start w:val="1"/>
      <w:numFmt w:val="lowerLetter"/>
      <w:lvlText w:val="%2."/>
      <w:lvlJc w:val="left"/>
      <w:pPr>
        <w:ind w:left="2341" w:hanging="360"/>
      </w:pPr>
    </w:lvl>
    <w:lvl w:ilvl="2" w:tplc="0409001B" w:tentative="1">
      <w:start w:val="1"/>
      <w:numFmt w:val="lowerRoman"/>
      <w:lvlText w:val="%3."/>
      <w:lvlJc w:val="right"/>
      <w:pPr>
        <w:ind w:left="3061" w:hanging="180"/>
      </w:pPr>
    </w:lvl>
    <w:lvl w:ilvl="3" w:tplc="0409000F" w:tentative="1">
      <w:start w:val="1"/>
      <w:numFmt w:val="decimal"/>
      <w:lvlText w:val="%4."/>
      <w:lvlJc w:val="left"/>
      <w:pPr>
        <w:ind w:left="3781" w:hanging="360"/>
      </w:pPr>
    </w:lvl>
    <w:lvl w:ilvl="4" w:tplc="04090019" w:tentative="1">
      <w:start w:val="1"/>
      <w:numFmt w:val="lowerLetter"/>
      <w:lvlText w:val="%5."/>
      <w:lvlJc w:val="left"/>
      <w:pPr>
        <w:ind w:left="4501" w:hanging="360"/>
      </w:pPr>
    </w:lvl>
    <w:lvl w:ilvl="5" w:tplc="0409001B" w:tentative="1">
      <w:start w:val="1"/>
      <w:numFmt w:val="lowerRoman"/>
      <w:lvlText w:val="%6."/>
      <w:lvlJc w:val="right"/>
      <w:pPr>
        <w:ind w:left="5221" w:hanging="180"/>
      </w:pPr>
    </w:lvl>
    <w:lvl w:ilvl="6" w:tplc="0409000F" w:tentative="1">
      <w:start w:val="1"/>
      <w:numFmt w:val="decimal"/>
      <w:lvlText w:val="%7."/>
      <w:lvlJc w:val="left"/>
      <w:pPr>
        <w:ind w:left="5941" w:hanging="360"/>
      </w:pPr>
    </w:lvl>
    <w:lvl w:ilvl="7" w:tplc="04090019" w:tentative="1">
      <w:start w:val="1"/>
      <w:numFmt w:val="lowerLetter"/>
      <w:lvlText w:val="%8."/>
      <w:lvlJc w:val="left"/>
      <w:pPr>
        <w:ind w:left="6661" w:hanging="360"/>
      </w:pPr>
    </w:lvl>
    <w:lvl w:ilvl="8" w:tplc="0409001B" w:tentative="1">
      <w:start w:val="1"/>
      <w:numFmt w:val="lowerRoman"/>
      <w:lvlText w:val="%9."/>
      <w:lvlJc w:val="right"/>
      <w:pPr>
        <w:ind w:left="7381" w:hanging="180"/>
      </w:pPr>
    </w:lvl>
  </w:abstractNum>
  <w:abstractNum w:abstractNumId="25">
    <w:nsid w:val="4D0D2FCE"/>
    <w:multiLevelType w:val="hybridMultilevel"/>
    <w:tmpl w:val="58EE18CC"/>
    <w:lvl w:ilvl="0" w:tplc="04090001">
      <w:start w:val="1"/>
      <w:numFmt w:val="bullet"/>
      <w:lvlText w:val=""/>
      <w:lvlJc w:val="left"/>
      <w:pPr>
        <w:ind w:left="901" w:hanging="360"/>
      </w:pPr>
      <w:rPr>
        <w:rFonts w:ascii="Symbol" w:hAnsi="Symbol"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26">
    <w:nsid w:val="4E6D7EF9"/>
    <w:multiLevelType w:val="hybridMultilevel"/>
    <w:tmpl w:val="F7B2254C"/>
    <w:lvl w:ilvl="0" w:tplc="4F8E6A0C">
      <w:start w:val="1"/>
      <w:numFmt w:val="bullet"/>
      <w:lvlText w:val=""/>
      <w:lvlJc w:val="left"/>
      <w:pPr>
        <w:ind w:left="979" w:hanging="361"/>
      </w:pPr>
      <w:rPr>
        <w:rFonts w:ascii="Symbol" w:eastAsia="Symbol" w:hAnsi="Symbol" w:hint="default"/>
        <w:sz w:val="22"/>
        <w:szCs w:val="22"/>
      </w:rPr>
    </w:lvl>
    <w:lvl w:ilvl="1" w:tplc="B29E0F4A">
      <w:start w:val="1"/>
      <w:numFmt w:val="bullet"/>
      <w:lvlText w:val="•"/>
      <w:lvlJc w:val="left"/>
      <w:pPr>
        <w:ind w:left="1867" w:hanging="361"/>
      </w:pPr>
      <w:rPr>
        <w:rFonts w:hint="default"/>
      </w:rPr>
    </w:lvl>
    <w:lvl w:ilvl="2" w:tplc="0DAE5150">
      <w:start w:val="1"/>
      <w:numFmt w:val="bullet"/>
      <w:lvlText w:val="•"/>
      <w:lvlJc w:val="left"/>
      <w:pPr>
        <w:ind w:left="2755" w:hanging="361"/>
      </w:pPr>
      <w:rPr>
        <w:rFonts w:hint="default"/>
      </w:rPr>
    </w:lvl>
    <w:lvl w:ilvl="3" w:tplc="F1A60E0E">
      <w:start w:val="1"/>
      <w:numFmt w:val="bullet"/>
      <w:lvlText w:val="•"/>
      <w:lvlJc w:val="left"/>
      <w:pPr>
        <w:ind w:left="3643" w:hanging="361"/>
      </w:pPr>
      <w:rPr>
        <w:rFonts w:hint="default"/>
      </w:rPr>
    </w:lvl>
    <w:lvl w:ilvl="4" w:tplc="6B8652BC">
      <w:start w:val="1"/>
      <w:numFmt w:val="bullet"/>
      <w:lvlText w:val="•"/>
      <w:lvlJc w:val="left"/>
      <w:pPr>
        <w:ind w:left="4531" w:hanging="361"/>
      </w:pPr>
      <w:rPr>
        <w:rFonts w:hint="default"/>
      </w:rPr>
    </w:lvl>
    <w:lvl w:ilvl="5" w:tplc="4BCE6FDA">
      <w:start w:val="1"/>
      <w:numFmt w:val="bullet"/>
      <w:lvlText w:val="•"/>
      <w:lvlJc w:val="left"/>
      <w:pPr>
        <w:ind w:left="5419" w:hanging="361"/>
      </w:pPr>
      <w:rPr>
        <w:rFonts w:hint="default"/>
      </w:rPr>
    </w:lvl>
    <w:lvl w:ilvl="6" w:tplc="6C94FF06">
      <w:start w:val="1"/>
      <w:numFmt w:val="bullet"/>
      <w:lvlText w:val="•"/>
      <w:lvlJc w:val="left"/>
      <w:pPr>
        <w:ind w:left="6307" w:hanging="361"/>
      </w:pPr>
      <w:rPr>
        <w:rFonts w:hint="default"/>
      </w:rPr>
    </w:lvl>
    <w:lvl w:ilvl="7" w:tplc="2AD698D4">
      <w:start w:val="1"/>
      <w:numFmt w:val="bullet"/>
      <w:lvlText w:val="•"/>
      <w:lvlJc w:val="left"/>
      <w:pPr>
        <w:ind w:left="7195" w:hanging="361"/>
      </w:pPr>
      <w:rPr>
        <w:rFonts w:hint="default"/>
      </w:rPr>
    </w:lvl>
    <w:lvl w:ilvl="8" w:tplc="92E4CAC4">
      <w:start w:val="1"/>
      <w:numFmt w:val="bullet"/>
      <w:lvlText w:val="•"/>
      <w:lvlJc w:val="left"/>
      <w:pPr>
        <w:ind w:left="8083" w:hanging="361"/>
      </w:pPr>
      <w:rPr>
        <w:rFonts w:hint="default"/>
      </w:rPr>
    </w:lvl>
  </w:abstractNum>
  <w:abstractNum w:abstractNumId="27">
    <w:nsid w:val="5232041A"/>
    <w:multiLevelType w:val="multilevel"/>
    <w:tmpl w:val="0EE4895C"/>
    <w:lvl w:ilvl="0">
      <w:start w:val="3"/>
      <w:numFmt w:val="decimal"/>
      <w:lvlText w:val="%1"/>
      <w:lvlJc w:val="left"/>
      <w:pPr>
        <w:ind w:left="260" w:hanging="721"/>
      </w:pPr>
      <w:rPr>
        <w:rFonts w:hint="default"/>
      </w:rPr>
    </w:lvl>
    <w:lvl w:ilvl="1">
      <w:start w:val="2"/>
      <w:numFmt w:val="decimal"/>
      <w:lvlText w:val="%1.%2"/>
      <w:lvlJc w:val="left"/>
      <w:pPr>
        <w:ind w:left="260" w:hanging="721"/>
      </w:pPr>
      <w:rPr>
        <w:rFonts w:ascii="Cambria" w:eastAsia="Cambria" w:hAnsi="Cambria" w:hint="default"/>
        <w:b/>
        <w:bCs/>
        <w:color w:val="4F81BD"/>
        <w:w w:val="99"/>
        <w:sz w:val="26"/>
        <w:szCs w:val="26"/>
      </w:rPr>
    </w:lvl>
    <w:lvl w:ilvl="2">
      <w:start w:val="1"/>
      <w:numFmt w:val="decimal"/>
      <w:lvlText w:val="%3."/>
      <w:lvlJc w:val="left"/>
      <w:pPr>
        <w:ind w:left="980" w:hanging="361"/>
      </w:pPr>
      <w:rPr>
        <w:rFonts w:ascii="Cambria" w:eastAsia="Cambria" w:hAnsi="Cambria" w:hint="default"/>
        <w:sz w:val="22"/>
        <w:szCs w:val="22"/>
      </w:rPr>
    </w:lvl>
    <w:lvl w:ilvl="3">
      <w:start w:val="1"/>
      <w:numFmt w:val="bullet"/>
      <w:lvlText w:val="•"/>
      <w:lvlJc w:val="left"/>
      <w:pPr>
        <w:ind w:left="2953" w:hanging="361"/>
      </w:pPr>
      <w:rPr>
        <w:rFonts w:hint="default"/>
      </w:rPr>
    </w:lvl>
    <w:lvl w:ilvl="4">
      <w:start w:val="1"/>
      <w:numFmt w:val="bullet"/>
      <w:lvlText w:val="•"/>
      <w:lvlJc w:val="left"/>
      <w:pPr>
        <w:ind w:left="3940" w:hanging="361"/>
      </w:pPr>
      <w:rPr>
        <w:rFonts w:hint="default"/>
      </w:rPr>
    </w:lvl>
    <w:lvl w:ilvl="5">
      <w:start w:val="1"/>
      <w:numFmt w:val="bullet"/>
      <w:lvlText w:val="•"/>
      <w:lvlJc w:val="left"/>
      <w:pPr>
        <w:ind w:left="4926" w:hanging="361"/>
      </w:pPr>
      <w:rPr>
        <w:rFonts w:hint="default"/>
      </w:rPr>
    </w:lvl>
    <w:lvl w:ilvl="6">
      <w:start w:val="1"/>
      <w:numFmt w:val="bullet"/>
      <w:lvlText w:val="•"/>
      <w:lvlJc w:val="left"/>
      <w:pPr>
        <w:ind w:left="5913" w:hanging="361"/>
      </w:pPr>
      <w:rPr>
        <w:rFonts w:hint="default"/>
      </w:rPr>
    </w:lvl>
    <w:lvl w:ilvl="7">
      <w:start w:val="1"/>
      <w:numFmt w:val="bullet"/>
      <w:lvlText w:val="•"/>
      <w:lvlJc w:val="left"/>
      <w:pPr>
        <w:ind w:left="6900" w:hanging="361"/>
      </w:pPr>
      <w:rPr>
        <w:rFonts w:hint="default"/>
      </w:rPr>
    </w:lvl>
    <w:lvl w:ilvl="8">
      <w:start w:val="1"/>
      <w:numFmt w:val="bullet"/>
      <w:lvlText w:val="•"/>
      <w:lvlJc w:val="left"/>
      <w:pPr>
        <w:ind w:left="7886" w:hanging="361"/>
      </w:pPr>
      <w:rPr>
        <w:rFonts w:hint="default"/>
      </w:rPr>
    </w:lvl>
  </w:abstractNum>
  <w:abstractNum w:abstractNumId="28">
    <w:nsid w:val="5A6F2204"/>
    <w:multiLevelType w:val="hybridMultilevel"/>
    <w:tmpl w:val="4FB42900"/>
    <w:lvl w:ilvl="0" w:tplc="76922DF6">
      <w:start w:val="1"/>
      <w:numFmt w:val="bullet"/>
      <w:pStyle w:val="ListParagraph"/>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DF12E55"/>
    <w:multiLevelType w:val="hybridMultilevel"/>
    <w:tmpl w:val="76CE3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13619C4"/>
    <w:multiLevelType w:val="hybridMultilevel"/>
    <w:tmpl w:val="60342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E37703"/>
    <w:multiLevelType w:val="hybridMultilevel"/>
    <w:tmpl w:val="F5406300"/>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32">
    <w:nsid w:val="72395166"/>
    <w:multiLevelType w:val="multilevel"/>
    <w:tmpl w:val="7F94BC58"/>
    <w:lvl w:ilvl="0">
      <w:start w:val="5"/>
      <w:numFmt w:val="decimal"/>
      <w:lvlText w:val="%1"/>
      <w:lvlJc w:val="left"/>
      <w:pPr>
        <w:ind w:left="979" w:hanging="720"/>
      </w:pPr>
      <w:rPr>
        <w:rFonts w:ascii="Cambria" w:eastAsia="Cambria" w:hAnsi="Cambria" w:hint="default"/>
        <w:b/>
        <w:bCs/>
        <w:color w:val="365F91"/>
        <w:sz w:val="28"/>
        <w:szCs w:val="28"/>
      </w:rPr>
    </w:lvl>
    <w:lvl w:ilvl="1">
      <w:start w:val="1"/>
      <w:numFmt w:val="decimal"/>
      <w:lvlText w:val="%1.%2"/>
      <w:lvlJc w:val="left"/>
      <w:pPr>
        <w:ind w:left="259" w:hanging="721"/>
      </w:pPr>
      <w:rPr>
        <w:rFonts w:ascii="Cambria" w:eastAsia="Cambria" w:hAnsi="Cambria" w:hint="default"/>
        <w:b/>
        <w:bCs/>
        <w:color w:val="4F81BD"/>
        <w:w w:val="99"/>
        <w:sz w:val="26"/>
        <w:szCs w:val="26"/>
      </w:rPr>
    </w:lvl>
    <w:lvl w:ilvl="2">
      <w:start w:val="1"/>
      <w:numFmt w:val="decimal"/>
      <w:lvlText w:val="%1.%2.%3"/>
      <w:lvlJc w:val="left"/>
      <w:pPr>
        <w:ind w:left="979" w:hanging="721"/>
      </w:pPr>
      <w:rPr>
        <w:rFonts w:ascii="Cambria" w:eastAsia="Cambria" w:hAnsi="Cambria" w:hint="default"/>
        <w:b/>
        <w:bCs/>
        <w:color w:val="4F81BD"/>
        <w:spacing w:val="-2"/>
        <w:sz w:val="22"/>
        <w:szCs w:val="22"/>
      </w:rPr>
    </w:lvl>
    <w:lvl w:ilvl="3">
      <w:start w:val="1"/>
      <w:numFmt w:val="bullet"/>
      <w:lvlText w:val="•"/>
      <w:lvlJc w:val="left"/>
      <w:pPr>
        <w:ind w:left="980" w:hanging="721"/>
      </w:pPr>
      <w:rPr>
        <w:rFonts w:hint="default"/>
      </w:rPr>
    </w:lvl>
    <w:lvl w:ilvl="4">
      <w:start w:val="1"/>
      <w:numFmt w:val="bullet"/>
      <w:lvlText w:val="•"/>
      <w:lvlJc w:val="left"/>
      <w:pPr>
        <w:ind w:left="980" w:hanging="721"/>
      </w:pPr>
      <w:rPr>
        <w:rFonts w:hint="default"/>
      </w:rPr>
    </w:lvl>
    <w:lvl w:ilvl="5">
      <w:start w:val="1"/>
      <w:numFmt w:val="bullet"/>
      <w:lvlText w:val="•"/>
      <w:lvlJc w:val="left"/>
      <w:pPr>
        <w:ind w:left="2460" w:hanging="721"/>
      </w:pPr>
      <w:rPr>
        <w:rFonts w:hint="default"/>
      </w:rPr>
    </w:lvl>
    <w:lvl w:ilvl="6">
      <w:start w:val="1"/>
      <w:numFmt w:val="bullet"/>
      <w:lvlText w:val="•"/>
      <w:lvlJc w:val="left"/>
      <w:pPr>
        <w:ind w:left="3940" w:hanging="721"/>
      </w:pPr>
      <w:rPr>
        <w:rFonts w:hint="default"/>
      </w:rPr>
    </w:lvl>
    <w:lvl w:ilvl="7">
      <w:start w:val="1"/>
      <w:numFmt w:val="bullet"/>
      <w:lvlText w:val="•"/>
      <w:lvlJc w:val="left"/>
      <w:pPr>
        <w:ind w:left="5420" w:hanging="721"/>
      </w:pPr>
      <w:rPr>
        <w:rFonts w:hint="default"/>
      </w:rPr>
    </w:lvl>
    <w:lvl w:ilvl="8">
      <w:start w:val="1"/>
      <w:numFmt w:val="bullet"/>
      <w:lvlText w:val="•"/>
      <w:lvlJc w:val="left"/>
      <w:pPr>
        <w:ind w:left="6900" w:hanging="721"/>
      </w:pPr>
      <w:rPr>
        <w:rFonts w:hint="default"/>
      </w:rPr>
    </w:lvl>
  </w:abstractNum>
  <w:abstractNum w:abstractNumId="33">
    <w:nsid w:val="72894F9C"/>
    <w:multiLevelType w:val="multilevel"/>
    <w:tmpl w:val="0526E694"/>
    <w:lvl w:ilvl="0">
      <w:start w:val="1"/>
      <w:numFmt w:val="decimal"/>
      <w:pStyle w:val="Heading1"/>
      <w:suff w:val="space"/>
      <w:lvlText w:val="%1."/>
      <w:lvlJc w:val="left"/>
      <w:pPr>
        <w:ind w:left="0" w:firstLine="0"/>
      </w:pPr>
      <w:rPr>
        <w:rFonts w:ascii="Calibri" w:hAnsi="Calibri" w:hint="default"/>
        <w:b/>
        <w:bCs/>
        <w:i w:val="0"/>
        <w:caps w:val="0"/>
        <w:strike w:val="0"/>
        <w:dstrike w:val="0"/>
        <w:vanish w:val="0"/>
        <w:color w:val="4F81BD" w:themeColor="accent1"/>
        <w:spacing w:val="0"/>
        <w:w w:val="100"/>
        <w:sz w:val="36"/>
        <w:szCs w:val="28"/>
        <w:vertAlign w:val="baseline"/>
      </w:rPr>
    </w:lvl>
    <w:lvl w:ilvl="1">
      <w:start w:val="1"/>
      <w:numFmt w:val="decimal"/>
      <w:pStyle w:val="Heading2"/>
      <w:suff w:val="space"/>
      <w:lvlText w:val="%1.%2"/>
      <w:lvlJc w:val="left"/>
      <w:pPr>
        <w:ind w:left="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3.1.1"/>
      <w:lvlJc w:val="left"/>
      <w:pPr>
        <w:ind w:left="0" w:firstLine="0"/>
      </w:pPr>
      <w:rPr>
        <w:rFonts w:ascii="Calibri" w:hAnsi="Calibri" w:hint="default"/>
        <w:b/>
        <w:i w:val="0"/>
        <w:caps w:val="0"/>
        <w:strike w:val="0"/>
        <w:dstrike w:val="0"/>
        <w:vanish w:val="0"/>
        <w:color w:val="000000" w:themeColor="text1"/>
        <w:spacing w:val="0"/>
        <w:w w:val="100"/>
        <w:kern w:val="0"/>
        <w:sz w:val="20"/>
        <w:szCs w:val="22"/>
        <w:vertAlign w:val="baseline"/>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34">
    <w:nsid w:val="74C446C0"/>
    <w:multiLevelType w:val="multilevel"/>
    <w:tmpl w:val="D87E13D2"/>
    <w:numStyleLink w:val="Style1"/>
  </w:abstractNum>
  <w:abstractNum w:abstractNumId="35">
    <w:nsid w:val="76962626"/>
    <w:multiLevelType w:val="hybridMultilevel"/>
    <w:tmpl w:val="6180D9DC"/>
    <w:lvl w:ilvl="0" w:tplc="811A45FA">
      <w:start w:val="1"/>
      <w:numFmt w:val="decimal"/>
      <w:lvlText w:val="(%1)"/>
      <w:lvlJc w:val="left"/>
      <w:pPr>
        <w:ind w:left="979" w:hanging="360"/>
      </w:pPr>
      <w:rPr>
        <w:rFonts w:ascii="Cambria" w:eastAsia="Cambria" w:hAnsi="Cambria" w:hint="default"/>
        <w:spacing w:val="-1"/>
        <w:sz w:val="22"/>
        <w:szCs w:val="22"/>
      </w:rPr>
    </w:lvl>
    <w:lvl w:ilvl="1" w:tplc="0B529488">
      <w:start w:val="1"/>
      <w:numFmt w:val="bullet"/>
      <w:lvlText w:val="•"/>
      <w:lvlJc w:val="left"/>
      <w:pPr>
        <w:ind w:left="1867" w:hanging="360"/>
      </w:pPr>
      <w:rPr>
        <w:rFonts w:hint="default"/>
      </w:rPr>
    </w:lvl>
    <w:lvl w:ilvl="2" w:tplc="AD3C6E1E">
      <w:start w:val="1"/>
      <w:numFmt w:val="bullet"/>
      <w:lvlText w:val="•"/>
      <w:lvlJc w:val="left"/>
      <w:pPr>
        <w:ind w:left="2755" w:hanging="360"/>
      </w:pPr>
      <w:rPr>
        <w:rFonts w:hint="default"/>
      </w:rPr>
    </w:lvl>
    <w:lvl w:ilvl="3" w:tplc="F11AF544">
      <w:start w:val="1"/>
      <w:numFmt w:val="bullet"/>
      <w:lvlText w:val="•"/>
      <w:lvlJc w:val="left"/>
      <w:pPr>
        <w:ind w:left="3643" w:hanging="360"/>
      </w:pPr>
      <w:rPr>
        <w:rFonts w:hint="default"/>
      </w:rPr>
    </w:lvl>
    <w:lvl w:ilvl="4" w:tplc="D3AA9CE0">
      <w:start w:val="1"/>
      <w:numFmt w:val="bullet"/>
      <w:lvlText w:val="•"/>
      <w:lvlJc w:val="left"/>
      <w:pPr>
        <w:ind w:left="4531" w:hanging="360"/>
      </w:pPr>
      <w:rPr>
        <w:rFonts w:hint="default"/>
      </w:rPr>
    </w:lvl>
    <w:lvl w:ilvl="5" w:tplc="E2743836">
      <w:start w:val="1"/>
      <w:numFmt w:val="bullet"/>
      <w:lvlText w:val="•"/>
      <w:lvlJc w:val="left"/>
      <w:pPr>
        <w:ind w:left="5419" w:hanging="360"/>
      </w:pPr>
      <w:rPr>
        <w:rFonts w:hint="default"/>
      </w:rPr>
    </w:lvl>
    <w:lvl w:ilvl="6" w:tplc="C90EB048">
      <w:start w:val="1"/>
      <w:numFmt w:val="bullet"/>
      <w:lvlText w:val="•"/>
      <w:lvlJc w:val="left"/>
      <w:pPr>
        <w:ind w:left="6307" w:hanging="360"/>
      </w:pPr>
      <w:rPr>
        <w:rFonts w:hint="default"/>
      </w:rPr>
    </w:lvl>
    <w:lvl w:ilvl="7" w:tplc="45BEE8EE">
      <w:start w:val="1"/>
      <w:numFmt w:val="bullet"/>
      <w:lvlText w:val="•"/>
      <w:lvlJc w:val="left"/>
      <w:pPr>
        <w:ind w:left="7195" w:hanging="360"/>
      </w:pPr>
      <w:rPr>
        <w:rFonts w:hint="default"/>
      </w:rPr>
    </w:lvl>
    <w:lvl w:ilvl="8" w:tplc="B6CC3F8E">
      <w:start w:val="1"/>
      <w:numFmt w:val="bullet"/>
      <w:lvlText w:val="•"/>
      <w:lvlJc w:val="left"/>
      <w:pPr>
        <w:ind w:left="8083" w:hanging="360"/>
      </w:pPr>
      <w:rPr>
        <w:rFonts w:hint="default"/>
      </w:rPr>
    </w:lvl>
  </w:abstractNum>
  <w:abstractNum w:abstractNumId="36">
    <w:nsid w:val="7B6C2454"/>
    <w:multiLevelType w:val="multilevel"/>
    <w:tmpl w:val="FAD4265A"/>
    <w:lvl w:ilvl="0">
      <w:start w:val="1"/>
      <w:numFmt w:val="decimal"/>
      <w:lvlText w:val="%1"/>
      <w:lvlJc w:val="left"/>
      <w:pPr>
        <w:ind w:left="260" w:hanging="720"/>
      </w:pPr>
      <w:rPr>
        <w:rFonts w:ascii="Cambria" w:eastAsia="Cambria" w:hAnsi="Cambria" w:hint="default"/>
        <w:b/>
        <w:bCs/>
        <w:color w:val="365F91"/>
        <w:sz w:val="28"/>
        <w:szCs w:val="28"/>
      </w:rPr>
    </w:lvl>
    <w:lvl w:ilvl="1">
      <w:start w:val="1"/>
      <w:numFmt w:val="decimal"/>
      <w:lvlText w:val="%1.%2"/>
      <w:lvlJc w:val="left"/>
      <w:pPr>
        <w:ind w:left="901" w:hanging="721"/>
      </w:pPr>
      <w:rPr>
        <w:rFonts w:ascii="Cambria" w:eastAsia="Cambria" w:hAnsi="Cambria" w:hint="default"/>
        <w:b/>
        <w:bCs/>
        <w:color w:val="4F81BD"/>
        <w:w w:val="99"/>
        <w:sz w:val="26"/>
        <w:szCs w:val="26"/>
      </w:rPr>
    </w:lvl>
    <w:lvl w:ilvl="2">
      <w:start w:val="1"/>
      <w:numFmt w:val="bullet"/>
      <w:lvlText w:val=""/>
      <w:lvlJc w:val="left"/>
      <w:pPr>
        <w:ind w:left="980" w:hanging="361"/>
      </w:pPr>
      <w:rPr>
        <w:rFonts w:ascii="Symbol" w:eastAsia="Symbol" w:hAnsi="Symbol" w:hint="default"/>
        <w:sz w:val="22"/>
        <w:szCs w:val="22"/>
      </w:rPr>
    </w:lvl>
    <w:lvl w:ilvl="3">
      <w:start w:val="1"/>
      <w:numFmt w:val="bullet"/>
      <w:lvlText w:val="•"/>
      <w:lvlJc w:val="left"/>
      <w:pPr>
        <w:ind w:left="980" w:hanging="361"/>
      </w:pPr>
      <w:rPr>
        <w:rFonts w:hint="default"/>
      </w:rPr>
    </w:lvl>
    <w:lvl w:ilvl="4">
      <w:start w:val="1"/>
      <w:numFmt w:val="bullet"/>
      <w:lvlText w:val="•"/>
      <w:lvlJc w:val="left"/>
      <w:pPr>
        <w:ind w:left="1025" w:hanging="361"/>
      </w:pPr>
      <w:rPr>
        <w:rFonts w:hint="default"/>
      </w:rPr>
    </w:lvl>
    <w:lvl w:ilvl="5">
      <w:start w:val="1"/>
      <w:numFmt w:val="bullet"/>
      <w:lvlText w:val="•"/>
      <w:lvlJc w:val="left"/>
      <w:pPr>
        <w:ind w:left="2498" w:hanging="361"/>
      </w:pPr>
      <w:rPr>
        <w:rFonts w:hint="default"/>
      </w:rPr>
    </w:lvl>
    <w:lvl w:ilvl="6">
      <w:start w:val="1"/>
      <w:numFmt w:val="bullet"/>
      <w:lvlText w:val="•"/>
      <w:lvlJc w:val="left"/>
      <w:pPr>
        <w:ind w:left="3970" w:hanging="361"/>
      </w:pPr>
      <w:rPr>
        <w:rFonts w:hint="default"/>
      </w:rPr>
    </w:lvl>
    <w:lvl w:ilvl="7">
      <w:start w:val="1"/>
      <w:numFmt w:val="bullet"/>
      <w:lvlText w:val="•"/>
      <w:lvlJc w:val="left"/>
      <w:pPr>
        <w:ind w:left="5442" w:hanging="361"/>
      </w:pPr>
      <w:rPr>
        <w:rFonts w:hint="default"/>
      </w:rPr>
    </w:lvl>
    <w:lvl w:ilvl="8">
      <w:start w:val="1"/>
      <w:numFmt w:val="bullet"/>
      <w:lvlText w:val="•"/>
      <w:lvlJc w:val="left"/>
      <w:pPr>
        <w:ind w:left="6915" w:hanging="361"/>
      </w:pPr>
      <w:rPr>
        <w:rFonts w:hint="default"/>
      </w:rPr>
    </w:lvl>
  </w:abstractNum>
  <w:abstractNum w:abstractNumId="37">
    <w:nsid w:val="7BC51591"/>
    <w:multiLevelType w:val="multilevel"/>
    <w:tmpl w:val="5A4A604A"/>
    <w:lvl w:ilvl="0">
      <w:start w:val="1"/>
      <w:numFmt w:val="decimal"/>
      <w:suff w:val="space"/>
      <w:lvlText w:val="%1"/>
      <w:lvlJc w:val="left"/>
      <w:pPr>
        <w:ind w:left="0" w:firstLine="0"/>
      </w:pPr>
      <w:rPr>
        <w:rFonts w:ascii="Calibri" w:hAnsi="Calibri" w:hint="default"/>
        <w:b/>
        <w:bCs/>
        <w:i w:val="0"/>
        <w:color w:val="365F91"/>
        <w:sz w:val="36"/>
        <w:szCs w:val="28"/>
      </w:rPr>
    </w:lvl>
    <w:lvl w:ilvl="1">
      <w:start w:val="1"/>
      <w:numFmt w:val="decimal"/>
      <w:suff w:val="space"/>
      <w:lvlText w:val="%1.%2"/>
      <w:lvlJc w:val="left"/>
      <w:pPr>
        <w:ind w:left="0" w:firstLine="0"/>
      </w:pPr>
      <w:rPr>
        <w:rFonts w:ascii="Calibri" w:hAnsi="Calibri" w:hint="default"/>
        <w:b/>
        <w:bCs/>
        <w:i w:val="0"/>
        <w:color w:val="auto"/>
        <w:w w:val="99"/>
        <w:sz w:val="24"/>
        <w:szCs w:val="26"/>
      </w:rPr>
    </w:lvl>
    <w:lvl w:ilvl="2">
      <w:start w:val="1"/>
      <w:numFmt w:val="decimal"/>
      <w:suff w:val="space"/>
      <w:lvlText w:val="%3.1.1"/>
      <w:lvlJc w:val="left"/>
      <w:pPr>
        <w:ind w:left="0" w:firstLine="0"/>
      </w:pPr>
      <w:rPr>
        <w:rFonts w:ascii="Calibri" w:hAnsi="Calibri" w:hint="default"/>
        <w:b/>
        <w:i w:val="0"/>
        <w:sz w:val="24"/>
        <w:szCs w:val="22"/>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num w:numId="1">
    <w:abstractNumId w:val="10"/>
  </w:num>
  <w:num w:numId="2">
    <w:abstractNumId w:val="15"/>
  </w:num>
  <w:num w:numId="3">
    <w:abstractNumId w:val="2"/>
  </w:num>
  <w:num w:numId="4">
    <w:abstractNumId w:val="13"/>
  </w:num>
  <w:num w:numId="5">
    <w:abstractNumId w:val="26"/>
  </w:num>
  <w:num w:numId="6">
    <w:abstractNumId w:val="17"/>
  </w:num>
  <w:num w:numId="7">
    <w:abstractNumId w:val="22"/>
  </w:num>
  <w:num w:numId="8">
    <w:abstractNumId w:val="4"/>
  </w:num>
  <w:num w:numId="9">
    <w:abstractNumId w:val="35"/>
  </w:num>
  <w:num w:numId="10">
    <w:abstractNumId w:val="27"/>
  </w:num>
  <w:num w:numId="11">
    <w:abstractNumId w:val="20"/>
  </w:num>
  <w:num w:numId="12">
    <w:abstractNumId w:val="19"/>
  </w:num>
  <w:num w:numId="13">
    <w:abstractNumId w:val="14"/>
  </w:num>
  <w:num w:numId="14">
    <w:abstractNumId w:val="5"/>
  </w:num>
  <w:num w:numId="15">
    <w:abstractNumId w:val="7"/>
  </w:num>
  <w:num w:numId="16">
    <w:abstractNumId w:val="25"/>
  </w:num>
  <w:num w:numId="17">
    <w:abstractNumId w:val="12"/>
  </w:num>
  <w:num w:numId="18">
    <w:abstractNumId w:val="21"/>
  </w:num>
  <w:num w:numId="19">
    <w:abstractNumId w:val="1"/>
  </w:num>
  <w:num w:numId="20">
    <w:abstractNumId w:val="36"/>
  </w:num>
  <w:num w:numId="21">
    <w:abstractNumId w:val="31"/>
  </w:num>
  <w:num w:numId="22">
    <w:abstractNumId w:val="32"/>
  </w:num>
  <w:num w:numId="23">
    <w:abstractNumId w:val="29"/>
  </w:num>
  <w:num w:numId="24">
    <w:abstractNumId w:val="6"/>
  </w:num>
  <w:num w:numId="25">
    <w:abstractNumId w:val="11"/>
  </w:num>
  <w:num w:numId="26">
    <w:abstractNumId w:val="23"/>
  </w:num>
  <w:num w:numId="27">
    <w:abstractNumId w:val="30"/>
  </w:num>
  <w:num w:numId="28">
    <w:abstractNumId w:val="24"/>
  </w:num>
  <w:num w:numId="29">
    <w:abstractNumId w:val="8"/>
  </w:num>
  <w:num w:numId="30">
    <w:abstractNumId w:val="28"/>
  </w:num>
  <w:num w:numId="31">
    <w:abstractNumId w:val="9"/>
  </w:num>
  <w:num w:numId="32">
    <w:abstractNumId w:val="34"/>
  </w:num>
  <w:num w:numId="33">
    <w:abstractNumId w:val="37"/>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33"/>
  </w:num>
  <w:num w:numId="37">
    <w:abstractNumId w:val="3"/>
  </w:num>
  <w:num w:numId="38">
    <w:abstractNumId w:val="16"/>
  </w:num>
  <w:num w:numId="39">
    <w:abstractNumId w:val="0"/>
  </w:num>
  <w:num w:numId="40">
    <w:abstractNumId w:val="33"/>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F55"/>
    <w:rsid w:val="00003AB2"/>
    <w:rsid w:val="000277A9"/>
    <w:rsid w:val="00027A40"/>
    <w:rsid w:val="00031C06"/>
    <w:rsid w:val="00033FCC"/>
    <w:rsid w:val="00044078"/>
    <w:rsid w:val="000505C8"/>
    <w:rsid w:val="000526AF"/>
    <w:rsid w:val="000648CD"/>
    <w:rsid w:val="00065FE9"/>
    <w:rsid w:val="00067EFF"/>
    <w:rsid w:val="0008176F"/>
    <w:rsid w:val="0008276E"/>
    <w:rsid w:val="0009110B"/>
    <w:rsid w:val="00095D4C"/>
    <w:rsid w:val="000A26A9"/>
    <w:rsid w:val="000A79B2"/>
    <w:rsid w:val="000B094A"/>
    <w:rsid w:val="000B1EE8"/>
    <w:rsid w:val="000B2DAF"/>
    <w:rsid w:val="000B7E62"/>
    <w:rsid w:val="000C41E8"/>
    <w:rsid w:val="000C62B9"/>
    <w:rsid w:val="000D06D2"/>
    <w:rsid w:val="000D0888"/>
    <w:rsid w:val="000D225C"/>
    <w:rsid w:val="000D2C75"/>
    <w:rsid w:val="000D3471"/>
    <w:rsid w:val="000D74E5"/>
    <w:rsid w:val="000E4687"/>
    <w:rsid w:val="000E74EA"/>
    <w:rsid w:val="000F2023"/>
    <w:rsid w:val="000F4776"/>
    <w:rsid w:val="000F7C88"/>
    <w:rsid w:val="00101AEB"/>
    <w:rsid w:val="00102ED0"/>
    <w:rsid w:val="00103F0E"/>
    <w:rsid w:val="00110F61"/>
    <w:rsid w:val="00115D36"/>
    <w:rsid w:val="001258F7"/>
    <w:rsid w:val="00125FD0"/>
    <w:rsid w:val="00126229"/>
    <w:rsid w:val="00132217"/>
    <w:rsid w:val="00136514"/>
    <w:rsid w:val="00143296"/>
    <w:rsid w:val="00143CD4"/>
    <w:rsid w:val="00152ABE"/>
    <w:rsid w:val="00153361"/>
    <w:rsid w:val="00154390"/>
    <w:rsid w:val="00160474"/>
    <w:rsid w:val="0016108D"/>
    <w:rsid w:val="001619A4"/>
    <w:rsid w:val="001674F7"/>
    <w:rsid w:val="00177330"/>
    <w:rsid w:val="00187D2D"/>
    <w:rsid w:val="00193479"/>
    <w:rsid w:val="001A71B9"/>
    <w:rsid w:val="001B5C5A"/>
    <w:rsid w:val="001B674B"/>
    <w:rsid w:val="001B7BD2"/>
    <w:rsid w:val="001E1355"/>
    <w:rsid w:val="001E1AC1"/>
    <w:rsid w:val="001E25BD"/>
    <w:rsid w:val="001E2DB2"/>
    <w:rsid w:val="001E4BD3"/>
    <w:rsid w:val="001E5BBE"/>
    <w:rsid w:val="001E6A15"/>
    <w:rsid w:val="00200198"/>
    <w:rsid w:val="002004FE"/>
    <w:rsid w:val="00203144"/>
    <w:rsid w:val="002105C0"/>
    <w:rsid w:val="0022014C"/>
    <w:rsid w:val="0023389B"/>
    <w:rsid w:val="002347A2"/>
    <w:rsid w:val="0025035D"/>
    <w:rsid w:val="00253629"/>
    <w:rsid w:val="0025576A"/>
    <w:rsid w:val="00257D7C"/>
    <w:rsid w:val="00274D10"/>
    <w:rsid w:val="00276CF4"/>
    <w:rsid w:val="00277ADB"/>
    <w:rsid w:val="00280417"/>
    <w:rsid w:val="0028075D"/>
    <w:rsid w:val="0028446F"/>
    <w:rsid w:val="00287455"/>
    <w:rsid w:val="0029439B"/>
    <w:rsid w:val="002955E7"/>
    <w:rsid w:val="00297060"/>
    <w:rsid w:val="002A0D00"/>
    <w:rsid w:val="002A28D7"/>
    <w:rsid w:val="002A2E4E"/>
    <w:rsid w:val="002A40C6"/>
    <w:rsid w:val="002B0007"/>
    <w:rsid w:val="002B031F"/>
    <w:rsid w:val="002B0AD7"/>
    <w:rsid w:val="002B419C"/>
    <w:rsid w:val="002B465C"/>
    <w:rsid w:val="002B46FD"/>
    <w:rsid w:val="002B5DC1"/>
    <w:rsid w:val="002B699D"/>
    <w:rsid w:val="002C0936"/>
    <w:rsid w:val="002C46BB"/>
    <w:rsid w:val="002C720B"/>
    <w:rsid w:val="002C7A0B"/>
    <w:rsid w:val="002D4CBA"/>
    <w:rsid w:val="002E2070"/>
    <w:rsid w:val="002E7B77"/>
    <w:rsid w:val="002F150D"/>
    <w:rsid w:val="002F52F9"/>
    <w:rsid w:val="002F7050"/>
    <w:rsid w:val="00301EEE"/>
    <w:rsid w:val="00305409"/>
    <w:rsid w:val="00307A17"/>
    <w:rsid w:val="00313359"/>
    <w:rsid w:val="003150F5"/>
    <w:rsid w:val="0031553F"/>
    <w:rsid w:val="003162A0"/>
    <w:rsid w:val="00327001"/>
    <w:rsid w:val="00333FC4"/>
    <w:rsid w:val="003341E8"/>
    <w:rsid w:val="00340B94"/>
    <w:rsid w:val="00341F2C"/>
    <w:rsid w:val="00346BD2"/>
    <w:rsid w:val="00347040"/>
    <w:rsid w:val="0035080C"/>
    <w:rsid w:val="00357AB0"/>
    <w:rsid w:val="00357E33"/>
    <w:rsid w:val="00366F25"/>
    <w:rsid w:val="0037153B"/>
    <w:rsid w:val="00380E5D"/>
    <w:rsid w:val="00385382"/>
    <w:rsid w:val="003A05EA"/>
    <w:rsid w:val="003A1EA6"/>
    <w:rsid w:val="003B275A"/>
    <w:rsid w:val="003B321B"/>
    <w:rsid w:val="003B3A77"/>
    <w:rsid w:val="003B3CB6"/>
    <w:rsid w:val="003B590E"/>
    <w:rsid w:val="003C33CC"/>
    <w:rsid w:val="003C4128"/>
    <w:rsid w:val="003C6468"/>
    <w:rsid w:val="003D0F10"/>
    <w:rsid w:val="003D797B"/>
    <w:rsid w:val="003E64EA"/>
    <w:rsid w:val="003F0D92"/>
    <w:rsid w:val="0040198C"/>
    <w:rsid w:val="0040728E"/>
    <w:rsid w:val="0041681F"/>
    <w:rsid w:val="0041791C"/>
    <w:rsid w:val="00423446"/>
    <w:rsid w:val="00425708"/>
    <w:rsid w:val="0042744E"/>
    <w:rsid w:val="00427D71"/>
    <w:rsid w:val="00431776"/>
    <w:rsid w:val="004344B1"/>
    <w:rsid w:val="00436AF6"/>
    <w:rsid w:val="00442FC9"/>
    <w:rsid w:val="004441AA"/>
    <w:rsid w:val="00451929"/>
    <w:rsid w:val="00453DF0"/>
    <w:rsid w:val="0045418E"/>
    <w:rsid w:val="00466F20"/>
    <w:rsid w:val="004670F6"/>
    <w:rsid w:val="00474043"/>
    <w:rsid w:val="0047665C"/>
    <w:rsid w:val="0048023B"/>
    <w:rsid w:val="004843BC"/>
    <w:rsid w:val="00486E7E"/>
    <w:rsid w:val="00490DCD"/>
    <w:rsid w:val="004A1B09"/>
    <w:rsid w:val="004B0FEC"/>
    <w:rsid w:val="004B2FB6"/>
    <w:rsid w:val="004C14FD"/>
    <w:rsid w:val="004D5917"/>
    <w:rsid w:val="004E1581"/>
    <w:rsid w:val="004F060B"/>
    <w:rsid w:val="004F425F"/>
    <w:rsid w:val="004F75C8"/>
    <w:rsid w:val="00502851"/>
    <w:rsid w:val="00514D36"/>
    <w:rsid w:val="0052086E"/>
    <w:rsid w:val="00524091"/>
    <w:rsid w:val="00532D83"/>
    <w:rsid w:val="0053503E"/>
    <w:rsid w:val="00535320"/>
    <w:rsid w:val="005361FF"/>
    <w:rsid w:val="00540152"/>
    <w:rsid w:val="00543CFE"/>
    <w:rsid w:val="00544088"/>
    <w:rsid w:val="00544C43"/>
    <w:rsid w:val="00545010"/>
    <w:rsid w:val="00546738"/>
    <w:rsid w:val="00547321"/>
    <w:rsid w:val="00551190"/>
    <w:rsid w:val="00554AFB"/>
    <w:rsid w:val="00564024"/>
    <w:rsid w:val="005645EB"/>
    <w:rsid w:val="00571DAD"/>
    <w:rsid w:val="00572533"/>
    <w:rsid w:val="00572C03"/>
    <w:rsid w:val="00576B77"/>
    <w:rsid w:val="0058001F"/>
    <w:rsid w:val="005829F8"/>
    <w:rsid w:val="00586ED2"/>
    <w:rsid w:val="005A55B3"/>
    <w:rsid w:val="005A719B"/>
    <w:rsid w:val="005B06CD"/>
    <w:rsid w:val="005B4D7B"/>
    <w:rsid w:val="005B79E8"/>
    <w:rsid w:val="005C24B6"/>
    <w:rsid w:val="005C4375"/>
    <w:rsid w:val="005C68F3"/>
    <w:rsid w:val="005C7C60"/>
    <w:rsid w:val="005D504A"/>
    <w:rsid w:val="005E60CA"/>
    <w:rsid w:val="005F7B96"/>
    <w:rsid w:val="00601D9A"/>
    <w:rsid w:val="00605DDB"/>
    <w:rsid w:val="0061233F"/>
    <w:rsid w:val="0061381B"/>
    <w:rsid w:val="006143A5"/>
    <w:rsid w:val="00614999"/>
    <w:rsid w:val="00614B52"/>
    <w:rsid w:val="00615049"/>
    <w:rsid w:val="006173E9"/>
    <w:rsid w:val="00625E4C"/>
    <w:rsid w:val="00627BA7"/>
    <w:rsid w:val="006400A6"/>
    <w:rsid w:val="00642AD8"/>
    <w:rsid w:val="00647AE4"/>
    <w:rsid w:val="0066126F"/>
    <w:rsid w:val="00671555"/>
    <w:rsid w:val="00675BD1"/>
    <w:rsid w:val="00682DC2"/>
    <w:rsid w:val="006836E8"/>
    <w:rsid w:val="0068520E"/>
    <w:rsid w:val="00691E12"/>
    <w:rsid w:val="00692DED"/>
    <w:rsid w:val="006954F2"/>
    <w:rsid w:val="00696794"/>
    <w:rsid w:val="0069700C"/>
    <w:rsid w:val="006A1922"/>
    <w:rsid w:val="006B2776"/>
    <w:rsid w:val="006B54CE"/>
    <w:rsid w:val="006B5579"/>
    <w:rsid w:val="006B6B0E"/>
    <w:rsid w:val="006C0809"/>
    <w:rsid w:val="006C5D06"/>
    <w:rsid w:val="006C67F6"/>
    <w:rsid w:val="006D0297"/>
    <w:rsid w:val="006E5C4D"/>
    <w:rsid w:val="006F37AC"/>
    <w:rsid w:val="006F6D5A"/>
    <w:rsid w:val="006F6DB4"/>
    <w:rsid w:val="00704778"/>
    <w:rsid w:val="00707644"/>
    <w:rsid w:val="007322EE"/>
    <w:rsid w:val="0073254E"/>
    <w:rsid w:val="00746B16"/>
    <w:rsid w:val="00754E17"/>
    <w:rsid w:val="00755D0B"/>
    <w:rsid w:val="0076493F"/>
    <w:rsid w:val="007700CD"/>
    <w:rsid w:val="007721E8"/>
    <w:rsid w:val="00783E70"/>
    <w:rsid w:val="00784F54"/>
    <w:rsid w:val="00786D52"/>
    <w:rsid w:val="00787816"/>
    <w:rsid w:val="00790191"/>
    <w:rsid w:val="007902E1"/>
    <w:rsid w:val="00792877"/>
    <w:rsid w:val="00795789"/>
    <w:rsid w:val="007A49E3"/>
    <w:rsid w:val="007A51E4"/>
    <w:rsid w:val="007A65D6"/>
    <w:rsid w:val="007B556D"/>
    <w:rsid w:val="007B6A5B"/>
    <w:rsid w:val="007B713A"/>
    <w:rsid w:val="007C3465"/>
    <w:rsid w:val="007C545E"/>
    <w:rsid w:val="007C67C4"/>
    <w:rsid w:val="007C69C6"/>
    <w:rsid w:val="007D58C3"/>
    <w:rsid w:val="007D701D"/>
    <w:rsid w:val="007E0309"/>
    <w:rsid w:val="007E1484"/>
    <w:rsid w:val="007F1AD7"/>
    <w:rsid w:val="007F4D3E"/>
    <w:rsid w:val="007F5FD7"/>
    <w:rsid w:val="008060BC"/>
    <w:rsid w:val="00811AB6"/>
    <w:rsid w:val="00811ADF"/>
    <w:rsid w:val="00812CDB"/>
    <w:rsid w:val="00814B27"/>
    <w:rsid w:val="008245E3"/>
    <w:rsid w:val="00824C9B"/>
    <w:rsid w:val="00830DE0"/>
    <w:rsid w:val="00831D75"/>
    <w:rsid w:val="0083513B"/>
    <w:rsid w:val="0083735B"/>
    <w:rsid w:val="0084201C"/>
    <w:rsid w:val="00846D39"/>
    <w:rsid w:val="00852695"/>
    <w:rsid w:val="00852DBC"/>
    <w:rsid w:val="00856DE3"/>
    <w:rsid w:val="00857713"/>
    <w:rsid w:val="00861C55"/>
    <w:rsid w:val="00863A79"/>
    <w:rsid w:val="00865B5D"/>
    <w:rsid w:val="00866754"/>
    <w:rsid w:val="00867C75"/>
    <w:rsid w:val="0087508A"/>
    <w:rsid w:val="0088296C"/>
    <w:rsid w:val="00882B83"/>
    <w:rsid w:val="0088362C"/>
    <w:rsid w:val="00885134"/>
    <w:rsid w:val="00885F30"/>
    <w:rsid w:val="00887FF4"/>
    <w:rsid w:val="00892FB3"/>
    <w:rsid w:val="00894400"/>
    <w:rsid w:val="00896CA9"/>
    <w:rsid w:val="00897710"/>
    <w:rsid w:val="008A1417"/>
    <w:rsid w:val="008A2470"/>
    <w:rsid w:val="008A5171"/>
    <w:rsid w:val="008C4788"/>
    <w:rsid w:val="008D005A"/>
    <w:rsid w:val="008D3EE7"/>
    <w:rsid w:val="008D676C"/>
    <w:rsid w:val="008E0956"/>
    <w:rsid w:val="008E0FE0"/>
    <w:rsid w:val="008E25DE"/>
    <w:rsid w:val="008E31D7"/>
    <w:rsid w:val="008E6EEA"/>
    <w:rsid w:val="008E7DD2"/>
    <w:rsid w:val="008F7AB3"/>
    <w:rsid w:val="00901921"/>
    <w:rsid w:val="00901BF0"/>
    <w:rsid w:val="00906397"/>
    <w:rsid w:val="009141E9"/>
    <w:rsid w:val="009150A2"/>
    <w:rsid w:val="0091657D"/>
    <w:rsid w:val="009270C3"/>
    <w:rsid w:val="009325E7"/>
    <w:rsid w:val="009353A5"/>
    <w:rsid w:val="0093580E"/>
    <w:rsid w:val="00936117"/>
    <w:rsid w:val="00942C8E"/>
    <w:rsid w:val="009452D9"/>
    <w:rsid w:val="00947913"/>
    <w:rsid w:val="00950A8B"/>
    <w:rsid w:val="00954934"/>
    <w:rsid w:val="00960310"/>
    <w:rsid w:val="00960F60"/>
    <w:rsid w:val="00962F22"/>
    <w:rsid w:val="009675FE"/>
    <w:rsid w:val="00970421"/>
    <w:rsid w:val="00971359"/>
    <w:rsid w:val="009802FD"/>
    <w:rsid w:val="00990BE3"/>
    <w:rsid w:val="009A00F9"/>
    <w:rsid w:val="009A07DA"/>
    <w:rsid w:val="009A6EF9"/>
    <w:rsid w:val="009B17BD"/>
    <w:rsid w:val="009C23C3"/>
    <w:rsid w:val="009C47BE"/>
    <w:rsid w:val="009C6D9A"/>
    <w:rsid w:val="009C785A"/>
    <w:rsid w:val="009D34C7"/>
    <w:rsid w:val="009D4A2A"/>
    <w:rsid w:val="009F3AD2"/>
    <w:rsid w:val="00A02900"/>
    <w:rsid w:val="00A06AE4"/>
    <w:rsid w:val="00A12ACE"/>
    <w:rsid w:val="00A17771"/>
    <w:rsid w:val="00A17B5E"/>
    <w:rsid w:val="00A240B6"/>
    <w:rsid w:val="00A30096"/>
    <w:rsid w:val="00A31409"/>
    <w:rsid w:val="00A33934"/>
    <w:rsid w:val="00A344F5"/>
    <w:rsid w:val="00A364F6"/>
    <w:rsid w:val="00A37959"/>
    <w:rsid w:val="00A5356C"/>
    <w:rsid w:val="00A553C0"/>
    <w:rsid w:val="00A57828"/>
    <w:rsid w:val="00A57EE4"/>
    <w:rsid w:val="00A6195B"/>
    <w:rsid w:val="00A641F4"/>
    <w:rsid w:val="00A72E40"/>
    <w:rsid w:val="00A74C01"/>
    <w:rsid w:val="00A75918"/>
    <w:rsid w:val="00A82ACC"/>
    <w:rsid w:val="00A8466F"/>
    <w:rsid w:val="00A84AFA"/>
    <w:rsid w:val="00AA12AA"/>
    <w:rsid w:val="00AA166C"/>
    <w:rsid w:val="00AA1F7D"/>
    <w:rsid w:val="00AA5060"/>
    <w:rsid w:val="00AA580D"/>
    <w:rsid w:val="00AB1B14"/>
    <w:rsid w:val="00AB710E"/>
    <w:rsid w:val="00AC04AE"/>
    <w:rsid w:val="00AC68B7"/>
    <w:rsid w:val="00AC737D"/>
    <w:rsid w:val="00AD701A"/>
    <w:rsid w:val="00AE344E"/>
    <w:rsid w:val="00AE7AAC"/>
    <w:rsid w:val="00AF05F7"/>
    <w:rsid w:val="00AF0D78"/>
    <w:rsid w:val="00AF104C"/>
    <w:rsid w:val="00AF1527"/>
    <w:rsid w:val="00AF2138"/>
    <w:rsid w:val="00AF7483"/>
    <w:rsid w:val="00B01290"/>
    <w:rsid w:val="00B02B09"/>
    <w:rsid w:val="00B10FF3"/>
    <w:rsid w:val="00B13C2E"/>
    <w:rsid w:val="00B156E6"/>
    <w:rsid w:val="00B22640"/>
    <w:rsid w:val="00B32ACB"/>
    <w:rsid w:val="00B3779C"/>
    <w:rsid w:val="00B4508E"/>
    <w:rsid w:val="00B46981"/>
    <w:rsid w:val="00B47DF5"/>
    <w:rsid w:val="00B53651"/>
    <w:rsid w:val="00B57A81"/>
    <w:rsid w:val="00B63393"/>
    <w:rsid w:val="00B72D86"/>
    <w:rsid w:val="00B75C1B"/>
    <w:rsid w:val="00B76780"/>
    <w:rsid w:val="00B770AA"/>
    <w:rsid w:val="00B77BB7"/>
    <w:rsid w:val="00B83879"/>
    <w:rsid w:val="00B87F6F"/>
    <w:rsid w:val="00B9099F"/>
    <w:rsid w:val="00B93280"/>
    <w:rsid w:val="00BA590C"/>
    <w:rsid w:val="00BB4503"/>
    <w:rsid w:val="00BC0F55"/>
    <w:rsid w:val="00BC2300"/>
    <w:rsid w:val="00BC5809"/>
    <w:rsid w:val="00BC74A7"/>
    <w:rsid w:val="00BE5DEE"/>
    <w:rsid w:val="00BF7144"/>
    <w:rsid w:val="00C025CD"/>
    <w:rsid w:val="00C059B4"/>
    <w:rsid w:val="00C05AB5"/>
    <w:rsid w:val="00C05BEA"/>
    <w:rsid w:val="00C06C49"/>
    <w:rsid w:val="00C13FA7"/>
    <w:rsid w:val="00C22240"/>
    <w:rsid w:val="00C22359"/>
    <w:rsid w:val="00C23BF8"/>
    <w:rsid w:val="00C26C5E"/>
    <w:rsid w:val="00C35773"/>
    <w:rsid w:val="00C472C3"/>
    <w:rsid w:val="00C5050F"/>
    <w:rsid w:val="00C51D88"/>
    <w:rsid w:val="00C520FF"/>
    <w:rsid w:val="00C532FF"/>
    <w:rsid w:val="00C61D1E"/>
    <w:rsid w:val="00C64D51"/>
    <w:rsid w:val="00C656A2"/>
    <w:rsid w:val="00C71428"/>
    <w:rsid w:val="00C72C38"/>
    <w:rsid w:val="00C73040"/>
    <w:rsid w:val="00C7680C"/>
    <w:rsid w:val="00C8236D"/>
    <w:rsid w:val="00C8426E"/>
    <w:rsid w:val="00C8699E"/>
    <w:rsid w:val="00C90C26"/>
    <w:rsid w:val="00C91DDE"/>
    <w:rsid w:val="00CA1D64"/>
    <w:rsid w:val="00CA459C"/>
    <w:rsid w:val="00CB2BBB"/>
    <w:rsid w:val="00CB3FB1"/>
    <w:rsid w:val="00CB572F"/>
    <w:rsid w:val="00CC27F8"/>
    <w:rsid w:val="00CC45C7"/>
    <w:rsid w:val="00CD664C"/>
    <w:rsid w:val="00CE03B7"/>
    <w:rsid w:val="00CE5B78"/>
    <w:rsid w:val="00CE6DC8"/>
    <w:rsid w:val="00CF0EAF"/>
    <w:rsid w:val="00CF48BE"/>
    <w:rsid w:val="00D04C99"/>
    <w:rsid w:val="00D124A2"/>
    <w:rsid w:val="00D25ACD"/>
    <w:rsid w:val="00D25FA1"/>
    <w:rsid w:val="00D3003A"/>
    <w:rsid w:val="00D3136F"/>
    <w:rsid w:val="00D31BF2"/>
    <w:rsid w:val="00D35CA6"/>
    <w:rsid w:val="00D35D3C"/>
    <w:rsid w:val="00D36252"/>
    <w:rsid w:val="00D4298F"/>
    <w:rsid w:val="00D47F15"/>
    <w:rsid w:val="00D53D54"/>
    <w:rsid w:val="00D5642B"/>
    <w:rsid w:val="00D60C2A"/>
    <w:rsid w:val="00D66185"/>
    <w:rsid w:val="00D6639D"/>
    <w:rsid w:val="00D66CCB"/>
    <w:rsid w:val="00D67918"/>
    <w:rsid w:val="00D80095"/>
    <w:rsid w:val="00D81BA4"/>
    <w:rsid w:val="00D85F27"/>
    <w:rsid w:val="00D9008E"/>
    <w:rsid w:val="00D93DDB"/>
    <w:rsid w:val="00D946F7"/>
    <w:rsid w:val="00D95E17"/>
    <w:rsid w:val="00D9631A"/>
    <w:rsid w:val="00DA02F6"/>
    <w:rsid w:val="00DA09FF"/>
    <w:rsid w:val="00DA56C6"/>
    <w:rsid w:val="00DA64AC"/>
    <w:rsid w:val="00DB0876"/>
    <w:rsid w:val="00DB4A89"/>
    <w:rsid w:val="00DB4B7E"/>
    <w:rsid w:val="00DB5CE1"/>
    <w:rsid w:val="00DC0C94"/>
    <w:rsid w:val="00DC0D20"/>
    <w:rsid w:val="00DC122C"/>
    <w:rsid w:val="00DC2DF3"/>
    <w:rsid w:val="00DC3635"/>
    <w:rsid w:val="00DC7960"/>
    <w:rsid w:val="00DD0BDD"/>
    <w:rsid w:val="00DD17F2"/>
    <w:rsid w:val="00DD5A26"/>
    <w:rsid w:val="00DD63D1"/>
    <w:rsid w:val="00DF5F61"/>
    <w:rsid w:val="00E00040"/>
    <w:rsid w:val="00E009FF"/>
    <w:rsid w:val="00E03CA1"/>
    <w:rsid w:val="00E1174F"/>
    <w:rsid w:val="00E11F29"/>
    <w:rsid w:val="00E12AAC"/>
    <w:rsid w:val="00E130A3"/>
    <w:rsid w:val="00E26F3E"/>
    <w:rsid w:val="00E30C92"/>
    <w:rsid w:val="00E32F81"/>
    <w:rsid w:val="00E42DBD"/>
    <w:rsid w:val="00E44BB8"/>
    <w:rsid w:val="00E46519"/>
    <w:rsid w:val="00E522F5"/>
    <w:rsid w:val="00E5319B"/>
    <w:rsid w:val="00E564D6"/>
    <w:rsid w:val="00E72B9A"/>
    <w:rsid w:val="00E72C9F"/>
    <w:rsid w:val="00E7587A"/>
    <w:rsid w:val="00E75C9F"/>
    <w:rsid w:val="00E8010B"/>
    <w:rsid w:val="00E808A5"/>
    <w:rsid w:val="00E80BE6"/>
    <w:rsid w:val="00E849F1"/>
    <w:rsid w:val="00E85990"/>
    <w:rsid w:val="00E87AEF"/>
    <w:rsid w:val="00E9017D"/>
    <w:rsid w:val="00E92FF3"/>
    <w:rsid w:val="00E95571"/>
    <w:rsid w:val="00EA1D99"/>
    <w:rsid w:val="00EB2A2C"/>
    <w:rsid w:val="00EB3742"/>
    <w:rsid w:val="00ED3E30"/>
    <w:rsid w:val="00ED3F7F"/>
    <w:rsid w:val="00ED48A9"/>
    <w:rsid w:val="00ED5B93"/>
    <w:rsid w:val="00ED660C"/>
    <w:rsid w:val="00EE0FEF"/>
    <w:rsid w:val="00EE7C7B"/>
    <w:rsid w:val="00EF45FA"/>
    <w:rsid w:val="00EF4C99"/>
    <w:rsid w:val="00F00B1E"/>
    <w:rsid w:val="00F010E8"/>
    <w:rsid w:val="00F03BB0"/>
    <w:rsid w:val="00F12F77"/>
    <w:rsid w:val="00F138BA"/>
    <w:rsid w:val="00F13A42"/>
    <w:rsid w:val="00F172D2"/>
    <w:rsid w:val="00F17D1C"/>
    <w:rsid w:val="00F21807"/>
    <w:rsid w:val="00F21F83"/>
    <w:rsid w:val="00F22B25"/>
    <w:rsid w:val="00F22F6D"/>
    <w:rsid w:val="00F247E8"/>
    <w:rsid w:val="00F27921"/>
    <w:rsid w:val="00F37768"/>
    <w:rsid w:val="00F4309E"/>
    <w:rsid w:val="00F4473B"/>
    <w:rsid w:val="00F46043"/>
    <w:rsid w:val="00F50C0C"/>
    <w:rsid w:val="00F66486"/>
    <w:rsid w:val="00F66FAD"/>
    <w:rsid w:val="00F66FC3"/>
    <w:rsid w:val="00F67240"/>
    <w:rsid w:val="00F76A10"/>
    <w:rsid w:val="00F76E87"/>
    <w:rsid w:val="00F82559"/>
    <w:rsid w:val="00FA720E"/>
    <w:rsid w:val="00FC6F43"/>
    <w:rsid w:val="00FD51EB"/>
    <w:rsid w:val="00FD54A5"/>
    <w:rsid w:val="00FE360E"/>
    <w:rsid w:val="00FE3833"/>
    <w:rsid w:val="00FE685F"/>
    <w:rsid w:val="00FE731D"/>
    <w:rsid w:val="00FF471A"/>
    <w:rsid w:val="00FF526C"/>
    <w:rsid w:val="00FF7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4201C"/>
    <w:pPr>
      <w:widowControl/>
      <w:spacing w:after="240" w:line="260" w:lineRule="atLeast"/>
    </w:pPr>
    <w:rPr>
      <w:rFonts w:ascii="Cambria" w:hAnsi="Cambria"/>
    </w:rPr>
  </w:style>
  <w:style w:type="paragraph" w:styleId="Heading1">
    <w:name w:val="heading 1"/>
    <w:basedOn w:val="Normal"/>
    <w:uiPriority w:val="1"/>
    <w:qFormat/>
    <w:rsid w:val="0083513B"/>
    <w:pPr>
      <w:keepNext/>
      <w:keepLines/>
      <w:numPr>
        <w:numId w:val="36"/>
      </w:numPr>
      <w:spacing w:line="240" w:lineRule="auto"/>
      <w:outlineLvl w:val="0"/>
    </w:pPr>
    <w:rPr>
      <w:rFonts w:ascii="Calibri" w:eastAsia="Cambria" w:hAnsi="Calibri"/>
      <w:b/>
      <w:bCs/>
      <w:color w:val="4F81BD" w:themeColor="accent1"/>
      <w:sz w:val="36"/>
      <w:szCs w:val="28"/>
    </w:rPr>
  </w:style>
  <w:style w:type="paragraph" w:styleId="Heading2">
    <w:name w:val="heading 2"/>
    <w:basedOn w:val="Normal"/>
    <w:link w:val="Heading2Char"/>
    <w:uiPriority w:val="1"/>
    <w:qFormat/>
    <w:rsid w:val="00CB3FB1"/>
    <w:pPr>
      <w:keepNext/>
      <w:keepLines/>
      <w:numPr>
        <w:ilvl w:val="1"/>
        <w:numId w:val="36"/>
      </w:numPr>
      <w:spacing w:after="120"/>
      <w:outlineLvl w:val="1"/>
    </w:pPr>
    <w:rPr>
      <w:rFonts w:ascii="Calibri" w:eastAsia="Cambria" w:hAnsi="Calibri"/>
      <w:b/>
      <w:bCs/>
      <w:color w:val="000000" w:themeColor="text1"/>
      <w:sz w:val="24"/>
      <w:szCs w:val="26"/>
    </w:rPr>
  </w:style>
  <w:style w:type="paragraph" w:styleId="Heading3">
    <w:name w:val="heading 3"/>
    <w:basedOn w:val="Normal"/>
    <w:uiPriority w:val="1"/>
    <w:qFormat/>
    <w:rsid w:val="00E42DBD"/>
    <w:pPr>
      <w:keepNext/>
      <w:keepLines/>
      <w:numPr>
        <w:ilvl w:val="2"/>
        <w:numId w:val="36"/>
      </w:numPr>
      <w:spacing w:after="120" w:line="240" w:lineRule="auto"/>
      <w:outlineLvl w:val="2"/>
    </w:pPr>
    <w:rPr>
      <w:rFonts w:ascii="Calibri" w:eastAsia="Cambria" w:hAnsi="Calibri"/>
      <w:b/>
      <w:bCs/>
      <w:sz w:val="20"/>
    </w:rPr>
  </w:style>
  <w:style w:type="paragraph" w:styleId="Heading4">
    <w:name w:val="heading 4"/>
    <w:basedOn w:val="Normal"/>
    <w:uiPriority w:val="1"/>
    <w:qFormat/>
    <w:pPr>
      <w:ind w:left="259"/>
      <w:outlineLvl w:val="3"/>
    </w:pPr>
    <w:rPr>
      <w:rFonts w:eastAsia="Cambria"/>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307A17"/>
    <w:pPr>
      <w:spacing w:after="120" w:line="240" w:lineRule="auto"/>
    </w:pPr>
    <w:rPr>
      <w:rFonts w:ascii="Calibri" w:eastAsia="Cambria" w:hAnsi="Calibri"/>
    </w:rPr>
  </w:style>
  <w:style w:type="paragraph" w:styleId="TOC2">
    <w:name w:val="toc 2"/>
    <w:basedOn w:val="Normal"/>
    <w:uiPriority w:val="1"/>
    <w:qFormat/>
    <w:pPr>
      <w:spacing w:before="138"/>
      <w:ind w:left="1141" w:hanging="660"/>
    </w:pPr>
    <w:rPr>
      <w:rFonts w:eastAsia="Cambria"/>
    </w:rPr>
  </w:style>
  <w:style w:type="paragraph" w:styleId="TOC3">
    <w:name w:val="toc 3"/>
    <w:basedOn w:val="Normal"/>
    <w:uiPriority w:val="1"/>
    <w:qFormat/>
    <w:pPr>
      <w:spacing w:before="138"/>
      <w:ind w:left="1579" w:hanging="880"/>
    </w:pPr>
    <w:rPr>
      <w:rFonts w:eastAsia="Cambria"/>
    </w:rPr>
  </w:style>
  <w:style w:type="paragraph" w:styleId="TOC4">
    <w:name w:val="toc 4"/>
    <w:basedOn w:val="Normal"/>
    <w:uiPriority w:val="1"/>
    <w:qFormat/>
    <w:pPr>
      <w:spacing w:before="138"/>
      <w:ind w:left="1581" w:hanging="881"/>
    </w:pPr>
    <w:rPr>
      <w:rFonts w:eastAsia="Cambria"/>
    </w:rPr>
  </w:style>
  <w:style w:type="paragraph" w:styleId="BodyText">
    <w:name w:val="Body Text"/>
    <w:basedOn w:val="Normal"/>
    <w:uiPriority w:val="1"/>
    <w:qFormat/>
    <w:pPr>
      <w:ind w:left="259"/>
    </w:pPr>
    <w:rPr>
      <w:rFonts w:eastAsia="Cambria"/>
    </w:rPr>
  </w:style>
  <w:style w:type="paragraph" w:styleId="ListParagraph">
    <w:name w:val="List Paragraph"/>
    <w:basedOn w:val="Normal"/>
    <w:uiPriority w:val="34"/>
    <w:qFormat/>
    <w:rsid w:val="00954934"/>
    <w:pPr>
      <w:numPr>
        <w:numId w:val="30"/>
      </w:numPr>
      <w:spacing w:after="120"/>
      <w:ind w:left="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8023B"/>
    <w:rPr>
      <w:rFonts w:ascii="Tahoma" w:hAnsi="Tahoma" w:cs="Tahoma"/>
      <w:sz w:val="16"/>
      <w:szCs w:val="16"/>
    </w:rPr>
  </w:style>
  <w:style w:type="character" w:customStyle="1" w:styleId="BalloonTextChar">
    <w:name w:val="Balloon Text Char"/>
    <w:basedOn w:val="DefaultParagraphFont"/>
    <w:link w:val="BalloonText"/>
    <w:uiPriority w:val="99"/>
    <w:semiHidden/>
    <w:rsid w:val="0048023B"/>
    <w:rPr>
      <w:rFonts w:ascii="Tahoma" w:hAnsi="Tahoma" w:cs="Tahoma"/>
      <w:sz w:val="16"/>
      <w:szCs w:val="16"/>
    </w:rPr>
  </w:style>
  <w:style w:type="character" w:styleId="Hyperlink">
    <w:name w:val="Hyperlink"/>
    <w:basedOn w:val="DefaultParagraphFont"/>
    <w:uiPriority w:val="99"/>
    <w:unhideWhenUsed/>
    <w:rsid w:val="001B674B"/>
    <w:rPr>
      <w:color w:val="000000"/>
      <w:u w:val="none"/>
    </w:rPr>
  </w:style>
  <w:style w:type="character" w:styleId="FootnoteReference">
    <w:name w:val="footnote reference"/>
    <w:aliases w:val="o,Style 17,fr,Style 13,Style 12,Style 15,Style 9,o1,fr1,o2,fr2,o3,fr3,Style 18,(NECG) Footnote Reference,Style 20,Style 7,Style 8,Style 19,Style 32,o + Times New Roman,Style 16,StyFootnote Reference,Style 11,Style 28,Styl"/>
    <w:basedOn w:val="DefaultParagraphFont"/>
    <w:uiPriority w:val="99"/>
    <w:qFormat/>
    <w:rsid w:val="001B674B"/>
    <w:rPr>
      <w:rFonts w:ascii="Cambria" w:hAnsi="Cambria" w:cs="Times New Roman"/>
      <w:dstrike w:val="0"/>
      <w:sz w:val="20"/>
      <w:vertAlign w:val="superscript"/>
    </w:rPr>
  </w:style>
  <w:style w:type="paragraph" w:customStyle="1" w:styleId="FoonoteText">
    <w:name w:val="Foonote Text"/>
    <w:basedOn w:val="Normal"/>
    <w:link w:val="FoonoteTextChar"/>
    <w:qFormat/>
    <w:rsid w:val="003341E8"/>
    <w:pPr>
      <w:adjustRightInd w:val="0"/>
      <w:spacing w:after="80" w:line="240" w:lineRule="auto"/>
      <w:textAlignment w:val="baseline"/>
    </w:pPr>
    <w:rPr>
      <w:rFonts w:cs="Times New Roman"/>
      <w:color w:val="000000" w:themeColor="text1"/>
      <w:sz w:val="18"/>
      <w:szCs w:val="20"/>
    </w:rPr>
  </w:style>
  <w:style w:type="character" w:customStyle="1" w:styleId="FoonoteTextChar">
    <w:name w:val="Foonote Text Char"/>
    <w:basedOn w:val="DefaultParagraphFont"/>
    <w:link w:val="FoonoteText"/>
    <w:locked/>
    <w:rsid w:val="003341E8"/>
    <w:rPr>
      <w:rFonts w:ascii="Cambria" w:hAnsi="Cambria" w:cs="Times New Roman"/>
      <w:color w:val="000000" w:themeColor="text1"/>
      <w:sz w:val="18"/>
      <w:szCs w:val="20"/>
    </w:rPr>
  </w:style>
  <w:style w:type="character" w:styleId="CommentReference">
    <w:name w:val="annotation reference"/>
    <w:basedOn w:val="DefaultParagraphFont"/>
    <w:uiPriority w:val="99"/>
    <w:semiHidden/>
    <w:unhideWhenUsed/>
    <w:rsid w:val="00C26C5E"/>
    <w:rPr>
      <w:sz w:val="16"/>
      <w:szCs w:val="16"/>
    </w:rPr>
  </w:style>
  <w:style w:type="paragraph" w:styleId="CommentText">
    <w:name w:val="annotation text"/>
    <w:basedOn w:val="Normal"/>
    <w:link w:val="CommentTextChar"/>
    <w:uiPriority w:val="99"/>
    <w:semiHidden/>
    <w:unhideWhenUsed/>
    <w:rsid w:val="00C26C5E"/>
    <w:rPr>
      <w:sz w:val="20"/>
      <w:szCs w:val="20"/>
    </w:rPr>
  </w:style>
  <w:style w:type="character" w:customStyle="1" w:styleId="CommentTextChar">
    <w:name w:val="Comment Text Char"/>
    <w:basedOn w:val="DefaultParagraphFont"/>
    <w:link w:val="CommentText"/>
    <w:uiPriority w:val="99"/>
    <w:semiHidden/>
    <w:rsid w:val="00C26C5E"/>
    <w:rPr>
      <w:sz w:val="20"/>
      <w:szCs w:val="20"/>
    </w:rPr>
  </w:style>
  <w:style w:type="paragraph" w:styleId="CommentSubject">
    <w:name w:val="annotation subject"/>
    <w:basedOn w:val="CommentText"/>
    <w:next w:val="CommentText"/>
    <w:link w:val="CommentSubjectChar"/>
    <w:uiPriority w:val="99"/>
    <w:semiHidden/>
    <w:unhideWhenUsed/>
    <w:rsid w:val="00C26C5E"/>
    <w:rPr>
      <w:b/>
      <w:bCs/>
    </w:rPr>
  </w:style>
  <w:style w:type="character" w:customStyle="1" w:styleId="CommentSubjectChar">
    <w:name w:val="Comment Subject Char"/>
    <w:basedOn w:val="CommentTextChar"/>
    <w:link w:val="CommentSubject"/>
    <w:uiPriority w:val="99"/>
    <w:semiHidden/>
    <w:rsid w:val="00C26C5E"/>
    <w:rPr>
      <w:b/>
      <w:bCs/>
      <w:sz w:val="20"/>
      <w:szCs w:val="20"/>
    </w:rPr>
  </w:style>
  <w:style w:type="paragraph" w:styleId="Header">
    <w:name w:val="header"/>
    <w:basedOn w:val="Normal"/>
    <w:link w:val="HeaderChar"/>
    <w:uiPriority w:val="99"/>
    <w:unhideWhenUsed/>
    <w:rsid w:val="00DA64AC"/>
    <w:pPr>
      <w:tabs>
        <w:tab w:val="center" w:pos="4680"/>
        <w:tab w:val="right" w:pos="9360"/>
      </w:tabs>
    </w:pPr>
  </w:style>
  <w:style w:type="character" w:customStyle="1" w:styleId="HeaderChar">
    <w:name w:val="Header Char"/>
    <w:basedOn w:val="DefaultParagraphFont"/>
    <w:link w:val="Header"/>
    <w:uiPriority w:val="99"/>
    <w:rsid w:val="00DA64AC"/>
  </w:style>
  <w:style w:type="paragraph" w:styleId="Footer">
    <w:name w:val="footer"/>
    <w:basedOn w:val="Normal"/>
    <w:link w:val="FooterChar"/>
    <w:uiPriority w:val="99"/>
    <w:unhideWhenUsed/>
    <w:rsid w:val="00DA64AC"/>
    <w:pPr>
      <w:tabs>
        <w:tab w:val="center" w:pos="4680"/>
        <w:tab w:val="right" w:pos="9360"/>
      </w:tabs>
    </w:pPr>
  </w:style>
  <w:style w:type="character" w:customStyle="1" w:styleId="FooterChar">
    <w:name w:val="Footer Char"/>
    <w:basedOn w:val="DefaultParagraphFont"/>
    <w:link w:val="Footer"/>
    <w:uiPriority w:val="99"/>
    <w:rsid w:val="00DA64AC"/>
  </w:style>
  <w:style w:type="character" w:customStyle="1" w:styleId="Heading4Char">
    <w:name w:val="Heading 4 Char"/>
    <w:basedOn w:val="DefaultParagraphFont"/>
    <w:rsid w:val="00E7587A"/>
    <w:rPr>
      <w:rFonts w:ascii="Calibri" w:hAnsi="Calibri"/>
      <w:i/>
      <w:iCs/>
      <w:color w:val="000000" w:themeColor="text1"/>
      <w:sz w:val="20"/>
      <w:szCs w:val="20"/>
    </w:rPr>
  </w:style>
  <w:style w:type="paragraph" w:styleId="FootnoteText">
    <w:name w:val="footnote text"/>
    <w:aliases w:val="ft,Footnote Text Char Char,fn Char Char,Footnote Text Char1 Char1 Char,Footnote Text Char Char Char1 Char,Footnote Text Char1 Char Char Char,Footnote Text Char Char Char Char Char,Footnote Text Char Char1,fn,ft Char1,f"/>
    <w:basedOn w:val="Normal"/>
    <w:link w:val="FootnoteTextChar"/>
    <w:uiPriority w:val="99"/>
    <w:unhideWhenUsed/>
    <w:qFormat/>
    <w:rsid w:val="00894400"/>
    <w:pPr>
      <w:spacing w:after="80" w:line="240" w:lineRule="auto"/>
    </w:pPr>
    <w:rPr>
      <w:color w:val="000000" w:themeColor="text1"/>
      <w:sz w:val="18"/>
      <w:szCs w:val="20"/>
    </w:rPr>
  </w:style>
  <w:style w:type="character" w:customStyle="1" w:styleId="FootnoteTextChar">
    <w:name w:val="Footnote Text Char"/>
    <w:aliases w:val="ft Char,Footnote Text Char Char Char,fn Char Char Char,Footnote Text Char1 Char1 Char Char,Footnote Text Char Char Char1 Char Char,Footnote Text Char1 Char Char Char Char,Footnote Text Char Char Char Char Char Char1,fn Char,f Char"/>
    <w:basedOn w:val="DefaultParagraphFont"/>
    <w:link w:val="FootnoteText"/>
    <w:uiPriority w:val="99"/>
    <w:rsid w:val="00894400"/>
    <w:rPr>
      <w:rFonts w:ascii="Cambria" w:hAnsi="Cambria"/>
      <w:color w:val="000000" w:themeColor="text1"/>
      <w:sz w:val="18"/>
      <w:szCs w:val="20"/>
    </w:rPr>
  </w:style>
  <w:style w:type="character" w:customStyle="1" w:styleId="FootnoteTextChar1">
    <w:name w:val="Footnote Text Char1"/>
    <w:aliases w:val="ft Char3,Footnote Text Char Char Char2,fn Char Char Char2,Footnote Text Char1 Char1 Char Char2,Footnote Text Char Char Char1 Char Char2,Footnote Text Char1 Char Char Char Char2,Footnote Text Char Char Char Char Char Char,fn Char1"/>
    <w:basedOn w:val="DefaultParagraphFont"/>
    <w:uiPriority w:val="99"/>
    <w:rsid w:val="00E03CA1"/>
    <w:rPr>
      <w:rFonts w:ascii="Cambria" w:hAnsi="Cambria"/>
      <w:sz w:val="18"/>
    </w:rPr>
  </w:style>
  <w:style w:type="paragraph" w:styleId="Revision">
    <w:name w:val="Revision"/>
    <w:hidden/>
    <w:uiPriority w:val="99"/>
    <w:semiHidden/>
    <w:rsid w:val="0061381B"/>
    <w:pPr>
      <w:widowControl/>
    </w:pPr>
  </w:style>
  <w:style w:type="table" w:styleId="TableGrid">
    <w:name w:val="Table Grid"/>
    <w:basedOn w:val="TableNormal"/>
    <w:uiPriority w:val="59"/>
    <w:rsid w:val="00852D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CB3FB1"/>
    <w:rPr>
      <w:rFonts w:ascii="Calibri" w:eastAsia="Cambria" w:hAnsi="Calibri"/>
      <w:b/>
      <w:bCs/>
      <w:color w:val="000000" w:themeColor="text1"/>
      <w:sz w:val="24"/>
      <w:szCs w:val="26"/>
    </w:rPr>
  </w:style>
  <w:style w:type="numbering" w:customStyle="1" w:styleId="Style1">
    <w:name w:val="Style1"/>
    <w:uiPriority w:val="99"/>
    <w:rsid w:val="002C46BB"/>
    <w:pPr>
      <w:numPr>
        <w:numId w:val="31"/>
      </w:numPr>
    </w:pPr>
  </w:style>
  <w:style w:type="paragraph" w:styleId="Caption">
    <w:name w:val="caption"/>
    <w:basedOn w:val="Normal"/>
    <w:next w:val="Normal"/>
    <w:uiPriority w:val="35"/>
    <w:unhideWhenUsed/>
    <w:qFormat/>
    <w:rsid w:val="00543CFE"/>
    <w:pPr>
      <w:spacing w:line="240" w:lineRule="auto"/>
    </w:pPr>
    <w:rPr>
      <w:rFonts w:ascii="Calibri" w:hAnsi="Calibri"/>
      <w:b/>
      <w:bCs/>
      <w:color w:val="000000" w:themeColor="text1"/>
      <w:sz w:val="20"/>
      <w:szCs w:val="18"/>
    </w:rPr>
  </w:style>
  <w:style w:type="paragraph" w:customStyle="1" w:styleId="Default">
    <w:name w:val="Default"/>
    <w:rsid w:val="00AA166C"/>
    <w:pPr>
      <w:widowControl/>
      <w:autoSpaceDE w:val="0"/>
      <w:autoSpaceDN w:val="0"/>
      <w:adjustRightInd w:val="0"/>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970421"/>
    <w:rPr>
      <w:color w:val="800080" w:themeColor="followedHyperlink"/>
      <w:u w:val="single"/>
    </w:rPr>
  </w:style>
  <w:style w:type="paragraph" w:styleId="TableofFigures">
    <w:name w:val="table of figures"/>
    <w:basedOn w:val="Normal"/>
    <w:next w:val="Normal"/>
    <w:uiPriority w:val="99"/>
    <w:unhideWhenUsed/>
    <w:rsid w:val="00A84AFA"/>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4201C"/>
    <w:pPr>
      <w:widowControl/>
      <w:spacing w:after="240" w:line="260" w:lineRule="atLeast"/>
    </w:pPr>
    <w:rPr>
      <w:rFonts w:ascii="Cambria" w:hAnsi="Cambria"/>
    </w:rPr>
  </w:style>
  <w:style w:type="paragraph" w:styleId="Heading1">
    <w:name w:val="heading 1"/>
    <w:basedOn w:val="Normal"/>
    <w:uiPriority w:val="1"/>
    <w:qFormat/>
    <w:rsid w:val="0083513B"/>
    <w:pPr>
      <w:keepNext/>
      <w:keepLines/>
      <w:numPr>
        <w:numId w:val="36"/>
      </w:numPr>
      <w:spacing w:line="240" w:lineRule="auto"/>
      <w:outlineLvl w:val="0"/>
    </w:pPr>
    <w:rPr>
      <w:rFonts w:ascii="Calibri" w:eastAsia="Cambria" w:hAnsi="Calibri"/>
      <w:b/>
      <w:bCs/>
      <w:color w:val="4F81BD" w:themeColor="accent1"/>
      <w:sz w:val="36"/>
      <w:szCs w:val="28"/>
    </w:rPr>
  </w:style>
  <w:style w:type="paragraph" w:styleId="Heading2">
    <w:name w:val="heading 2"/>
    <w:basedOn w:val="Normal"/>
    <w:link w:val="Heading2Char"/>
    <w:uiPriority w:val="1"/>
    <w:qFormat/>
    <w:rsid w:val="00CB3FB1"/>
    <w:pPr>
      <w:keepNext/>
      <w:keepLines/>
      <w:numPr>
        <w:ilvl w:val="1"/>
        <w:numId w:val="36"/>
      </w:numPr>
      <w:spacing w:after="120"/>
      <w:outlineLvl w:val="1"/>
    </w:pPr>
    <w:rPr>
      <w:rFonts w:ascii="Calibri" w:eastAsia="Cambria" w:hAnsi="Calibri"/>
      <w:b/>
      <w:bCs/>
      <w:color w:val="000000" w:themeColor="text1"/>
      <w:sz w:val="24"/>
      <w:szCs w:val="26"/>
    </w:rPr>
  </w:style>
  <w:style w:type="paragraph" w:styleId="Heading3">
    <w:name w:val="heading 3"/>
    <w:basedOn w:val="Normal"/>
    <w:uiPriority w:val="1"/>
    <w:qFormat/>
    <w:rsid w:val="00E42DBD"/>
    <w:pPr>
      <w:keepNext/>
      <w:keepLines/>
      <w:numPr>
        <w:ilvl w:val="2"/>
        <w:numId w:val="36"/>
      </w:numPr>
      <w:spacing w:after="120" w:line="240" w:lineRule="auto"/>
      <w:outlineLvl w:val="2"/>
    </w:pPr>
    <w:rPr>
      <w:rFonts w:ascii="Calibri" w:eastAsia="Cambria" w:hAnsi="Calibri"/>
      <w:b/>
      <w:bCs/>
      <w:sz w:val="20"/>
    </w:rPr>
  </w:style>
  <w:style w:type="paragraph" w:styleId="Heading4">
    <w:name w:val="heading 4"/>
    <w:basedOn w:val="Normal"/>
    <w:uiPriority w:val="1"/>
    <w:qFormat/>
    <w:pPr>
      <w:ind w:left="259"/>
      <w:outlineLvl w:val="3"/>
    </w:pPr>
    <w:rPr>
      <w:rFonts w:eastAsia="Cambria"/>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307A17"/>
    <w:pPr>
      <w:spacing w:after="120" w:line="240" w:lineRule="auto"/>
    </w:pPr>
    <w:rPr>
      <w:rFonts w:ascii="Calibri" w:eastAsia="Cambria" w:hAnsi="Calibri"/>
    </w:rPr>
  </w:style>
  <w:style w:type="paragraph" w:styleId="TOC2">
    <w:name w:val="toc 2"/>
    <w:basedOn w:val="Normal"/>
    <w:uiPriority w:val="1"/>
    <w:qFormat/>
    <w:pPr>
      <w:spacing w:before="138"/>
      <w:ind w:left="1141" w:hanging="660"/>
    </w:pPr>
    <w:rPr>
      <w:rFonts w:eastAsia="Cambria"/>
    </w:rPr>
  </w:style>
  <w:style w:type="paragraph" w:styleId="TOC3">
    <w:name w:val="toc 3"/>
    <w:basedOn w:val="Normal"/>
    <w:uiPriority w:val="1"/>
    <w:qFormat/>
    <w:pPr>
      <w:spacing w:before="138"/>
      <w:ind w:left="1579" w:hanging="880"/>
    </w:pPr>
    <w:rPr>
      <w:rFonts w:eastAsia="Cambria"/>
    </w:rPr>
  </w:style>
  <w:style w:type="paragraph" w:styleId="TOC4">
    <w:name w:val="toc 4"/>
    <w:basedOn w:val="Normal"/>
    <w:uiPriority w:val="1"/>
    <w:qFormat/>
    <w:pPr>
      <w:spacing w:before="138"/>
      <w:ind w:left="1581" w:hanging="881"/>
    </w:pPr>
    <w:rPr>
      <w:rFonts w:eastAsia="Cambria"/>
    </w:rPr>
  </w:style>
  <w:style w:type="paragraph" w:styleId="BodyText">
    <w:name w:val="Body Text"/>
    <w:basedOn w:val="Normal"/>
    <w:uiPriority w:val="1"/>
    <w:qFormat/>
    <w:pPr>
      <w:ind w:left="259"/>
    </w:pPr>
    <w:rPr>
      <w:rFonts w:eastAsia="Cambria"/>
    </w:rPr>
  </w:style>
  <w:style w:type="paragraph" w:styleId="ListParagraph">
    <w:name w:val="List Paragraph"/>
    <w:basedOn w:val="Normal"/>
    <w:uiPriority w:val="34"/>
    <w:qFormat/>
    <w:rsid w:val="00954934"/>
    <w:pPr>
      <w:numPr>
        <w:numId w:val="30"/>
      </w:numPr>
      <w:spacing w:after="120"/>
      <w:ind w:left="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8023B"/>
    <w:rPr>
      <w:rFonts w:ascii="Tahoma" w:hAnsi="Tahoma" w:cs="Tahoma"/>
      <w:sz w:val="16"/>
      <w:szCs w:val="16"/>
    </w:rPr>
  </w:style>
  <w:style w:type="character" w:customStyle="1" w:styleId="BalloonTextChar">
    <w:name w:val="Balloon Text Char"/>
    <w:basedOn w:val="DefaultParagraphFont"/>
    <w:link w:val="BalloonText"/>
    <w:uiPriority w:val="99"/>
    <w:semiHidden/>
    <w:rsid w:val="0048023B"/>
    <w:rPr>
      <w:rFonts w:ascii="Tahoma" w:hAnsi="Tahoma" w:cs="Tahoma"/>
      <w:sz w:val="16"/>
      <w:szCs w:val="16"/>
    </w:rPr>
  </w:style>
  <w:style w:type="character" w:styleId="Hyperlink">
    <w:name w:val="Hyperlink"/>
    <w:basedOn w:val="DefaultParagraphFont"/>
    <w:uiPriority w:val="99"/>
    <w:unhideWhenUsed/>
    <w:rsid w:val="001B674B"/>
    <w:rPr>
      <w:color w:val="000000"/>
      <w:u w:val="none"/>
    </w:rPr>
  </w:style>
  <w:style w:type="character" w:styleId="FootnoteReference">
    <w:name w:val="footnote reference"/>
    <w:aliases w:val="o,Style 17,fr,Style 13,Style 12,Style 15,Style 9,o1,fr1,o2,fr2,o3,fr3,Style 18,(NECG) Footnote Reference,Style 20,Style 7,Style 8,Style 19,Style 32,o + Times New Roman,Style 16,StyFootnote Reference,Style 11,Style 28,Styl"/>
    <w:basedOn w:val="DefaultParagraphFont"/>
    <w:uiPriority w:val="99"/>
    <w:qFormat/>
    <w:rsid w:val="001B674B"/>
    <w:rPr>
      <w:rFonts w:ascii="Cambria" w:hAnsi="Cambria" w:cs="Times New Roman"/>
      <w:dstrike w:val="0"/>
      <w:sz w:val="20"/>
      <w:vertAlign w:val="superscript"/>
    </w:rPr>
  </w:style>
  <w:style w:type="paragraph" w:customStyle="1" w:styleId="FoonoteText">
    <w:name w:val="Foonote Text"/>
    <w:basedOn w:val="Normal"/>
    <w:link w:val="FoonoteTextChar"/>
    <w:qFormat/>
    <w:rsid w:val="003341E8"/>
    <w:pPr>
      <w:adjustRightInd w:val="0"/>
      <w:spacing w:after="80" w:line="240" w:lineRule="auto"/>
      <w:textAlignment w:val="baseline"/>
    </w:pPr>
    <w:rPr>
      <w:rFonts w:cs="Times New Roman"/>
      <w:color w:val="000000" w:themeColor="text1"/>
      <w:sz w:val="18"/>
      <w:szCs w:val="20"/>
    </w:rPr>
  </w:style>
  <w:style w:type="character" w:customStyle="1" w:styleId="FoonoteTextChar">
    <w:name w:val="Foonote Text Char"/>
    <w:basedOn w:val="DefaultParagraphFont"/>
    <w:link w:val="FoonoteText"/>
    <w:locked/>
    <w:rsid w:val="003341E8"/>
    <w:rPr>
      <w:rFonts w:ascii="Cambria" w:hAnsi="Cambria" w:cs="Times New Roman"/>
      <w:color w:val="000000" w:themeColor="text1"/>
      <w:sz w:val="18"/>
      <w:szCs w:val="20"/>
    </w:rPr>
  </w:style>
  <w:style w:type="character" w:styleId="CommentReference">
    <w:name w:val="annotation reference"/>
    <w:basedOn w:val="DefaultParagraphFont"/>
    <w:uiPriority w:val="99"/>
    <w:semiHidden/>
    <w:unhideWhenUsed/>
    <w:rsid w:val="00C26C5E"/>
    <w:rPr>
      <w:sz w:val="16"/>
      <w:szCs w:val="16"/>
    </w:rPr>
  </w:style>
  <w:style w:type="paragraph" w:styleId="CommentText">
    <w:name w:val="annotation text"/>
    <w:basedOn w:val="Normal"/>
    <w:link w:val="CommentTextChar"/>
    <w:uiPriority w:val="99"/>
    <w:semiHidden/>
    <w:unhideWhenUsed/>
    <w:rsid w:val="00C26C5E"/>
    <w:rPr>
      <w:sz w:val="20"/>
      <w:szCs w:val="20"/>
    </w:rPr>
  </w:style>
  <w:style w:type="character" w:customStyle="1" w:styleId="CommentTextChar">
    <w:name w:val="Comment Text Char"/>
    <w:basedOn w:val="DefaultParagraphFont"/>
    <w:link w:val="CommentText"/>
    <w:uiPriority w:val="99"/>
    <w:semiHidden/>
    <w:rsid w:val="00C26C5E"/>
    <w:rPr>
      <w:sz w:val="20"/>
      <w:szCs w:val="20"/>
    </w:rPr>
  </w:style>
  <w:style w:type="paragraph" w:styleId="CommentSubject">
    <w:name w:val="annotation subject"/>
    <w:basedOn w:val="CommentText"/>
    <w:next w:val="CommentText"/>
    <w:link w:val="CommentSubjectChar"/>
    <w:uiPriority w:val="99"/>
    <w:semiHidden/>
    <w:unhideWhenUsed/>
    <w:rsid w:val="00C26C5E"/>
    <w:rPr>
      <w:b/>
      <w:bCs/>
    </w:rPr>
  </w:style>
  <w:style w:type="character" w:customStyle="1" w:styleId="CommentSubjectChar">
    <w:name w:val="Comment Subject Char"/>
    <w:basedOn w:val="CommentTextChar"/>
    <w:link w:val="CommentSubject"/>
    <w:uiPriority w:val="99"/>
    <w:semiHidden/>
    <w:rsid w:val="00C26C5E"/>
    <w:rPr>
      <w:b/>
      <w:bCs/>
      <w:sz w:val="20"/>
      <w:szCs w:val="20"/>
    </w:rPr>
  </w:style>
  <w:style w:type="paragraph" w:styleId="Header">
    <w:name w:val="header"/>
    <w:basedOn w:val="Normal"/>
    <w:link w:val="HeaderChar"/>
    <w:uiPriority w:val="99"/>
    <w:unhideWhenUsed/>
    <w:rsid w:val="00DA64AC"/>
    <w:pPr>
      <w:tabs>
        <w:tab w:val="center" w:pos="4680"/>
        <w:tab w:val="right" w:pos="9360"/>
      </w:tabs>
    </w:pPr>
  </w:style>
  <w:style w:type="character" w:customStyle="1" w:styleId="HeaderChar">
    <w:name w:val="Header Char"/>
    <w:basedOn w:val="DefaultParagraphFont"/>
    <w:link w:val="Header"/>
    <w:uiPriority w:val="99"/>
    <w:rsid w:val="00DA64AC"/>
  </w:style>
  <w:style w:type="paragraph" w:styleId="Footer">
    <w:name w:val="footer"/>
    <w:basedOn w:val="Normal"/>
    <w:link w:val="FooterChar"/>
    <w:uiPriority w:val="99"/>
    <w:unhideWhenUsed/>
    <w:rsid w:val="00DA64AC"/>
    <w:pPr>
      <w:tabs>
        <w:tab w:val="center" w:pos="4680"/>
        <w:tab w:val="right" w:pos="9360"/>
      </w:tabs>
    </w:pPr>
  </w:style>
  <w:style w:type="character" w:customStyle="1" w:styleId="FooterChar">
    <w:name w:val="Footer Char"/>
    <w:basedOn w:val="DefaultParagraphFont"/>
    <w:link w:val="Footer"/>
    <w:uiPriority w:val="99"/>
    <w:rsid w:val="00DA64AC"/>
  </w:style>
  <w:style w:type="character" w:customStyle="1" w:styleId="Heading4Char">
    <w:name w:val="Heading 4 Char"/>
    <w:basedOn w:val="DefaultParagraphFont"/>
    <w:rsid w:val="00E7587A"/>
    <w:rPr>
      <w:rFonts w:ascii="Calibri" w:hAnsi="Calibri"/>
      <w:i/>
      <w:iCs/>
      <w:color w:val="000000" w:themeColor="text1"/>
      <w:sz w:val="20"/>
      <w:szCs w:val="20"/>
    </w:rPr>
  </w:style>
  <w:style w:type="paragraph" w:styleId="FootnoteText">
    <w:name w:val="footnote text"/>
    <w:aliases w:val="ft,Footnote Text Char Char,fn Char Char,Footnote Text Char1 Char1 Char,Footnote Text Char Char Char1 Char,Footnote Text Char1 Char Char Char,Footnote Text Char Char Char Char Char,Footnote Text Char Char1,fn,ft Char1,f"/>
    <w:basedOn w:val="Normal"/>
    <w:link w:val="FootnoteTextChar"/>
    <w:uiPriority w:val="99"/>
    <w:unhideWhenUsed/>
    <w:qFormat/>
    <w:rsid w:val="00894400"/>
    <w:pPr>
      <w:spacing w:after="80" w:line="240" w:lineRule="auto"/>
    </w:pPr>
    <w:rPr>
      <w:color w:val="000000" w:themeColor="text1"/>
      <w:sz w:val="18"/>
      <w:szCs w:val="20"/>
    </w:rPr>
  </w:style>
  <w:style w:type="character" w:customStyle="1" w:styleId="FootnoteTextChar">
    <w:name w:val="Footnote Text Char"/>
    <w:aliases w:val="ft Char,Footnote Text Char Char Char,fn Char Char Char,Footnote Text Char1 Char1 Char Char,Footnote Text Char Char Char1 Char Char,Footnote Text Char1 Char Char Char Char,Footnote Text Char Char Char Char Char Char1,fn Char,f Char"/>
    <w:basedOn w:val="DefaultParagraphFont"/>
    <w:link w:val="FootnoteText"/>
    <w:uiPriority w:val="99"/>
    <w:rsid w:val="00894400"/>
    <w:rPr>
      <w:rFonts w:ascii="Cambria" w:hAnsi="Cambria"/>
      <w:color w:val="000000" w:themeColor="text1"/>
      <w:sz w:val="18"/>
      <w:szCs w:val="20"/>
    </w:rPr>
  </w:style>
  <w:style w:type="character" w:customStyle="1" w:styleId="FootnoteTextChar1">
    <w:name w:val="Footnote Text Char1"/>
    <w:aliases w:val="ft Char3,Footnote Text Char Char Char2,fn Char Char Char2,Footnote Text Char1 Char1 Char Char2,Footnote Text Char Char Char1 Char Char2,Footnote Text Char1 Char Char Char Char2,Footnote Text Char Char Char Char Char Char,fn Char1"/>
    <w:basedOn w:val="DefaultParagraphFont"/>
    <w:uiPriority w:val="99"/>
    <w:rsid w:val="00E03CA1"/>
    <w:rPr>
      <w:rFonts w:ascii="Cambria" w:hAnsi="Cambria"/>
      <w:sz w:val="18"/>
    </w:rPr>
  </w:style>
  <w:style w:type="paragraph" w:styleId="Revision">
    <w:name w:val="Revision"/>
    <w:hidden/>
    <w:uiPriority w:val="99"/>
    <w:semiHidden/>
    <w:rsid w:val="0061381B"/>
    <w:pPr>
      <w:widowControl/>
    </w:pPr>
  </w:style>
  <w:style w:type="table" w:styleId="TableGrid">
    <w:name w:val="Table Grid"/>
    <w:basedOn w:val="TableNormal"/>
    <w:uiPriority w:val="59"/>
    <w:rsid w:val="00852D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CB3FB1"/>
    <w:rPr>
      <w:rFonts w:ascii="Calibri" w:eastAsia="Cambria" w:hAnsi="Calibri"/>
      <w:b/>
      <w:bCs/>
      <w:color w:val="000000" w:themeColor="text1"/>
      <w:sz w:val="24"/>
      <w:szCs w:val="26"/>
    </w:rPr>
  </w:style>
  <w:style w:type="numbering" w:customStyle="1" w:styleId="Style1">
    <w:name w:val="Style1"/>
    <w:uiPriority w:val="99"/>
    <w:rsid w:val="002C46BB"/>
    <w:pPr>
      <w:numPr>
        <w:numId w:val="31"/>
      </w:numPr>
    </w:pPr>
  </w:style>
  <w:style w:type="paragraph" w:styleId="Caption">
    <w:name w:val="caption"/>
    <w:basedOn w:val="Normal"/>
    <w:next w:val="Normal"/>
    <w:uiPriority w:val="35"/>
    <w:unhideWhenUsed/>
    <w:qFormat/>
    <w:rsid w:val="00543CFE"/>
    <w:pPr>
      <w:spacing w:line="240" w:lineRule="auto"/>
    </w:pPr>
    <w:rPr>
      <w:rFonts w:ascii="Calibri" w:hAnsi="Calibri"/>
      <w:b/>
      <w:bCs/>
      <w:color w:val="000000" w:themeColor="text1"/>
      <w:sz w:val="20"/>
      <w:szCs w:val="18"/>
    </w:rPr>
  </w:style>
  <w:style w:type="paragraph" w:customStyle="1" w:styleId="Default">
    <w:name w:val="Default"/>
    <w:rsid w:val="00AA166C"/>
    <w:pPr>
      <w:widowControl/>
      <w:autoSpaceDE w:val="0"/>
      <w:autoSpaceDN w:val="0"/>
      <w:adjustRightInd w:val="0"/>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970421"/>
    <w:rPr>
      <w:color w:val="800080" w:themeColor="followedHyperlink"/>
      <w:u w:val="single"/>
    </w:rPr>
  </w:style>
  <w:style w:type="paragraph" w:styleId="TableofFigures">
    <w:name w:val="table of figures"/>
    <w:basedOn w:val="Normal"/>
    <w:next w:val="Normal"/>
    <w:uiPriority w:val="99"/>
    <w:unhideWhenUsed/>
    <w:rsid w:val="00A84AFA"/>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08492">
      <w:bodyDiv w:val="1"/>
      <w:marLeft w:val="0"/>
      <w:marRight w:val="0"/>
      <w:marTop w:val="0"/>
      <w:marBottom w:val="0"/>
      <w:divBdr>
        <w:top w:val="none" w:sz="0" w:space="0" w:color="auto"/>
        <w:left w:val="none" w:sz="0" w:space="0" w:color="auto"/>
        <w:bottom w:val="none" w:sz="0" w:space="0" w:color="auto"/>
        <w:right w:val="none" w:sz="0" w:space="0" w:color="auto"/>
      </w:divBdr>
      <w:divsChild>
        <w:div w:id="2005156324">
          <w:marLeft w:val="547"/>
          <w:marRight w:val="0"/>
          <w:marTop w:val="240"/>
          <w:marBottom w:val="0"/>
          <w:divBdr>
            <w:top w:val="none" w:sz="0" w:space="0" w:color="auto"/>
            <w:left w:val="none" w:sz="0" w:space="0" w:color="auto"/>
            <w:bottom w:val="none" w:sz="0" w:space="0" w:color="auto"/>
            <w:right w:val="none" w:sz="0" w:space="0" w:color="auto"/>
          </w:divBdr>
        </w:div>
        <w:div w:id="14311217">
          <w:marLeft w:val="1166"/>
          <w:marRight w:val="0"/>
          <w:marTop w:val="0"/>
          <w:marBottom w:val="0"/>
          <w:divBdr>
            <w:top w:val="none" w:sz="0" w:space="0" w:color="auto"/>
            <w:left w:val="none" w:sz="0" w:space="0" w:color="auto"/>
            <w:bottom w:val="none" w:sz="0" w:space="0" w:color="auto"/>
            <w:right w:val="none" w:sz="0" w:space="0" w:color="auto"/>
          </w:divBdr>
        </w:div>
        <w:div w:id="1697854003">
          <w:marLeft w:val="547"/>
          <w:marRight w:val="0"/>
          <w:marTop w:val="240"/>
          <w:marBottom w:val="0"/>
          <w:divBdr>
            <w:top w:val="none" w:sz="0" w:space="0" w:color="auto"/>
            <w:left w:val="none" w:sz="0" w:space="0" w:color="auto"/>
            <w:bottom w:val="none" w:sz="0" w:space="0" w:color="auto"/>
            <w:right w:val="none" w:sz="0" w:space="0" w:color="auto"/>
          </w:divBdr>
        </w:div>
        <w:div w:id="1750496164">
          <w:marLeft w:val="547"/>
          <w:marRight w:val="0"/>
          <w:marTop w:val="240"/>
          <w:marBottom w:val="0"/>
          <w:divBdr>
            <w:top w:val="none" w:sz="0" w:space="0" w:color="auto"/>
            <w:left w:val="none" w:sz="0" w:space="0" w:color="auto"/>
            <w:bottom w:val="none" w:sz="0" w:space="0" w:color="auto"/>
            <w:right w:val="none" w:sz="0" w:space="0" w:color="auto"/>
          </w:divBdr>
        </w:div>
        <w:div w:id="1455900315">
          <w:marLeft w:val="547"/>
          <w:marRight w:val="0"/>
          <w:marTop w:val="240"/>
          <w:marBottom w:val="0"/>
          <w:divBdr>
            <w:top w:val="none" w:sz="0" w:space="0" w:color="auto"/>
            <w:left w:val="none" w:sz="0" w:space="0" w:color="auto"/>
            <w:bottom w:val="none" w:sz="0" w:space="0" w:color="auto"/>
            <w:right w:val="none" w:sz="0" w:space="0" w:color="auto"/>
          </w:divBdr>
        </w:div>
        <w:div w:id="1677615321">
          <w:marLeft w:val="1166"/>
          <w:marRight w:val="0"/>
          <w:marTop w:val="0"/>
          <w:marBottom w:val="0"/>
          <w:divBdr>
            <w:top w:val="none" w:sz="0" w:space="0" w:color="auto"/>
            <w:left w:val="none" w:sz="0" w:space="0" w:color="auto"/>
            <w:bottom w:val="none" w:sz="0" w:space="0" w:color="auto"/>
            <w:right w:val="none" w:sz="0" w:space="0" w:color="auto"/>
          </w:divBdr>
        </w:div>
      </w:divsChild>
    </w:div>
    <w:div w:id="329064265">
      <w:bodyDiv w:val="1"/>
      <w:marLeft w:val="0"/>
      <w:marRight w:val="0"/>
      <w:marTop w:val="0"/>
      <w:marBottom w:val="0"/>
      <w:divBdr>
        <w:top w:val="none" w:sz="0" w:space="0" w:color="auto"/>
        <w:left w:val="none" w:sz="0" w:space="0" w:color="auto"/>
        <w:bottom w:val="none" w:sz="0" w:space="0" w:color="auto"/>
        <w:right w:val="none" w:sz="0" w:space="0" w:color="auto"/>
      </w:divBdr>
    </w:div>
    <w:div w:id="1143351518">
      <w:bodyDiv w:val="1"/>
      <w:marLeft w:val="0"/>
      <w:marRight w:val="0"/>
      <w:marTop w:val="0"/>
      <w:marBottom w:val="0"/>
      <w:divBdr>
        <w:top w:val="none" w:sz="0" w:space="0" w:color="auto"/>
        <w:left w:val="none" w:sz="0" w:space="0" w:color="auto"/>
        <w:bottom w:val="none" w:sz="0" w:space="0" w:color="auto"/>
        <w:right w:val="none" w:sz="0" w:space="0" w:color="auto"/>
      </w:divBdr>
      <w:divsChild>
        <w:div w:id="1578127235">
          <w:marLeft w:val="547"/>
          <w:marRight w:val="0"/>
          <w:marTop w:val="240"/>
          <w:marBottom w:val="0"/>
          <w:divBdr>
            <w:top w:val="none" w:sz="0" w:space="0" w:color="auto"/>
            <w:left w:val="none" w:sz="0" w:space="0" w:color="auto"/>
            <w:bottom w:val="none" w:sz="0" w:space="0" w:color="auto"/>
            <w:right w:val="none" w:sz="0" w:space="0" w:color="auto"/>
          </w:divBdr>
        </w:div>
        <w:div w:id="137459499">
          <w:marLeft w:val="1166"/>
          <w:marRight w:val="0"/>
          <w:marTop w:val="0"/>
          <w:marBottom w:val="0"/>
          <w:divBdr>
            <w:top w:val="none" w:sz="0" w:space="0" w:color="auto"/>
            <w:left w:val="none" w:sz="0" w:space="0" w:color="auto"/>
            <w:bottom w:val="none" w:sz="0" w:space="0" w:color="auto"/>
            <w:right w:val="none" w:sz="0" w:space="0" w:color="auto"/>
          </w:divBdr>
        </w:div>
        <w:div w:id="233054355">
          <w:marLeft w:val="1800"/>
          <w:marRight w:val="0"/>
          <w:marTop w:val="0"/>
          <w:marBottom w:val="0"/>
          <w:divBdr>
            <w:top w:val="none" w:sz="0" w:space="0" w:color="auto"/>
            <w:left w:val="none" w:sz="0" w:space="0" w:color="auto"/>
            <w:bottom w:val="none" w:sz="0" w:space="0" w:color="auto"/>
            <w:right w:val="none" w:sz="0" w:space="0" w:color="auto"/>
          </w:divBdr>
        </w:div>
        <w:div w:id="1362782620">
          <w:marLeft w:val="1800"/>
          <w:marRight w:val="0"/>
          <w:marTop w:val="0"/>
          <w:marBottom w:val="0"/>
          <w:divBdr>
            <w:top w:val="none" w:sz="0" w:space="0" w:color="auto"/>
            <w:left w:val="none" w:sz="0" w:space="0" w:color="auto"/>
            <w:bottom w:val="none" w:sz="0" w:space="0" w:color="auto"/>
            <w:right w:val="none" w:sz="0" w:space="0" w:color="auto"/>
          </w:divBdr>
        </w:div>
        <w:div w:id="1368530856">
          <w:marLeft w:val="1800"/>
          <w:marRight w:val="0"/>
          <w:marTop w:val="0"/>
          <w:marBottom w:val="0"/>
          <w:divBdr>
            <w:top w:val="none" w:sz="0" w:space="0" w:color="auto"/>
            <w:left w:val="none" w:sz="0" w:space="0" w:color="auto"/>
            <w:bottom w:val="none" w:sz="0" w:space="0" w:color="auto"/>
            <w:right w:val="none" w:sz="0" w:space="0" w:color="auto"/>
          </w:divBdr>
        </w:div>
        <w:div w:id="525219707">
          <w:marLeft w:val="547"/>
          <w:marRight w:val="0"/>
          <w:marTop w:val="240"/>
          <w:marBottom w:val="0"/>
          <w:divBdr>
            <w:top w:val="none" w:sz="0" w:space="0" w:color="auto"/>
            <w:left w:val="none" w:sz="0" w:space="0" w:color="auto"/>
            <w:bottom w:val="none" w:sz="0" w:space="0" w:color="auto"/>
            <w:right w:val="none" w:sz="0" w:space="0" w:color="auto"/>
          </w:divBdr>
        </w:div>
        <w:div w:id="1546334857">
          <w:marLeft w:val="1166"/>
          <w:marRight w:val="0"/>
          <w:marTop w:val="0"/>
          <w:marBottom w:val="0"/>
          <w:divBdr>
            <w:top w:val="none" w:sz="0" w:space="0" w:color="auto"/>
            <w:left w:val="none" w:sz="0" w:space="0" w:color="auto"/>
            <w:bottom w:val="none" w:sz="0" w:space="0" w:color="auto"/>
            <w:right w:val="none" w:sz="0" w:space="0" w:color="auto"/>
          </w:divBdr>
        </w:div>
        <w:div w:id="896162205">
          <w:marLeft w:val="1166"/>
          <w:marRight w:val="0"/>
          <w:marTop w:val="0"/>
          <w:marBottom w:val="0"/>
          <w:divBdr>
            <w:top w:val="none" w:sz="0" w:space="0" w:color="auto"/>
            <w:left w:val="none" w:sz="0" w:space="0" w:color="auto"/>
            <w:bottom w:val="none" w:sz="0" w:space="0" w:color="auto"/>
            <w:right w:val="none" w:sz="0" w:space="0" w:color="auto"/>
          </w:divBdr>
        </w:div>
        <w:div w:id="2092115816">
          <w:marLeft w:val="1800"/>
          <w:marRight w:val="0"/>
          <w:marTop w:val="0"/>
          <w:marBottom w:val="0"/>
          <w:divBdr>
            <w:top w:val="none" w:sz="0" w:space="0" w:color="auto"/>
            <w:left w:val="none" w:sz="0" w:space="0" w:color="auto"/>
            <w:bottom w:val="none" w:sz="0" w:space="0" w:color="auto"/>
            <w:right w:val="none" w:sz="0" w:space="0" w:color="auto"/>
          </w:divBdr>
        </w:div>
        <w:div w:id="1075517241">
          <w:marLeft w:val="547"/>
          <w:marRight w:val="0"/>
          <w:marTop w:val="240"/>
          <w:marBottom w:val="0"/>
          <w:divBdr>
            <w:top w:val="none" w:sz="0" w:space="0" w:color="auto"/>
            <w:left w:val="none" w:sz="0" w:space="0" w:color="auto"/>
            <w:bottom w:val="none" w:sz="0" w:space="0" w:color="auto"/>
            <w:right w:val="none" w:sz="0" w:space="0" w:color="auto"/>
          </w:divBdr>
        </w:div>
        <w:div w:id="987897393">
          <w:marLeft w:val="1166"/>
          <w:marRight w:val="0"/>
          <w:marTop w:val="0"/>
          <w:marBottom w:val="0"/>
          <w:divBdr>
            <w:top w:val="none" w:sz="0" w:space="0" w:color="auto"/>
            <w:left w:val="none" w:sz="0" w:space="0" w:color="auto"/>
            <w:bottom w:val="none" w:sz="0" w:space="0" w:color="auto"/>
            <w:right w:val="none" w:sz="0" w:space="0" w:color="auto"/>
          </w:divBdr>
        </w:div>
      </w:divsChild>
    </w:div>
    <w:div w:id="1445226823">
      <w:bodyDiv w:val="1"/>
      <w:marLeft w:val="0"/>
      <w:marRight w:val="0"/>
      <w:marTop w:val="0"/>
      <w:marBottom w:val="0"/>
      <w:divBdr>
        <w:top w:val="none" w:sz="0" w:space="0" w:color="auto"/>
        <w:left w:val="none" w:sz="0" w:space="0" w:color="auto"/>
        <w:bottom w:val="none" w:sz="0" w:space="0" w:color="auto"/>
        <w:right w:val="none" w:sz="0" w:space="0" w:color="auto"/>
      </w:divBdr>
      <w:divsChild>
        <w:div w:id="611131053">
          <w:marLeft w:val="0"/>
          <w:marRight w:val="0"/>
          <w:marTop w:val="0"/>
          <w:marBottom w:val="0"/>
          <w:divBdr>
            <w:top w:val="none" w:sz="0" w:space="0" w:color="auto"/>
            <w:left w:val="none" w:sz="0" w:space="0" w:color="auto"/>
            <w:bottom w:val="none" w:sz="0" w:space="0" w:color="auto"/>
            <w:right w:val="none" w:sz="0" w:space="0" w:color="auto"/>
          </w:divBdr>
          <w:divsChild>
            <w:div w:id="837884033">
              <w:marLeft w:val="0"/>
              <w:marRight w:val="0"/>
              <w:marTop w:val="0"/>
              <w:marBottom w:val="315"/>
              <w:divBdr>
                <w:top w:val="none" w:sz="0" w:space="0" w:color="auto"/>
                <w:left w:val="none" w:sz="0" w:space="0" w:color="auto"/>
                <w:bottom w:val="none" w:sz="0" w:space="0" w:color="auto"/>
                <w:right w:val="none" w:sz="0" w:space="0" w:color="auto"/>
              </w:divBdr>
              <w:divsChild>
                <w:div w:id="1539472534">
                  <w:marLeft w:val="0"/>
                  <w:marRight w:val="0"/>
                  <w:marTop w:val="0"/>
                  <w:marBottom w:val="0"/>
                  <w:divBdr>
                    <w:top w:val="none" w:sz="0" w:space="0" w:color="auto"/>
                    <w:left w:val="none" w:sz="0" w:space="0" w:color="auto"/>
                    <w:bottom w:val="none" w:sz="0" w:space="0" w:color="auto"/>
                    <w:right w:val="none" w:sz="0" w:space="0" w:color="auto"/>
                  </w:divBdr>
                  <w:divsChild>
                    <w:div w:id="569967075">
                      <w:marLeft w:val="0"/>
                      <w:marRight w:val="0"/>
                      <w:marTop w:val="0"/>
                      <w:marBottom w:val="0"/>
                      <w:divBdr>
                        <w:top w:val="none" w:sz="0" w:space="0" w:color="auto"/>
                        <w:left w:val="none" w:sz="0" w:space="0" w:color="auto"/>
                        <w:bottom w:val="none" w:sz="0" w:space="0" w:color="auto"/>
                        <w:right w:val="none" w:sz="0" w:space="0" w:color="auto"/>
                      </w:divBdr>
                      <w:divsChild>
                        <w:div w:id="1602831005">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www.iso-ne.com/system-planning/transmission-planning/interconnection-request-queue"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3" Type="http://schemas.openxmlformats.org/officeDocument/2006/relationships/hyperlink" Target="http://www.iso-ne.com/committees/comm_wkgrps/othr/ipsac/mtrls/index.html" TargetMode="External"/><Relationship Id="rId18" Type="http://schemas.openxmlformats.org/officeDocument/2006/relationships/hyperlink" Target="http://www.pjm.com/planning/resource-adequacy-planning/load-forecast-dev-process.aspx" TargetMode="External"/><Relationship Id="rId26" Type="http://schemas.openxmlformats.org/officeDocument/2006/relationships/hyperlink" Target="http://www.nyiso.com/public/webdocs/markets_operations/services/planning/Planning_Studies/Economic_Planning_Studies_(CARIS)/CARIS_Final_Reports/2015_CARIS_Report_FINAL.pdf" TargetMode="External"/><Relationship Id="rId39" Type="http://schemas.openxmlformats.org/officeDocument/2006/relationships/hyperlink" Target="http://www.iso-ne.com/static-assets/documents/2015/12/121415_ipsac_interregional_timelines.pdf" TargetMode="External"/><Relationship Id="rId3" Type="http://schemas.openxmlformats.org/officeDocument/2006/relationships/hyperlink" Target="http://www.iso-ne.com/rules_proceds/isone_plan/pp03/pp3_final.pdf" TargetMode="External"/><Relationship Id="rId21" Type="http://schemas.openxmlformats.org/officeDocument/2006/relationships/hyperlink" Target="http://www.pjm.com/committees-and-groups/stakeholder-meetings/stakeholder-groups/ipsac-ny-ne.aspx" TargetMode="External"/><Relationship Id="rId34" Type="http://schemas.openxmlformats.org/officeDocument/2006/relationships/hyperlink" Target="http://www.iso-ne.com/static-assets/documents/2015/11/rsp15_final_110515.docx" TargetMode="External"/><Relationship Id="rId42" Type="http://schemas.openxmlformats.org/officeDocument/2006/relationships/hyperlink" Target="http://www.nerc.com/pa/RAPA/ra/Reliability%20Assessments%20DL/2015LTRA%20-%20Final%20Report.pdf" TargetMode="External"/><Relationship Id="rId47" Type="http://schemas.openxmlformats.org/officeDocument/2006/relationships/hyperlink" Target="http://www.isorto.org/ircreportsandfilings/iso-comments-to-ferc-regarding-coordination-of-interstate-natural-gas-pipelines-scheduling-processes" TargetMode="External"/><Relationship Id="rId50" Type="http://schemas.openxmlformats.org/officeDocument/2006/relationships/hyperlink" Target="https://www.npcc.org/Library/Seasonal%20Assessment/Forms/Public%20List.aspx" TargetMode="External"/><Relationship Id="rId7" Type="http://schemas.openxmlformats.org/officeDocument/2006/relationships/hyperlink" Target="http://www.nyiso.com/public/markets_operations/services/planning/groups/ipsac/index.jsp" TargetMode="External"/><Relationship Id="rId12" Type="http://schemas.openxmlformats.org/officeDocument/2006/relationships/hyperlink" Target="http://www.iso-ne.com/committees/comm_wkgrps/othr/ipsac/mtrls/index.html" TargetMode="External"/><Relationship Id="rId17" Type="http://schemas.openxmlformats.org/officeDocument/2006/relationships/hyperlink" Target="http://pjm.com/documents/reports/rtep-documents.aspx" TargetMode="External"/><Relationship Id="rId25" Type="http://schemas.openxmlformats.org/officeDocument/2006/relationships/hyperlink" Target="http://www.nyiso.com/public/webdocs/markets_operations/documents/Manuals_and_Guides/Manuals/Planning/epp_caris_mnl.pdf" TargetMode="External"/><Relationship Id="rId33" Type="http://schemas.openxmlformats.org/officeDocument/2006/relationships/hyperlink" Target="http://www.iso-ne.com/participate/governing-agreements/nepool-agreement" TargetMode="External"/><Relationship Id="rId38" Type="http://schemas.openxmlformats.org/officeDocument/2006/relationships/hyperlink" Target="mailto:custserv@iso-ne.com" TargetMode="External"/><Relationship Id="rId46" Type="http://schemas.openxmlformats.org/officeDocument/2006/relationships/hyperlink" Target="http://www.isorto.org/Reports/default" TargetMode="External"/><Relationship Id="rId2" Type="http://schemas.openxmlformats.org/officeDocument/2006/relationships/hyperlink" Target="https://www.npcc.org/Standards/Directories/Directory_1_TFCP_rev_20151001_GJD.pdf" TargetMode="External"/><Relationship Id="rId16" Type="http://schemas.openxmlformats.org/officeDocument/2006/relationships/hyperlink" Target="http://pjm.com/committees-and-groups/committees/teac.aspx" TargetMode="External"/><Relationship Id="rId20" Type="http://schemas.openxmlformats.org/officeDocument/2006/relationships/hyperlink" Target="http://pjm.com/planning.aspx" TargetMode="External"/><Relationship Id="rId29" Type="http://schemas.openxmlformats.org/officeDocument/2006/relationships/hyperlink" Target="http://www.nyiso.com/public/webdocs/markets_operations/services/planning/Planning_Studies/Public_Policy_Documents/Public_Policy_Transmission_Needs/2015-12-17_PSC_Order_AC_Transmission.pdf" TargetMode="External"/><Relationship Id="rId41" Type="http://schemas.openxmlformats.org/officeDocument/2006/relationships/hyperlink" Target="http://www.nerc.com/" TargetMode="External"/><Relationship Id="rId1" Type="http://schemas.openxmlformats.org/officeDocument/2006/relationships/hyperlink" Target="http://www.nerc.com/" TargetMode="External"/><Relationship Id="rId6" Type="http://schemas.openxmlformats.org/officeDocument/2006/relationships/hyperlink" Target="http://www.pjm.com/committees-and-groups/stakeholder-meetings/stakeholder-groups/ipsac-ny-ne.aspx" TargetMode="External"/><Relationship Id="rId11" Type="http://schemas.openxmlformats.org/officeDocument/2006/relationships/hyperlink" Target="http://www.iso-ne.com/static-assets/documents/2015/07/northeastern_protocol_dmeast.doc%20" TargetMode="External"/><Relationship Id="rId24" Type="http://schemas.openxmlformats.org/officeDocument/2006/relationships/hyperlink" Target="http://www.nyiso.com/public/webdocs/markets_operations/documents/Manuals_and_Guides/Manuals/Planning/epp_caris_mnl.pdf" TargetMode="External"/><Relationship Id="rId32" Type="http://schemas.openxmlformats.org/officeDocument/2006/relationships/hyperlink" Target="http://www.iso-ne.com/committees/comm_wkgrps/prtcpnts_comm/pac/index.html" TargetMode="External"/><Relationship Id="rId37" Type="http://schemas.openxmlformats.org/officeDocument/2006/relationships/hyperlink" Target="http://www.iso-ne.com/static-assets/documents/regulatory/tariff/attach_d/attachment_d.pdf" TargetMode="External"/><Relationship Id="rId40" Type="http://schemas.openxmlformats.org/officeDocument/2006/relationships/hyperlink" Target="http://www.iso-ne.com/committees/planning/ipsac" TargetMode="External"/><Relationship Id="rId45" Type="http://schemas.openxmlformats.org/officeDocument/2006/relationships/hyperlink" Target="http://nebula.wsimg.com/0ca33e3fbfd7be8f37880ebaaa7146e2?AccessKeyId=E28DFA42F06A3AC21303&amp;disposition=0&amp;alloworigin=1" TargetMode="External"/><Relationship Id="rId53" Type="http://schemas.openxmlformats.org/officeDocument/2006/relationships/hyperlink" Target="https://rfirst.org/reliability/Pages/ReliabilityReports.aspx" TargetMode="External"/><Relationship Id="rId5" Type="http://schemas.openxmlformats.org/officeDocument/2006/relationships/hyperlink" Target="http://www.iso-ne.com/static-assets/documents/2015/07/northeastern_protocol_dmeast.doc%20" TargetMode="External"/><Relationship Id="rId15" Type="http://schemas.openxmlformats.org/officeDocument/2006/relationships/hyperlink" Target="http://www.nyiso.com/public/committees/documents.jsp?com=oc_ipsac" TargetMode="External"/><Relationship Id="rId23" Type="http://schemas.openxmlformats.org/officeDocument/2006/relationships/hyperlink" Target="http://www.nyiso.com/public/webdocs/markets_operations/services/planning/Planning_Studies/Reliability_Planning_Studies/Reliability_Assessment_Documents/2014CRP_Final_20150721.pdf" TargetMode="External"/><Relationship Id="rId28" Type="http://schemas.openxmlformats.org/officeDocument/2006/relationships/hyperlink" Target="http://www.nyiso.com/public/webdocs/markets_operations/services/planning/Planning_Studies/Public_Policy_Documents/Public_Policy_Transmission_Needs/2015_07_20_PSC_Order_NYISO_Pblc_Plcy_Trnsmssn_Nds_14-E-0454.pdf" TargetMode="External"/><Relationship Id="rId36" Type="http://schemas.openxmlformats.org/officeDocument/2006/relationships/hyperlink" Target="http://www.ferc.gov/docs-filing/forms/form-715/overview.asp" TargetMode="External"/><Relationship Id="rId49" Type="http://schemas.openxmlformats.org/officeDocument/2006/relationships/hyperlink" Target="http://www.npcc.org/" TargetMode="External"/><Relationship Id="rId10" Type="http://schemas.openxmlformats.org/officeDocument/2006/relationships/hyperlink" Target="http://www.iso-ne.com/static-assets/documents/2015/11/er13-1957-001_er13-1960-001_ltr_order_accept_regional_transmission_require_cost_allocation_order_1000.pdf" TargetMode="External"/><Relationship Id="rId19" Type="http://schemas.openxmlformats.org/officeDocument/2006/relationships/hyperlink" Target="http://pjm.com/planning/rtep-development/expansion-plan-process/ferc-order-1000.aspx" TargetMode="External"/><Relationship Id="rId31" Type="http://schemas.openxmlformats.org/officeDocument/2006/relationships/hyperlink" Target="http://www.iso-ne.com/system-planning/transmission-planning/transmission-planning-guides" TargetMode="External"/><Relationship Id="rId44" Type="http://schemas.openxmlformats.org/officeDocument/2006/relationships/hyperlink" Target="http://www.eipconline.com/phase-ii-documents.html" TargetMode="External"/><Relationship Id="rId52" Type="http://schemas.openxmlformats.org/officeDocument/2006/relationships/hyperlink" Target="https://rfirst.org/reliability/easterninterconnectionreliabilityassessmentgroup/pages/default.aspx" TargetMode="External"/><Relationship Id="rId4" Type="http://schemas.openxmlformats.org/officeDocument/2006/relationships/hyperlink" Target="http://www.nysrc.org/pdf/Reliability%20Rules%20Manuals/RRC%20Manual%20V35%20Final%208-14-15.pdf" TargetMode="External"/><Relationship Id="rId9" Type="http://schemas.openxmlformats.org/officeDocument/2006/relationships/hyperlink" Target="http://www.iso-ne.com/regulatory/ferc/filings/2013/jul/er13-1957-000_7-10-2013_protocol.pdf" TargetMode="External"/><Relationship Id="rId14" Type="http://schemas.openxmlformats.org/officeDocument/2006/relationships/hyperlink" Target="http://www.pjm.com/committees-and-groups/stakeholder-meetings/stakeholder-groups/ipsac-midwest.aspx" TargetMode="External"/><Relationship Id="rId22" Type="http://schemas.openxmlformats.org/officeDocument/2006/relationships/hyperlink" Target="http://www.nyiso.com/public/webdocs/markets_operations/documents/Manuals_and_Guides/Manuals/Planning/rpp_mnl.pdf" TargetMode="External"/><Relationship Id="rId27" Type="http://schemas.openxmlformats.org/officeDocument/2006/relationships/hyperlink" Target="http://www.nyiso.com/public/webdocs/markets_operations/documents/Manuals_and_Guides/Manuals/Planning/M-36_Public%20Policy%20Manual_v1_0_Final.pdf" TargetMode="External"/><Relationship Id="rId30" Type="http://schemas.openxmlformats.org/officeDocument/2006/relationships/hyperlink" Target="http://www.iso-ne.com/system-planning" TargetMode="External"/><Relationship Id="rId35" Type="http://schemas.openxmlformats.org/officeDocument/2006/relationships/hyperlink" Target="http://www.iso-ne.com/system-planning/system-plans-studies/celt" TargetMode="External"/><Relationship Id="rId43" Type="http://schemas.openxmlformats.org/officeDocument/2006/relationships/hyperlink" Target="http://www.nerc.com/pa/RAPA/ra/Reliability%20Assessments%20DL/2015LTRA%20-%20Final%20Report.pdf" TargetMode="External"/><Relationship Id="rId48" Type="http://schemas.openxmlformats.org/officeDocument/2006/relationships/hyperlink" Target="http://ircweb.businesscatalyst.com/Documents/Report/20141125_IRCComments-FERC-InterstateNaturalGasPipelineScheduling.pdf" TargetMode="External"/><Relationship Id="rId8" Type="http://schemas.openxmlformats.org/officeDocument/2006/relationships/hyperlink" Target="http://www.iso-ne.com/committees/planning/ipsac" TargetMode="External"/><Relationship Id="rId51" Type="http://schemas.openxmlformats.org/officeDocument/2006/relationships/hyperlink" Target="https://www.npcc.org/Library/Seasonal%20Assessment/2015-16W_NPCC%20Seasonal%20Assessment%20-%20Final%20Report%20-%20Posted%20NPCC%20Web%20Site%2020151204.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0C9BE-6D56-4CD5-9DD7-A35AEB12E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7038</Words>
  <Characters>40118</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_</vt:lpstr>
    </vt:vector>
  </TitlesOfParts>
  <Company>NYISO</Company>
  <LinksUpToDate>false</LinksUpToDate>
  <CharactersWithSpaces>47062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Smith, Zach</dc:creator>
  <cp:lastModifiedBy>author</cp:lastModifiedBy>
  <cp:revision>2</cp:revision>
  <cp:lastPrinted>2016-02-23T16:25:00Z</cp:lastPrinted>
  <dcterms:created xsi:type="dcterms:W3CDTF">2016-04-07T13:50:00Z</dcterms:created>
  <dcterms:modified xsi:type="dcterms:W3CDTF">2016-04-07T13:50:00Z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