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184E8" w14:textId="77777777" w:rsidR="001D511D" w:rsidRDefault="001D511D" w:rsidP="0025706A">
      <w:pPr>
        <w:spacing w:before="240" w:after="240" w:line="240" w:lineRule="auto"/>
        <w:rPr>
          <w:rFonts w:eastAsia="Times New Roman" w:cs="Times New Roman"/>
          <w:b/>
          <w:caps/>
          <w:color w:val="632423"/>
          <w:sz w:val="40"/>
          <w:szCs w:val="40"/>
        </w:rPr>
      </w:pPr>
      <w:bookmarkStart w:id="0" w:name="_GoBack"/>
      <w:bookmarkEnd w:id="0"/>
    </w:p>
    <w:p w14:paraId="47B494E4" w14:textId="77777777" w:rsidR="001D511D" w:rsidRDefault="001D511D" w:rsidP="0025706A">
      <w:pPr>
        <w:spacing w:before="240" w:after="240" w:line="240" w:lineRule="auto"/>
        <w:rPr>
          <w:rFonts w:eastAsia="Times New Roman" w:cs="Times New Roman"/>
          <w:b/>
          <w:caps/>
          <w:color w:val="632423"/>
          <w:sz w:val="40"/>
          <w:szCs w:val="40"/>
        </w:rPr>
      </w:pPr>
    </w:p>
    <w:p w14:paraId="75C0DC25" w14:textId="77777777" w:rsidR="001D511D" w:rsidRDefault="001D511D" w:rsidP="0025706A">
      <w:pPr>
        <w:spacing w:before="240" w:after="240" w:line="240" w:lineRule="auto"/>
        <w:rPr>
          <w:rFonts w:eastAsia="Times New Roman" w:cs="Times New Roman"/>
          <w:b/>
          <w:caps/>
          <w:color w:val="632423"/>
          <w:sz w:val="40"/>
          <w:szCs w:val="40"/>
        </w:rPr>
      </w:pPr>
    </w:p>
    <w:p w14:paraId="02CA782C" w14:textId="77777777" w:rsidR="001D511D" w:rsidRDefault="001D511D" w:rsidP="0025706A">
      <w:pPr>
        <w:spacing w:before="240" w:after="240" w:line="240" w:lineRule="auto"/>
        <w:rPr>
          <w:rFonts w:eastAsia="Times New Roman" w:cs="Times New Roman"/>
          <w:b/>
          <w:caps/>
          <w:color w:val="632423"/>
          <w:sz w:val="40"/>
          <w:szCs w:val="40"/>
        </w:rPr>
      </w:pPr>
    </w:p>
    <w:p w14:paraId="2C70E5DC" w14:textId="77777777" w:rsidR="001D511D" w:rsidRDefault="001D511D" w:rsidP="0025706A">
      <w:pPr>
        <w:spacing w:before="240" w:after="240" w:line="240" w:lineRule="auto"/>
        <w:rPr>
          <w:rFonts w:eastAsia="Times New Roman" w:cs="Times New Roman"/>
          <w:b/>
          <w:caps/>
          <w:color w:val="632423"/>
          <w:sz w:val="40"/>
          <w:szCs w:val="40"/>
        </w:rPr>
      </w:pPr>
    </w:p>
    <w:p w14:paraId="022EF368" w14:textId="77777777" w:rsidR="001D511D" w:rsidRDefault="001D511D" w:rsidP="0025706A">
      <w:pPr>
        <w:spacing w:before="240" w:after="240" w:line="240" w:lineRule="auto"/>
        <w:rPr>
          <w:rFonts w:eastAsia="Times New Roman" w:cs="Times New Roman"/>
          <w:b/>
          <w:caps/>
          <w:color w:val="632423"/>
          <w:sz w:val="40"/>
          <w:szCs w:val="40"/>
        </w:rPr>
      </w:pPr>
    </w:p>
    <w:p w14:paraId="5E3C9606" w14:textId="77777777" w:rsidR="001D511D" w:rsidRDefault="001D511D" w:rsidP="0025706A">
      <w:pPr>
        <w:spacing w:before="240" w:after="240" w:line="240" w:lineRule="auto"/>
        <w:rPr>
          <w:rFonts w:eastAsia="Times New Roman" w:cs="Times New Roman"/>
          <w:b/>
          <w:caps/>
          <w:color w:val="632423"/>
          <w:sz w:val="40"/>
          <w:szCs w:val="40"/>
        </w:rPr>
      </w:pPr>
    </w:p>
    <w:p w14:paraId="55545BB1" w14:textId="77777777" w:rsidR="001D511D" w:rsidRDefault="001D511D" w:rsidP="0025706A">
      <w:pPr>
        <w:spacing w:before="240" w:after="240" w:line="240" w:lineRule="auto"/>
        <w:rPr>
          <w:rFonts w:eastAsia="Times New Roman" w:cs="Times New Roman"/>
          <w:b/>
          <w:caps/>
          <w:color w:val="632423"/>
          <w:sz w:val="40"/>
          <w:szCs w:val="40"/>
        </w:rPr>
      </w:pPr>
    </w:p>
    <w:p w14:paraId="204E7B48" w14:textId="77777777" w:rsidR="001D511D" w:rsidRDefault="001D511D" w:rsidP="0025706A">
      <w:pPr>
        <w:spacing w:before="240" w:after="240" w:line="240" w:lineRule="auto"/>
        <w:rPr>
          <w:rFonts w:eastAsia="Times New Roman" w:cs="Times New Roman"/>
          <w:b/>
          <w:caps/>
          <w:color w:val="632423"/>
          <w:sz w:val="40"/>
          <w:szCs w:val="40"/>
        </w:rPr>
      </w:pPr>
    </w:p>
    <w:p w14:paraId="7DDC34CC" w14:textId="77777777" w:rsidR="001D511D" w:rsidRDefault="001D511D" w:rsidP="0025706A">
      <w:pPr>
        <w:spacing w:before="240" w:after="240" w:line="240" w:lineRule="auto"/>
        <w:rPr>
          <w:rFonts w:eastAsia="Times New Roman" w:cs="Times New Roman"/>
          <w:b/>
          <w:caps/>
          <w:color w:val="632423"/>
          <w:sz w:val="40"/>
          <w:szCs w:val="40"/>
        </w:rPr>
      </w:pPr>
    </w:p>
    <w:p w14:paraId="03E2666E" w14:textId="77777777" w:rsidR="001D511D" w:rsidRDefault="001D511D" w:rsidP="0025706A">
      <w:pPr>
        <w:spacing w:before="240" w:after="240" w:line="240" w:lineRule="auto"/>
        <w:rPr>
          <w:rFonts w:eastAsia="Times New Roman" w:cs="Times New Roman"/>
          <w:b/>
          <w:caps/>
          <w:color w:val="632423"/>
          <w:sz w:val="40"/>
          <w:szCs w:val="40"/>
        </w:rPr>
      </w:pPr>
    </w:p>
    <w:p w14:paraId="1F80483B" w14:textId="77777777" w:rsidR="001D511D" w:rsidRDefault="001D511D" w:rsidP="0025706A">
      <w:pPr>
        <w:spacing w:before="240" w:after="240" w:line="240" w:lineRule="auto"/>
        <w:rPr>
          <w:rFonts w:eastAsia="Times New Roman" w:cs="Times New Roman"/>
          <w:b/>
          <w:caps/>
          <w:color w:val="632423"/>
          <w:sz w:val="40"/>
          <w:szCs w:val="40"/>
        </w:rPr>
      </w:pPr>
    </w:p>
    <w:p w14:paraId="175FB0BD" w14:textId="77777777" w:rsidR="00136DEF" w:rsidRDefault="00136DEF" w:rsidP="0025706A">
      <w:pPr>
        <w:spacing w:before="240" w:after="240" w:line="240" w:lineRule="auto"/>
        <w:rPr>
          <w:rFonts w:eastAsia="Times New Roman" w:cs="Times New Roman"/>
          <w:b/>
          <w:caps/>
          <w:color w:val="632423"/>
          <w:sz w:val="40"/>
          <w:szCs w:val="40"/>
        </w:rPr>
      </w:pPr>
      <w:r w:rsidRPr="00136DEF">
        <w:rPr>
          <w:rFonts w:eastAsia="Times New Roman" w:cs="Times New Roman"/>
          <w:color w:val="632423"/>
          <w:sz w:val="40"/>
          <w:szCs w:val="40"/>
        </w:rPr>
        <w:t>ISO-NE CONE and ORTP Analysis</w:t>
      </w:r>
      <w:r w:rsidRPr="00136DEF" w:rsidDel="00136DEF">
        <w:rPr>
          <w:rFonts w:eastAsia="Times New Roman" w:cs="Times New Roman"/>
          <w:color w:val="632423"/>
          <w:sz w:val="40"/>
          <w:szCs w:val="40"/>
        </w:rPr>
        <w:t xml:space="preserve"> </w:t>
      </w:r>
    </w:p>
    <w:p w14:paraId="6AE743C7" w14:textId="66632A91" w:rsidR="00333532" w:rsidRDefault="00333532" w:rsidP="00333532">
      <w:pPr>
        <w:spacing w:after="0" w:line="240" w:lineRule="auto"/>
        <w:contextualSpacing/>
        <w:rPr>
          <w:rFonts w:eastAsia="Times New Roman" w:cs="Times New Roman"/>
          <w:caps/>
          <w:color w:val="632423"/>
          <w:szCs w:val="28"/>
        </w:rPr>
      </w:pPr>
      <w:r>
        <w:rPr>
          <w:rFonts w:eastAsia="Times New Roman" w:cs="Times New Roman"/>
          <w:color w:val="632423"/>
          <w:szCs w:val="28"/>
        </w:rPr>
        <w:t xml:space="preserve">An evaluation of </w:t>
      </w:r>
      <w:r w:rsidRPr="00BF688A">
        <w:rPr>
          <w:rFonts w:eastAsia="Times New Roman" w:cs="Times New Roman"/>
          <w:color w:val="632423"/>
          <w:szCs w:val="28"/>
        </w:rPr>
        <w:t xml:space="preserve">the </w:t>
      </w:r>
      <w:r>
        <w:rPr>
          <w:rFonts w:eastAsia="Times New Roman" w:cs="Times New Roman"/>
          <w:color w:val="632423"/>
          <w:szCs w:val="28"/>
        </w:rPr>
        <w:t>entry cost</w:t>
      </w:r>
      <w:r w:rsidRPr="00BF688A">
        <w:rPr>
          <w:rFonts w:eastAsia="Times New Roman" w:cs="Times New Roman"/>
          <w:color w:val="632423"/>
          <w:szCs w:val="28"/>
        </w:rPr>
        <w:t xml:space="preserve"> parameter</w:t>
      </w:r>
      <w:r>
        <w:rPr>
          <w:rFonts w:eastAsia="Times New Roman" w:cs="Times New Roman"/>
          <w:color w:val="632423"/>
          <w:szCs w:val="28"/>
        </w:rPr>
        <w:t>s</w:t>
      </w:r>
      <w:r w:rsidRPr="00BF688A">
        <w:rPr>
          <w:rFonts w:eastAsia="Times New Roman" w:cs="Times New Roman"/>
          <w:color w:val="632423"/>
          <w:szCs w:val="28"/>
        </w:rPr>
        <w:t xml:space="preserve"> to be used in the Forward Capacity Auction </w:t>
      </w:r>
      <w:r>
        <w:rPr>
          <w:rFonts w:eastAsia="Times New Roman" w:cs="Times New Roman"/>
          <w:color w:val="632423"/>
          <w:szCs w:val="28"/>
        </w:rPr>
        <w:t>to be held in February 2018 (“</w:t>
      </w:r>
      <w:r w:rsidRPr="00BF688A">
        <w:rPr>
          <w:rFonts w:eastAsia="Times New Roman" w:cs="Times New Roman"/>
          <w:color w:val="632423"/>
          <w:szCs w:val="28"/>
        </w:rPr>
        <w:t>FCA-12</w:t>
      </w:r>
      <w:r>
        <w:rPr>
          <w:rFonts w:eastAsia="Times New Roman" w:cs="Times New Roman"/>
          <w:color w:val="632423"/>
          <w:szCs w:val="28"/>
        </w:rPr>
        <w:t>”)</w:t>
      </w:r>
      <w:r w:rsidRPr="00BF688A">
        <w:rPr>
          <w:rFonts w:eastAsia="Times New Roman" w:cs="Times New Roman"/>
          <w:color w:val="632423"/>
          <w:szCs w:val="28"/>
        </w:rPr>
        <w:t xml:space="preserve"> and forward</w:t>
      </w:r>
      <w:r w:rsidRPr="00BF688A" w:rsidDel="00BF688A">
        <w:rPr>
          <w:rFonts w:eastAsia="Times New Roman" w:cs="Times New Roman"/>
          <w:color w:val="632423"/>
          <w:szCs w:val="28"/>
        </w:rPr>
        <w:t xml:space="preserve"> </w:t>
      </w:r>
    </w:p>
    <w:p w14:paraId="1137AC46" w14:textId="78770B55" w:rsidR="0025706A" w:rsidRPr="0025706A" w:rsidRDefault="002B7AC5" w:rsidP="0025706A">
      <w:pPr>
        <w:spacing w:before="240" w:after="240" w:line="240" w:lineRule="auto"/>
        <w:rPr>
          <w:rFonts w:eastAsia="Times New Roman" w:cs="Times New Roman"/>
          <w:caps/>
          <w:color w:val="632423"/>
          <w:szCs w:val="28"/>
        </w:rPr>
      </w:pPr>
      <w:r>
        <w:rPr>
          <w:rFonts w:eastAsia="Times New Roman" w:cs="Times New Roman"/>
          <w:noProof/>
          <w:color w:val="632423"/>
          <w:szCs w:val="28"/>
        </w:rPr>
        <w:t>December 2</w:t>
      </w:r>
      <w:r w:rsidR="00F9644A">
        <w:rPr>
          <w:rFonts w:eastAsia="Times New Roman" w:cs="Times New Roman"/>
          <w:color w:val="632423"/>
          <w:szCs w:val="28"/>
        </w:rPr>
        <w:t xml:space="preserve">, </w:t>
      </w:r>
      <w:r w:rsidR="0025706A" w:rsidRPr="0025706A">
        <w:rPr>
          <w:rFonts w:eastAsia="Times New Roman" w:cs="Times New Roman"/>
          <w:color w:val="632423"/>
          <w:szCs w:val="28"/>
        </w:rPr>
        <w:t>2016</w:t>
      </w:r>
    </w:p>
    <w:p w14:paraId="1FD8B839" w14:textId="77777777" w:rsidR="0025706A" w:rsidRPr="0025706A" w:rsidRDefault="0025706A" w:rsidP="0025706A">
      <w:pPr>
        <w:spacing w:before="240" w:after="240" w:line="240" w:lineRule="auto"/>
        <w:rPr>
          <w:rFonts w:ascii="Garamond" w:eastAsia="Times New Roman" w:hAnsi="Garamond" w:cs="Times New Roman"/>
          <w:noProof/>
          <w:szCs w:val="24"/>
        </w:rPr>
      </w:pPr>
      <w:r w:rsidRPr="0025706A">
        <w:rPr>
          <w:rFonts w:ascii="Garamond" w:eastAsia="Times New Roman" w:hAnsi="Garamond" w:cs="Times New Roman"/>
          <w:noProof/>
          <w:szCs w:val="24"/>
        </w:rPr>
        <w:drawing>
          <wp:inline distT="0" distB="0" distL="0" distR="0" wp14:anchorId="67E35B7C" wp14:editId="18399C89">
            <wp:extent cx="2385060" cy="579120"/>
            <wp:effectExtent l="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060" cy="579120"/>
                    </a:xfrm>
                    <a:prstGeom prst="rect">
                      <a:avLst/>
                    </a:prstGeom>
                    <a:noFill/>
                    <a:ln>
                      <a:noFill/>
                    </a:ln>
                  </pic:spPr>
                </pic:pic>
              </a:graphicData>
            </a:graphic>
          </wp:inline>
        </w:drawing>
      </w:r>
    </w:p>
    <w:p w14:paraId="58201E6C" w14:textId="057D5BA7" w:rsidR="0025706A" w:rsidRDefault="00FA6573" w:rsidP="0025706A">
      <w:pPr>
        <w:spacing w:before="240" w:after="240" w:line="240" w:lineRule="auto"/>
        <w:rPr>
          <w:rFonts w:eastAsia="Times New Roman" w:cs="Times New Roman"/>
          <w:color w:val="632423"/>
          <w:sz w:val="16"/>
          <w:szCs w:val="16"/>
        </w:rPr>
      </w:pPr>
      <w:hyperlink r:id="rId10" w:history="1">
        <w:r w:rsidR="005E41AC" w:rsidRPr="00A97423">
          <w:rPr>
            <w:rStyle w:val="Hyperlink"/>
            <w:rFonts w:eastAsia="Times New Roman" w:cs="Times New Roman"/>
            <w:sz w:val="16"/>
            <w:szCs w:val="16"/>
          </w:rPr>
          <w:t>www.ceadvisors.com</w:t>
        </w:r>
      </w:hyperlink>
    </w:p>
    <w:p w14:paraId="7DF61260" w14:textId="77777777" w:rsidR="000E0F39" w:rsidRDefault="000E0F39" w:rsidP="005E41AC">
      <w:pPr>
        <w:rPr>
          <w:rFonts w:eastAsia="Times New Roman" w:cs="Times New Roman"/>
          <w:b/>
          <w:color w:val="632423"/>
          <w:sz w:val="32"/>
          <w:szCs w:val="32"/>
        </w:rPr>
        <w:sectPr w:rsidR="000E0F39" w:rsidSect="001E5686">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titlePg/>
          <w:docGrid w:linePitch="360"/>
        </w:sectPr>
      </w:pPr>
    </w:p>
    <w:p w14:paraId="70220B74" w14:textId="27C9A61B" w:rsidR="005E41AC" w:rsidRPr="005E41AC" w:rsidRDefault="005E41AC" w:rsidP="005E41AC">
      <w:pPr>
        <w:rPr>
          <w:rFonts w:eastAsia="Times New Roman" w:cs="Times New Roman"/>
          <w:b/>
          <w:color w:val="632423"/>
          <w:sz w:val="32"/>
          <w:szCs w:val="32"/>
        </w:rPr>
      </w:pPr>
      <w:r>
        <w:rPr>
          <w:rFonts w:eastAsia="Times New Roman" w:cs="Times New Roman"/>
          <w:b/>
          <w:color w:val="632423"/>
          <w:sz w:val="32"/>
          <w:szCs w:val="32"/>
        </w:rPr>
        <w:lastRenderedPageBreak/>
        <w:t>TABLE OF CONTENTS</w:t>
      </w:r>
      <w:r w:rsidRPr="005E41AC">
        <w:rPr>
          <w:rFonts w:eastAsia="Times New Roman" w:cs="Times New Roman"/>
          <w:b/>
          <w:color w:val="632423"/>
          <w:sz w:val="32"/>
          <w:szCs w:val="32"/>
        </w:rPr>
        <w:t xml:space="preserve"> </w:t>
      </w:r>
    </w:p>
    <w:p w14:paraId="5AF32A74" w14:textId="0DC75E44" w:rsidR="005A30B3" w:rsidRDefault="00B37CED">
      <w:pPr>
        <w:pStyle w:val="TOC1"/>
        <w:tabs>
          <w:tab w:val="right" w:leader="dot" w:pos="9350"/>
        </w:tabs>
        <w:rPr>
          <w:rFonts w:asciiTheme="minorHAnsi" w:eastAsiaTheme="minorEastAsia" w:hAnsiTheme="minorHAnsi"/>
          <w:noProof/>
        </w:rPr>
      </w:pPr>
      <w:r>
        <w:rPr>
          <w:rFonts w:eastAsia="Times New Roman" w:cs="Times New Roman"/>
          <w:b/>
          <w:caps/>
          <w:color w:val="632423"/>
          <w:sz w:val="40"/>
          <w:szCs w:val="40"/>
        </w:rPr>
        <w:fldChar w:fldCharType="begin"/>
      </w:r>
      <w:r>
        <w:rPr>
          <w:rFonts w:eastAsia="Times New Roman" w:cs="Times New Roman"/>
          <w:color w:val="632423"/>
          <w:sz w:val="40"/>
          <w:szCs w:val="40"/>
        </w:rPr>
        <w:instrText xml:space="preserve"> TOC \o "1-2" \h \z \u </w:instrText>
      </w:r>
      <w:r>
        <w:rPr>
          <w:rFonts w:eastAsia="Times New Roman" w:cs="Times New Roman"/>
          <w:b/>
          <w:caps/>
          <w:color w:val="632423"/>
          <w:sz w:val="40"/>
          <w:szCs w:val="40"/>
        </w:rPr>
        <w:fldChar w:fldCharType="separate"/>
      </w:r>
      <w:hyperlink w:anchor="_Toc468288303" w:history="1">
        <w:r w:rsidR="005A30B3" w:rsidRPr="00E57629">
          <w:rPr>
            <w:rStyle w:val="Hyperlink"/>
            <w:noProof/>
          </w:rPr>
          <w:t>Section 1: Executive Summary</w:t>
        </w:r>
        <w:r w:rsidR="005A30B3">
          <w:rPr>
            <w:noProof/>
            <w:webHidden/>
          </w:rPr>
          <w:tab/>
        </w:r>
        <w:r w:rsidR="005A30B3">
          <w:rPr>
            <w:noProof/>
            <w:webHidden/>
          </w:rPr>
          <w:fldChar w:fldCharType="begin"/>
        </w:r>
        <w:r w:rsidR="005A30B3">
          <w:rPr>
            <w:noProof/>
            <w:webHidden/>
          </w:rPr>
          <w:instrText xml:space="preserve"> PAGEREF _Toc468288303 \h </w:instrText>
        </w:r>
        <w:r w:rsidR="005A30B3">
          <w:rPr>
            <w:noProof/>
            <w:webHidden/>
          </w:rPr>
        </w:r>
        <w:r w:rsidR="005A30B3">
          <w:rPr>
            <w:noProof/>
            <w:webHidden/>
          </w:rPr>
          <w:fldChar w:fldCharType="separate"/>
        </w:r>
        <w:r w:rsidR="005A30B3">
          <w:rPr>
            <w:noProof/>
            <w:webHidden/>
          </w:rPr>
          <w:t>5</w:t>
        </w:r>
        <w:r w:rsidR="005A30B3">
          <w:rPr>
            <w:noProof/>
            <w:webHidden/>
          </w:rPr>
          <w:fldChar w:fldCharType="end"/>
        </w:r>
      </w:hyperlink>
    </w:p>
    <w:p w14:paraId="3DB090B6" w14:textId="5C9CFC59" w:rsidR="005A30B3" w:rsidRDefault="00FA6573">
      <w:pPr>
        <w:pStyle w:val="TOC1"/>
        <w:tabs>
          <w:tab w:val="right" w:leader="dot" w:pos="9350"/>
        </w:tabs>
        <w:rPr>
          <w:rFonts w:asciiTheme="minorHAnsi" w:eastAsiaTheme="minorEastAsia" w:hAnsiTheme="minorHAnsi"/>
          <w:noProof/>
        </w:rPr>
      </w:pPr>
      <w:hyperlink w:anchor="_Toc468288304" w:history="1">
        <w:r w:rsidR="005A30B3" w:rsidRPr="00E57629">
          <w:rPr>
            <w:rStyle w:val="Hyperlink"/>
            <w:noProof/>
          </w:rPr>
          <w:t>Section 2: Introduction</w:t>
        </w:r>
        <w:r w:rsidR="005A30B3">
          <w:rPr>
            <w:noProof/>
            <w:webHidden/>
          </w:rPr>
          <w:tab/>
        </w:r>
        <w:r w:rsidR="005A30B3">
          <w:rPr>
            <w:noProof/>
            <w:webHidden/>
          </w:rPr>
          <w:fldChar w:fldCharType="begin"/>
        </w:r>
        <w:r w:rsidR="005A30B3">
          <w:rPr>
            <w:noProof/>
            <w:webHidden/>
          </w:rPr>
          <w:instrText xml:space="preserve"> PAGEREF _Toc468288304 \h </w:instrText>
        </w:r>
        <w:r w:rsidR="005A30B3">
          <w:rPr>
            <w:noProof/>
            <w:webHidden/>
          </w:rPr>
        </w:r>
        <w:r w:rsidR="005A30B3">
          <w:rPr>
            <w:noProof/>
            <w:webHidden/>
          </w:rPr>
          <w:fldChar w:fldCharType="separate"/>
        </w:r>
        <w:r w:rsidR="005A30B3">
          <w:rPr>
            <w:noProof/>
            <w:webHidden/>
          </w:rPr>
          <w:t>8</w:t>
        </w:r>
        <w:r w:rsidR="005A30B3">
          <w:rPr>
            <w:noProof/>
            <w:webHidden/>
          </w:rPr>
          <w:fldChar w:fldCharType="end"/>
        </w:r>
      </w:hyperlink>
    </w:p>
    <w:p w14:paraId="39AC7786" w14:textId="5715124D" w:rsidR="005A30B3" w:rsidRDefault="00FA6573">
      <w:pPr>
        <w:pStyle w:val="TOC2"/>
        <w:tabs>
          <w:tab w:val="left" w:pos="660"/>
          <w:tab w:val="right" w:leader="dot" w:pos="9350"/>
        </w:tabs>
        <w:rPr>
          <w:rFonts w:asciiTheme="minorHAnsi" w:eastAsiaTheme="minorEastAsia" w:hAnsiTheme="minorHAnsi"/>
          <w:noProof/>
        </w:rPr>
      </w:pPr>
      <w:hyperlink w:anchor="_Toc468288305" w:history="1">
        <w:r w:rsidR="005A30B3" w:rsidRPr="00E57629">
          <w:rPr>
            <w:rStyle w:val="Hyperlink"/>
            <w:noProof/>
          </w:rPr>
          <w:t>A.</w:t>
        </w:r>
        <w:r w:rsidR="005A30B3">
          <w:rPr>
            <w:rFonts w:asciiTheme="minorHAnsi" w:eastAsiaTheme="minorEastAsia" w:hAnsiTheme="minorHAnsi"/>
            <w:noProof/>
          </w:rPr>
          <w:tab/>
        </w:r>
        <w:r w:rsidR="005A30B3" w:rsidRPr="00E57629">
          <w:rPr>
            <w:rStyle w:val="Hyperlink"/>
            <w:noProof/>
          </w:rPr>
          <w:t>Background</w:t>
        </w:r>
        <w:r w:rsidR="005A30B3">
          <w:rPr>
            <w:noProof/>
            <w:webHidden/>
          </w:rPr>
          <w:tab/>
        </w:r>
        <w:r w:rsidR="005A30B3">
          <w:rPr>
            <w:noProof/>
            <w:webHidden/>
          </w:rPr>
          <w:fldChar w:fldCharType="begin"/>
        </w:r>
        <w:r w:rsidR="005A30B3">
          <w:rPr>
            <w:noProof/>
            <w:webHidden/>
          </w:rPr>
          <w:instrText xml:space="preserve"> PAGEREF _Toc468288305 \h </w:instrText>
        </w:r>
        <w:r w:rsidR="005A30B3">
          <w:rPr>
            <w:noProof/>
            <w:webHidden/>
          </w:rPr>
        </w:r>
        <w:r w:rsidR="005A30B3">
          <w:rPr>
            <w:noProof/>
            <w:webHidden/>
          </w:rPr>
          <w:fldChar w:fldCharType="separate"/>
        </w:r>
        <w:r w:rsidR="005A30B3">
          <w:rPr>
            <w:noProof/>
            <w:webHidden/>
          </w:rPr>
          <w:t>8</w:t>
        </w:r>
        <w:r w:rsidR="005A30B3">
          <w:rPr>
            <w:noProof/>
            <w:webHidden/>
          </w:rPr>
          <w:fldChar w:fldCharType="end"/>
        </w:r>
      </w:hyperlink>
    </w:p>
    <w:p w14:paraId="28722E9E" w14:textId="6EAB3F33" w:rsidR="005A30B3" w:rsidRDefault="00FA6573">
      <w:pPr>
        <w:pStyle w:val="TOC2"/>
        <w:tabs>
          <w:tab w:val="left" w:pos="660"/>
          <w:tab w:val="right" w:leader="dot" w:pos="9350"/>
        </w:tabs>
        <w:rPr>
          <w:rFonts w:asciiTheme="minorHAnsi" w:eastAsiaTheme="minorEastAsia" w:hAnsiTheme="minorHAnsi"/>
          <w:noProof/>
        </w:rPr>
      </w:pPr>
      <w:hyperlink w:anchor="_Toc468288306" w:history="1">
        <w:r w:rsidR="005A30B3" w:rsidRPr="00E57629">
          <w:rPr>
            <w:rStyle w:val="Hyperlink"/>
            <w:noProof/>
          </w:rPr>
          <w:t>B.</w:t>
        </w:r>
        <w:r w:rsidR="005A30B3">
          <w:rPr>
            <w:rFonts w:asciiTheme="minorHAnsi" w:eastAsiaTheme="minorEastAsia" w:hAnsiTheme="minorHAnsi"/>
            <w:noProof/>
          </w:rPr>
          <w:tab/>
        </w:r>
        <w:r w:rsidR="005A30B3" w:rsidRPr="00E57629">
          <w:rPr>
            <w:rStyle w:val="Hyperlink"/>
            <w:noProof/>
          </w:rPr>
          <w:t>Scope and Objectives</w:t>
        </w:r>
        <w:r w:rsidR="005A30B3">
          <w:rPr>
            <w:noProof/>
            <w:webHidden/>
          </w:rPr>
          <w:tab/>
        </w:r>
        <w:r w:rsidR="005A30B3">
          <w:rPr>
            <w:noProof/>
            <w:webHidden/>
          </w:rPr>
          <w:fldChar w:fldCharType="begin"/>
        </w:r>
        <w:r w:rsidR="005A30B3">
          <w:rPr>
            <w:noProof/>
            <w:webHidden/>
          </w:rPr>
          <w:instrText xml:space="preserve"> PAGEREF _Toc468288306 \h </w:instrText>
        </w:r>
        <w:r w:rsidR="005A30B3">
          <w:rPr>
            <w:noProof/>
            <w:webHidden/>
          </w:rPr>
        </w:r>
        <w:r w:rsidR="005A30B3">
          <w:rPr>
            <w:noProof/>
            <w:webHidden/>
          </w:rPr>
          <w:fldChar w:fldCharType="separate"/>
        </w:r>
        <w:r w:rsidR="005A30B3">
          <w:rPr>
            <w:noProof/>
            <w:webHidden/>
          </w:rPr>
          <w:t>8</w:t>
        </w:r>
        <w:r w:rsidR="005A30B3">
          <w:rPr>
            <w:noProof/>
            <w:webHidden/>
          </w:rPr>
          <w:fldChar w:fldCharType="end"/>
        </w:r>
      </w:hyperlink>
    </w:p>
    <w:p w14:paraId="3F731C32" w14:textId="16AE1CD2" w:rsidR="005A30B3" w:rsidRDefault="00FA6573">
      <w:pPr>
        <w:pStyle w:val="TOC2"/>
        <w:tabs>
          <w:tab w:val="left" w:pos="660"/>
          <w:tab w:val="right" w:leader="dot" w:pos="9350"/>
        </w:tabs>
        <w:rPr>
          <w:rFonts w:asciiTheme="minorHAnsi" w:eastAsiaTheme="minorEastAsia" w:hAnsiTheme="minorHAnsi"/>
          <w:noProof/>
        </w:rPr>
      </w:pPr>
      <w:hyperlink w:anchor="_Toc468288307" w:history="1">
        <w:r w:rsidR="005A30B3" w:rsidRPr="00E57629">
          <w:rPr>
            <w:rStyle w:val="Hyperlink"/>
            <w:noProof/>
          </w:rPr>
          <w:t>C.</w:t>
        </w:r>
        <w:r w:rsidR="005A30B3">
          <w:rPr>
            <w:rFonts w:asciiTheme="minorHAnsi" w:eastAsiaTheme="minorEastAsia" w:hAnsiTheme="minorHAnsi"/>
            <w:noProof/>
          </w:rPr>
          <w:tab/>
        </w:r>
        <w:r w:rsidR="005A30B3" w:rsidRPr="00E57629">
          <w:rPr>
            <w:rStyle w:val="Hyperlink"/>
            <w:noProof/>
          </w:rPr>
          <w:t>Approach</w:t>
        </w:r>
        <w:r w:rsidR="005A30B3">
          <w:rPr>
            <w:noProof/>
            <w:webHidden/>
          </w:rPr>
          <w:tab/>
        </w:r>
        <w:r w:rsidR="005A30B3">
          <w:rPr>
            <w:noProof/>
            <w:webHidden/>
          </w:rPr>
          <w:fldChar w:fldCharType="begin"/>
        </w:r>
        <w:r w:rsidR="005A30B3">
          <w:rPr>
            <w:noProof/>
            <w:webHidden/>
          </w:rPr>
          <w:instrText xml:space="preserve"> PAGEREF _Toc468288307 \h </w:instrText>
        </w:r>
        <w:r w:rsidR="005A30B3">
          <w:rPr>
            <w:noProof/>
            <w:webHidden/>
          </w:rPr>
        </w:r>
        <w:r w:rsidR="005A30B3">
          <w:rPr>
            <w:noProof/>
            <w:webHidden/>
          </w:rPr>
          <w:fldChar w:fldCharType="separate"/>
        </w:r>
        <w:r w:rsidR="005A30B3">
          <w:rPr>
            <w:noProof/>
            <w:webHidden/>
          </w:rPr>
          <w:t>9</w:t>
        </w:r>
        <w:r w:rsidR="005A30B3">
          <w:rPr>
            <w:noProof/>
            <w:webHidden/>
          </w:rPr>
          <w:fldChar w:fldCharType="end"/>
        </w:r>
      </w:hyperlink>
    </w:p>
    <w:p w14:paraId="3E0D77DD" w14:textId="13DECA7A" w:rsidR="005A30B3" w:rsidRDefault="00FA6573">
      <w:pPr>
        <w:pStyle w:val="TOC2"/>
        <w:tabs>
          <w:tab w:val="left" w:pos="660"/>
          <w:tab w:val="right" w:leader="dot" w:pos="9350"/>
        </w:tabs>
        <w:rPr>
          <w:rFonts w:asciiTheme="minorHAnsi" w:eastAsiaTheme="minorEastAsia" w:hAnsiTheme="minorHAnsi"/>
          <w:noProof/>
        </w:rPr>
      </w:pPr>
      <w:hyperlink w:anchor="_Toc468288308" w:history="1">
        <w:r w:rsidR="005A30B3" w:rsidRPr="00E57629">
          <w:rPr>
            <w:rStyle w:val="Hyperlink"/>
            <w:noProof/>
          </w:rPr>
          <w:t>D.</w:t>
        </w:r>
        <w:r w:rsidR="005A30B3">
          <w:rPr>
            <w:rFonts w:asciiTheme="minorHAnsi" w:eastAsiaTheme="minorEastAsia" w:hAnsiTheme="minorHAnsi"/>
            <w:noProof/>
          </w:rPr>
          <w:tab/>
        </w:r>
        <w:r w:rsidR="005A30B3" w:rsidRPr="00E57629">
          <w:rPr>
            <w:rStyle w:val="Hyperlink"/>
            <w:noProof/>
          </w:rPr>
          <w:t>Report Contents</w:t>
        </w:r>
        <w:r w:rsidR="005A30B3">
          <w:rPr>
            <w:noProof/>
            <w:webHidden/>
          </w:rPr>
          <w:tab/>
        </w:r>
        <w:r w:rsidR="005A30B3">
          <w:rPr>
            <w:noProof/>
            <w:webHidden/>
          </w:rPr>
          <w:fldChar w:fldCharType="begin"/>
        </w:r>
        <w:r w:rsidR="005A30B3">
          <w:rPr>
            <w:noProof/>
            <w:webHidden/>
          </w:rPr>
          <w:instrText xml:space="preserve"> PAGEREF _Toc468288308 \h </w:instrText>
        </w:r>
        <w:r w:rsidR="005A30B3">
          <w:rPr>
            <w:noProof/>
            <w:webHidden/>
          </w:rPr>
        </w:r>
        <w:r w:rsidR="005A30B3">
          <w:rPr>
            <w:noProof/>
            <w:webHidden/>
          </w:rPr>
          <w:fldChar w:fldCharType="separate"/>
        </w:r>
        <w:r w:rsidR="005A30B3">
          <w:rPr>
            <w:noProof/>
            <w:webHidden/>
          </w:rPr>
          <w:t>11</w:t>
        </w:r>
        <w:r w:rsidR="005A30B3">
          <w:rPr>
            <w:noProof/>
            <w:webHidden/>
          </w:rPr>
          <w:fldChar w:fldCharType="end"/>
        </w:r>
      </w:hyperlink>
    </w:p>
    <w:p w14:paraId="25BC40FD" w14:textId="02FBDF73" w:rsidR="005A30B3" w:rsidRDefault="00FA6573">
      <w:pPr>
        <w:pStyle w:val="TOC1"/>
        <w:tabs>
          <w:tab w:val="right" w:leader="dot" w:pos="9350"/>
        </w:tabs>
        <w:rPr>
          <w:rFonts w:asciiTheme="minorHAnsi" w:eastAsiaTheme="minorEastAsia" w:hAnsiTheme="minorHAnsi"/>
          <w:noProof/>
        </w:rPr>
      </w:pPr>
      <w:hyperlink w:anchor="_Toc468288309" w:history="1">
        <w:r w:rsidR="005A30B3" w:rsidRPr="00E57629">
          <w:rPr>
            <w:rStyle w:val="Hyperlink"/>
            <w:noProof/>
          </w:rPr>
          <w:t>Section 3: CONE/Net CONE Study</w:t>
        </w:r>
        <w:r w:rsidR="005A30B3">
          <w:rPr>
            <w:noProof/>
            <w:webHidden/>
          </w:rPr>
          <w:tab/>
        </w:r>
        <w:r w:rsidR="005A30B3">
          <w:rPr>
            <w:noProof/>
            <w:webHidden/>
          </w:rPr>
          <w:fldChar w:fldCharType="begin"/>
        </w:r>
        <w:r w:rsidR="005A30B3">
          <w:rPr>
            <w:noProof/>
            <w:webHidden/>
          </w:rPr>
          <w:instrText xml:space="preserve"> PAGEREF _Toc468288309 \h </w:instrText>
        </w:r>
        <w:r w:rsidR="005A30B3">
          <w:rPr>
            <w:noProof/>
            <w:webHidden/>
          </w:rPr>
        </w:r>
        <w:r w:rsidR="005A30B3">
          <w:rPr>
            <w:noProof/>
            <w:webHidden/>
          </w:rPr>
          <w:fldChar w:fldCharType="separate"/>
        </w:r>
        <w:r w:rsidR="005A30B3">
          <w:rPr>
            <w:noProof/>
            <w:webHidden/>
          </w:rPr>
          <w:t>12</w:t>
        </w:r>
        <w:r w:rsidR="005A30B3">
          <w:rPr>
            <w:noProof/>
            <w:webHidden/>
          </w:rPr>
          <w:fldChar w:fldCharType="end"/>
        </w:r>
      </w:hyperlink>
    </w:p>
    <w:p w14:paraId="4215EC5F" w14:textId="12BFF0E7" w:rsidR="005A30B3" w:rsidRDefault="00FA6573">
      <w:pPr>
        <w:pStyle w:val="TOC2"/>
        <w:tabs>
          <w:tab w:val="left" w:pos="660"/>
          <w:tab w:val="right" w:leader="dot" w:pos="9350"/>
        </w:tabs>
        <w:rPr>
          <w:rFonts w:asciiTheme="minorHAnsi" w:eastAsiaTheme="minorEastAsia" w:hAnsiTheme="minorHAnsi"/>
          <w:noProof/>
        </w:rPr>
      </w:pPr>
      <w:hyperlink w:anchor="_Toc468288310" w:history="1">
        <w:r w:rsidR="005A30B3" w:rsidRPr="00E57629">
          <w:rPr>
            <w:rStyle w:val="Hyperlink"/>
            <w:noProof/>
          </w:rPr>
          <w:t>A.</w:t>
        </w:r>
        <w:r w:rsidR="005A30B3">
          <w:rPr>
            <w:rFonts w:asciiTheme="minorHAnsi" w:eastAsiaTheme="minorEastAsia" w:hAnsiTheme="minorHAnsi"/>
            <w:noProof/>
          </w:rPr>
          <w:tab/>
        </w:r>
        <w:r w:rsidR="005A30B3" w:rsidRPr="00E57629">
          <w:rPr>
            <w:rStyle w:val="Hyperlink"/>
            <w:noProof/>
          </w:rPr>
          <w:t>Resource Screening Criteria, Process and Selection</w:t>
        </w:r>
        <w:r w:rsidR="005A30B3">
          <w:rPr>
            <w:noProof/>
            <w:webHidden/>
          </w:rPr>
          <w:tab/>
        </w:r>
        <w:r w:rsidR="005A30B3">
          <w:rPr>
            <w:noProof/>
            <w:webHidden/>
          </w:rPr>
          <w:fldChar w:fldCharType="begin"/>
        </w:r>
        <w:r w:rsidR="005A30B3">
          <w:rPr>
            <w:noProof/>
            <w:webHidden/>
          </w:rPr>
          <w:instrText xml:space="preserve"> PAGEREF _Toc468288310 \h </w:instrText>
        </w:r>
        <w:r w:rsidR="005A30B3">
          <w:rPr>
            <w:noProof/>
            <w:webHidden/>
          </w:rPr>
        </w:r>
        <w:r w:rsidR="005A30B3">
          <w:rPr>
            <w:noProof/>
            <w:webHidden/>
          </w:rPr>
          <w:fldChar w:fldCharType="separate"/>
        </w:r>
        <w:r w:rsidR="005A30B3">
          <w:rPr>
            <w:noProof/>
            <w:webHidden/>
          </w:rPr>
          <w:t>12</w:t>
        </w:r>
        <w:r w:rsidR="005A30B3">
          <w:rPr>
            <w:noProof/>
            <w:webHidden/>
          </w:rPr>
          <w:fldChar w:fldCharType="end"/>
        </w:r>
      </w:hyperlink>
    </w:p>
    <w:p w14:paraId="5E19D6C5" w14:textId="6BD3E23C" w:rsidR="005A30B3" w:rsidRDefault="00FA6573">
      <w:pPr>
        <w:pStyle w:val="TOC2"/>
        <w:tabs>
          <w:tab w:val="left" w:pos="660"/>
          <w:tab w:val="right" w:leader="dot" w:pos="9350"/>
        </w:tabs>
        <w:rPr>
          <w:rFonts w:asciiTheme="minorHAnsi" w:eastAsiaTheme="minorEastAsia" w:hAnsiTheme="minorHAnsi"/>
          <w:noProof/>
        </w:rPr>
      </w:pPr>
      <w:hyperlink w:anchor="_Toc468288311" w:history="1">
        <w:r w:rsidR="005A30B3" w:rsidRPr="00E57629">
          <w:rPr>
            <w:rStyle w:val="Hyperlink"/>
            <w:noProof/>
          </w:rPr>
          <w:t>B.</w:t>
        </w:r>
        <w:r w:rsidR="005A30B3">
          <w:rPr>
            <w:rFonts w:asciiTheme="minorHAnsi" w:eastAsiaTheme="minorEastAsia" w:hAnsiTheme="minorHAnsi"/>
            <w:noProof/>
          </w:rPr>
          <w:tab/>
        </w:r>
        <w:r w:rsidR="005A30B3" w:rsidRPr="00E57629">
          <w:rPr>
            <w:rStyle w:val="Hyperlink"/>
            <w:noProof/>
          </w:rPr>
          <w:t>Key Assumptions</w:t>
        </w:r>
        <w:r w:rsidR="005A30B3">
          <w:rPr>
            <w:noProof/>
            <w:webHidden/>
          </w:rPr>
          <w:tab/>
        </w:r>
        <w:r w:rsidR="005A30B3">
          <w:rPr>
            <w:noProof/>
            <w:webHidden/>
          </w:rPr>
          <w:fldChar w:fldCharType="begin"/>
        </w:r>
        <w:r w:rsidR="005A30B3">
          <w:rPr>
            <w:noProof/>
            <w:webHidden/>
          </w:rPr>
          <w:instrText xml:space="preserve"> PAGEREF _Toc468288311 \h </w:instrText>
        </w:r>
        <w:r w:rsidR="005A30B3">
          <w:rPr>
            <w:noProof/>
            <w:webHidden/>
          </w:rPr>
        </w:r>
        <w:r w:rsidR="005A30B3">
          <w:rPr>
            <w:noProof/>
            <w:webHidden/>
          </w:rPr>
          <w:fldChar w:fldCharType="separate"/>
        </w:r>
        <w:r w:rsidR="005A30B3">
          <w:rPr>
            <w:noProof/>
            <w:webHidden/>
          </w:rPr>
          <w:t>16</w:t>
        </w:r>
        <w:r w:rsidR="005A30B3">
          <w:rPr>
            <w:noProof/>
            <w:webHidden/>
          </w:rPr>
          <w:fldChar w:fldCharType="end"/>
        </w:r>
      </w:hyperlink>
    </w:p>
    <w:p w14:paraId="205130BD" w14:textId="1EDB9F9B" w:rsidR="005A30B3" w:rsidRDefault="00FA6573">
      <w:pPr>
        <w:pStyle w:val="TOC2"/>
        <w:tabs>
          <w:tab w:val="left" w:pos="660"/>
          <w:tab w:val="right" w:leader="dot" w:pos="9350"/>
        </w:tabs>
        <w:rPr>
          <w:rFonts w:asciiTheme="minorHAnsi" w:eastAsiaTheme="minorEastAsia" w:hAnsiTheme="minorHAnsi"/>
          <w:noProof/>
        </w:rPr>
      </w:pPr>
      <w:hyperlink w:anchor="_Toc468288312" w:history="1">
        <w:r w:rsidR="005A30B3" w:rsidRPr="00E57629">
          <w:rPr>
            <w:rStyle w:val="Hyperlink"/>
            <w:noProof/>
          </w:rPr>
          <w:t>C.</w:t>
        </w:r>
        <w:r w:rsidR="005A30B3">
          <w:rPr>
            <w:rFonts w:asciiTheme="minorHAnsi" w:eastAsiaTheme="minorEastAsia" w:hAnsiTheme="minorHAnsi"/>
            <w:noProof/>
          </w:rPr>
          <w:tab/>
        </w:r>
        <w:r w:rsidR="005A30B3" w:rsidRPr="00E57629">
          <w:rPr>
            <w:rStyle w:val="Hyperlink"/>
            <w:noProof/>
          </w:rPr>
          <w:t>Approach to Determination of Capital Costs</w:t>
        </w:r>
        <w:r w:rsidR="005A30B3">
          <w:rPr>
            <w:noProof/>
            <w:webHidden/>
          </w:rPr>
          <w:tab/>
        </w:r>
        <w:r w:rsidR="005A30B3">
          <w:rPr>
            <w:noProof/>
            <w:webHidden/>
          </w:rPr>
          <w:fldChar w:fldCharType="begin"/>
        </w:r>
        <w:r w:rsidR="005A30B3">
          <w:rPr>
            <w:noProof/>
            <w:webHidden/>
          </w:rPr>
          <w:instrText xml:space="preserve"> PAGEREF _Toc468288312 \h </w:instrText>
        </w:r>
        <w:r w:rsidR="005A30B3">
          <w:rPr>
            <w:noProof/>
            <w:webHidden/>
          </w:rPr>
        </w:r>
        <w:r w:rsidR="005A30B3">
          <w:rPr>
            <w:noProof/>
            <w:webHidden/>
          </w:rPr>
          <w:fldChar w:fldCharType="separate"/>
        </w:r>
        <w:r w:rsidR="005A30B3">
          <w:rPr>
            <w:noProof/>
            <w:webHidden/>
          </w:rPr>
          <w:t>19</w:t>
        </w:r>
        <w:r w:rsidR="005A30B3">
          <w:rPr>
            <w:noProof/>
            <w:webHidden/>
          </w:rPr>
          <w:fldChar w:fldCharType="end"/>
        </w:r>
      </w:hyperlink>
    </w:p>
    <w:p w14:paraId="65C78F16" w14:textId="1CAEA76D" w:rsidR="005A30B3" w:rsidRDefault="00FA6573">
      <w:pPr>
        <w:pStyle w:val="TOC2"/>
        <w:tabs>
          <w:tab w:val="left" w:pos="660"/>
          <w:tab w:val="right" w:leader="dot" w:pos="9350"/>
        </w:tabs>
        <w:rPr>
          <w:rFonts w:asciiTheme="minorHAnsi" w:eastAsiaTheme="minorEastAsia" w:hAnsiTheme="minorHAnsi"/>
          <w:noProof/>
        </w:rPr>
      </w:pPr>
      <w:hyperlink w:anchor="_Toc468288313" w:history="1">
        <w:r w:rsidR="005A30B3" w:rsidRPr="00E57629">
          <w:rPr>
            <w:rStyle w:val="Hyperlink"/>
            <w:noProof/>
          </w:rPr>
          <w:t>D.</w:t>
        </w:r>
        <w:r w:rsidR="005A30B3">
          <w:rPr>
            <w:rFonts w:asciiTheme="minorHAnsi" w:eastAsiaTheme="minorEastAsia" w:hAnsiTheme="minorHAnsi"/>
            <w:noProof/>
          </w:rPr>
          <w:tab/>
        </w:r>
        <w:r w:rsidR="005A30B3" w:rsidRPr="00E57629">
          <w:rPr>
            <w:rStyle w:val="Hyperlink"/>
            <w:noProof/>
          </w:rPr>
          <w:t>CONE Technical Specifications and Costs</w:t>
        </w:r>
        <w:r w:rsidR="005A30B3">
          <w:rPr>
            <w:noProof/>
            <w:webHidden/>
          </w:rPr>
          <w:tab/>
        </w:r>
        <w:r w:rsidR="005A30B3">
          <w:rPr>
            <w:noProof/>
            <w:webHidden/>
          </w:rPr>
          <w:fldChar w:fldCharType="begin"/>
        </w:r>
        <w:r w:rsidR="005A30B3">
          <w:rPr>
            <w:noProof/>
            <w:webHidden/>
          </w:rPr>
          <w:instrText xml:space="preserve"> PAGEREF _Toc468288313 \h </w:instrText>
        </w:r>
        <w:r w:rsidR="005A30B3">
          <w:rPr>
            <w:noProof/>
            <w:webHidden/>
          </w:rPr>
        </w:r>
        <w:r w:rsidR="005A30B3">
          <w:rPr>
            <w:noProof/>
            <w:webHidden/>
          </w:rPr>
          <w:fldChar w:fldCharType="separate"/>
        </w:r>
        <w:r w:rsidR="005A30B3">
          <w:rPr>
            <w:noProof/>
            <w:webHidden/>
          </w:rPr>
          <w:t>27</w:t>
        </w:r>
        <w:r w:rsidR="005A30B3">
          <w:rPr>
            <w:noProof/>
            <w:webHidden/>
          </w:rPr>
          <w:fldChar w:fldCharType="end"/>
        </w:r>
      </w:hyperlink>
    </w:p>
    <w:p w14:paraId="33C92352" w14:textId="5B551112" w:rsidR="005A30B3" w:rsidRDefault="00FA6573">
      <w:pPr>
        <w:pStyle w:val="TOC2"/>
        <w:tabs>
          <w:tab w:val="left" w:pos="660"/>
          <w:tab w:val="right" w:leader="dot" w:pos="9350"/>
        </w:tabs>
        <w:rPr>
          <w:rFonts w:asciiTheme="minorHAnsi" w:eastAsiaTheme="minorEastAsia" w:hAnsiTheme="minorHAnsi"/>
          <w:noProof/>
        </w:rPr>
      </w:pPr>
      <w:hyperlink w:anchor="_Toc468288314" w:history="1">
        <w:r w:rsidR="005A30B3" w:rsidRPr="00E57629">
          <w:rPr>
            <w:rStyle w:val="Hyperlink"/>
            <w:noProof/>
          </w:rPr>
          <w:t>E.</w:t>
        </w:r>
        <w:r w:rsidR="005A30B3">
          <w:rPr>
            <w:rFonts w:asciiTheme="minorHAnsi" w:eastAsiaTheme="minorEastAsia" w:hAnsiTheme="minorHAnsi"/>
            <w:noProof/>
          </w:rPr>
          <w:tab/>
        </w:r>
        <w:r w:rsidR="005A30B3" w:rsidRPr="00E57629">
          <w:rPr>
            <w:rStyle w:val="Hyperlink"/>
            <w:noProof/>
          </w:rPr>
          <w:t>Financial assumptions</w:t>
        </w:r>
        <w:r w:rsidR="005A30B3">
          <w:rPr>
            <w:noProof/>
            <w:webHidden/>
          </w:rPr>
          <w:tab/>
        </w:r>
        <w:r w:rsidR="005A30B3">
          <w:rPr>
            <w:noProof/>
            <w:webHidden/>
          </w:rPr>
          <w:fldChar w:fldCharType="begin"/>
        </w:r>
        <w:r w:rsidR="005A30B3">
          <w:rPr>
            <w:noProof/>
            <w:webHidden/>
          </w:rPr>
          <w:instrText xml:space="preserve"> PAGEREF _Toc468288314 \h </w:instrText>
        </w:r>
        <w:r w:rsidR="005A30B3">
          <w:rPr>
            <w:noProof/>
            <w:webHidden/>
          </w:rPr>
        </w:r>
        <w:r w:rsidR="005A30B3">
          <w:rPr>
            <w:noProof/>
            <w:webHidden/>
          </w:rPr>
          <w:fldChar w:fldCharType="separate"/>
        </w:r>
        <w:r w:rsidR="005A30B3">
          <w:rPr>
            <w:noProof/>
            <w:webHidden/>
          </w:rPr>
          <w:t>39</w:t>
        </w:r>
        <w:r w:rsidR="005A30B3">
          <w:rPr>
            <w:noProof/>
            <w:webHidden/>
          </w:rPr>
          <w:fldChar w:fldCharType="end"/>
        </w:r>
      </w:hyperlink>
    </w:p>
    <w:p w14:paraId="465CE2F2" w14:textId="7C292952" w:rsidR="005A30B3" w:rsidRDefault="00FA6573">
      <w:pPr>
        <w:pStyle w:val="TOC2"/>
        <w:tabs>
          <w:tab w:val="left" w:pos="660"/>
          <w:tab w:val="right" w:leader="dot" w:pos="9350"/>
        </w:tabs>
        <w:rPr>
          <w:rFonts w:asciiTheme="minorHAnsi" w:eastAsiaTheme="minorEastAsia" w:hAnsiTheme="minorHAnsi"/>
          <w:noProof/>
        </w:rPr>
      </w:pPr>
      <w:hyperlink w:anchor="_Toc468288315" w:history="1">
        <w:r w:rsidR="005A30B3" w:rsidRPr="00E57629">
          <w:rPr>
            <w:rStyle w:val="Hyperlink"/>
            <w:noProof/>
          </w:rPr>
          <w:t>F.</w:t>
        </w:r>
        <w:r w:rsidR="005A30B3">
          <w:rPr>
            <w:rFonts w:asciiTheme="minorHAnsi" w:eastAsiaTheme="minorEastAsia" w:hAnsiTheme="minorHAnsi"/>
            <w:noProof/>
          </w:rPr>
          <w:tab/>
        </w:r>
        <w:r w:rsidR="005A30B3" w:rsidRPr="00E57629">
          <w:rPr>
            <w:rStyle w:val="Hyperlink"/>
            <w:noProof/>
          </w:rPr>
          <w:t>Revenue Offsets</w:t>
        </w:r>
        <w:r w:rsidR="005A30B3">
          <w:rPr>
            <w:noProof/>
            <w:webHidden/>
          </w:rPr>
          <w:tab/>
        </w:r>
        <w:r w:rsidR="005A30B3">
          <w:rPr>
            <w:noProof/>
            <w:webHidden/>
          </w:rPr>
          <w:fldChar w:fldCharType="begin"/>
        </w:r>
        <w:r w:rsidR="005A30B3">
          <w:rPr>
            <w:noProof/>
            <w:webHidden/>
          </w:rPr>
          <w:instrText xml:space="preserve"> PAGEREF _Toc468288315 \h </w:instrText>
        </w:r>
        <w:r w:rsidR="005A30B3">
          <w:rPr>
            <w:noProof/>
            <w:webHidden/>
          </w:rPr>
        </w:r>
        <w:r w:rsidR="005A30B3">
          <w:rPr>
            <w:noProof/>
            <w:webHidden/>
          </w:rPr>
          <w:fldChar w:fldCharType="separate"/>
        </w:r>
        <w:r w:rsidR="005A30B3">
          <w:rPr>
            <w:noProof/>
            <w:webHidden/>
          </w:rPr>
          <w:t>50</w:t>
        </w:r>
        <w:r w:rsidR="005A30B3">
          <w:rPr>
            <w:noProof/>
            <w:webHidden/>
          </w:rPr>
          <w:fldChar w:fldCharType="end"/>
        </w:r>
      </w:hyperlink>
    </w:p>
    <w:p w14:paraId="747B35CD" w14:textId="689B9B34" w:rsidR="005A30B3" w:rsidRDefault="00FA6573">
      <w:pPr>
        <w:pStyle w:val="TOC2"/>
        <w:tabs>
          <w:tab w:val="left" w:pos="660"/>
          <w:tab w:val="right" w:leader="dot" w:pos="9350"/>
        </w:tabs>
        <w:rPr>
          <w:rFonts w:asciiTheme="minorHAnsi" w:eastAsiaTheme="minorEastAsia" w:hAnsiTheme="minorHAnsi"/>
          <w:noProof/>
        </w:rPr>
      </w:pPr>
      <w:hyperlink w:anchor="_Toc468288316" w:history="1">
        <w:r w:rsidR="005A30B3" w:rsidRPr="00E57629">
          <w:rPr>
            <w:rStyle w:val="Hyperlink"/>
            <w:noProof/>
          </w:rPr>
          <w:t>G.</w:t>
        </w:r>
        <w:r w:rsidR="005A30B3">
          <w:rPr>
            <w:rFonts w:asciiTheme="minorHAnsi" w:eastAsiaTheme="minorEastAsia" w:hAnsiTheme="minorHAnsi"/>
            <w:noProof/>
          </w:rPr>
          <w:tab/>
        </w:r>
        <w:r w:rsidR="005A30B3" w:rsidRPr="00E57629">
          <w:rPr>
            <w:rStyle w:val="Hyperlink"/>
            <w:noProof/>
          </w:rPr>
          <w:t>CONE Calculation and Results</w:t>
        </w:r>
        <w:r w:rsidR="005A30B3">
          <w:rPr>
            <w:noProof/>
            <w:webHidden/>
          </w:rPr>
          <w:tab/>
        </w:r>
        <w:r w:rsidR="005A30B3">
          <w:rPr>
            <w:noProof/>
            <w:webHidden/>
          </w:rPr>
          <w:fldChar w:fldCharType="begin"/>
        </w:r>
        <w:r w:rsidR="005A30B3">
          <w:rPr>
            <w:noProof/>
            <w:webHidden/>
          </w:rPr>
          <w:instrText xml:space="preserve"> PAGEREF _Toc468288316 \h </w:instrText>
        </w:r>
        <w:r w:rsidR="005A30B3">
          <w:rPr>
            <w:noProof/>
            <w:webHidden/>
          </w:rPr>
        </w:r>
        <w:r w:rsidR="005A30B3">
          <w:rPr>
            <w:noProof/>
            <w:webHidden/>
          </w:rPr>
          <w:fldChar w:fldCharType="separate"/>
        </w:r>
        <w:r w:rsidR="005A30B3">
          <w:rPr>
            <w:noProof/>
            <w:webHidden/>
          </w:rPr>
          <w:t>67</w:t>
        </w:r>
        <w:r w:rsidR="005A30B3">
          <w:rPr>
            <w:noProof/>
            <w:webHidden/>
          </w:rPr>
          <w:fldChar w:fldCharType="end"/>
        </w:r>
      </w:hyperlink>
    </w:p>
    <w:p w14:paraId="35CBFC26" w14:textId="683B851A" w:rsidR="005A30B3" w:rsidRDefault="00FA6573">
      <w:pPr>
        <w:pStyle w:val="TOC2"/>
        <w:tabs>
          <w:tab w:val="left" w:pos="660"/>
          <w:tab w:val="right" w:leader="dot" w:pos="9350"/>
        </w:tabs>
        <w:rPr>
          <w:rFonts w:asciiTheme="minorHAnsi" w:eastAsiaTheme="minorEastAsia" w:hAnsiTheme="minorHAnsi"/>
          <w:noProof/>
        </w:rPr>
      </w:pPr>
      <w:hyperlink w:anchor="_Toc468288317" w:history="1">
        <w:r w:rsidR="005A30B3" w:rsidRPr="00E57629">
          <w:rPr>
            <w:rStyle w:val="Hyperlink"/>
            <w:noProof/>
          </w:rPr>
          <w:t>H.</w:t>
        </w:r>
        <w:r w:rsidR="005A30B3">
          <w:rPr>
            <w:rFonts w:asciiTheme="minorHAnsi" w:eastAsiaTheme="minorEastAsia" w:hAnsiTheme="minorHAnsi"/>
            <w:noProof/>
          </w:rPr>
          <w:tab/>
        </w:r>
        <w:r w:rsidR="005A30B3" w:rsidRPr="00E57629">
          <w:rPr>
            <w:rStyle w:val="Hyperlink"/>
            <w:noProof/>
          </w:rPr>
          <w:t>CONE Annual Update Process</w:t>
        </w:r>
        <w:r w:rsidR="005A30B3">
          <w:rPr>
            <w:noProof/>
            <w:webHidden/>
          </w:rPr>
          <w:tab/>
        </w:r>
        <w:r w:rsidR="005A30B3">
          <w:rPr>
            <w:noProof/>
            <w:webHidden/>
          </w:rPr>
          <w:fldChar w:fldCharType="begin"/>
        </w:r>
        <w:r w:rsidR="005A30B3">
          <w:rPr>
            <w:noProof/>
            <w:webHidden/>
          </w:rPr>
          <w:instrText xml:space="preserve"> PAGEREF _Toc468288317 \h </w:instrText>
        </w:r>
        <w:r w:rsidR="005A30B3">
          <w:rPr>
            <w:noProof/>
            <w:webHidden/>
          </w:rPr>
        </w:r>
        <w:r w:rsidR="005A30B3">
          <w:rPr>
            <w:noProof/>
            <w:webHidden/>
          </w:rPr>
          <w:fldChar w:fldCharType="separate"/>
        </w:r>
        <w:r w:rsidR="005A30B3">
          <w:rPr>
            <w:noProof/>
            <w:webHidden/>
          </w:rPr>
          <w:t>68</w:t>
        </w:r>
        <w:r w:rsidR="005A30B3">
          <w:rPr>
            <w:noProof/>
            <w:webHidden/>
          </w:rPr>
          <w:fldChar w:fldCharType="end"/>
        </w:r>
      </w:hyperlink>
    </w:p>
    <w:p w14:paraId="6D950F40" w14:textId="7F31C9AB" w:rsidR="005A30B3" w:rsidRDefault="00FA6573">
      <w:pPr>
        <w:pStyle w:val="TOC1"/>
        <w:tabs>
          <w:tab w:val="right" w:leader="dot" w:pos="9350"/>
        </w:tabs>
        <w:rPr>
          <w:rFonts w:asciiTheme="minorHAnsi" w:eastAsiaTheme="minorEastAsia" w:hAnsiTheme="minorHAnsi"/>
          <w:noProof/>
        </w:rPr>
      </w:pPr>
      <w:hyperlink w:anchor="_Toc468288318" w:history="1">
        <w:r w:rsidR="005A30B3" w:rsidRPr="00E57629">
          <w:rPr>
            <w:rStyle w:val="Hyperlink"/>
            <w:noProof/>
          </w:rPr>
          <w:t>Section 4: ORTP Study</w:t>
        </w:r>
        <w:r w:rsidR="005A30B3">
          <w:rPr>
            <w:noProof/>
            <w:webHidden/>
          </w:rPr>
          <w:tab/>
        </w:r>
        <w:r w:rsidR="005A30B3">
          <w:rPr>
            <w:noProof/>
            <w:webHidden/>
          </w:rPr>
          <w:fldChar w:fldCharType="begin"/>
        </w:r>
        <w:r w:rsidR="005A30B3">
          <w:rPr>
            <w:noProof/>
            <w:webHidden/>
          </w:rPr>
          <w:instrText xml:space="preserve"> PAGEREF _Toc468288318 \h </w:instrText>
        </w:r>
        <w:r w:rsidR="005A30B3">
          <w:rPr>
            <w:noProof/>
            <w:webHidden/>
          </w:rPr>
        </w:r>
        <w:r w:rsidR="005A30B3">
          <w:rPr>
            <w:noProof/>
            <w:webHidden/>
          </w:rPr>
          <w:fldChar w:fldCharType="separate"/>
        </w:r>
        <w:r w:rsidR="005A30B3">
          <w:rPr>
            <w:noProof/>
            <w:webHidden/>
          </w:rPr>
          <w:t>70</w:t>
        </w:r>
        <w:r w:rsidR="005A30B3">
          <w:rPr>
            <w:noProof/>
            <w:webHidden/>
          </w:rPr>
          <w:fldChar w:fldCharType="end"/>
        </w:r>
      </w:hyperlink>
    </w:p>
    <w:p w14:paraId="0A76F51A" w14:textId="51D20D9B" w:rsidR="005A30B3" w:rsidRDefault="00FA6573">
      <w:pPr>
        <w:pStyle w:val="TOC2"/>
        <w:tabs>
          <w:tab w:val="left" w:pos="660"/>
          <w:tab w:val="right" w:leader="dot" w:pos="9350"/>
        </w:tabs>
        <w:rPr>
          <w:rFonts w:asciiTheme="minorHAnsi" w:eastAsiaTheme="minorEastAsia" w:hAnsiTheme="minorHAnsi"/>
          <w:noProof/>
        </w:rPr>
      </w:pPr>
      <w:hyperlink w:anchor="_Toc468288319" w:history="1">
        <w:r w:rsidR="005A30B3" w:rsidRPr="00E57629">
          <w:rPr>
            <w:rStyle w:val="Hyperlink"/>
            <w:noProof/>
          </w:rPr>
          <w:t>A.</w:t>
        </w:r>
        <w:r w:rsidR="005A30B3">
          <w:rPr>
            <w:rFonts w:asciiTheme="minorHAnsi" w:eastAsiaTheme="minorEastAsia" w:hAnsiTheme="minorHAnsi"/>
            <w:noProof/>
          </w:rPr>
          <w:tab/>
        </w:r>
        <w:r w:rsidR="005A30B3" w:rsidRPr="00E57629">
          <w:rPr>
            <w:rStyle w:val="Hyperlink"/>
            <w:noProof/>
          </w:rPr>
          <w:t>Introduction</w:t>
        </w:r>
        <w:r w:rsidR="005A30B3">
          <w:rPr>
            <w:noProof/>
            <w:webHidden/>
          </w:rPr>
          <w:tab/>
        </w:r>
        <w:r w:rsidR="005A30B3">
          <w:rPr>
            <w:noProof/>
            <w:webHidden/>
          </w:rPr>
          <w:fldChar w:fldCharType="begin"/>
        </w:r>
        <w:r w:rsidR="005A30B3">
          <w:rPr>
            <w:noProof/>
            <w:webHidden/>
          </w:rPr>
          <w:instrText xml:space="preserve"> PAGEREF _Toc468288319 \h </w:instrText>
        </w:r>
        <w:r w:rsidR="005A30B3">
          <w:rPr>
            <w:noProof/>
            <w:webHidden/>
          </w:rPr>
        </w:r>
        <w:r w:rsidR="005A30B3">
          <w:rPr>
            <w:noProof/>
            <w:webHidden/>
          </w:rPr>
          <w:fldChar w:fldCharType="separate"/>
        </w:r>
        <w:r w:rsidR="005A30B3">
          <w:rPr>
            <w:noProof/>
            <w:webHidden/>
          </w:rPr>
          <w:t>70</w:t>
        </w:r>
        <w:r w:rsidR="005A30B3">
          <w:rPr>
            <w:noProof/>
            <w:webHidden/>
          </w:rPr>
          <w:fldChar w:fldCharType="end"/>
        </w:r>
      </w:hyperlink>
    </w:p>
    <w:p w14:paraId="10A59AD3" w14:textId="041F480D" w:rsidR="005A30B3" w:rsidRDefault="00FA6573">
      <w:pPr>
        <w:pStyle w:val="TOC2"/>
        <w:tabs>
          <w:tab w:val="left" w:pos="660"/>
          <w:tab w:val="right" w:leader="dot" w:pos="9350"/>
        </w:tabs>
        <w:rPr>
          <w:rFonts w:asciiTheme="minorHAnsi" w:eastAsiaTheme="minorEastAsia" w:hAnsiTheme="minorHAnsi"/>
          <w:noProof/>
        </w:rPr>
      </w:pPr>
      <w:hyperlink w:anchor="_Toc468288320" w:history="1">
        <w:r w:rsidR="005A30B3" w:rsidRPr="00E57629">
          <w:rPr>
            <w:rStyle w:val="Hyperlink"/>
            <w:noProof/>
          </w:rPr>
          <w:t>B.</w:t>
        </w:r>
        <w:r w:rsidR="005A30B3">
          <w:rPr>
            <w:rFonts w:asciiTheme="minorHAnsi" w:eastAsiaTheme="minorEastAsia" w:hAnsiTheme="minorHAnsi"/>
            <w:noProof/>
          </w:rPr>
          <w:tab/>
        </w:r>
        <w:r w:rsidR="005A30B3" w:rsidRPr="00E57629">
          <w:rPr>
            <w:rStyle w:val="Hyperlink"/>
            <w:noProof/>
          </w:rPr>
          <w:t>Approach</w:t>
        </w:r>
        <w:r w:rsidR="005A30B3">
          <w:rPr>
            <w:noProof/>
            <w:webHidden/>
          </w:rPr>
          <w:tab/>
        </w:r>
        <w:r w:rsidR="005A30B3">
          <w:rPr>
            <w:noProof/>
            <w:webHidden/>
          </w:rPr>
          <w:fldChar w:fldCharType="begin"/>
        </w:r>
        <w:r w:rsidR="005A30B3">
          <w:rPr>
            <w:noProof/>
            <w:webHidden/>
          </w:rPr>
          <w:instrText xml:space="preserve"> PAGEREF _Toc468288320 \h </w:instrText>
        </w:r>
        <w:r w:rsidR="005A30B3">
          <w:rPr>
            <w:noProof/>
            <w:webHidden/>
          </w:rPr>
        </w:r>
        <w:r w:rsidR="005A30B3">
          <w:rPr>
            <w:noProof/>
            <w:webHidden/>
          </w:rPr>
          <w:fldChar w:fldCharType="separate"/>
        </w:r>
        <w:r w:rsidR="005A30B3">
          <w:rPr>
            <w:noProof/>
            <w:webHidden/>
          </w:rPr>
          <w:t>70</w:t>
        </w:r>
        <w:r w:rsidR="005A30B3">
          <w:rPr>
            <w:noProof/>
            <w:webHidden/>
          </w:rPr>
          <w:fldChar w:fldCharType="end"/>
        </w:r>
      </w:hyperlink>
    </w:p>
    <w:p w14:paraId="3C3142DB" w14:textId="7C1AFDB9" w:rsidR="005A30B3" w:rsidRDefault="00FA6573">
      <w:pPr>
        <w:pStyle w:val="TOC2"/>
        <w:tabs>
          <w:tab w:val="left" w:pos="660"/>
          <w:tab w:val="right" w:leader="dot" w:pos="9350"/>
        </w:tabs>
        <w:rPr>
          <w:rFonts w:asciiTheme="minorHAnsi" w:eastAsiaTheme="minorEastAsia" w:hAnsiTheme="minorHAnsi"/>
          <w:noProof/>
        </w:rPr>
      </w:pPr>
      <w:hyperlink w:anchor="_Toc468288321" w:history="1">
        <w:r w:rsidR="005A30B3" w:rsidRPr="00E57629">
          <w:rPr>
            <w:rStyle w:val="Hyperlink"/>
            <w:noProof/>
          </w:rPr>
          <w:t>C.</w:t>
        </w:r>
        <w:r w:rsidR="005A30B3">
          <w:rPr>
            <w:rFonts w:asciiTheme="minorHAnsi" w:eastAsiaTheme="minorEastAsia" w:hAnsiTheme="minorHAnsi"/>
            <w:noProof/>
          </w:rPr>
          <w:tab/>
        </w:r>
        <w:r w:rsidR="005A30B3" w:rsidRPr="00E57629">
          <w:rPr>
            <w:rStyle w:val="Hyperlink"/>
            <w:noProof/>
          </w:rPr>
          <w:t>Resource Screening Criteria, Process and Selection</w:t>
        </w:r>
        <w:r w:rsidR="005A30B3">
          <w:rPr>
            <w:noProof/>
            <w:webHidden/>
          </w:rPr>
          <w:tab/>
        </w:r>
        <w:r w:rsidR="005A30B3">
          <w:rPr>
            <w:noProof/>
            <w:webHidden/>
          </w:rPr>
          <w:fldChar w:fldCharType="begin"/>
        </w:r>
        <w:r w:rsidR="005A30B3">
          <w:rPr>
            <w:noProof/>
            <w:webHidden/>
          </w:rPr>
          <w:instrText xml:space="preserve"> PAGEREF _Toc468288321 \h </w:instrText>
        </w:r>
        <w:r w:rsidR="005A30B3">
          <w:rPr>
            <w:noProof/>
            <w:webHidden/>
          </w:rPr>
        </w:r>
        <w:r w:rsidR="005A30B3">
          <w:rPr>
            <w:noProof/>
            <w:webHidden/>
          </w:rPr>
          <w:fldChar w:fldCharType="separate"/>
        </w:r>
        <w:r w:rsidR="005A30B3">
          <w:rPr>
            <w:noProof/>
            <w:webHidden/>
          </w:rPr>
          <w:t>71</w:t>
        </w:r>
        <w:r w:rsidR="005A30B3">
          <w:rPr>
            <w:noProof/>
            <w:webHidden/>
          </w:rPr>
          <w:fldChar w:fldCharType="end"/>
        </w:r>
      </w:hyperlink>
    </w:p>
    <w:p w14:paraId="48DE99DC" w14:textId="65F89DB0" w:rsidR="005A30B3" w:rsidRDefault="00FA6573">
      <w:pPr>
        <w:pStyle w:val="TOC2"/>
        <w:tabs>
          <w:tab w:val="left" w:pos="660"/>
          <w:tab w:val="right" w:leader="dot" w:pos="9350"/>
        </w:tabs>
        <w:rPr>
          <w:rFonts w:asciiTheme="minorHAnsi" w:eastAsiaTheme="minorEastAsia" w:hAnsiTheme="minorHAnsi"/>
          <w:noProof/>
        </w:rPr>
      </w:pPr>
      <w:hyperlink w:anchor="_Toc468288322" w:history="1">
        <w:r w:rsidR="005A30B3" w:rsidRPr="00E57629">
          <w:rPr>
            <w:rStyle w:val="Hyperlink"/>
            <w:noProof/>
          </w:rPr>
          <w:t>D.</w:t>
        </w:r>
        <w:r w:rsidR="005A30B3">
          <w:rPr>
            <w:rFonts w:asciiTheme="minorHAnsi" w:eastAsiaTheme="minorEastAsia" w:hAnsiTheme="minorHAnsi"/>
            <w:noProof/>
          </w:rPr>
          <w:tab/>
        </w:r>
        <w:r w:rsidR="005A30B3" w:rsidRPr="00E57629">
          <w:rPr>
            <w:rStyle w:val="Hyperlink"/>
            <w:noProof/>
          </w:rPr>
          <w:t>Financial Assumptions</w:t>
        </w:r>
        <w:r w:rsidR="005A30B3">
          <w:rPr>
            <w:noProof/>
            <w:webHidden/>
          </w:rPr>
          <w:tab/>
        </w:r>
        <w:r w:rsidR="005A30B3">
          <w:rPr>
            <w:noProof/>
            <w:webHidden/>
          </w:rPr>
          <w:fldChar w:fldCharType="begin"/>
        </w:r>
        <w:r w:rsidR="005A30B3">
          <w:rPr>
            <w:noProof/>
            <w:webHidden/>
          </w:rPr>
          <w:instrText xml:space="preserve"> PAGEREF _Toc468288322 \h </w:instrText>
        </w:r>
        <w:r w:rsidR="005A30B3">
          <w:rPr>
            <w:noProof/>
            <w:webHidden/>
          </w:rPr>
        </w:r>
        <w:r w:rsidR="005A30B3">
          <w:rPr>
            <w:noProof/>
            <w:webHidden/>
          </w:rPr>
          <w:fldChar w:fldCharType="separate"/>
        </w:r>
        <w:r w:rsidR="005A30B3">
          <w:rPr>
            <w:noProof/>
            <w:webHidden/>
          </w:rPr>
          <w:t>73</w:t>
        </w:r>
        <w:r w:rsidR="005A30B3">
          <w:rPr>
            <w:noProof/>
            <w:webHidden/>
          </w:rPr>
          <w:fldChar w:fldCharType="end"/>
        </w:r>
      </w:hyperlink>
    </w:p>
    <w:p w14:paraId="1EC15FA5" w14:textId="3E5735EB" w:rsidR="005A30B3" w:rsidRDefault="00FA6573">
      <w:pPr>
        <w:pStyle w:val="TOC2"/>
        <w:tabs>
          <w:tab w:val="left" w:pos="660"/>
          <w:tab w:val="right" w:leader="dot" w:pos="9350"/>
        </w:tabs>
        <w:rPr>
          <w:rFonts w:asciiTheme="minorHAnsi" w:eastAsiaTheme="minorEastAsia" w:hAnsiTheme="minorHAnsi"/>
          <w:noProof/>
        </w:rPr>
      </w:pPr>
      <w:hyperlink w:anchor="_Toc468288323" w:history="1">
        <w:r w:rsidR="005A30B3" w:rsidRPr="00E57629">
          <w:rPr>
            <w:rStyle w:val="Hyperlink"/>
            <w:noProof/>
          </w:rPr>
          <w:t>E.</w:t>
        </w:r>
        <w:r w:rsidR="005A30B3">
          <w:rPr>
            <w:rFonts w:asciiTheme="minorHAnsi" w:eastAsiaTheme="minorEastAsia" w:hAnsiTheme="minorHAnsi"/>
            <w:noProof/>
          </w:rPr>
          <w:tab/>
        </w:r>
        <w:r w:rsidR="005A30B3" w:rsidRPr="00E57629">
          <w:rPr>
            <w:rStyle w:val="Hyperlink"/>
            <w:noProof/>
          </w:rPr>
          <w:t>Gas-fired Generation ORTP</w:t>
        </w:r>
        <w:r w:rsidR="005A30B3">
          <w:rPr>
            <w:noProof/>
            <w:webHidden/>
          </w:rPr>
          <w:tab/>
        </w:r>
        <w:r w:rsidR="005A30B3">
          <w:rPr>
            <w:noProof/>
            <w:webHidden/>
          </w:rPr>
          <w:fldChar w:fldCharType="begin"/>
        </w:r>
        <w:r w:rsidR="005A30B3">
          <w:rPr>
            <w:noProof/>
            <w:webHidden/>
          </w:rPr>
          <w:instrText xml:space="preserve"> PAGEREF _Toc468288323 \h </w:instrText>
        </w:r>
        <w:r w:rsidR="005A30B3">
          <w:rPr>
            <w:noProof/>
            <w:webHidden/>
          </w:rPr>
        </w:r>
        <w:r w:rsidR="005A30B3">
          <w:rPr>
            <w:noProof/>
            <w:webHidden/>
          </w:rPr>
          <w:fldChar w:fldCharType="separate"/>
        </w:r>
        <w:r w:rsidR="005A30B3">
          <w:rPr>
            <w:noProof/>
            <w:webHidden/>
          </w:rPr>
          <w:t>74</w:t>
        </w:r>
        <w:r w:rsidR="005A30B3">
          <w:rPr>
            <w:noProof/>
            <w:webHidden/>
          </w:rPr>
          <w:fldChar w:fldCharType="end"/>
        </w:r>
      </w:hyperlink>
    </w:p>
    <w:p w14:paraId="7B7F04CB" w14:textId="477ADA09" w:rsidR="005A30B3" w:rsidRDefault="00FA6573">
      <w:pPr>
        <w:pStyle w:val="TOC2"/>
        <w:tabs>
          <w:tab w:val="left" w:pos="660"/>
          <w:tab w:val="right" w:leader="dot" w:pos="9350"/>
        </w:tabs>
        <w:rPr>
          <w:rFonts w:asciiTheme="minorHAnsi" w:eastAsiaTheme="minorEastAsia" w:hAnsiTheme="minorHAnsi"/>
          <w:noProof/>
        </w:rPr>
      </w:pPr>
      <w:hyperlink w:anchor="_Toc468288324" w:history="1">
        <w:r w:rsidR="005A30B3" w:rsidRPr="00E57629">
          <w:rPr>
            <w:rStyle w:val="Hyperlink"/>
            <w:noProof/>
          </w:rPr>
          <w:t>F.</w:t>
        </w:r>
        <w:r w:rsidR="005A30B3">
          <w:rPr>
            <w:rFonts w:asciiTheme="minorHAnsi" w:eastAsiaTheme="minorEastAsia" w:hAnsiTheme="minorHAnsi"/>
            <w:noProof/>
          </w:rPr>
          <w:tab/>
        </w:r>
        <w:r w:rsidR="005A30B3" w:rsidRPr="00E57629">
          <w:rPr>
            <w:rStyle w:val="Hyperlink"/>
            <w:noProof/>
          </w:rPr>
          <w:t>On-Shore Wind</w:t>
        </w:r>
        <w:r w:rsidR="005A30B3">
          <w:rPr>
            <w:noProof/>
            <w:webHidden/>
          </w:rPr>
          <w:tab/>
        </w:r>
        <w:r w:rsidR="005A30B3">
          <w:rPr>
            <w:noProof/>
            <w:webHidden/>
          </w:rPr>
          <w:fldChar w:fldCharType="begin"/>
        </w:r>
        <w:r w:rsidR="005A30B3">
          <w:rPr>
            <w:noProof/>
            <w:webHidden/>
          </w:rPr>
          <w:instrText xml:space="preserve"> PAGEREF _Toc468288324 \h </w:instrText>
        </w:r>
        <w:r w:rsidR="005A30B3">
          <w:rPr>
            <w:noProof/>
            <w:webHidden/>
          </w:rPr>
        </w:r>
        <w:r w:rsidR="005A30B3">
          <w:rPr>
            <w:noProof/>
            <w:webHidden/>
          </w:rPr>
          <w:fldChar w:fldCharType="separate"/>
        </w:r>
        <w:r w:rsidR="005A30B3">
          <w:rPr>
            <w:noProof/>
            <w:webHidden/>
          </w:rPr>
          <w:t>76</w:t>
        </w:r>
        <w:r w:rsidR="005A30B3">
          <w:rPr>
            <w:noProof/>
            <w:webHidden/>
          </w:rPr>
          <w:fldChar w:fldCharType="end"/>
        </w:r>
      </w:hyperlink>
    </w:p>
    <w:p w14:paraId="52E7E75E" w14:textId="3C9148BC" w:rsidR="005A30B3" w:rsidRDefault="00FA6573">
      <w:pPr>
        <w:pStyle w:val="TOC2"/>
        <w:tabs>
          <w:tab w:val="left" w:pos="660"/>
          <w:tab w:val="right" w:leader="dot" w:pos="9350"/>
        </w:tabs>
        <w:rPr>
          <w:rFonts w:asciiTheme="minorHAnsi" w:eastAsiaTheme="minorEastAsia" w:hAnsiTheme="minorHAnsi"/>
          <w:noProof/>
        </w:rPr>
      </w:pPr>
      <w:hyperlink w:anchor="_Toc468288325" w:history="1">
        <w:r w:rsidR="005A30B3" w:rsidRPr="00E57629">
          <w:rPr>
            <w:rStyle w:val="Hyperlink"/>
            <w:noProof/>
          </w:rPr>
          <w:t>G.</w:t>
        </w:r>
        <w:r w:rsidR="005A30B3">
          <w:rPr>
            <w:rFonts w:asciiTheme="minorHAnsi" w:eastAsiaTheme="minorEastAsia" w:hAnsiTheme="minorHAnsi"/>
            <w:noProof/>
          </w:rPr>
          <w:tab/>
        </w:r>
        <w:r w:rsidR="005A30B3" w:rsidRPr="00E57629">
          <w:rPr>
            <w:rStyle w:val="Hyperlink"/>
            <w:noProof/>
          </w:rPr>
          <w:t>Energy Efficiency ORTP</w:t>
        </w:r>
        <w:r w:rsidR="005A30B3">
          <w:rPr>
            <w:noProof/>
            <w:webHidden/>
          </w:rPr>
          <w:tab/>
        </w:r>
        <w:r w:rsidR="005A30B3">
          <w:rPr>
            <w:noProof/>
            <w:webHidden/>
          </w:rPr>
          <w:fldChar w:fldCharType="begin"/>
        </w:r>
        <w:r w:rsidR="005A30B3">
          <w:rPr>
            <w:noProof/>
            <w:webHidden/>
          </w:rPr>
          <w:instrText xml:space="preserve"> PAGEREF _Toc468288325 \h </w:instrText>
        </w:r>
        <w:r w:rsidR="005A30B3">
          <w:rPr>
            <w:noProof/>
            <w:webHidden/>
          </w:rPr>
        </w:r>
        <w:r w:rsidR="005A30B3">
          <w:rPr>
            <w:noProof/>
            <w:webHidden/>
          </w:rPr>
          <w:fldChar w:fldCharType="separate"/>
        </w:r>
        <w:r w:rsidR="005A30B3">
          <w:rPr>
            <w:noProof/>
            <w:webHidden/>
          </w:rPr>
          <w:t>81</w:t>
        </w:r>
        <w:r w:rsidR="005A30B3">
          <w:rPr>
            <w:noProof/>
            <w:webHidden/>
          </w:rPr>
          <w:fldChar w:fldCharType="end"/>
        </w:r>
      </w:hyperlink>
    </w:p>
    <w:p w14:paraId="25A3D24C" w14:textId="3BF97AB8" w:rsidR="005A30B3" w:rsidRDefault="00FA6573">
      <w:pPr>
        <w:pStyle w:val="TOC2"/>
        <w:tabs>
          <w:tab w:val="left" w:pos="660"/>
          <w:tab w:val="right" w:leader="dot" w:pos="9350"/>
        </w:tabs>
        <w:rPr>
          <w:rFonts w:asciiTheme="minorHAnsi" w:eastAsiaTheme="minorEastAsia" w:hAnsiTheme="minorHAnsi"/>
          <w:noProof/>
        </w:rPr>
      </w:pPr>
      <w:hyperlink w:anchor="_Toc468288326" w:history="1">
        <w:r w:rsidR="005A30B3" w:rsidRPr="00E57629">
          <w:rPr>
            <w:rStyle w:val="Hyperlink"/>
            <w:noProof/>
          </w:rPr>
          <w:t>H.</w:t>
        </w:r>
        <w:r w:rsidR="005A30B3">
          <w:rPr>
            <w:rFonts w:asciiTheme="minorHAnsi" w:eastAsiaTheme="minorEastAsia" w:hAnsiTheme="minorHAnsi"/>
            <w:noProof/>
          </w:rPr>
          <w:tab/>
        </w:r>
        <w:r w:rsidR="005A30B3" w:rsidRPr="00E57629">
          <w:rPr>
            <w:rStyle w:val="Hyperlink"/>
            <w:noProof/>
          </w:rPr>
          <w:t>Demand Response Resource ORTP</w:t>
        </w:r>
        <w:r w:rsidR="005A30B3">
          <w:rPr>
            <w:noProof/>
            <w:webHidden/>
          </w:rPr>
          <w:tab/>
        </w:r>
        <w:r w:rsidR="005A30B3">
          <w:rPr>
            <w:noProof/>
            <w:webHidden/>
          </w:rPr>
          <w:fldChar w:fldCharType="begin"/>
        </w:r>
        <w:r w:rsidR="005A30B3">
          <w:rPr>
            <w:noProof/>
            <w:webHidden/>
          </w:rPr>
          <w:instrText xml:space="preserve"> PAGEREF _Toc468288326 \h </w:instrText>
        </w:r>
        <w:r w:rsidR="005A30B3">
          <w:rPr>
            <w:noProof/>
            <w:webHidden/>
          </w:rPr>
        </w:r>
        <w:r w:rsidR="005A30B3">
          <w:rPr>
            <w:noProof/>
            <w:webHidden/>
          </w:rPr>
          <w:fldChar w:fldCharType="separate"/>
        </w:r>
        <w:r w:rsidR="005A30B3">
          <w:rPr>
            <w:noProof/>
            <w:webHidden/>
          </w:rPr>
          <w:t>84</w:t>
        </w:r>
        <w:r w:rsidR="005A30B3">
          <w:rPr>
            <w:noProof/>
            <w:webHidden/>
          </w:rPr>
          <w:fldChar w:fldCharType="end"/>
        </w:r>
      </w:hyperlink>
    </w:p>
    <w:p w14:paraId="18C77C96" w14:textId="009243A1" w:rsidR="005A30B3" w:rsidRDefault="00FA6573">
      <w:pPr>
        <w:pStyle w:val="TOC2"/>
        <w:tabs>
          <w:tab w:val="left" w:pos="660"/>
          <w:tab w:val="right" w:leader="dot" w:pos="9350"/>
        </w:tabs>
        <w:rPr>
          <w:rFonts w:asciiTheme="minorHAnsi" w:eastAsiaTheme="minorEastAsia" w:hAnsiTheme="minorHAnsi"/>
          <w:noProof/>
        </w:rPr>
      </w:pPr>
      <w:hyperlink w:anchor="_Toc468288327" w:history="1">
        <w:r w:rsidR="005A30B3" w:rsidRPr="00E57629">
          <w:rPr>
            <w:rStyle w:val="Hyperlink"/>
            <w:noProof/>
          </w:rPr>
          <w:t>I.</w:t>
        </w:r>
        <w:r w:rsidR="005A30B3">
          <w:rPr>
            <w:rFonts w:asciiTheme="minorHAnsi" w:eastAsiaTheme="minorEastAsia" w:hAnsiTheme="minorHAnsi"/>
            <w:noProof/>
          </w:rPr>
          <w:tab/>
        </w:r>
        <w:r w:rsidR="005A30B3" w:rsidRPr="00E57629">
          <w:rPr>
            <w:rStyle w:val="Hyperlink"/>
            <w:noProof/>
          </w:rPr>
          <w:t>ORTP Annual Update Process</w:t>
        </w:r>
        <w:r w:rsidR="005A30B3">
          <w:rPr>
            <w:noProof/>
            <w:webHidden/>
          </w:rPr>
          <w:tab/>
        </w:r>
        <w:r w:rsidR="005A30B3">
          <w:rPr>
            <w:noProof/>
            <w:webHidden/>
          </w:rPr>
          <w:fldChar w:fldCharType="begin"/>
        </w:r>
        <w:r w:rsidR="005A30B3">
          <w:rPr>
            <w:noProof/>
            <w:webHidden/>
          </w:rPr>
          <w:instrText xml:space="preserve"> PAGEREF _Toc468288327 \h </w:instrText>
        </w:r>
        <w:r w:rsidR="005A30B3">
          <w:rPr>
            <w:noProof/>
            <w:webHidden/>
          </w:rPr>
        </w:r>
        <w:r w:rsidR="005A30B3">
          <w:rPr>
            <w:noProof/>
            <w:webHidden/>
          </w:rPr>
          <w:fldChar w:fldCharType="separate"/>
        </w:r>
        <w:r w:rsidR="005A30B3">
          <w:rPr>
            <w:noProof/>
            <w:webHidden/>
          </w:rPr>
          <w:t>87</w:t>
        </w:r>
        <w:r w:rsidR="005A30B3">
          <w:rPr>
            <w:noProof/>
            <w:webHidden/>
          </w:rPr>
          <w:fldChar w:fldCharType="end"/>
        </w:r>
      </w:hyperlink>
    </w:p>
    <w:p w14:paraId="38034B34" w14:textId="1724D45D" w:rsidR="005A30B3" w:rsidRDefault="00FA6573">
      <w:pPr>
        <w:pStyle w:val="TOC1"/>
        <w:tabs>
          <w:tab w:val="right" w:leader="dot" w:pos="9350"/>
        </w:tabs>
        <w:rPr>
          <w:rFonts w:asciiTheme="minorHAnsi" w:eastAsiaTheme="minorEastAsia" w:hAnsiTheme="minorHAnsi"/>
          <w:noProof/>
        </w:rPr>
      </w:pPr>
      <w:hyperlink w:anchor="_Toc468288328" w:history="1">
        <w:r w:rsidR="005A30B3" w:rsidRPr="00E57629">
          <w:rPr>
            <w:rStyle w:val="Hyperlink"/>
            <w:noProof/>
          </w:rPr>
          <w:t>Appendix</w:t>
        </w:r>
        <w:r w:rsidR="005A30B3">
          <w:rPr>
            <w:noProof/>
            <w:webHidden/>
          </w:rPr>
          <w:tab/>
        </w:r>
        <w:r w:rsidR="005A30B3">
          <w:rPr>
            <w:noProof/>
            <w:webHidden/>
          </w:rPr>
          <w:fldChar w:fldCharType="begin"/>
        </w:r>
        <w:r w:rsidR="005A30B3">
          <w:rPr>
            <w:noProof/>
            <w:webHidden/>
          </w:rPr>
          <w:instrText xml:space="preserve"> PAGEREF _Toc468288328 \h </w:instrText>
        </w:r>
        <w:r w:rsidR="005A30B3">
          <w:rPr>
            <w:noProof/>
            <w:webHidden/>
          </w:rPr>
        </w:r>
        <w:r w:rsidR="005A30B3">
          <w:rPr>
            <w:noProof/>
            <w:webHidden/>
          </w:rPr>
          <w:fldChar w:fldCharType="separate"/>
        </w:r>
        <w:r w:rsidR="005A30B3">
          <w:rPr>
            <w:noProof/>
            <w:webHidden/>
          </w:rPr>
          <w:t>88</w:t>
        </w:r>
        <w:r w:rsidR="005A30B3">
          <w:rPr>
            <w:noProof/>
            <w:webHidden/>
          </w:rPr>
          <w:fldChar w:fldCharType="end"/>
        </w:r>
      </w:hyperlink>
    </w:p>
    <w:p w14:paraId="3AA3790D" w14:textId="0BD08E63" w:rsidR="00FA5AC8" w:rsidRDefault="00B37CED" w:rsidP="00B37CED">
      <w:pPr>
        <w:spacing w:before="240" w:after="240" w:line="240" w:lineRule="auto"/>
        <w:rPr>
          <w:rFonts w:eastAsia="Times New Roman" w:cs="Times New Roman"/>
          <w:b/>
          <w:caps/>
          <w:color w:val="632423"/>
          <w:sz w:val="40"/>
          <w:szCs w:val="40"/>
        </w:rPr>
      </w:pPr>
      <w:r>
        <w:rPr>
          <w:rFonts w:eastAsia="Times New Roman" w:cs="Times New Roman"/>
          <w:b/>
          <w:caps/>
          <w:color w:val="632423"/>
          <w:sz w:val="40"/>
          <w:szCs w:val="40"/>
        </w:rPr>
        <w:fldChar w:fldCharType="end"/>
      </w:r>
    </w:p>
    <w:p w14:paraId="26962BE7" w14:textId="77777777" w:rsidR="00433890" w:rsidRDefault="00433890">
      <w:pPr>
        <w:rPr>
          <w:rFonts w:eastAsia="Times New Roman" w:cs="Times New Roman"/>
          <w:b/>
          <w:caps/>
          <w:color w:val="632423"/>
          <w:sz w:val="40"/>
          <w:szCs w:val="40"/>
        </w:rPr>
      </w:pPr>
      <w:r>
        <w:rPr>
          <w:rFonts w:eastAsia="Times New Roman" w:cs="Times New Roman"/>
          <w:b/>
          <w:caps/>
          <w:color w:val="632423"/>
          <w:sz w:val="40"/>
          <w:szCs w:val="40"/>
        </w:rPr>
        <w:br w:type="page"/>
      </w:r>
    </w:p>
    <w:p w14:paraId="0E7B5D2A" w14:textId="615E11B6" w:rsidR="00FA5AC8" w:rsidRDefault="00433890">
      <w:pPr>
        <w:rPr>
          <w:rFonts w:eastAsia="Times New Roman" w:cs="Times New Roman"/>
          <w:b/>
          <w:caps/>
          <w:color w:val="632423"/>
          <w:sz w:val="40"/>
          <w:szCs w:val="40"/>
        </w:rPr>
      </w:pPr>
      <w:r>
        <w:rPr>
          <w:rFonts w:eastAsia="Times New Roman" w:cs="Times New Roman"/>
          <w:b/>
          <w:caps/>
          <w:color w:val="632423"/>
          <w:sz w:val="40"/>
          <w:szCs w:val="40"/>
        </w:rPr>
        <w:lastRenderedPageBreak/>
        <w:t>Table of tables</w:t>
      </w:r>
      <w:r w:rsidRPr="00433890">
        <w:rPr>
          <w:rFonts w:eastAsia="Times New Roman" w:cs="Times New Roman"/>
          <w:b/>
          <w:caps/>
          <w:color w:val="632423"/>
          <w:sz w:val="40"/>
          <w:szCs w:val="40"/>
        </w:rPr>
        <w:t xml:space="preserve"> </w:t>
      </w:r>
    </w:p>
    <w:p w14:paraId="4BFDB72F" w14:textId="169CA9E8" w:rsidR="005C1163" w:rsidRDefault="00FA5AC8">
      <w:pPr>
        <w:pStyle w:val="TableofFigures"/>
        <w:tabs>
          <w:tab w:val="right" w:leader="dot" w:pos="9350"/>
        </w:tabs>
        <w:rPr>
          <w:rFonts w:asciiTheme="minorHAnsi" w:eastAsiaTheme="minorEastAsia" w:hAnsiTheme="minorHAnsi"/>
          <w:noProof/>
        </w:rPr>
      </w:pPr>
      <w:r>
        <w:rPr>
          <w:rFonts w:eastAsia="Times New Roman" w:cs="Times New Roman"/>
          <w:color w:val="632423"/>
          <w:sz w:val="16"/>
          <w:szCs w:val="16"/>
        </w:rPr>
        <w:fldChar w:fldCharType="begin"/>
      </w:r>
      <w:r>
        <w:rPr>
          <w:rFonts w:eastAsia="Times New Roman" w:cs="Times New Roman"/>
          <w:color w:val="632423"/>
          <w:sz w:val="16"/>
          <w:szCs w:val="16"/>
        </w:rPr>
        <w:instrText xml:space="preserve"> TOC \h \z \c "Table" </w:instrText>
      </w:r>
      <w:r>
        <w:rPr>
          <w:rFonts w:eastAsia="Times New Roman" w:cs="Times New Roman"/>
          <w:color w:val="632423"/>
          <w:sz w:val="16"/>
          <w:szCs w:val="16"/>
        </w:rPr>
        <w:fldChar w:fldCharType="separate"/>
      </w:r>
      <w:hyperlink w:anchor="_Toc465433426" w:history="1">
        <w:r w:rsidR="005C1163" w:rsidRPr="00AF5C16">
          <w:rPr>
            <w:rStyle w:val="Hyperlink"/>
            <w:noProof/>
          </w:rPr>
          <w:t>Table 1: Proposed Simple Cycle and Combined Cycle GTs</w:t>
        </w:r>
        <w:r w:rsidR="005C1163">
          <w:rPr>
            <w:noProof/>
            <w:webHidden/>
          </w:rPr>
          <w:tab/>
        </w:r>
        <w:r w:rsidR="005C1163">
          <w:rPr>
            <w:noProof/>
            <w:webHidden/>
          </w:rPr>
          <w:fldChar w:fldCharType="begin"/>
        </w:r>
        <w:r w:rsidR="005C1163">
          <w:rPr>
            <w:noProof/>
            <w:webHidden/>
          </w:rPr>
          <w:instrText xml:space="preserve"> PAGEREF _Toc465433426 \h </w:instrText>
        </w:r>
        <w:r w:rsidR="005C1163">
          <w:rPr>
            <w:noProof/>
            <w:webHidden/>
          </w:rPr>
        </w:r>
        <w:r w:rsidR="005C1163">
          <w:rPr>
            <w:noProof/>
            <w:webHidden/>
          </w:rPr>
          <w:fldChar w:fldCharType="separate"/>
        </w:r>
        <w:r w:rsidR="005C1163">
          <w:rPr>
            <w:noProof/>
            <w:webHidden/>
          </w:rPr>
          <w:t>6</w:t>
        </w:r>
        <w:r w:rsidR="005C1163">
          <w:rPr>
            <w:noProof/>
            <w:webHidden/>
          </w:rPr>
          <w:fldChar w:fldCharType="end"/>
        </w:r>
      </w:hyperlink>
    </w:p>
    <w:p w14:paraId="5F69653B" w14:textId="6CBCC7EF" w:rsidR="005C1163" w:rsidRDefault="00FA6573">
      <w:pPr>
        <w:pStyle w:val="TableofFigures"/>
        <w:tabs>
          <w:tab w:val="right" w:leader="dot" w:pos="9350"/>
        </w:tabs>
        <w:rPr>
          <w:rFonts w:asciiTheme="minorHAnsi" w:eastAsiaTheme="minorEastAsia" w:hAnsiTheme="minorHAnsi"/>
          <w:noProof/>
        </w:rPr>
      </w:pPr>
      <w:hyperlink w:anchor="_Toc465433427" w:history="1">
        <w:r w:rsidR="005C1163" w:rsidRPr="00AF5C16">
          <w:rPr>
            <w:rStyle w:val="Hyperlink"/>
            <w:noProof/>
          </w:rPr>
          <w:t xml:space="preserve">Table </w:t>
        </w:r>
        <w:r w:rsidR="005C1163" w:rsidRPr="00AF5C16">
          <w:rPr>
            <w:rStyle w:val="Hyperlink"/>
            <w:smallCaps/>
            <w:noProof/>
          </w:rPr>
          <w:t>2</w:t>
        </w:r>
        <w:r w:rsidR="005C1163" w:rsidRPr="00AF5C16">
          <w:rPr>
            <w:rStyle w:val="Hyperlink"/>
            <w:noProof/>
          </w:rPr>
          <w:t>: Net CONE Summary for Candidate Reference Technologies (2021$)</w:t>
        </w:r>
        <w:r w:rsidR="005C1163">
          <w:rPr>
            <w:noProof/>
            <w:webHidden/>
          </w:rPr>
          <w:tab/>
        </w:r>
        <w:r w:rsidR="005C1163">
          <w:rPr>
            <w:noProof/>
            <w:webHidden/>
          </w:rPr>
          <w:fldChar w:fldCharType="begin"/>
        </w:r>
        <w:r w:rsidR="005C1163">
          <w:rPr>
            <w:noProof/>
            <w:webHidden/>
          </w:rPr>
          <w:instrText xml:space="preserve"> PAGEREF _Toc465433427 \h </w:instrText>
        </w:r>
        <w:r w:rsidR="005C1163">
          <w:rPr>
            <w:noProof/>
            <w:webHidden/>
          </w:rPr>
        </w:r>
        <w:r w:rsidR="005C1163">
          <w:rPr>
            <w:noProof/>
            <w:webHidden/>
          </w:rPr>
          <w:fldChar w:fldCharType="separate"/>
        </w:r>
        <w:r w:rsidR="005C1163">
          <w:rPr>
            <w:noProof/>
            <w:webHidden/>
          </w:rPr>
          <w:t>7</w:t>
        </w:r>
        <w:r w:rsidR="005C1163">
          <w:rPr>
            <w:noProof/>
            <w:webHidden/>
          </w:rPr>
          <w:fldChar w:fldCharType="end"/>
        </w:r>
      </w:hyperlink>
    </w:p>
    <w:p w14:paraId="695D7C7F" w14:textId="0222DAF7" w:rsidR="005C1163" w:rsidRDefault="00FA6573">
      <w:pPr>
        <w:pStyle w:val="TableofFigures"/>
        <w:tabs>
          <w:tab w:val="right" w:leader="dot" w:pos="9350"/>
        </w:tabs>
        <w:rPr>
          <w:rFonts w:asciiTheme="minorHAnsi" w:eastAsiaTheme="minorEastAsia" w:hAnsiTheme="minorHAnsi"/>
          <w:noProof/>
        </w:rPr>
      </w:pPr>
      <w:hyperlink w:anchor="_Toc465433428" w:history="1">
        <w:r w:rsidR="005C1163" w:rsidRPr="00AF5C16">
          <w:rPr>
            <w:rStyle w:val="Hyperlink"/>
            <w:noProof/>
          </w:rPr>
          <w:t xml:space="preserve">Table </w:t>
        </w:r>
        <w:r w:rsidR="005C1163" w:rsidRPr="00AF5C16">
          <w:rPr>
            <w:rStyle w:val="Hyperlink"/>
            <w:smallCaps/>
            <w:noProof/>
          </w:rPr>
          <w:t>3</w:t>
        </w:r>
        <w:r w:rsidR="005C1163" w:rsidRPr="00AF5C16">
          <w:rPr>
            <w:rStyle w:val="Hyperlink"/>
            <w:noProof/>
          </w:rPr>
          <w:t>: ORTP Summary for Specific Resources (2021$)</w:t>
        </w:r>
        <w:r w:rsidR="005C1163">
          <w:rPr>
            <w:noProof/>
            <w:webHidden/>
          </w:rPr>
          <w:tab/>
        </w:r>
        <w:r w:rsidR="005C1163">
          <w:rPr>
            <w:noProof/>
            <w:webHidden/>
          </w:rPr>
          <w:fldChar w:fldCharType="begin"/>
        </w:r>
        <w:r w:rsidR="005C1163">
          <w:rPr>
            <w:noProof/>
            <w:webHidden/>
          </w:rPr>
          <w:instrText xml:space="preserve"> PAGEREF _Toc465433428 \h </w:instrText>
        </w:r>
        <w:r w:rsidR="005C1163">
          <w:rPr>
            <w:noProof/>
            <w:webHidden/>
          </w:rPr>
        </w:r>
        <w:r w:rsidR="005C1163">
          <w:rPr>
            <w:noProof/>
            <w:webHidden/>
          </w:rPr>
          <w:fldChar w:fldCharType="separate"/>
        </w:r>
        <w:r w:rsidR="005C1163">
          <w:rPr>
            <w:noProof/>
            <w:webHidden/>
          </w:rPr>
          <w:t>7</w:t>
        </w:r>
        <w:r w:rsidR="005C1163">
          <w:rPr>
            <w:noProof/>
            <w:webHidden/>
          </w:rPr>
          <w:fldChar w:fldCharType="end"/>
        </w:r>
      </w:hyperlink>
    </w:p>
    <w:p w14:paraId="427DFBD6" w14:textId="13C419D8" w:rsidR="005C1163" w:rsidRDefault="00FA6573">
      <w:pPr>
        <w:pStyle w:val="TableofFigures"/>
        <w:tabs>
          <w:tab w:val="right" w:leader="dot" w:pos="9350"/>
        </w:tabs>
        <w:rPr>
          <w:rFonts w:asciiTheme="minorHAnsi" w:eastAsiaTheme="minorEastAsia" w:hAnsiTheme="minorHAnsi"/>
          <w:noProof/>
        </w:rPr>
      </w:pPr>
      <w:hyperlink w:anchor="_Toc465433429" w:history="1">
        <w:r w:rsidR="005C1163" w:rsidRPr="00AF5C16">
          <w:rPr>
            <w:rStyle w:val="Hyperlink"/>
            <w:noProof/>
            <w:lang w:val="fr-CA"/>
          </w:rPr>
          <w:t>Table 4: Simple Cycle Frame GTs</w:t>
        </w:r>
        <w:r w:rsidR="005C1163">
          <w:rPr>
            <w:noProof/>
            <w:webHidden/>
          </w:rPr>
          <w:tab/>
        </w:r>
        <w:r w:rsidR="005C1163">
          <w:rPr>
            <w:noProof/>
            <w:webHidden/>
          </w:rPr>
          <w:fldChar w:fldCharType="begin"/>
        </w:r>
        <w:r w:rsidR="005C1163">
          <w:rPr>
            <w:noProof/>
            <w:webHidden/>
          </w:rPr>
          <w:instrText xml:space="preserve"> PAGEREF _Toc465433429 \h </w:instrText>
        </w:r>
        <w:r w:rsidR="005C1163">
          <w:rPr>
            <w:noProof/>
            <w:webHidden/>
          </w:rPr>
        </w:r>
        <w:r w:rsidR="005C1163">
          <w:rPr>
            <w:noProof/>
            <w:webHidden/>
          </w:rPr>
          <w:fldChar w:fldCharType="separate"/>
        </w:r>
        <w:r w:rsidR="005C1163">
          <w:rPr>
            <w:noProof/>
            <w:webHidden/>
          </w:rPr>
          <w:t>13</w:t>
        </w:r>
        <w:r w:rsidR="005C1163">
          <w:rPr>
            <w:noProof/>
            <w:webHidden/>
          </w:rPr>
          <w:fldChar w:fldCharType="end"/>
        </w:r>
      </w:hyperlink>
    </w:p>
    <w:p w14:paraId="76332990" w14:textId="592958DA" w:rsidR="005C1163" w:rsidRDefault="00FA6573">
      <w:pPr>
        <w:pStyle w:val="TableofFigures"/>
        <w:tabs>
          <w:tab w:val="right" w:leader="dot" w:pos="9350"/>
        </w:tabs>
        <w:rPr>
          <w:rFonts w:asciiTheme="minorHAnsi" w:eastAsiaTheme="minorEastAsia" w:hAnsiTheme="minorHAnsi"/>
          <w:noProof/>
        </w:rPr>
      </w:pPr>
      <w:hyperlink w:anchor="_Toc465433430" w:history="1">
        <w:r w:rsidR="005C1163" w:rsidRPr="00AF5C16">
          <w:rPr>
            <w:rStyle w:val="Hyperlink"/>
            <w:noProof/>
          </w:rPr>
          <w:t>Table 5: Simple Cycle Aeroderivative GTs</w:t>
        </w:r>
        <w:r w:rsidR="005C1163">
          <w:rPr>
            <w:noProof/>
            <w:webHidden/>
          </w:rPr>
          <w:tab/>
        </w:r>
        <w:r w:rsidR="005C1163">
          <w:rPr>
            <w:noProof/>
            <w:webHidden/>
          </w:rPr>
          <w:fldChar w:fldCharType="begin"/>
        </w:r>
        <w:r w:rsidR="005C1163">
          <w:rPr>
            <w:noProof/>
            <w:webHidden/>
          </w:rPr>
          <w:instrText xml:space="preserve"> PAGEREF _Toc465433430 \h </w:instrText>
        </w:r>
        <w:r w:rsidR="005C1163">
          <w:rPr>
            <w:noProof/>
            <w:webHidden/>
          </w:rPr>
        </w:r>
        <w:r w:rsidR="005C1163">
          <w:rPr>
            <w:noProof/>
            <w:webHidden/>
          </w:rPr>
          <w:fldChar w:fldCharType="separate"/>
        </w:r>
        <w:r w:rsidR="005C1163">
          <w:rPr>
            <w:noProof/>
            <w:webHidden/>
          </w:rPr>
          <w:t>14</w:t>
        </w:r>
        <w:r w:rsidR="005C1163">
          <w:rPr>
            <w:noProof/>
            <w:webHidden/>
          </w:rPr>
          <w:fldChar w:fldCharType="end"/>
        </w:r>
      </w:hyperlink>
    </w:p>
    <w:p w14:paraId="23CE7DF0" w14:textId="4D6C3B28" w:rsidR="005C1163" w:rsidRDefault="00FA6573">
      <w:pPr>
        <w:pStyle w:val="TableofFigures"/>
        <w:tabs>
          <w:tab w:val="right" w:leader="dot" w:pos="9350"/>
        </w:tabs>
        <w:rPr>
          <w:rFonts w:asciiTheme="minorHAnsi" w:eastAsiaTheme="minorEastAsia" w:hAnsiTheme="minorHAnsi"/>
          <w:noProof/>
        </w:rPr>
      </w:pPr>
      <w:hyperlink w:anchor="_Toc465433431" w:history="1">
        <w:r w:rsidR="005C1163" w:rsidRPr="005C1163">
          <w:rPr>
            <w:rStyle w:val="Hyperlink"/>
            <w:rFonts w:cs="Times New Roman"/>
            <w:iCs/>
            <w:noProof/>
          </w:rPr>
          <w:t>Table 6: Combined Cycle GTs</w:t>
        </w:r>
        <w:r w:rsidR="005C1163">
          <w:rPr>
            <w:noProof/>
            <w:webHidden/>
          </w:rPr>
          <w:tab/>
        </w:r>
        <w:r w:rsidR="005C1163">
          <w:rPr>
            <w:noProof/>
            <w:webHidden/>
          </w:rPr>
          <w:fldChar w:fldCharType="begin"/>
        </w:r>
        <w:r w:rsidR="005C1163">
          <w:rPr>
            <w:noProof/>
            <w:webHidden/>
          </w:rPr>
          <w:instrText xml:space="preserve"> PAGEREF _Toc465433431 \h </w:instrText>
        </w:r>
        <w:r w:rsidR="005C1163">
          <w:rPr>
            <w:noProof/>
            <w:webHidden/>
          </w:rPr>
        </w:r>
        <w:r w:rsidR="005C1163">
          <w:rPr>
            <w:noProof/>
            <w:webHidden/>
          </w:rPr>
          <w:fldChar w:fldCharType="separate"/>
        </w:r>
        <w:r w:rsidR="005C1163">
          <w:rPr>
            <w:noProof/>
            <w:webHidden/>
          </w:rPr>
          <w:t>15</w:t>
        </w:r>
        <w:r w:rsidR="005C1163">
          <w:rPr>
            <w:noProof/>
            <w:webHidden/>
          </w:rPr>
          <w:fldChar w:fldCharType="end"/>
        </w:r>
      </w:hyperlink>
    </w:p>
    <w:p w14:paraId="43C22725" w14:textId="6AB56727" w:rsidR="005C1163" w:rsidRDefault="00FA6573">
      <w:pPr>
        <w:pStyle w:val="TableofFigures"/>
        <w:tabs>
          <w:tab w:val="right" w:leader="dot" w:pos="9350"/>
        </w:tabs>
        <w:rPr>
          <w:rFonts w:asciiTheme="minorHAnsi" w:eastAsiaTheme="minorEastAsia" w:hAnsiTheme="minorHAnsi"/>
          <w:noProof/>
        </w:rPr>
      </w:pPr>
      <w:hyperlink w:anchor="_Toc465433432" w:history="1">
        <w:r w:rsidR="005C1163" w:rsidRPr="00AF5C16">
          <w:rPr>
            <w:rStyle w:val="Hyperlink"/>
            <w:noProof/>
          </w:rPr>
          <w:t>Table 7: Resource Screening Results</w:t>
        </w:r>
        <w:r w:rsidR="005C1163">
          <w:rPr>
            <w:noProof/>
            <w:webHidden/>
          </w:rPr>
          <w:tab/>
        </w:r>
        <w:r w:rsidR="005C1163">
          <w:rPr>
            <w:noProof/>
            <w:webHidden/>
          </w:rPr>
          <w:fldChar w:fldCharType="begin"/>
        </w:r>
        <w:r w:rsidR="005C1163">
          <w:rPr>
            <w:noProof/>
            <w:webHidden/>
          </w:rPr>
          <w:instrText xml:space="preserve"> PAGEREF _Toc465433432 \h </w:instrText>
        </w:r>
        <w:r w:rsidR="005C1163">
          <w:rPr>
            <w:noProof/>
            <w:webHidden/>
          </w:rPr>
        </w:r>
        <w:r w:rsidR="005C1163">
          <w:rPr>
            <w:noProof/>
            <w:webHidden/>
          </w:rPr>
          <w:fldChar w:fldCharType="separate"/>
        </w:r>
        <w:r w:rsidR="005C1163">
          <w:rPr>
            <w:noProof/>
            <w:webHidden/>
          </w:rPr>
          <w:t>16</w:t>
        </w:r>
        <w:r w:rsidR="005C1163">
          <w:rPr>
            <w:noProof/>
            <w:webHidden/>
          </w:rPr>
          <w:fldChar w:fldCharType="end"/>
        </w:r>
      </w:hyperlink>
    </w:p>
    <w:p w14:paraId="0A6490CF" w14:textId="38DDFCED" w:rsidR="005C1163" w:rsidRDefault="00FA6573">
      <w:pPr>
        <w:pStyle w:val="TableofFigures"/>
        <w:tabs>
          <w:tab w:val="right" w:leader="dot" w:pos="9350"/>
        </w:tabs>
        <w:rPr>
          <w:rFonts w:asciiTheme="minorHAnsi" w:eastAsiaTheme="minorEastAsia" w:hAnsiTheme="minorHAnsi"/>
          <w:noProof/>
        </w:rPr>
      </w:pPr>
      <w:hyperlink w:anchor="_Toc465433433" w:history="1">
        <w:r w:rsidR="005C1163" w:rsidRPr="00AF5C16">
          <w:rPr>
            <w:rStyle w:val="Hyperlink"/>
            <w:noProof/>
          </w:rPr>
          <w:t>Table 8:  Recent Projects Developed in New England</w:t>
        </w:r>
        <w:r w:rsidR="005C1163">
          <w:rPr>
            <w:noProof/>
            <w:webHidden/>
          </w:rPr>
          <w:tab/>
        </w:r>
        <w:r w:rsidR="005C1163">
          <w:rPr>
            <w:noProof/>
            <w:webHidden/>
          </w:rPr>
          <w:fldChar w:fldCharType="begin"/>
        </w:r>
        <w:r w:rsidR="005C1163">
          <w:rPr>
            <w:noProof/>
            <w:webHidden/>
          </w:rPr>
          <w:instrText xml:space="preserve"> PAGEREF _Toc465433433 \h </w:instrText>
        </w:r>
        <w:r w:rsidR="005C1163">
          <w:rPr>
            <w:noProof/>
            <w:webHidden/>
          </w:rPr>
        </w:r>
        <w:r w:rsidR="005C1163">
          <w:rPr>
            <w:noProof/>
            <w:webHidden/>
          </w:rPr>
          <w:fldChar w:fldCharType="separate"/>
        </w:r>
        <w:r w:rsidR="005C1163">
          <w:rPr>
            <w:noProof/>
            <w:webHidden/>
          </w:rPr>
          <w:t>17</w:t>
        </w:r>
        <w:r w:rsidR="005C1163">
          <w:rPr>
            <w:noProof/>
            <w:webHidden/>
          </w:rPr>
          <w:fldChar w:fldCharType="end"/>
        </w:r>
      </w:hyperlink>
    </w:p>
    <w:p w14:paraId="4F140AEC" w14:textId="052FBEF1" w:rsidR="005C1163" w:rsidRDefault="00FA6573">
      <w:pPr>
        <w:pStyle w:val="TableofFigures"/>
        <w:tabs>
          <w:tab w:val="right" w:leader="dot" w:pos="9350"/>
        </w:tabs>
        <w:rPr>
          <w:rFonts w:asciiTheme="minorHAnsi" w:eastAsiaTheme="minorEastAsia" w:hAnsiTheme="minorHAnsi"/>
          <w:noProof/>
        </w:rPr>
      </w:pPr>
      <w:hyperlink w:anchor="_Toc465433434" w:history="1">
        <w:r w:rsidR="005C1163" w:rsidRPr="00AF5C16">
          <w:rPr>
            <w:rStyle w:val="Hyperlink"/>
            <w:noProof/>
          </w:rPr>
          <w:t>Table 9: Key Assumptions</w:t>
        </w:r>
        <w:r w:rsidR="005C1163">
          <w:rPr>
            <w:noProof/>
            <w:webHidden/>
          </w:rPr>
          <w:tab/>
        </w:r>
        <w:r w:rsidR="005C1163">
          <w:rPr>
            <w:noProof/>
            <w:webHidden/>
          </w:rPr>
          <w:fldChar w:fldCharType="begin"/>
        </w:r>
        <w:r w:rsidR="005C1163">
          <w:rPr>
            <w:noProof/>
            <w:webHidden/>
          </w:rPr>
          <w:instrText xml:space="preserve"> PAGEREF _Toc465433434 \h </w:instrText>
        </w:r>
        <w:r w:rsidR="005C1163">
          <w:rPr>
            <w:noProof/>
            <w:webHidden/>
          </w:rPr>
        </w:r>
        <w:r w:rsidR="005C1163">
          <w:rPr>
            <w:noProof/>
            <w:webHidden/>
          </w:rPr>
          <w:fldChar w:fldCharType="separate"/>
        </w:r>
        <w:r w:rsidR="005C1163">
          <w:rPr>
            <w:noProof/>
            <w:webHidden/>
          </w:rPr>
          <w:t>19</w:t>
        </w:r>
        <w:r w:rsidR="005C1163">
          <w:rPr>
            <w:noProof/>
            <w:webHidden/>
          </w:rPr>
          <w:fldChar w:fldCharType="end"/>
        </w:r>
      </w:hyperlink>
    </w:p>
    <w:p w14:paraId="4EF3E2A4" w14:textId="21A03EFC" w:rsidR="005C1163" w:rsidRDefault="00FA6573">
      <w:pPr>
        <w:pStyle w:val="TableofFigures"/>
        <w:tabs>
          <w:tab w:val="right" w:leader="dot" w:pos="9350"/>
        </w:tabs>
        <w:rPr>
          <w:rFonts w:asciiTheme="minorHAnsi" w:eastAsiaTheme="minorEastAsia" w:hAnsiTheme="minorHAnsi"/>
          <w:noProof/>
        </w:rPr>
      </w:pPr>
      <w:hyperlink w:anchor="_Toc465433435" w:history="1">
        <w:r w:rsidR="005C1163" w:rsidRPr="00AF5C16">
          <w:rPr>
            <w:rStyle w:val="Hyperlink"/>
            <w:noProof/>
          </w:rPr>
          <w:t>Table 10: GE 7HA.02 GT Technical Specifications</w:t>
        </w:r>
        <w:r w:rsidR="005C1163">
          <w:rPr>
            <w:noProof/>
            <w:webHidden/>
          </w:rPr>
          <w:tab/>
        </w:r>
        <w:r w:rsidR="005C1163">
          <w:rPr>
            <w:noProof/>
            <w:webHidden/>
          </w:rPr>
          <w:fldChar w:fldCharType="begin"/>
        </w:r>
        <w:r w:rsidR="005C1163">
          <w:rPr>
            <w:noProof/>
            <w:webHidden/>
          </w:rPr>
          <w:instrText xml:space="preserve"> PAGEREF _Toc465433435 \h </w:instrText>
        </w:r>
        <w:r w:rsidR="005C1163">
          <w:rPr>
            <w:noProof/>
            <w:webHidden/>
          </w:rPr>
        </w:r>
        <w:r w:rsidR="005C1163">
          <w:rPr>
            <w:noProof/>
            <w:webHidden/>
          </w:rPr>
          <w:fldChar w:fldCharType="separate"/>
        </w:r>
        <w:r w:rsidR="005C1163">
          <w:rPr>
            <w:noProof/>
            <w:webHidden/>
          </w:rPr>
          <w:t>28</w:t>
        </w:r>
        <w:r w:rsidR="005C1163">
          <w:rPr>
            <w:noProof/>
            <w:webHidden/>
          </w:rPr>
          <w:fldChar w:fldCharType="end"/>
        </w:r>
      </w:hyperlink>
    </w:p>
    <w:p w14:paraId="7D4A7E6C" w14:textId="185DFD67" w:rsidR="005C1163" w:rsidRDefault="00FA6573">
      <w:pPr>
        <w:pStyle w:val="TableofFigures"/>
        <w:tabs>
          <w:tab w:val="right" w:leader="dot" w:pos="9350"/>
        </w:tabs>
        <w:rPr>
          <w:rFonts w:asciiTheme="minorHAnsi" w:eastAsiaTheme="minorEastAsia" w:hAnsiTheme="minorHAnsi"/>
          <w:noProof/>
        </w:rPr>
      </w:pPr>
      <w:hyperlink w:anchor="_Toc465433436" w:history="1">
        <w:r w:rsidR="005C1163" w:rsidRPr="00AF5C16">
          <w:rPr>
            <w:rStyle w:val="Hyperlink"/>
            <w:noProof/>
          </w:rPr>
          <w:t>Table 11: GE 7HA.02 GT Capital Costs</w:t>
        </w:r>
        <w:r w:rsidR="005C1163">
          <w:rPr>
            <w:noProof/>
            <w:webHidden/>
          </w:rPr>
          <w:tab/>
        </w:r>
        <w:r w:rsidR="005C1163">
          <w:rPr>
            <w:noProof/>
            <w:webHidden/>
          </w:rPr>
          <w:fldChar w:fldCharType="begin"/>
        </w:r>
        <w:r w:rsidR="005C1163">
          <w:rPr>
            <w:noProof/>
            <w:webHidden/>
          </w:rPr>
          <w:instrText xml:space="preserve"> PAGEREF _Toc465433436 \h </w:instrText>
        </w:r>
        <w:r w:rsidR="005C1163">
          <w:rPr>
            <w:noProof/>
            <w:webHidden/>
          </w:rPr>
        </w:r>
        <w:r w:rsidR="005C1163">
          <w:rPr>
            <w:noProof/>
            <w:webHidden/>
          </w:rPr>
          <w:fldChar w:fldCharType="separate"/>
        </w:r>
        <w:r w:rsidR="005C1163">
          <w:rPr>
            <w:noProof/>
            <w:webHidden/>
          </w:rPr>
          <w:t>29</w:t>
        </w:r>
        <w:r w:rsidR="005C1163">
          <w:rPr>
            <w:noProof/>
            <w:webHidden/>
          </w:rPr>
          <w:fldChar w:fldCharType="end"/>
        </w:r>
      </w:hyperlink>
    </w:p>
    <w:p w14:paraId="2DE0F510" w14:textId="40911F6E" w:rsidR="005C1163" w:rsidRDefault="00FA6573">
      <w:pPr>
        <w:pStyle w:val="TableofFigures"/>
        <w:tabs>
          <w:tab w:val="right" w:leader="dot" w:pos="9350"/>
        </w:tabs>
        <w:rPr>
          <w:rFonts w:asciiTheme="minorHAnsi" w:eastAsiaTheme="minorEastAsia" w:hAnsiTheme="minorHAnsi"/>
          <w:noProof/>
        </w:rPr>
      </w:pPr>
      <w:hyperlink w:anchor="_Toc465433437" w:history="1">
        <w:r w:rsidR="005C1163" w:rsidRPr="00AF5C16">
          <w:rPr>
            <w:rStyle w:val="Hyperlink"/>
            <w:noProof/>
          </w:rPr>
          <w:t>Table 12: 7HA.02 Simple Cycle GT Operating Costs</w:t>
        </w:r>
        <w:r w:rsidR="005C1163">
          <w:rPr>
            <w:noProof/>
            <w:webHidden/>
          </w:rPr>
          <w:tab/>
        </w:r>
        <w:r w:rsidR="005C1163">
          <w:rPr>
            <w:noProof/>
            <w:webHidden/>
          </w:rPr>
          <w:fldChar w:fldCharType="begin"/>
        </w:r>
        <w:r w:rsidR="005C1163">
          <w:rPr>
            <w:noProof/>
            <w:webHidden/>
          </w:rPr>
          <w:instrText xml:space="preserve"> PAGEREF _Toc465433437 \h </w:instrText>
        </w:r>
        <w:r w:rsidR="005C1163">
          <w:rPr>
            <w:noProof/>
            <w:webHidden/>
          </w:rPr>
        </w:r>
        <w:r w:rsidR="005C1163">
          <w:rPr>
            <w:noProof/>
            <w:webHidden/>
          </w:rPr>
          <w:fldChar w:fldCharType="separate"/>
        </w:r>
        <w:r w:rsidR="005C1163">
          <w:rPr>
            <w:noProof/>
            <w:webHidden/>
          </w:rPr>
          <w:t>30</w:t>
        </w:r>
        <w:r w:rsidR="005C1163">
          <w:rPr>
            <w:noProof/>
            <w:webHidden/>
          </w:rPr>
          <w:fldChar w:fldCharType="end"/>
        </w:r>
      </w:hyperlink>
    </w:p>
    <w:p w14:paraId="2A263C28" w14:textId="3567239C" w:rsidR="005C1163" w:rsidRDefault="00FA6573">
      <w:pPr>
        <w:pStyle w:val="TableofFigures"/>
        <w:tabs>
          <w:tab w:val="right" w:leader="dot" w:pos="9350"/>
        </w:tabs>
        <w:rPr>
          <w:rFonts w:asciiTheme="minorHAnsi" w:eastAsiaTheme="minorEastAsia" w:hAnsiTheme="minorHAnsi"/>
          <w:noProof/>
        </w:rPr>
      </w:pPr>
      <w:hyperlink w:anchor="_Toc465433438" w:history="1">
        <w:r w:rsidR="005C1163" w:rsidRPr="00AF5C16">
          <w:rPr>
            <w:rStyle w:val="Hyperlink"/>
            <w:noProof/>
          </w:rPr>
          <w:t>Table 13: LM6000PF+ Technical Specifications</w:t>
        </w:r>
        <w:r w:rsidR="005C1163">
          <w:rPr>
            <w:noProof/>
            <w:webHidden/>
          </w:rPr>
          <w:tab/>
        </w:r>
        <w:r w:rsidR="005C1163">
          <w:rPr>
            <w:noProof/>
            <w:webHidden/>
          </w:rPr>
          <w:fldChar w:fldCharType="begin"/>
        </w:r>
        <w:r w:rsidR="005C1163">
          <w:rPr>
            <w:noProof/>
            <w:webHidden/>
          </w:rPr>
          <w:instrText xml:space="preserve"> PAGEREF _Toc465433438 \h </w:instrText>
        </w:r>
        <w:r w:rsidR="005C1163">
          <w:rPr>
            <w:noProof/>
            <w:webHidden/>
          </w:rPr>
        </w:r>
        <w:r w:rsidR="005C1163">
          <w:rPr>
            <w:noProof/>
            <w:webHidden/>
          </w:rPr>
          <w:fldChar w:fldCharType="separate"/>
        </w:r>
        <w:r w:rsidR="005C1163">
          <w:rPr>
            <w:noProof/>
            <w:webHidden/>
          </w:rPr>
          <w:t>31</w:t>
        </w:r>
        <w:r w:rsidR="005C1163">
          <w:rPr>
            <w:noProof/>
            <w:webHidden/>
          </w:rPr>
          <w:fldChar w:fldCharType="end"/>
        </w:r>
      </w:hyperlink>
    </w:p>
    <w:p w14:paraId="17DEA01A" w14:textId="6C15D0EF" w:rsidR="005C1163" w:rsidRDefault="00FA6573">
      <w:pPr>
        <w:pStyle w:val="TableofFigures"/>
        <w:tabs>
          <w:tab w:val="right" w:leader="dot" w:pos="9350"/>
        </w:tabs>
        <w:rPr>
          <w:rFonts w:asciiTheme="minorHAnsi" w:eastAsiaTheme="minorEastAsia" w:hAnsiTheme="minorHAnsi"/>
          <w:noProof/>
        </w:rPr>
      </w:pPr>
      <w:hyperlink w:anchor="_Toc465433439" w:history="1">
        <w:r w:rsidR="005C1163" w:rsidRPr="00AF5C16">
          <w:rPr>
            <w:rStyle w:val="Hyperlink"/>
            <w:noProof/>
          </w:rPr>
          <w:t>Table 14: LM6000PF+ Capital Costs</w:t>
        </w:r>
        <w:r w:rsidR="005C1163">
          <w:rPr>
            <w:noProof/>
            <w:webHidden/>
          </w:rPr>
          <w:tab/>
        </w:r>
        <w:r w:rsidR="005C1163">
          <w:rPr>
            <w:noProof/>
            <w:webHidden/>
          </w:rPr>
          <w:fldChar w:fldCharType="begin"/>
        </w:r>
        <w:r w:rsidR="005C1163">
          <w:rPr>
            <w:noProof/>
            <w:webHidden/>
          </w:rPr>
          <w:instrText xml:space="preserve"> PAGEREF _Toc465433439 \h </w:instrText>
        </w:r>
        <w:r w:rsidR="005C1163">
          <w:rPr>
            <w:noProof/>
            <w:webHidden/>
          </w:rPr>
        </w:r>
        <w:r w:rsidR="005C1163">
          <w:rPr>
            <w:noProof/>
            <w:webHidden/>
          </w:rPr>
          <w:fldChar w:fldCharType="separate"/>
        </w:r>
        <w:r w:rsidR="005C1163">
          <w:rPr>
            <w:noProof/>
            <w:webHidden/>
          </w:rPr>
          <w:t>32</w:t>
        </w:r>
        <w:r w:rsidR="005C1163">
          <w:rPr>
            <w:noProof/>
            <w:webHidden/>
          </w:rPr>
          <w:fldChar w:fldCharType="end"/>
        </w:r>
      </w:hyperlink>
    </w:p>
    <w:p w14:paraId="52B0C98E" w14:textId="6C5C8E2F" w:rsidR="005C1163" w:rsidRDefault="00FA6573">
      <w:pPr>
        <w:pStyle w:val="TableofFigures"/>
        <w:tabs>
          <w:tab w:val="right" w:leader="dot" w:pos="9350"/>
        </w:tabs>
        <w:rPr>
          <w:rFonts w:asciiTheme="minorHAnsi" w:eastAsiaTheme="minorEastAsia" w:hAnsiTheme="minorHAnsi"/>
          <w:noProof/>
        </w:rPr>
      </w:pPr>
      <w:hyperlink w:anchor="_Toc465433440" w:history="1">
        <w:r w:rsidR="005C1163" w:rsidRPr="00AF5C16">
          <w:rPr>
            <w:rStyle w:val="Hyperlink"/>
            <w:noProof/>
          </w:rPr>
          <w:t>Table 15: LM6000PF+ Fixed Operating Costs</w:t>
        </w:r>
        <w:r w:rsidR="005C1163">
          <w:rPr>
            <w:noProof/>
            <w:webHidden/>
          </w:rPr>
          <w:tab/>
        </w:r>
        <w:r w:rsidR="005C1163">
          <w:rPr>
            <w:noProof/>
            <w:webHidden/>
          </w:rPr>
          <w:fldChar w:fldCharType="begin"/>
        </w:r>
        <w:r w:rsidR="005C1163">
          <w:rPr>
            <w:noProof/>
            <w:webHidden/>
          </w:rPr>
          <w:instrText xml:space="preserve"> PAGEREF _Toc465433440 \h </w:instrText>
        </w:r>
        <w:r w:rsidR="005C1163">
          <w:rPr>
            <w:noProof/>
            <w:webHidden/>
          </w:rPr>
        </w:r>
        <w:r w:rsidR="005C1163">
          <w:rPr>
            <w:noProof/>
            <w:webHidden/>
          </w:rPr>
          <w:fldChar w:fldCharType="separate"/>
        </w:r>
        <w:r w:rsidR="005C1163">
          <w:rPr>
            <w:noProof/>
            <w:webHidden/>
          </w:rPr>
          <w:t>33</w:t>
        </w:r>
        <w:r w:rsidR="005C1163">
          <w:rPr>
            <w:noProof/>
            <w:webHidden/>
          </w:rPr>
          <w:fldChar w:fldCharType="end"/>
        </w:r>
      </w:hyperlink>
    </w:p>
    <w:p w14:paraId="63312AB2" w14:textId="375B7D77" w:rsidR="005C1163" w:rsidRDefault="00FA6573">
      <w:pPr>
        <w:pStyle w:val="TableofFigures"/>
        <w:tabs>
          <w:tab w:val="right" w:leader="dot" w:pos="9350"/>
        </w:tabs>
        <w:rPr>
          <w:rFonts w:asciiTheme="minorHAnsi" w:eastAsiaTheme="minorEastAsia" w:hAnsiTheme="minorHAnsi"/>
          <w:noProof/>
        </w:rPr>
      </w:pPr>
      <w:hyperlink w:anchor="_Toc465433441" w:history="1">
        <w:r w:rsidR="005C1163" w:rsidRPr="00AF5C16">
          <w:rPr>
            <w:rStyle w:val="Hyperlink"/>
            <w:noProof/>
          </w:rPr>
          <w:t>Table 16: LMS100PA Technical Specifications</w:t>
        </w:r>
        <w:r w:rsidR="005C1163">
          <w:rPr>
            <w:noProof/>
            <w:webHidden/>
          </w:rPr>
          <w:tab/>
        </w:r>
        <w:r w:rsidR="005C1163">
          <w:rPr>
            <w:noProof/>
            <w:webHidden/>
          </w:rPr>
          <w:fldChar w:fldCharType="begin"/>
        </w:r>
        <w:r w:rsidR="005C1163">
          <w:rPr>
            <w:noProof/>
            <w:webHidden/>
          </w:rPr>
          <w:instrText xml:space="preserve"> PAGEREF _Toc465433441 \h </w:instrText>
        </w:r>
        <w:r w:rsidR="005C1163">
          <w:rPr>
            <w:noProof/>
            <w:webHidden/>
          </w:rPr>
        </w:r>
        <w:r w:rsidR="005C1163">
          <w:rPr>
            <w:noProof/>
            <w:webHidden/>
          </w:rPr>
          <w:fldChar w:fldCharType="separate"/>
        </w:r>
        <w:r w:rsidR="005C1163">
          <w:rPr>
            <w:noProof/>
            <w:webHidden/>
          </w:rPr>
          <w:t>34</w:t>
        </w:r>
        <w:r w:rsidR="005C1163">
          <w:rPr>
            <w:noProof/>
            <w:webHidden/>
          </w:rPr>
          <w:fldChar w:fldCharType="end"/>
        </w:r>
      </w:hyperlink>
    </w:p>
    <w:p w14:paraId="703FCDE5" w14:textId="029C0A85" w:rsidR="005C1163" w:rsidRDefault="00FA6573">
      <w:pPr>
        <w:pStyle w:val="TableofFigures"/>
        <w:tabs>
          <w:tab w:val="right" w:leader="dot" w:pos="9350"/>
        </w:tabs>
        <w:rPr>
          <w:rFonts w:asciiTheme="minorHAnsi" w:eastAsiaTheme="minorEastAsia" w:hAnsiTheme="minorHAnsi"/>
          <w:noProof/>
        </w:rPr>
      </w:pPr>
      <w:hyperlink w:anchor="_Toc465433442" w:history="1">
        <w:r w:rsidR="005C1163" w:rsidRPr="00AF5C16">
          <w:rPr>
            <w:rStyle w:val="Hyperlink"/>
            <w:noProof/>
          </w:rPr>
          <w:t>Table 17: LMS100PA Capital Costs</w:t>
        </w:r>
        <w:r w:rsidR="005C1163">
          <w:rPr>
            <w:noProof/>
            <w:webHidden/>
          </w:rPr>
          <w:tab/>
        </w:r>
        <w:r w:rsidR="005C1163">
          <w:rPr>
            <w:noProof/>
            <w:webHidden/>
          </w:rPr>
          <w:fldChar w:fldCharType="begin"/>
        </w:r>
        <w:r w:rsidR="005C1163">
          <w:rPr>
            <w:noProof/>
            <w:webHidden/>
          </w:rPr>
          <w:instrText xml:space="preserve"> PAGEREF _Toc465433442 \h </w:instrText>
        </w:r>
        <w:r w:rsidR="005C1163">
          <w:rPr>
            <w:noProof/>
            <w:webHidden/>
          </w:rPr>
        </w:r>
        <w:r w:rsidR="005C1163">
          <w:rPr>
            <w:noProof/>
            <w:webHidden/>
          </w:rPr>
          <w:fldChar w:fldCharType="separate"/>
        </w:r>
        <w:r w:rsidR="005C1163">
          <w:rPr>
            <w:noProof/>
            <w:webHidden/>
          </w:rPr>
          <w:t>35</w:t>
        </w:r>
        <w:r w:rsidR="005C1163">
          <w:rPr>
            <w:noProof/>
            <w:webHidden/>
          </w:rPr>
          <w:fldChar w:fldCharType="end"/>
        </w:r>
      </w:hyperlink>
    </w:p>
    <w:p w14:paraId="5ACAC539" w14:textId="4CB53C6C" w:rsidR="005C1163" w:rsidRDefault="00FA6573">
      <w:pPr>
        <w:pStyle w:val="TableofFigures"/>
        <w:tabs>
          <w:tab w:val="right" w:leader="dot" w:pos="9350"/>
        </w:tabs>
        <w:rPr>
          <w:rFonts w:asciiTheme="minorHAnsi" w:eastAsiaTheme="minorEastAsia" w:hAnsiTheme="minorHAnsi"/>
          <w:noProof/>
        </w:rPr>
      </w:pPr>
      <w:hyperlink w:anchor="_Toc465433443" w:history="1">
        <w:r w:rsidR="005C1163" w:rsidRPr="00AF5C16">
          <w:rPr>
            <w:rStyle w:val="Hyperlink"/>
            <w:noProof/>
          </w:rPr>
          <w:t>Table 18: LMS100PA Fixed Operating Costs</w:t>
        </w:r>
        <w:r w:rsidR="005C1163">
          <w:rPr>
            <w:noProof/>
            <w:webHidden/>
          </w:rPr>
          <w:tab/>
        </w:r>
        <w:r w:rsidR="005C1163">
          <w:rPr>
            <w:noProof/>
            <w:webHidden/>
          </w:rPr>
          <w:fldChar w:fldCharType="begin"/>
        </w:r>
        <w:r w:rsidR="005C1163">
          <w:rPr>
            <w:noProof/>
            <w:webHidden/>
          </w:rPr>
          <w:instrText xml:space="preserve"> PAGEREF _Toc465433443 \h </w:instrText>
        </w:r>
        <w:r w:rsidR="005C1163">
          <w:rPr>
            <w:noProof/>
            <w:webHidden/>
          </w:rPr>
        </w:r>
        <w:r w:rsidR="005C1163">
          <w:rPr>
            <w:noProof/>
            <w:webHidden/>
          </w:rPr>
          <w:fldChar w:fldCharType="separate"/>
        </w:r>
        <w:r w:rsidR="005C1163">
          <w:rPr>
            <w:noProof/>
            <w:webHidden/>
          </w:rPr>
          <w:t>36</w:t>
        </w:r>
        <w:r w:rsidR="005C1163">
          <w:rPr>
            <w:noProof/>
            <w:webHidden/>
          </w:rPr>
          <w:fldChar w:fldCharType="end"/>
        </w:r>
      </w:hyperlink>
    </w:p>
    <w:p w14:paraId="2FFCFF70" w14:textId="105F827A" w:rsidR="005C1163" w:rsidRDefault="00FA6573">
      <w:pPr>
        <w:pStyle w:val="TableofFigures"/>
        <w:tabs>
          <w:tab w:val="right" w:leader="dot" w:pos="9350"/>
        </w:tabs>
        <w:rPr>
          <w:rFonts w:asciiTheme="minorHAnsi" w:eastAsiaTheme="minorEastAsia" w:hAnsiTheme="minorHAnsi"/>
          <w:noProof/>
        </w:rPr>
      </w:pPr>
      <w:hyperlink w:anchor="_Toc465433444" w:history="1">
        <w:r w:rsidR="005C1163" w:rsidRPr="00AF5C16">
          <w:rPr>
            <w:rStyle w:val="Hyperlink"/>
            <w:noProof/>
          </w:rPr>
          <w:t>Table 19: GE7HA.02 Combined Cycle Technical Specifications</w:t>
        </w:r>
        <w:r w:rsidR="005C1163">
          <w:rPr>
            <w:noProof/>
            <w:webHidden/>
          </w:rPr>
          <w:tab/>
        </w:r>
        <w:r w:rsidR="005C1163">
          <w:rPr>
            <w:noProof/>
            <w:webHidden/>
          </w:rPr>
          <w:fldChar w:fldCharType="begin"/>
        </w:r>
        <w:r w:rsidR="005C1163">
          <w:rPr>
            <w:noProof/>
            <w:webHidden/>
          </w:rPr>
          <w:instrText xml:space="preserve"> PAGEREF _Toc465433444 \h </w:instrText>
        </w:r>
        <w:r w:rsidR="005C1163">
          <w:rPr>
            <w:noProof/>
            <w:webHidden/>
          </w:rPr>
        </w:r>
        <w:r w:rsidR="005C1163">
          <w:rPr>
            <w:noProof/>
            <w:webHidden/>
          </w:rPr>
          <w:fldChar w:fldCharType="separate"/>
        </w:r>
        <w:r w:rsidR="005C1163">
          <w:rPr>
            <w:noProof/>
            <w:webHidden/>
          </w:rPr>
          <w:t>37</w:t>
        </w:r>
        <w:r w:rsidR="005C1163">
          <w:rPr>
            <w:noProof/>
            <w:webHidden/>
          </w:rPr>
          <w:fldChar w:fldCharType="end"/>
        </w:r>
      </w:hyperlink>
    </w:p>
    <w:p w14:paraId="17E03C77" w14:textId="5AC567E8" w:rsidR="005C1163" w:rsidRDefault="00FA6573">
      <w:pPr>
        <w:pStyle w:val="TableofFigures"/>
        <w:tabs>
          <w:tab w:val="right" w:leader="dot" w:pos="9350"/>
        </w:tabs>
        <w:rPr>
          <w:rFonts w:asciiTheme="minorHAnsi" w:eastAsiaTheme="minorEastAsia" w:hAnsiTheme="minorHAnsi"/>
          <w:noProof/>
        </w:rPr>
      </w:pPr>
      <w:hyperlink w:anchor="_Toc465433445" w:history="1">
        <w:r w:rsidR="005C1163" w:rsidRPr="00AF5C16">
          <w:rPr>
            <w:rStyle w:val="Hyperlink"/>
            <w:noProof/>
          </w:rPr>
          <w:t>Table 20: GE7HA.02 Combined Cycle Capital Costs</w:t>
        </w:r>
        <w:r w:rsidR="005C1163">
          <w:rPr>
            <w:noProof/>
            <w:webHidden/>
          </w:rPr>
          <w:tab/>
        </w:r>
        <w:r w:rsidR="005C1163">
          <w:rPr>
            <w:noProof/>
            <w:webHidden/>
          </w:rPr>
          <w:fldChar w:fldCharType="begin"/>
        </w:r>
        <w:r w:rsidR="005C1163">
          <w:rPr>
            <w:noProof/>
            <w:webHidden/>
          </w:rPr>
          <w:instrText xml:space="preserve"> PAGEREF _Toc465433445 \h </w:instrText>
        </w:r>
        <w:r w:rsidR="005C1163">
          <w:rPr>
            <w:noProof/>
            <w:webHidden/>
          </w:rPr>
        </w:r>
        <w:r w:rsidR="005C1163">
          <w:rPr>
            <w:noProof/>
            <w:webHidden/>
          </w:rPr>
          <w:fldChar w:fldCharType="separate"/>
        </w:r>
        <w:r w:rsidR="005C1163">
          <w:rPr>
            <w:noProof/>
            <w:webHidden/>
          </w:rPr>
          <w:t>38</w:t>
        </w:r>
        <w:r w:rsidR="005C1163">
          <w:rPr>
            <w:noProof/>
            <w:webHidden/>
          </w:rPr>
          <w:fldChar w:fldCharType="end"/>
        </w:r>
      </w:hyperlink>
    </w:p>
    <w:p w14:paraId="107C4D5E" w14:textId="531A977B" w:rsidR="005C1163" w:rsidRDefault="00FA6573">
      <w:pPr>
        <w:pStyle w:val="TableofFigures"/>
        <w:tabs>
          <w:tab w:val="right" w:leader="dot" w:pos="9350"/>
        </w:tabs>
        <w:rPr>
          <w:rFonts w:asciiTheme="minorHAnsi" w:eastAsiaTheme="minorEastAsia" w:hAnsiTheme="minorHAnsi"/>
          <w:noProof/>
        </w:rPr>
      </w:pPr>
      <w:hyperlink w:anchor="_Toc465433446" w:history="1">
        <w:r w:rsidR="005C1163" w:rsidRPr="00AF5C16">
          <w:rPr>
            <w:rStyle w:val="Hyperlink"/>
            <w:noProof/>
          </w:rPr>
          <w:t>Table 21: GE7HA.02 Combined Cycle GT Fixed Operating Costs</w:t>
        </w:r>
        <w:r w:rsidR="005C1163">
          <w:rPr>
            <w:noProof/>
            <w:webHidden/>
          </w:rPr>
          <w:tab/>
        </w:r>
        <w:r w:rsidR="005C1163">
          <w:rPr>
            <w:noProof/>
            <w:webHidden/>
          </w:rPr>
          <w:fldChar w:fldCharType="begin"/>
        </w:r>
        <w:r w:rsidR="005C1163">
          <w:rPr>
            <w:noProof/>
            <w:webHidden/>
          </w:rPr>
          <w:instrText xml:space="preserve"> PAGEREF _Toc465433446 \h </w:instrText>
        </w:r>
        <w:r w:rsidR="005C1163">
          <w:rPr>
            <w:noProof/>
            <w:webHidden/>
          </w:rPr>
        </w:r>
        <w:r w:rsidR="005C1163">
          <w:rPr>
            <w:noProof/>
            <w:webHidden/>
          </w:rPr>
          <w:fldChar w:fldCharType="separate"/>
        </w:r>
        <w:r w:rsidR="005C1163">
          <w:rPr>
            <w:noProof/>
            <w:webHidden/>
          </w:rPr>
          <w:t>38</w:t>
        </w:r>
        <w:r w:rsidR="005C1163">
          <w:rPr>
            <w:noProof/>
            <w:webHidden/>
          </w:rPr>
          <w:fldChar w:fldCharType="end"/>
        </w:r>
      </w:hyperlink>
    </w:p>
    <w:p w14:paraId="0BB0C21A" w14:textId="570162CA" w:rsidR="005C1163" w:rsidRDefault="00FA6573">
      <w:pPr>
        <w:pStyle w:val="TableofFigures"/>
        <w:tabs>
          <w:tab w:val="right" w:leader="dot" w:pos="9350"/>
        </w:tabs>
        <w:rPr>
          <w:rFonts w:asciiTheme="minorHAnsi" w:eastAsiaTheme="minorEastAsia" w:hAnsiTheme="minorHAnsi"/>
          <w:noProof/>
        </w:rPr>
      </w:pPr>
      <w:hyperlink w:anchor="_Toc465433447" w:history="1">
        <w:r w:rsidR="005C1163" w:rsidRPr="00AF5C16">
          <w:rPr>
            <w:rStyle w:val="Hyperlink"/>
            <w:noProof/>
          </w:rPr>
          <w:t>Table 22:  Municipal Tax Rates for Selected Cities in SEMA</w:t>
        </w:r>
        <w:r w:rsidR="005C1163">
          <w:rPr>
            <w:noProof/>
            <w:webHidden/>
          </w:rPr>
          <w:tab/>
        </w:r>
        <w:r w:rsidR="005C1163">
          <w:rPr>
            <w:noProof/>
            <w:webHidden/>
          </w:rPr>
          <w:fldChar w:fldCharType="begin"/>
        </w:r>
        <w:r w:rsidR="005C1163">
          <w:rPr>
            <w:noProof/>
            <w:webHidden/>
          </w:rPr>
          <w:instrText xml:space="preserve"> PAGEREF _Toc465433447 \h </w:instrText>
        </w:r>
        <w:r w:rsidR="005C1163">
          <w:rPr>
            <w:noProof/>
            <w:webHidden/>
          </w:rPr>
        </w:r>
        <w:r w:rsidR="005C1163">
          <w:rPr>
            <w:noProof/>
            <w:webHidden/>
          </w:rPr>
          <w:fldChar w:fldCharType="separate"/>
        </w:r>
        <w:r w:rsidR="005C1163">
          <w:rPr>
            <w:noProof/>
            <w:webHidden/>
          </w:rPr>
          <w:t>41</w:t>
        </w:r>
        <w:r w:rsidR="005C1163">
          <w:rPr>
            <w:noProof/>
            <w:webHidden/>
          </w:rPr>
          <w:fldChar w:fldCharType="end"/>
        </w:r>
      </w:hyperlink>
    </w:p>
    <w:p w14:paraId="171326B4" w14:textId="3221653B" w:rsidR="005C1163" w:rsidRDefault="00FA6573">
      <w:pPr>
        <w:pStyle w:val="TableofFigures"/>
        <w:tabs>
          <w:tab w:val="right" w:leader="dot" w:pos="9350"/>
        </w:tabs>
        <w:rPr>
          <w:rFonts w:asciiTheme="minorHAnsi" w:eastAsiaTheme="minorEastAsia" w:hAnsiTheme="minorHAnsi"/>
          <w:noProof/>
        </w:rPr>
      </w:pPr>
      <w:hyperlink w:anchor="_Toc465433448" w:history="1">
        <w:r w:rsidR="005C1163" w:rsidRPr="00AF5C16">
          <w:rPr>
            <w:rStyle w:val="Hyperlink"/>
            <w:noProof/>
          </w:rPr>
          <w:t>Table 23: Peer Group Beta Estimates</w:t>
        </w:r>
        <w:r w:rsidR="005C1163">
          <w:rPr>
            <w:noProof/>
            <w:webHidden/>
          </w:rPr>
          <w:tab/>
        </w:r>
        <w:r w:rsidR="005C1163">
          <w:rPr>
            <w:noProof/>
            <w:webHidden/>
          </w:rPr>
          <w:fldChar w:fldCharType="begin"/>
        </w:r>
        <w:r w:rsidR="005C1163">
          <w:rPr>
            <w:noProof/>
            <w:webHidden/>
          </w:rPr>
          <w:instrText xml:space="preserve"> PAGEREF _Toc465433448 \h </w:instrText>
        </w:r>
        <w:r w:rsidR="005C1163">
          <w:rPr>
            <w:noProof/>
            <w:webHidden/>
          </w:rPr>
        </w:r>
        <w:r w:rsidR="005C1163">
          <w:rPr>
            <w:noProof/>
            <w:webHidden/>
          </w:rPr>
          <w:fldChar w:fldCharType="separate"/>
        </w:r>
        <w:r w:rsidR="005C1163">
          <w:rPr>
            <w:noProof/>
            <w:webHidden/>
          </w:rPr>
          <w:t>44</w:t>
        </w:r>
        <w:r w:rsidR="005C1163">
          <w:rPr>
            <w:noProof/>
            <w:webHidden/>
          </w:rPr>
          <w:fldChar w:fldCharType="end"/>
        </w:r>
      </w:hyperlink>
    </w:p>
    <w:p w14:paraId="54C09743" w14:textId="6623AFDB" w:rsidR="005C1163" w:rsidRDefault="00FA6573">
      <w:pPr>
        <w:pStyle w:val="TableofFigures"/>
        <w:tabs>
          <w:tab w:val="right" w:leader="dot" w:pos="9350"/>
        </w:tabs>
        <w:rPr>
          <w:rFonts w:asciiTheme="minorHAnsi" w:eastAsiaTheme="minorEastAsia" w:hAnsiTheme="minorHAnsi"/>
          <w:noProof/>
        </w:rPr>
      </w:pPr>
      <w:hyperlink w:anchor="_Toc465433449" w:history="1">
        <w:r w:rsidR="005C1163" w:rsidRPr="00AF5C16">
          <w:rPr>
            <w:rStyle w:val="Hyperlink"/>
            <w:noProof/>
          </w:rPr>
          <w:t>Table 24: CAPM Analysis</w:t>
        </w:r>
        <w:r w:rsidR="005C1163">
          <w:rPr>
            <w:noProof/>
            <w:webHidden/>
          </w:rPr>
          <w:tab/>
        </w:r>
        <w:r w:rsidR="005C1163">
          <w:rPr>
            <w:noProof/>
            <w:webHidden/>
          </w:rPr>
          <w:fldChar w:fldCharType="begin"/>
        </w:r>
        <w:r w:rsidR="005C1163">
          <w:rPr>
            <w:noProof/>
            <w:webHidden/>
          </w:rPr>
          <w:instrText xml:space="preserve"> PAGEREF _Toc465433449 \h </w:instrText>
        </w:r>
        <w:r w:rsidR="005C1163">
          <w:rPr>
            <w:noProof/>
            <w:webHidden/>
          </w:rPr>
        </w:r>
        <w:r w:rsidR="005C1163">
          <w:rPr>
            <w:noProof/>
            <w:webHidden/>
          </w:rPr>
          <w:fldChar w:fldCharType="separate"/>
        </w:r>
        <w:r w:rsidR="005C1163">
          <w:rPr>
            <w:noProof/>
            <w:webHidden/>
          </w:rPr>
          <w:t>45</w:t>
        </w:r>
        <w:r w:rsidR="005C1163">
          <w:rPr>
            <w:noProof/>
            <w:webHidden/>
          </w:rPr>
          <w:fldChar w:fldCharType="end"/>
        </w:r>
      </w:hyperlink>
    </w:p>
    <w:p w14:paraId="7B77D74D" w14:textId="660F34EC" w:rsidR="005C1163" w:rsidRDefault="00FA6573">
      <w:pPr>
        <w:pStyle w:val="TableofFigures"/>
        <w:tabs>
          <w:tab w:val="right" w:leader="dot" w:pos="9350"/>
        </w:tabs>
        <w:rPr>
          <w:rFonts w:asciiTheme="minorHAnsi" w:eastAsiaTheme="minorEastAsia" w:hAnsiTheme="minorHAnsi"/>
          <w:noProof/>
        </w:rPr>
      </w:pPr>
      <w:hyperlink w:anchor="_Toc465433450" w:history="1">
        <w:r w:rsidR="005C1163" w:rsidRPr="00AF5C16">
          <w:rPr>
            <w:rStyle w:val="Hyperlink"/>
            <w:noProof/>
          </w:rPr>
          <w:t>Table 25: Summary of CAPM Results by Alternative Peer Group</w:t>
        </w:r>
        <w:r w:rsidR="005C1163">
          <w:rPr>
            <w:noProof/>
            <w:webHidden/>
          </w:rPr>
          <w:tab/>
        </w:r>
        <w:r w:rsidR="005C1163">
          <w:rPr>
            <w:noProof/>
            <w:webHidden/>
          </w:rPr>
          <w:fldChar w:fldCharType="begin"/>
        </w:r>
        <w:r w:rsidR="005C1163">
          <w:rPr>
            <w:noProof/>
            <w:webHidden/>
          </w:rPr>
          <w:instrText xml:space="preserve"> PAGEREF _Toc465433450 \h </w:instrText>
        </w:r>
        <w:r w:rsidR="005C1163">
          <w:rPr>
            <w:noProof/>
            <w:webHidden/>
          </w:rPr>
        </w:r>
        <w:r w:rsidR="005C1163">
          <w:rPr>
            <w:noProof/>
            <w:webHidden/>
          </w:rPr>
          <w:fldChar w:fldCharType="separate"/>
        </w:r>
        <w:r w:rsidR="005C1163">
          <w:rPr>
            <w:noProof/>
            <w:webHidden/>
          </w:rPr>
          <w:t>46</w:t>
        </w:r>
        <w:r w:rsidR="005C1163">
          <w:rPr>
            <w:noProof/>
            <w:webHidden/>
          </w:rPr>
          <w:fldChar w:fldCharType="end"/>
        </w:r>
      </w:hyperlink>
    </w:p>
    <w:p w14:paraId="3F8BAFBD" w14:textId="5706B664" w:rsidR="005C1163" w:rsidRDefault="00FA6573">
      <w:pPr>
        <w:pStyle w:val="TableofFigures"/>
        <w:tabs>
          <w:tab w:val="right" w:leader="dot" w:pos="9350"/>
        </w:tabs>
        <w:rPr>
          <w:rFonts w:asciiTheme="minorHAnsi" w:eastAsiaTheme="minorEastAsia" w:hAnsiTheme="minorHAnsi"/>
          <w:noProof/>
        </w:rPr>
      </w:pPr>
      <w:hyperlink w:anchor="_Toc465433451" w:history="1">
        <w:r w:rsidR="005C1163" w:rsidRPr="00AF5C16">
          <w:rPr>
            <w:rStyle w:val="Hyperlink"/>
            <w:noProof/>
          </w:rPr>
          <w:t>Table 26.  Cost of Capital Comparison</w:t>
        </w:r>
        <w:r w:rsidR="005C1163">
          <w:rPr>
            <w:noProof/>
            <w:webHidden/>
          </w:rPr>
          <w:tab/>
        </w:r>
        <w:r w:rsidR="005C1163">
          <w:rPr>
            <w:noProof/>
            <w:webHidden/>
          </w:rPr>
          <w:fldChar w:fldCharType="begin"/>
        </w:r>
        <w:r w:rsidR="005C1163">
          <w:rPr>
            <w:noProof/>
            <w:webHidden/>
          </w:rPr>
          <w:instrText xml:space="preserve"> PAGEREF _Toc465433451 \h </w:instrText>
        </w:r>
        <w:r w:rsidR="005C1163">
          <w:rPr>
            <w:noProof/>
            <w:webHidden/>
          </w:rPr>
        </w:r>
        <w:r w:rsidR="005C1163">
          <w:rPr>
            <w:noProof/>
            <w:webHidden/>
          </w:rPr>
          <w:fldChar w:fldCharType="separate"/>
        </w:r>
        <w:r w:rsidR="005C1163">
          <w:rPr>
            <w:noProof/>
            <w:webHidden/>
          </w:rPr>
          <w:t>50</w:t>
        </w:r>
        <w:r w:rsidR="005C1163">
          <w:rPr>
            <w:noProof/>
            <w:webHidden/>
          </w:rPr>
          <w:fldChar w:fldCharType="end"/>
        </w:r>
      </w:hyperlink>
    </w:p>
    <w:p w14:paraId="6CE1CEC8" w14:textId="02471773" w:rsidR="005C1163" w:rsidRDefault="00FA6573">
      <w:pPr>
        <w:pStyle w:val="TableofFigures"/>
        <w:tabs>
          <w:tab w:val="right" w:leader="dot" w:pos="9350"/>
        </w:tabs>
        <w:rPr>
          <w:rFonts w:asciiTheme="minorHAnsi" w:eastAsiaTheme="minorEastAsia" w:hAnsiTheme="minorHAnsi"/>
          <w:noProof/>
        </w:rPr>
      </w:pPr>
      <w:hyperlink w:anchor="_Toc465433452" w:history="1">
        <w:r w:rsidR="005C1163" w:rsidRPr="00AF5C16">
          <w:rPr>
            <w:rStyle w:val="Hyperlink"/>
            <w:noProof/>
          </w:rPr>
          <w:t>Table 27.  Selected Pipeline Expansion Projects Included in the 2016 Q2 RBAC Base Case</w:t>
        </w:r>
        <w:r w:rsidR="005C1163">
          <w:rPr>
            <w:noProof/>
            <w:webHidden/>
          </w:rPr>
          <w:tab/>
        </w:r>
        <w:r w:rsidR="005C1163">
          <w:rPr>
            <w:noProof/>
            <w:webHidden/>
          </w:rPr>
          <w:fldChar w:fldCharType="begin"/>
        </w:r>
        <w:r w:rsidR="005C1163">
          <w:rPr>
            <w:noProof/>
            <w:webHidden/>
          </w:rPr>
          <w:instrText xml:space="preserve"> PAGEREF _Toc465433452 \h </w:instrText>
        </w:r>
        <w:r w:rsidR="005C1163">
          <w:rPr>
            <w:noProof/>
            <w:webHidden/>
          </w:rPr>
        </w:r>
        <w:r w:rsidR="005C1163">
          <w:rPr>
            <w:noProof/>
            <w:webHidden/>
          </w:rPr>
          <w:fldChar w:fldCharType="separate"/>
        </w:r>
        <w:r w:rsidR="005C1163">
          <w:rPr>
            <w:noProof/>
            <w:webHidden/>
          </w:rPr>
          <w:t>51</w:t>
        </w:r>
        <w:r w:rsidR="005C1163">
          <w:rPr>
            <w:noProof/>
            <w:webHidden/>
          </w:rPr>
          <w:fldChar w:fldCharType="end"/>
        </w:r>
      </w:hyperlink>
    </w:p>
    <w:p w14:paraId="2DC6C8CA" w14:textId="21C79429" w:rsidR="005C1163" w:rsidRDefault="00FA6573">
      <w:pPr>
        <w:pStyle w:val="TableofFigures"/>
        <w:tabs>
          <w:tab w:val="right" w:leader="dot" w:pos="9350"/>
        </w:tabs>
        <w:rPr>
          <w:rFonts w:asciiTheme="minorHAnsi" w:eastAsiaTheme="minorEastAsia" w:hAnsiTheme="minorHAnsi"/>
          <w:noProof/>
        </w:rPr>
      </w:pPr>
      <w:hyperlink w:anchor="_Toc465433453" w:history="1">
        <w:r w:rsidR="005C1163" w:rsidRPr="00AF5C16">
          <w:rPr>
            <w:rStyle w:val="Hyperlink"/>
            <w:noProof/>
          </w:rPr>
          <w:t>Table 28.  Transfer Limits Between Load Zones</w:t>
        </w:r>
        <w:r w:rsidR="005C1163">
          <w:rPr>
            <w:noProof/>
            <w:webHidden/>
          </w:rPr>
          <w:tab/>
        </w:r>
        <w:r w:rsidR="005C1163">
          <w:rPr>
            <w:noProof/>
            <w:webHidden/>
          </w:rPr>
          <w:fldChar w:fldCharType="begin"/>
        </w:r>
        <w:r w:rsidR="005C1163">
          <w:rPr>
            <w:noProof/>
            <w:webHidden/>
          </w:rPr>
          <w:instrText xml:space="preserve"> PAGEREF _Toc465433453 \h </w:instrText>
        </w:r>
        <w:r w:rsidR="005C1163">
          <w:rPr>
            <w:noProof/>
            <w:webHidden/>
          </w:rPr>
        </w:r>
        <w:r w:rsidR="005C1163">
          <w:rPr>
            <w:noProof/>
            <w:webHidden/>
          </w:rPr>
          <w:fldChar w:fldCharType="separate"/>
        </w:r>
        <w:r w:rsidR="005C1163">
          <w:rPr>
            <w:noProof/>
            <w:webHidden/>
          </w:rPr>
          <w:t>59</w:t>
        </w:r>
        <w:r w:rsidR="005C1163">
          <w:rPr>
            <w:noProof/>
            <w:webHidden/>
          </w:rPr>
          <w:fldChar w:fldCharType="end"/>
        </w:r>
      </w:hyperlink>
    </w:p>
    <w:p w14:paraId="3E11CA38" w14:textId="2B313656" w:rsidR="005C1163" w:rsidRDefault="00FA6573">
      <w:pPr>
        <w:pStyle w:val="TableofFigures"/>
        <w:tabs>
          <w:tab w:val="right" w:leader="dot" w:pos="9350"/>
        </w:tabs>
        <w:rPr>
          <w:rFonts w:asciiTheme="minorHAnsi" w:eastAsiaTheme="minorEastAsia" w:hAnsiTheme="minorHAnsi"/>
          <w:noProof/>
        </w:rPr>
      </w:pPr>
      <w:hyperlink w:anchor="_Toc465433454" w:history="1">
        <w:r w:rsidR="005C1163" w:rsidRPr="00AF5C16">
          <w:rPr>
            <w:rStyle w:val="Hyperlink"/>
            <w:noProof/>
          </w:rPr>
          <w:t>Table 29:  Historical FR and RTR Payment Rates</w:t>
        </w:r>
        <w:r w:rsidR="005C1163">
          <w:rPr>
            <w:noProof/>
            <w:webHidden/>
          </w:rPr>
          <w:tab/>
        </w:r>
        <w:r w:rsidR="005C1163">
          <w:rPr>
            <w:noProof/>
            <w:webHidden/>
          </w:rPr>
          <w:fldChar w:fldCharType="begin"/>
        </w:r>
        <w:r w:rsidR="005C1163">
          <w:rPr>
            <w:noProof/>
            <w:webHidden/>
          </w:rPr>
          <w:instrText xml:space="preserve"> PAGEREF _Toc465433454 \h </w:instrText>
        </w:r>
        <w:r w:rsidR="005C1163">
          <w:rPr>
            <w:noProof/>
            <w:webHidden/>
          </w:rPr>
        </w:r>
        <w:r w:rsidR="005C1163">
          <w:rPr>
            <w:noProof/>
            <w:webHidden/>
          </w:rPr>
          <w:fldChar w:fldCharType="separate"/>
        </w:r>
        <w:r w:rsidR="005C1163">
          <w:rPr>
            <w:noProof/>
            <w:webHidden/>
          </w:rPr>
          <w:t>63</w:t>
        </w:r>
        <w:r w:rsidR="005C1163">
          <w:rPr>
            <w:noProof/>
            <w:webHidden/>
          </w:rPr>
          <w:fldChar w:fldCharType="end"/>
        </w:r>
      </w:hyperlink>
    </w:p>
    <w:p w14:paraId="4B87A235" w14:textId="2A43DC8A" w:rsidR="005C1163" w:rsidRDefault="00FA6573">
      <w:pPr>
        <w:pStyle w:val="TableofFigures"/>
        <w:tabs>
          <w:tab w:val="right" w:leader="dot" w:pos="9350"/>
        </w:tabs>
        <w:rPr>
          <w:rFonts w:asciiTheme="minorHAnsi" w:eastAsiaTheme="minorEastAsia" w:hAnsiTheme="minorHAnsi"/>
          <w:noProof/>
        </w:rPr>
      </w:pPr>
      <w:hyperlink w:anchor="_Toc465433455" w:history="1">
        <w:r w:rsidR="005C1163" w:rsidRPr="00AF5C16">
          <w:rPr>
            <w:rStyle w:val="Hyperlink"/>
            <w:noProof/>
          </w:rPr>
          <w:t>Table 30:  Forward Reserve Heat Rates</w:t>
        </w:r>
        <w:r w:rsidR="005C1163">
          <w:rPr>
            <w:noProof/>
            <w:webHidden/>
          </w:rPr>
          <w:tab/>
        </w:r>
        <w:r w:rsidR="005C1163">
          <w:rPr>
            <w:noProof/>
            <w:webHidden/>
          </w:rPr>
          <w:fldChar w:fldCharType="begin"/>
        </w:r>
        <w:r w:rsidR="005C1163">
          <w:rPr>
            <w:noProof/>
            <w:webHidden/>
          </w:rPr>
          <w:instrText xml:space="preserve"> PAGEREF _Toc465433455 \h </w:instrText>
        </w:r>
        <w:r w:rsidR="005C1163">
          <w:rPr>
            <w:noProof/>
            <w:webHidden/>
          </w:rPr>
        </w:r>
        <w:r w:rsidR="005C1163">
          <w:rPr>
            <w:noProof/>
            <w:webHidden/>
          </w:rPr>
          <w:fldChar w:fldCharType="separate"/>
        </w:r>
        <w:r w:rsidR="005C1163">
          <w:rPr>
            <w:noProof/>
            <w:webHidden/>
          </w:rPr>
          <w:t>64</w:t>
        </w:r>
        <w:r w:rsidR="005C1163">
          <w:rPr>
            <w:noProof/>
            <w:webHidden/>
          </w:rPr>
          <w:fldChar w:fldCharType="end"/>
        </w:r>
      </w:hyperlink>
    </w:p>
    <w:p w14:paraId="2D669941" w14:textId="6E832ABF" w:rsidR="005C1163" w:rsidRDefault="00FA6573">
      <w:pPr>
        <w:pStyle w:val="TableofFigures"/>
        <w:tabs>
          <w:tab w:val="right" w:leader="dot" w:pos="9350"/>
        </w:tabs>
        <w:rPr>
          <w:rFonts w:asciiTheme="minorHAnsi" w:eastAsiaTheme="minorEastAsia" w:hAnsiTheme="minorHAnsi"/>
          <w:noProof/>
        </w:rPr>
      </w:pPr>
      <w:hyperlink w:anchor="_Toc465433456" w:history="1">
        <w:r w:rsidR="005C1163" w:rsidRPr="00AF5C16">
          <w:rPr>
            <w:rStyle w:val="Hyperlink"/>
            <w:noProof/>
          </w:rPr>
          <w:t>Table 31: Shortage Hour Assumptions</w:t>
        </w:r>
        <w:r w:rsidR="005C1163">
          <w:rPr>
            <w:noProof/>
            <w:webHidden/>
          </w:rPr>
          <w:tab/>
        </w:r>
        <w:r w:rsidR="005C1163">
          <w:rPr>
            <w:noProof/>
            <w:webHidden/>
          </w:rPr>
          <w:fldChar w:fldCharType="begin"/>
        </w:r>
        <w:r w:rsidR="005C1163">
          <w:rPr>
            <w:noProof/>
            <w:webHidden/>
          </w:rPr>
          <w:instrText xml:space="preserve"> PAGEREF _Toc465433456 \h </w:instrText>
        </w:r>
        <w:r w:rsidR="005C1163">
          <w:rPr>
            <w:noProof/>
            <w:webHidden/>
          </w:rPr>
        </w:r>
        <w:r w:rsidR="005C1163">
          <w:rPr>
            <w:noProof/>
            <w:webHidden/>
          </w:rPr>
          <w:fldChar w:fldCharType="separate"/>
        </w:r>
        <w:r w:rsidR="005C1163">
          <w:rPr>
            <w:noProof/>
            <w:webHidden/>
          </w:rPr>
          <w:t>66</w:t>
        </w:r>
        <w:r w:rsidR="005C1163">
          <w:rPr>
            <w:noProof/>
            <w:webHidden/>
          </w:rPr>
          <w:fldChar w:fldCharType="end"/>
        </w:r>
      </w:hyperlink>
    </w:p>
    <w:p w14:paraId="54122FD3" w14:textId="5D2D83B4" w:rsidR="005C1163" w:rsidRDefault="00FA6573">
      <w:pPr>
        <w:pStyle w:val="TableofFigures"/>
        <w:tabs>
          <w:tab w:val="right" w:leader="dot" w:pos="9350"/>
        </w:tabs>
        <w:rPr>
          <w:rFonts w:asciiTheme="minorHAnsi" w:eastAsiaTheme="minorEastAsia" w:hAnsiTheme="minorHAnsi"/>
          <w:noProof/>
        </w:rPr>
      </w:pPr>
      <w:hyperlink w:anchor="_Toc465433457" w:history="1">
        <w:r w:rsidR="005C1163" w:rsidRPr="00AF5C16">
          <w:rPr>
            <w:rStyle w:val="Hyperlink"/>
            <w:noProof/>
          </w:rPr>
          <w:t>Table 32: Net CONE Summary for Candidate Reference Technologies (2021$)</w:t>
        </w:r>
        <w:r w:rsidR="005C1163">
          <w:rPr>
            <w:noProof/>
            <w:webHidden/>
          </w:rPr>
          <w:tab/>
        </w:r>
        <w:r w:rsidR="005C1163">
          <w:rPr>
            <w:noProof/>
            <w:webHidden/>
          </w:rPr>
          <w:fldChar w:fldCharType="begin"/>
        </w:r>
        <w:r w:rsidR="005C1163">
          <w:rPr>
            <w:noProof/>
            <w:webHidden/>
          </w:rPr>
          <w:instrText xml:space="preserve"> PAGEREF _Toc465433457 \h </w:instrText>
        </w:r>
        <w:r w:rsidR="005C1163">
          <w:rPr>
            <w:noProof/>
            <w:webHidden/>
          </w:rPr>
        </w:r>
        <w:r w:rsidR="005C1163">
          <w:rPr>
            <w:noProof/>
            <w:webHidden/>
          </w:rPr>
          <w:fldChar w:fldCharType="separate"/>
        </w:r>
        <w:r w:rsidR="005C1163">
          <w:rPr>
            <w:noProof/>
            <w:webHidden/>
          </w:rPr>
          <w:t>66</w:t>
        </w:r>
        <w:r w:rsidR="005C1163">
          <w:rPr>
            <w:noProof/>
            <w:webHidden/>
          </w:rPr>
          <w:fldChar w:fldCharType="end"/>
        </w:r>
      </w:hyperlink>
    </w:p>
    <w:p w14:paraId="58C189FE" w14:textId="5D68BF5E" w:rsidR="005C1163" w:rsidRDefault="00FA6573">
      <w:pPr>
        <w:pStyle w:val="TableofFigures"/>
        <w:tabs>
          <w:tab w:val="right" w:leader="dot" w:pos="9350"/>
        </w:tabs>
        <w:rPr>
          <w:rFonts w:asciiTheme="minorHAnsi" w:eastAsiaTheme="minorEastAsia" w:hAnsiTheme="minorHAnsi"/>
          <w:noProof/>
        </w:rPr>
      </w:pPr>
      <w:hyperlink w:anchor="_Toc465433458" w:history="1">
        <w:r w:rsidR="005C1163" w:rsidRPr="00AF5C16">
          <w:rPr>
            <w:rStyle w:val="Hyperlink"/>
            <w:noProof/>
          </w:rPr>
          <w:t>Table 33:  Calculation of Power:Gas Ratio for E&amp;AS Offset Update</w:t>
        </w:r>
        <w:r w:rsidR="005C1163">
          <w:rPr>
            <w:noProof/>
            <w:webHidden/>
          </w:rPr>
          <w:tab/>
        </w:r>
        <w:r w:rsidR="005C1163">
          <w:rPr>
            <w:noProof/>
            <w:webHidden/>
          </w:rPr>
          <w:fldChar w:fldCharType="begin"/>
        </w:r>
        <w:r w:rsidR="005C1163">
          <w:rPr>
            <w:noProof/>
            <w:webHidden/>
          </w:rPr>
          <w:instrText xml:space="preserve"> PAGEREF _Toc465433458 \h </w:instrText>
        </w:r>
        <w:r w:rsidR="005C1163">
          <w:rPr>
            <w:noProof/>
            <w:webHidden/>
          </w:rPr>
        </w:r>
        <w:r w:rsidR="005C1163">
          <w:rPr>
            <w:noProof/>
            <w:webHidden/>
          </w:rPr>
          <w:fldChar w:fldCharType="separate"/>
        </w:r>
        <w:r w:rsidR="005C1163">
          <w:rPr>
            <w:noProof/>
            <w:webHidden/>
          </w:rPr>
          <w:t>67</w:t>
        </w:r>
        <w:r w:rsidR="005C1163">
          <w:rPr>
            <w:noProof/>
            <w:webHidden/>
          </w:rPr>
          <w:fldChar w:fldCharType="end"/>
        </w:r>
      </w:hyperlink>
    </w:p>
    <w:p w14:paraId="13D7B509" w14:textId="379558A0" w:rsidR="005C1163" w:rsidRDefault="00FA6573">
      <w:pPr>
        <w:pStyle w:val="TableofFigures"/>
        <w:tabs>
          <w:tab w:val="right" w:leader="dot" w:pos="9350"/>
        </w:tabs>
        <w:rPr>
          <w:rFonts w:asciiTheme="minorHAnsi" w:eastAsiaTheme="minorEastAsia" w:hAnsiTheme="minorHAnsi"/>
          <w:noProof/>
        </w:rPr>
      </w:pPr>
      <w:hyperlink w:anchor="_Toc465433459" w:history="1">
        <w:r w:rsidR="005C1163" w:rsidRPr="00AF5C16">
          <w:rPr>
            <w:rStyle w:val="Hyperlink"/>
            <w:noProof/>
          </w:rPr>
          <w:t xml:space="preserve">Table 34: </w:t>
        </w:r>
        <w:r w:rsidR="005C1163" w:rsidRPr="00AF5C16">
          <w:rPr>
            <w:rStyle w:val="Hyperlink"/>
            <w:rFonts w:eastAsia="Times New Roman"/>
            <w:noProof/>
          </w:rPr>
          <w:t>Resource Screening Results</w:t>
        </w:r>
        <w:r w:rsidR="005C1163">
          <w:rPr>
            <w:noProof/>
            <w:webHidden/>
          </w:rPr>
          <w:tab/>
        </w:r>
        <w:r w:rsidR="005C1163">
          <w:rPr>
            <w:noProof/>
            <w:webHidden/>
          </w:rPr>
          <w:fldChar w:fldCharType="begin"/>
        </w:r>
        <w:r w:rsidR="005C1163">
          <w:rPr>
            <w:noProof/>
            <w:webHidden/>
          </w:rPr>
          <w:instrText xml:space="preserve"> PAGEREF _Toc465433459 \h </w:instrText>
        </w:r>
        <w:r w:rsidR="005C1163">
          <w:rPr>
            <w:noProof/>
            <w:webHidden/>
          </w:rPr>
        </w:r>
        <w:r w:rsidR="005C1163">
          <w:rPr>
            <w:noProof/>
            <w:webHidden/>
          </w:rPr>
          <w:fldChar w:fldCharType="separate"/>
        </w:r>
        <w:r w:rsidR="005C1163">
          <w:rPr>
            <w:noProof/>
            <w:webHidden/>
          </w:rPr>
          <w:t>71</w:t>
        </w:r>
        <w:r w:rsidR="005C1163">
          <w:rPr>
            <w:noProof/>
            <w:webHidden/>
          </w:rPr>
          <w:fldChar w:fldCharType="end"/>
        </w:r>
      </w:hyperlink>
    </w:p>
    <w:p w14:paraId="5548D2FD" w14:textId="303A6D7E" w:rsidR="005C1163" w:rsidRDefault="00FA6573">
      <w:pPr>
        <w:pStyle w:val="TableofFigures"/>
        <w:tabs>
          <w:tab w:val="right" w:leader="dot" w:pos="9350"/>
        </w:tabs>
        <w:rPr>
          <w:rFonts w:asciiTheme="minorHAnsi" w:eastAsiaTheme="minorEastAsia" w:hAnsiTheme="minorHAnsi"/>
          <w:noProof/>
        </w:rPr>
      </w:pPr>
      <w:hyperlink w:anchor="_Toc465433460" w:history="1">
        <w:r w:rsidR="005C1163" w:rsidRPr="00AF5C16">
          <w:rPr>
            <w:rStyle w:val="Hyperlink"/>
            <w:noProof/>
          </w:rPr>
          <w:t>Table 35: Gas-Fired Resource Technical Specifications</w:t>
        </w:r>
        <w:r w:rsidR="005C1163">
          <w:rPr>
            <w:noProof/>
            <w:webHidden/>
          </w:rPr>
          <w:tab/>
        </w:r>
        <w:r w:rsidR="005C1163">
          <w:rPr>
            <w:noProof/>
            <w:webHidden/>
          </w:rPr>
          <w:fldChar w:fldCharType="begin"/>
        </w:r>
        <w:r w:rsidR="005C1163">
          <w:rPr>
            <w:noProof/>
            <w:webHidden/>
          </w:rPr>
          <w:instrText xml:space="preserve"> PAGEREF _Toc465433460 \h </w:instrText>
        </w:r>
        <w:r w:rsidR="005C1163">
          <w:rPr>
            <w:noProof/>
            <w:webHidden/>
          </w:rPr>
        </w:r>
        <w:r w:rsidR="005C1163">
          <w:rPr>
            <w:noProof/>
            <w:webHidden/>
          </w:rPr>
          <w:fldChar w:fldCharType="separate"/>
        </w:r>
        <w:r w:rsidR="005C1163">
          <w:rPr>
            <w:noProof/>
            <w:webHidden/>
          </w:rPr>
          <w:t>73</w:t>
        </w:r>
        <w:r w:rsidR="005C1163">
          <w:rPr>
            <w:noProof/>
            <w:webHidden/>
          </w:rPr>
          <w:fldChar w:fldCharType="end"/>
        </w:r>
      </w:hyperlink>
    </w:p>
    <w:p w14:paraId="65D32101" w14:textId="70C3B9C8" w:rsidR="005C1163" w:rsidRDefault="00FA6573">
      <w:pPr>
        <w:pStyle w:val="TableofFigures"/>
        <w:tabs>
          <w:tab w:val="right" w:leader="dot" w:pos="9350"/>
        </w:tabs>
        <w:rPr>
          <w:rFonts w:asciiTheme="minorHAnsi" w:eastAsiaTheme="minorEastAsia" w:hAnsiTheme="minorHAnsi"/>
          <w:noProof/>
        </w:rPr>
      </w:pPr>
      <w:hyperlink w:anchor="_Toc465433461" w:history="1">
        <w:r w:rsidR="005C1163" w:rsidRPr="00AF5C16">
          <w:rPr>
            <w:rStyle w:val="Hyperlink"/>
            <w:noProof/>
          </w:rPr>
          <w:t>Table 36: Comparison of Costs – CONE/ORTP</w:t>
        </w:r>
        <w:r w:rsidR="005C1163">
          <w:rPr>
            <w:noProof/>
            <w:webHidden/>
          </w:rPr>
          <w:tab/>
        </w:r>
        <w:r w:rsidR="005C1163">
          <w:rPr>
            <w:noProof/>
            <w:webHidden/>
          </w:rPr>
          <w:fldChar w:fldCharType="begin"/>
        </w:r>
        <w:r w:rsidR="005C1163">
          <w:rPr>
            <w:noProof/>
            <w:webHidden/>
          </w:rPr>
          <w:instrText xml:space="preserve"> PAGEREF _Toc465433461 \h </w:instrText>
        </w:r>
        <w:r w:rsidR="005C1163">
          <w:rPr>
            <w:noProof/>
            <w:webHidden/>
          </w:rPr>
        </w:r>
        <w:r w:rsidR="005C1163">
          <w:rPr>
            <w:noProof/>
            <w:webHidden/>
          </w:rPr>
          <w:fldChar w:fldCharType="separate"/>
        </w:r>
        <w:r w:rsidR="005C1163">
          <w:rPr>
            <w:noProof/>
            <w:webHidden/>
          </w:rPr>
          <w:t>75</w:t>
        </w:r>
        <w:r w:rsidR="005C1163">
          <w:rPr>
            <w:noProof/>
            <w:webHidden/>
          </w:rPr>
          <w:fldChar w:fldCharType="end"/>
        </w:r>
      </w:hyperlink>
    </w:p>
    <w:p w14:paraId="6FA60F2F" w14:textId="3473E819" w:rsidR="005C1163" w:rsidRDefault="00FA6573">
      <w:pPr>
        <w:pStyle w:val="TableofFigures"/>
        <w:tabs>
          <w:tab w:val="right" w:leader="dot" w:pos="9350"/>
        </w:tabs>
        <w:rPr>
          <w:rFonts w:asciiTheme="minorHAnsi" w:eastAsiaTheme="minorEastAsia" w:hAnsiTheme="minorHAnsi"/>
          <w:noProof/>
        </w:rPr>
      </w:pPr>
      <w:hyperlink w:anchor="_Toc465433462" w:history="1">
        <w:r w:rsidR="005C1163" w:rsidRPr="00AF5C16">
          <w:rPr>
            <w:rStyle w:val="Hyperlink"/>
            <w:noProof/>
          </w:rPr>
          <w:t>Table 37: Gas Turbine ORTP Calculation</w:t>
        </w:r>
        <w:r w:rsidR="005C1163">
          <w:rPr>
            <w:noProof/>
            <w:webHidden/>
          </w:rPr>
          <w:tab/>
        </w:r>
        <w:r w:rsidR="005C1163">
          <w:rPr>
            <w:noProof/>
            <w:webHidden/>
          </w:rPr>
          <w:fldChar w:fldCharType="begin"/>
        </w:r>
        <w:r w:rsidR="005C1163">
          <w:rPr>
            <w:noProof/>
            <w:webHidden/>
          </w:rPr>
          <w:instrText xml:space="preserve"> PAGEREF _Toc465433462 \h </w:instrText>
        </w:r>
        <w:r w:rsidR="005C1163">
          <w:rPr>
            <w:noProof/>
            <w:webHidden/>
          </w:rPr>
        </w:r>
        <w:r w:rsidR="005C1163">
          <w:rPr>
            <w:noProof/>
            <w:webHidden/>
          </w:rPr>
          <w:fldChar w:fldCharType="separate"/>
        </w:r>
        <w:r w:rsidR="005C1163">
          <w:rPr>
            <w:noProof/>
            <w:webHidden/>
          </w:rPr>
          <w:t>75</w:t>
        </w:r>
        <w:r w:rsidR="005C1163">
          <w:rPr>
            <w:noProof/>
            <w:webHidden/>
          </w:rPr>
          <w:fldChar w:fldCharType="end"/>
        </w:r>
      </w:hyperlink>
    </w:p>
    <w:p w14:paraId="50A16686" w14:textId="1FA7C5F8" w:rsidR="005C1163" w:rsidRDefault="00FA6573">
      <w:pPr>
        <w:pStyle w:val="TableofFigures"/>
        <w:tabs>
          <w:tab w:val="right" w:leader="dot" w:pos="9350"/>
        </w:tabs>
        <w:rPr>
          <w:rFonts w:asciiTheme="minorHAnsi" w:eastAsiaTheme="minorEastAsia" w:hAnsiTheme="minorHAnsi"/>
          <w:noProof/>
        </w:rPr>
      </w:pPr>
      <w:hyperlink w:anchor="_Toc465433463" w:history="1">
        <w:r w:rsidR="005C1163" w:rsidRPr="00AF5C16">
          <w:rPr>
            <w:rStyle w:val="Hyperlink"/>
            <w:noProof/>
          </w:rPr>
          <w:t>Table 38: Reference Onshore Wind Farm Specifications</w:t>
        </w:r>
        <w:r w:rsidR="005C1163">
          <w:rPr>
            <w:noProof/>
            <w:webHidden/>
          </w:rPr>
          <w:tab/>
        </w:r>
        <w:r w:rsidR="005C1163">
          <w:rPr>
            <w:noProof/>
            <w:webHidden/>
          </w:rPr>
          <w:fldChar w:fldCharType="begin"/>
        </w:r>
        <w:r w:rsidR="005C1163">
          <w:rPr>
            <w:noProof/>
            <w:webHidden/>
          </w:rPr>
          <w:instrText xml:space="preserve"> PAGEREF _Toc465433463 \h </w:instrText>
        </w:r>
        <w:r w:rsidR="005C1163">
          <w:rPr>
            <w:noProof/>
            <w:webHidden/>
          </w:rPr>
        </w:r>
        <w:r w:rsidR="005C1163">
          <w:rPr>
            <w:noProof/>
            <w:webHidden/>
          </w:rPr>
          <w:fldChar w:fldCharType="separate"/>
        </w:r>
        <w:r w:rsidR="005C1163">
          <w:rPr>
            <w:noProof/>
            <w:webHidden/>
          </w:rPr>
          <w:t>78</w:t>
        </w:r>
        <w:r w:rsidR="005C1163">
          <w:rPr>
            <w:noProof/>
            <w:webHidden/>
          </w:rPr>
          <w:fldChar w:fldCharType="end"/>
        </w:r>
      </w:hyperlink>
    </w:p>
    <w:p w14:paraId="5AE7049C" w14:textId="0A030FBC" w:rsidR="005C1163" w:rsidRDefault="00FA6573">
      <w:pPr>
        <w:pStyle w:val="TableofFigures"/>
        <w:tabs>
          <w:tab w:val="right" w:leader="dot" w:pos="9350"/>
        </w:tabs>
        <w:rPr>
          <w:rFonts w:asciiTheme="minorHAnsi" w:eastAsiaTheme="minorEastAsia" w:hAnsiTheme="minorHAnsi"/>
          <w:noProof/>
        </w:rPr>
      </w:pPr>
      <w:hyperlink w:anchor="_Toc465433464" w:history="1">
        <w:r w:rsidR="005C1163" w:rsidRPr="00AF5C16">
          <w:rPr>
            <w:rStyle w:val="Hyperlink"/>
            <w:noProof/>
          </w:rPr>
          <w:t>Table 39: Reference Onshore Wind Farm Overnight Costs (2016$)</w:t>
        </w:r>
        <w:r w:rsidR="005C1163">
          <w:rPr>
            <w:noProof/>
            <w:webHidden/>
          </w:rPr>
          <w:tab/>
        </w:r>
        <w:r w:rsidR="005C1163">
          <w:rPr>
            <w:noProof/>
            <w:webHidden/>
          </w:rPr>
          <w:fldChar w:fldCharType="begin"/>
        </w:r>
        <w:r w:rsidR="005C1163">
          <w:rPr>
            <w:noProof/>
            <w:webHidden/>
          </w:rPr>
          <w:instrText xml:space="preserve"> PAGEREF _Toc465433464 \h </w:instrText>
        </w:r>
        <w:r w:rsidR="005C1163">
          <w:rPr>
            <w:noProof/>
            <w:webHidden/>
          </w:rPr>
        </w:r>
        <w:r w:rsidR="005C1163">
          <w:rPr>
            <w:noProof/>
            <w:webHidden/>
          </w:rPr>
          <w:fldChar w:fldCharType="separate"/>
        </w:r>
        <w:r w:rsidR="005C1163">
          <w:rPr>
            <w:noProof/>
            <w:webHidden/>
          </w:rPr>
          <w:t>79</w:t>
        </w:r>
        <w:r w:rsidR="005C1163">
          <w:rPr>
            <w:noProof/>
            <w:webHidden/>
          </w:rPr>
          <w:fldChar w:fldCharType="end"/>
        </w:r>
      </w:hyperlink>
    </w:p>
    <w:p w14:paraId="6BA8BE05" w14:textId="1ACDB17C" w:rsidR="005C1163" w:rsidRDefault="00FA6573">
      <w:pPr>
        <w:pStyle w:val="TableofFigures"/>
        <w:tabs>
          <w:tab w:val="right" w:leader="dot" w:pos="9350"/>
        </w:tabs>
        <w:rPr>
          <w:rFonts w:asciiTheme="minorHAnsi" w:eastAsiaTheme="minorEastAsia" w:hAnsiTheme="minorHAnsi"/>
          <w:noProof/>
        </w:rPr>
      </w:pPr>
      <w:hyperlink w:anchor="_Toc465433465" w:history="1">
        <w:r w:rsidR="005C1163" w:rsidRPr="00AF5C16">
          <w:rPr>
            <w:rStyle w:val="Hyperlink"/>
            <w:noProof/>
          </w:rPr>
          <w:t>Table 40: Expected Onshore Wind Farm PFP Revenues</w:t>
        </w:r>
        <w:r w:rsidR="005C1163">
          <w:rPr>
            <w:noProof/>
            <w:webHidden/>
          </w:rPr>
          <w:tab/>
        </w:r>
        <w:r w:rsidR="005C1163">
          <w:rPr>
            <w:noProof/>
            <w:webHidden/>
          </w:rPr>
          <w:fldChar w:fldCharType="begin"/>
        </w:r>
        <w:r w:rsidR="005C1163">
          <w:rPr>
            <w:noProof/>
            <w:webHidden/>
          </w:rPr>
          <w:instrText xml:space="preserve"> PAGEREF _Toc465433465 \h </w:instrText>
        </w:r>
        <w:r w:rsidR="005C1163">
          <w:rPr>
            <w:noProof/>
            <w:webHidden/>
          </w:rPr>
        </w:r>
        <w:r w:rsidR="005C1163">
          <w:rPr>
            <w:noProof/>
            <w:webHidden/>
          </w:rPr>
          <w:fldChar w:fldCharType="separate"/>
        </w:r>
        <w:r w:rsidR="005C1163">
          <w:rPr>
            <w:noProof/>
            <w:webHidden/>
          </w:rPr>
          <w:t>80</w:t>
        </w:r>
        <w:r w:rsidR="005C1163">
          <w:rPr>
            <w:noProof/>
            <w:webHidden/>
          </w:rPr>
          <w:fldChar w:fldCharType="end"/>
        </w:r>
      </w:hyperlink>
    </w:p>
    <w:p w14:paraId="438EAE7E" w14:textId="541453D0" w:rsidR="005C1163" w:rsidRDefault="00FA6573">
      <w:pPr>
        <w:pStyle w:val="TableofFigures"/>
        <w:tabs>
          <w:tab w:val="right" w:leader="dot" w:pos="9350"/>
        </w:tabs>
        <w:rPr>
          <w:rFonts w:asciiTheme="minorHAnsi" w:eastAsiaTheme="minorEastAsia" w:hAnsiTheme="minorHAnsi"/>
          <w:noProof/>
        </w:rPr>
      </w:pPr>
      <w:hyperlink w:anchor="_Toc465433466" w:history="1">
        <w:r w:rsidR="005C1163" w:rsidRPr="00AF5C16">
          <w:rPr>
            <w:rStyle w:val="Hyperlink"/>
            <w:noProof/>
          </w:rPr>
          <w:t>Table 41: Wind Resource ORTP Calculation</w:t>
        </w:r>
        <w:r w:rsidR="005C1163">
          <w:rPr>
            <w:noProof/>
            <w:webHidden/>
          </w:rPr>
          <w:tab/>
        </w:r>
        <w:r w:rsidR="005C1163">
          <w:rPr>
            <w:noProof/>
            <w:webHidden/>
          </w:rPr>
          <w:fldChar w:fldCharType="begin"/>
        </w:r>
        <w:r w:rsidR="005C1163">
          <w:rPr>
            <w:noProof/>
            <w:webHidden/>
          </w:rPr>
          <w:instrText xml:space="preserve"> PAGEREF _Toc465433466 \h </w:instrText>
        </w:r>
        <w:r w:rsidR="005C1163">
          <w:rPr>
            <w:noProof/>
            <w:webHidden/>
          </w:rPr>
        </w:r>
        <w:r w:rsidR="005C1163">
          <w:rPr>
            <w:noProof/>
            <w:webHidden/>
          </w:rPr>
          <w:fldChar w:fldCharType="separate"/>
        </w:r>
        <w:r w:rsidR="005C1163">
          <w:rPr>
            <w:noProof/>
            <w:webHidden/>
          </w:rPr>
          <w:t>81</w:t>
        </w:r>
        <w:r w:rsidR="005C1163">
          <w:rPr>
            <w:noProof/>
            <w:webHidden/>
          </w:rPr>
          <w:fldChar w:fldCharType="end"/>
        </w:r>
      </w:hyperlink>
    </w:p>
    <w:p w14:paraId="53C8E82C" w14:textId="53BF62C3" w:rsidR="005C1163" w:rsidRDefault="00FA6573">
      <w:pPr>
        <w:pStyle w:val="TableofFigures"/>
        <w:tabs>
          <w:tab w:val="right" w:leader="dot" w:pos="9350"/>
        </w:tabs>
        <w:rPr>
          <w:rFonts w:asciiTheme="minorHAnsi" w:eastAsiaTheme="minorEastAsia" w:hAnsiTheme="minorHAnsi"/>
          <w:noProof/>
        </w:rPr>
      </w:pPr>
      <w:hyperlink w:anchor="_Toc465433467" w:history="1">
        <w:r w:rsidR="005C1163" w:rsidRPr="00AF5C16">
          <w:rPr>
            <w:rStyle w:val="Hyperlink"/>
            <w:noProof/>
          </w:rPr>
          <w:t>Table 42: Energy Efficiency Programs Included in ORTP Analysis</w:t>
        </w:r>
        <w:r w:rsidR="005C1163">
          <w:rPr>
            <w:noProof/>
            <w:webHidden/>
          </w:rPr>
          <w:tab/>
        </w:r>
        <w:r w:rsidR="005C1163">
          <w:rPr>
            <w:noProof/>
            <w:webHidden/>
          </w:rPr>
          <w:fldChar w:fldCharType="begin"/>
        </w:r>
        <w:r w:rsidR="005C1163">
          <w:rPr>
            <w:noProof/>
            <w:webHidden/>
          </w:rPr>
          <w:instrText xml:space="preserve"> PAGEREF _Toc465433467 \h </w:instrText>
        </w:r>
        <w:r w:rsidR="005C1163">
          <w:rPr>
            <w:noProof/>
            <w:webHidden/>
          </w:rPr>
        </w:r>
        <w:r w:rsidR="005C1163">
          <w:rPr>
            <w:noProof/>
            <w:webHidden/>
          </w:rPr>
          <w:fldChar w:fldCharType="separate"/>
        </w:r>
        <w:r w:rsidR="005C1163">
          <w:rPr>
            <w:noProof/>
            <w:webHidden/>
          </w:rPr>
          <w:t>82</w:t>
        </w:r>
        <w:r w:rsidR="005C1163">
          <w:rPr>
            <w:noProof/>
            <w:webHidden/>
          </w:rPr>
          <w:fldChar w:fldCharType="end"/>
        </w:r>
      </w:hyperlink>
    </w:p>
    <w:p w14:paraId="5D7FB600" w14:textId="38F3C563" w:rsidR="005C1163" w:rsidRDefault="00FA6573">
      <w:pPr>
        <w:pStyle w:val="TableofFigures"/>
        <w:tabs>
          <w:tab w:val="right" w:leader="dot" w:pos="9350"/>
        </w:tabs>
        <w:rPr>
          <w:rFonts w:asciiTheme="minorHAnsi" w:eastAsiaTheme="minorEastAsia" w:hAnsiTheme="minorHAnsi"/>
          <w:noProof/>
        </w:rPr>
      </w:pPr>
      <w:hyperlink w:anchor="_Toc465433468" w:history="1">
        <w:r w:rsidR="005C1163" w:rsidRPr="00AF5C16">
          <w:rPr>
            <w:rStyle w:val="Hyperlink"/>
            <w:noProof/>
          </w:rPr>
          <w:t>Table 43: Energy Efficiency Programs Costs</w:t>
        </w:r>
        <w:r w:rsidR="005C1163">
          <w:rPr>
            <w:noProof/>
            <w:webHidden/>
          </w:rPr>
          <w:tab/>
        </w:r>
        <w:r w:rsidR="005C1163">
          <w:rPr>
            <w:noProof/>
            <w:webHidden/>
          </w:rPr>
          <w:fldChar w:fldCharType="begin"/>
        </w:r>
        <w:r w:rsidR="005C1163">
          <w:rPr>
            <w:noProof/>
            <w:webHidden/>
          </w:rPr>
          <w:instrText xml:space="preserve"> PAGEREF _Toc465433468 \h </w:instrText>
        </w:r>
        <w:r w:rsidR="005C1163">
          <w:rPr>
            <w:noProof/>
            <w:webHidden/>
          </w:rPr>
        </w:r>
        <w:r w:rsidR="005C1163">
          <w:rPr>
            <w:noProof/>
            <w:webHidden/>
          </w:rPr>
          <w:fldChar w:fldCharType="separate"/>
        </w:r>
        <w:r w:rsidR="005C1163">
          <w:rPr>
            <w:noProof/>
            <w:webHidden/>
          </w:rPr>
          <w:t>83</w:t>
        </w:r>
        <w:r w:rsidR="005C1163">
          <w:rPr>
            <w:noProof/>
            <w:webHidden/>
          </w:rPr>
          <w:fldChar w:fldCharType="end"/>
        </w:r>
      </w:hyperlink>
    </w:p>
    <w:p w14:paraId="07760BEC" w14:textId="2A38EFF5" w:rsidR="005C1163" w:rsidRDefault="00FA6573">
      <w:pPr>
        <w:pStyle w:val="TableofFigures"/>
        <w:tabs>
          <w:tab w:val="right" w:leader="dot" w:pos="9350"/>
        </w:tabs>
        <w:rPr>
          <w:rFonts w:asciiTheme="minorHAnsi" w:eastAsiaTheme="minorEastAsia" w:hAnsiTheme="minorHAnsi"/>
          <w:noProof/>
        </w:rPr>
      </w:pPr>
      <w:hyperlink w:anchor="_Toc465433469" w:history="1">
        <w:r w:rsidR="005C1163" w:rsidRPr="00AF5C16">
          <w:rPr>
            <w:rStyle w:val="Hyperlink"/>
            <w:noProof/>
          </w:rPr>
          <w:t>Table 44: Energy Efficiency Program ORTP Calculation</w:t>
        </w:r>
        <w:r w:rsidR="005C1163">
          <w:rPr>
            <w:noProof/>
            <w:webHidden/>
          </w:rPr>
          <w:tab/>
        </w:r>
        <w:r w:rsidR="005C1163">
          <w:rPr>
            <w:noProof/>
            <w:webHidden/>
          </w:rPr>
          <w:fldChar w:fldCharType="begin"/>
        </w:r>
        <w:r w:rsidR="005C1163">
          <w:rPr>
            <w:noProof/>
            <w:webHidden/>
          </w:rPr>
          <w:instrText xml:space="preserve"> PAGEREF _Toc465433469 \h </w:instrText>
        </w:r>
        <w:r w:rsidR="005C1163">
          <w:rPr>
            <w:noProof/>
            <w:webHidden/>
          </w:rPr>
        </w:r>
        <w:r w:rsidR="005C1163">
          <w:rPr>
            <w:noProof/>
            <w:webHidden/>
          </w:rPr>
          <w:fldChar w:fldCharType="separate"/>
        </w:r>
        <w:r w:rsidR="005C1163">
          <w:rPr>
            <w:noProof/>
            <w:webHidden/>
          </w:rPr>
          <w:t>84</w:t>
        </w:r>
        <w:r w:rsidR="005C1163">
          <w:rPr>
            <w:noProof/>
            <w:webHidden/>
          </w:rPr>
          <w:fldChar w:fldCharType="end"/>
        </w:r>
      </w:hyperlink>
    </w:p>
    <w:p w14:paraId="56B4221E" w14:textId="3B812201" w:rsidR="005C1163" w:rsidRDefault="00FA6573">
      <w:pPr>
        <w:pStyle w:val="TableofFigures"/>
        <w:tabs>
          <w:tab w:val="right" w:leader="dot" w:pos="9350"/>
        </w:tabs>
        <w:rPr>
          <w:rFonts w:asciiTheme="minorHAnsi" w:eastAsiaTheme="minorEastAsia" w:hAnsiTheme="minorHAnsi"/>
          <w:noProof/>
        </w:rPr>
      </w:pPr>
      <w:hyperlink w:anchor="_Toc465433470" w:history="1">
        <w:r w:rsidR="005C1163" w:rsidRPr="00AF5C16">
          <w:rPr>
            <w:rStyle w:val="Hyperlink"/>
            <w:noProof/>
          </w:rPr>
          <w:t>Table 45: Large DR, Capital and Annual Cost Estimates</w:t>
        </w:r>
        <w:r w:rsidR="005C1163">
          <w:rPr>
            <w:noProof/>
            <w:webHidden/>
          </w:rPr>
          <w:tab/>
        </w:r>
        <w:r w:rsidR="005C1163">
          <w:rPr>
            <w:noProof/>
            <w:webHidden/>
          </w:rPr>
          <w:fldChar w:fldCharType="begin"/>
        </w:r>
        <w:r w:rsidR="005C1163">
          <w:rPr>
            <w:noProof/>
            <w:webHidden/>
          </w:rPr>
          <w:instrText xml:space="preserve"> PAGEREF _Toc465433470 \h </w:instrText>
        </w:r>
        <w:r w:rsidR="005C1163">
          <w:rPr>
            <w:noProof/>
            <w:webHidden/>
          </w:rPr>
        </w:r>
        <w:r w:rsidR="005C1163">
          <w:rPr>
            <w:noProof/>
            <w:webHidden/>
          </w:rPr>
          <w:fldChar w:fldCharType="separate"/>
        </w:r>
        <w:r w:rsidR="005C1163">
          <w:rPr>
            <w:noProof/>
            <w:webHidden/>
          </w:rPr>
          <w:t>85</w:t>
        </w:r>
        <w:r w:rsidR="005C1163">
          <w:rPr>
            <w:noProof/>
            <w:webHidden/>
          </w:rPr>
          <w:fldChar w:fldCharType="end"/>
        </w:r>
      </w:hyperlink>
    </w:p>
    <w:p w14:paraId="578DBA61" w14:textId="3BC4143E" w:rsidR="005C1163" w:rsidRDefault="00FA6573">
      <w:pPr>
        <w:pStyle w:val="TableofFigures"/>
        <w:tabs>
          <w:tab w:val="right" w:leader="dot" w:pos="9350"/>
        </w:tabs>
        <w:rPr>
          <w:rFonts w:asciiTheme="minorHAnsi" w:eastAsiaTheme="minorEastAsia" w:hAnsiTheme="minorHAnsi"/>
          <w:noProof/>
        </w:rPr>
      </w:pPr>
      <w:hyperlink w:anchor="_Toc465433471" w:history="1">
        <w:r w:rsidR="005C1163" w:rsidRPr="00AF5C16">
          <w:rPr>
            <w:rStyle w:val="Hyperlink"/>
            <w:noProof/>
          </w:rPr>
          <w:t>Table 46: Mass Market DR, Capital and Annual Cost Estimates</w:t>
        </w:r>
        <w:r w:rsidR="005C1163">
          <w:rPr>
            <w:noProof/>
            <w:webHidden/>
          </w:rPr>
          <w:tab/>
        </w:r>
        <w:r w:rsidR="005C1163">
          <w:rPr>
            <w:noProof/>
            <w:webHidden/>
          </w:rPr>
          <w:fldChar w:fldCharType="begin"/>
        </w:r>
        <w:r w:rsidR="005C1163">
          <w:rPr>
            <w:noProof/>
            <w:webHidden/>
          </w:rPr>
          <w:instrText xml:space="preserve"> PAGEREF _Toc465433471 \h </w:instrText>
        </w:r>
        <w:r w:rsidR="005C1163">
          <w:rPr>
            <w:noProof/>
            <w:webHidden/>
          </w:rPr>
        </w:r>
        <w:r w:rsidR="005C1163">
          <w:rPr>
            <w:noProof/>
            <w:webHidden/>
          </w:rPr>
          <w:fldChar w:fldCharType="separate"/>
        </w:r>
        <w:r w:rsidR="005C1163">
          <w:rPr>
            <w:noProof/>
            <w:webHidden/>
          </w:rPr>
          <w:t>86</w:t>
        </w:r>
        <w:r w:rsidR="005C1163">
          <w:rPr>
            <w:noProof/>
            <w:webHidden/>
          </w:rPr>
          <w:fldChar w:fldCharType="end"/>
        </w:r>
      </w:hyperlink>
    </w:p>
    <w:p w14:paraId="73340123" w14:textId="78B7FA48" w:rsidR="005C1163" w:rsidRDefault="00FA6573">
      <w:pPr>
        <w:pStyle w:val="TableofFigures"/>
        <w:tabs>
          <w:tab w:val="right" w:leader="dot" w:pos="9350"/>
        </w:tabs>
        <w:rPr>
          <w:rFonts w:asciiTheme="minorHAnsi" w:eastAsiaTheme="minorEastAsia" w:hAnsiTheme="minorHAnsi"/>
          <w:noProof/>
        </w:rPr>
      </w:pPr>
      <w:hyperlink w:anchor="_Toc465433472" w:history="1">
        <w:r w:rsidR="005C1163" w:rsidRPr="00AF5C16">
          <w:rPr>
            <w:rStyle w:val="Hyperlink"/>
            <w:noProof/>
          </w:rPr>
          <w:t>Table 47: Large DR ORTP Calculation</w:t>
        </w:r>
        <w:r w:rsidR="005C1163">
          <w:rPr>
            <w:noProof/>
            <w:webHidden/>
          </w:rPr>
          <w:tab/>
        </w:r>
        <w:r w:rsidR="005C1163">
          <w:rPr>
            <w:noProof/>
            <w:webHidden/>
          </w:rPr>
          <w:fldChar w:fldCharType="begin"/>
        </w:r>
        <w:r w:rsidR="005C1163">
          <w:rPr>
            <w:noProof/>
            <w:webHidden/>
          </w:rPr>
          <w:instrText xml:space="preserve"> PAGEREF _Toc465433472 \h </w:instrText>
        </w:r>
        <w:r w:rsidR="005C1163">
          <w:rPr>
            <w:noProof/>
            <w:webHidden/>
          </w:rPr>
        </w:r>
        <w:r w:rsidR="005C1163">
          <w:rPr>
            <w:noProof/>
            <w:webHidden/>
          </w:rPr>
          <w:fldChar w:fldCharType="separate"/>
        </w:r>
        <w:r w:rsidR="005C1163">
          <w:rPr>
            <w:noProof/>
            <w:webHidden/>
          </w:rPr>
          <w:t>86</w:t>
        </w:r>
        <w:r w:rsidR="005C1163">
          <w:rPr>
            <w:noProof/>
            <w:webHidden/>
          </w:rPr>
          <w:fldChar w:fldCharType="end"/>
        </w:r>
      </w:hyperlink>
    </w:p>
    <w:p w14:paraId="2D1C9D1E" w14:textId="335176B5" w:rsidR="005C1163" w:rsidRDefault="00FA6573">
      <w:pPr>
        <w:pStyle w:val="TableofFigures"/>
        <w:tabs>
          <w:tab w:val="right" w:leader="dot" w:pos="9350"/>
        </w:tabs>
        <w:rPr>
          <w:rFonts w:asciiTheme="minorHAnsi" w:eastAsiaTheme="minorEastAsia" w:hAnsiTheme="minorHAnsi"/>
          <w:noProof/>
        </w:rPr>
      </w:pPr>
      <w:hyperlink w:anchor="_Toc465433473" w:history="1">
        <w:r w:rsidR="005C1163" w:rsidRPr="00AF5C16">
          <w:rPr>
            <w:rStyle w:val="Hyperlink"/>
            <w:noProof/>
          </w:rPr>
          <w:t>Table 48: Mass Market DR ORTP Calculation</w:t>
        </w:r>
        <w:r w:rsidR="005C1163">
          <w:rPr>
            <w:noProof/>
            <w:webHidden/>
          </w:rPr>
          <w:tab/>
        </w:r>
        <w:r w:rsidR="005C1163">
          <w:rPr>
            <w:noProof/>
            <w:webHidden/>
          </w:rPr>
          <w:fldChar w:fldCharType="begin"/>
        </w:r>
        <w:r w:rsidR="005C1163">
          <w:rPr>
            <w:noProof/>
            <w:webHidden/>
          </w:rPr>
          <w:instrText xml:space="preserve"> PAGEREF _Toc465433473 \h </w:instrText>
        </w:r>
        <w:r w:rsidR="005C1163">
          <w:rPr>
            <w:noProof/>
            <w:webHidden/>
          </w:rPr>
        </w:r>
        <w:r w:rsidR="005C1163">
          <w:rPr>
            <w:noProof/>
            <w:webHidden/>
          </w:rPr>
          <w:fldChar w:fldCharType="separate"/>
        </w:r>
        <w:r w:rsidR="005C1163">
          <w:rPr>
            <w:noProof/>
            <w:webHidden/>
          </w:rPr>
          <w:t>87</w:t>
        </w:r>
        <w:r w:rsidR="005C1163">
          <w:rPr>
            <w:noProof/>
            <w:webHidden/>
          </w:rPr>
          <w:fldChar w:fldCharType="end"/>
        </w:r>
      </w:hyperlink>
    </w:p>
    <w:p w14:paraId="57314D0F" w14:textId="095EB5B9" w:rsidR="004870A1" w:rsidRDefault="00FA5AC8">
      <w:pPr>
        <w:rPr>
          <w:rFonts w:eastAsia="Times New Roman" w:cs="Times New Roman"/>
          <w:color w:val="632423"/>
          <w:sz w:val="16"/>
          <w:szCs w:val="16"/>
        </w:rPr>
      </w:pPr>
      <w:r>
        <w:rPr>
          <w:rFonts w:eastAsia="Times New Roman" w:cs="Times New Roman"/>
          <w:color w:val="632423"/>
          <w:sz w:val="16"/>
          <w:szCs w:val="16"/>
        </w:rPr>
        <w:fldChar w:fldCharType="end"/>
      </w:r>
    </w:p>
    <w:p w14:paraId="14D84DDF" w14:textId="77777777" w:rsidR="004870A1" w:rsidRDefault="004870A1">
      <w:pPr>
        <w:rPr>
          <w:rFonts w:eastAsia="Times New Roman" w:cs="Times New Roman"/>
          <w:color w:val="632423"/>
          <w:sz w:val="16"/>
          <w:szCs w:val="16"/>
        </w:rPr>
      </w:pPr>
    </w:p>
    <w:p w14:paraId="58ADC084" w14:textId="77777777" w:rsidR="004870A1" w:rsidRDefault="004870A1">
      <w:pPr>
        <w:rPr>
          <w:rFonts w:eastAsia="Times New Roman" w:cs="Times New Roman"/>
          <w:b/>
          <w:caps/>
          <w:color w:val="632423"/>
          <w:sz w:val="40"/>
          <w:szCs w:val="40"/>
        </w:rPr>
      </w:pPr>
      <w:r>
        <w:rPr>
          <w:rFonts w:eastAsia="Times New Roman" w:cs="Times New Roman"/>
          <w:b/>
          <w:caps/>
          <w:color w:val="632423"/>
          <w:sz w:val="40"/>
          <w:szCs w:val="40"/>
        </w:rPr>
        <w:t>Table of Figures</w:t>
      </w:r>
    </w:p>
    <w:p w14:paraId="71C3497B" w14:textId="40079508" w:rsidR="005C1163" w:rsidRDefault="004870A1">
      <w:pPr>
        <w:pStyle w:val="TableofFigures"/>
        <w:tabs>
          <w:tab w:val="right" w:leader="dot" w:pos="9350"/>
        </w:tabs>
        <w:rPr>
          <w:rFonts w:asciiTheme="minorHAnsi" w:eastAsiaTheme="minorEastAsia" w:hAnsiTheme="minorHAnsi"/>
          <w:noProof/>
        </w:rPr>
      </w:pPr>
      <w:r>
        <w:rPr>
          <w:rFonts w:eastAsia="Times New Roman" w:cs="Times New Roman"/>
          <w:color w:val="632423"/>
          <w:sz w:val="16"/>
          <w:szCs w:val="16"/>
        </w:rPr>
        <w:fldChar w:fldCharType="begin"/>
      </w:r>
      <w:r>
        <w:rPr>
          <w:rFonts w:eastAsia="Times New Roman" w:cs="Times New Roman"/>
          <w:color w:val="632423"/>
          <w:sz w:val="16"/>
          <w:szCs w:val="16"/>
        </w:rPr>
        <w:instrText xml:space="preserve"> TOC \h \z \c "Figure" </w:instrText>
      </w:r>
      <w:r>
        <w:rPr>
          <w:rFonts w:eastAsia="Times New Roman" w:cs="Times New Roman"/>
          <w:color w:val="632423"/>
          <w:sz w:val="16"/>
          <w:szCs w:val="16"/>
        </w:rPr>
        <w:fldChar w:fldCharType="separate"/>
      </w:r>
      <w:hyperlink w:anchor="_Toc465433474" w:history="1">
        <w:r w:rsidR="005C1163" w:rsidRPr="005E4936">
          <w:rPr>
            <w:rStyle w:val="Hyperlink"/>
            <w:noProof/>
          </w:rPr>
          <w:t>Figure 1: Generic Corporate Bond Yields</w:t>
        </w:r>
        <w:r w:rsidR="005C1163">
          <w:rPr>
            <w:noProof/>
            <w:webHidden/>
          </w:rPr>
          <w:tab/>
        </w:r>
        <w:r w:rsidR="005C1163">
          <w:rPr>
            <w:noProof/>
            <w:webHidden/>
          </w:rPr>
          <w:fldChar w:fldCharType="begin"/>
        </w:r>
        <w:r w:rsidR="005C1163">
          <w:rPr>
            <w:noProof/>
            <w:webHidden/>
          </w:rPr>
          <w:instrText xml:space="preserve"> PAGEREF _Toc465433474 \h </w:instrText>
        </w:r>
        <w:r w:rsidR="005C1163">
          <w:rPr>
            <w:noProof/>
            <w:webHidden/>
          </w:rPr>
        </w:r>
        <w:r w:rsidR="005C1163">
          <w:rPr>
            <w:noProof/>
            <w:webHidden/>
          </w:rPr>
          <w:fldChar w:fldCharType="separate"/>
        </w:r>
        <w:r w:rsidR="005C1163">
          <w:rPr>
            <w:noProof/>
            <w:webHidden/>
          </w:rPr>
          <w:t>48</w:t>
        </w:r>
        <w:r w:rsidR="005C1163">
          <w:rPr>
            <w:noProof/>
            <w:webHidden/>
          </w:rPr>
          <w:fldChar w:fldCharType="end"/>
        </w:r>
      </w:hyperlink>
    </w:p>
    <w:p w14:paraId="6BE6D6E3" w14:textId="7EF2B976" w:rsidR="005C1163" w:rsidRDefault="00FA6573">
      <w:pPr>
        <w:pStyle w:val="TableofFigures"/>
        <w:tabs>
          <w:tab w:val="right" w:leader="dot" w:pos="9350"/>
        </w:tabs>
        <w:rPr>
          <w:rFonts w:asciiTheme="minorHAnsi" w:eastAsiaTheme="minorEastAsia" w:hAnsiTheme="minorHAnsi"/>
          <w:noProof/>
        </w:rPr>
      </w:pPr>
      <w:hyperlink w:anchor="_Toc465433475" w:history="1">
        <w:r w:rsidR="005C1163" w:rsidRPr="005E4936">
          <w:rPr>
            <w:rStyle w:val="Hyperlink"/>
            <w:noProof/>
          </w:rPr>
          <w:t>Figure 2:  Peer Group Debt Weights</w:t>
        </w:r>
        <w:r w:rsidR="005C1163">
          <w:rPr>
            <w:noProof/>
            <w:webHidden/>
          </w:rPr>
          <w:tab/>
        </w:r>
        <w:r w:rsidR="005C1163">
          <w:rPr>
            <w:noProof/>
            <w:webHidden/>
          </w:rPr>
          <w:fldChar w:fldCharType="begin"/>
        </w:r>
        <w:r w:rsidR="005C1163">
          <w:rPr>
            <w:noProof/>
            <w:webHidden/>
          </w:rPr>
          <w:instrText xml:space="preserve"> PAGEREF _Toc465433475 \h </w:instrText>
        </w:r>
        <w:r w:rsidR="005C1163">
          <w:rPr>
            <w:noProof/>
            <w:webHidden/>
          </w:rPr>
        </w:r>
        <w:r w:rsidR="005C1163">
          <w:rPr>
            <w:noProof/>
            <w:webHidden/>
          </w:rPr>
          <w:fldChar w:fldCharType="separate"/>
        </w:r>
        <w:r w:rsidR="005C1163">
          <w:rPr>
            <w:noProof/>
            <w:webHidden/>
          </w:rPr>
          <w:t>49</w:t>
        </w:r>
        <w:r w:rsidR="005C1163">
          <w:rPr>
            <w:noProof/>
            <w:webHidden/>
          </w:rPr>
          <w:fldChar w:fldCharType="end"/>
        </w:r>
      </w:hyperlink>
    </w:p>
    <w:p w14:paraId="11CEAF30" w14:textId="5586E448" w:rsidR="005C1163" w:rsidRDefault="00FA6573">
      <w:pPr>
        <w:pStyle w:val="TableofFigures"/>
        <w:tabs>
          <w:tab w:val="right" w:leader="dot" w:pos="9350"/>
        </w:tabs>
        <w:rPr>
          <w:rFonts w:asciiTheme="minorHAnsi" w:eastAsiaTheme="minorEastAsia" w:hAnsiTheme="minorHAnsi"/>
          <w:noProof/>
        </w:rPr>
      </w:pPr>
      <w:hyperlink w:anchor="_Toc465433476" w:history="1">
        <w:r w:rsidR="005C1163" w:rsidRPr="005E4936">
          <w:rPr>
            <w:rStyle w:val="Hyperlink"/>
            <w:noProof/>
          </w:rPr>
          <w:t>Figure 3:  Algonquin CG Price Forecast</w:t>
        </w:r>
        <w:r w:rsidR="005C1163">
          <w:rPr>
            <w:noProof/>
            <w:webHidden/>
          </w:rPr>
          <w:tab/>
        </w:r>
        <w:r w:rsidR="005C1163">
          <w:rPr>
            <w:noProof/>
            <w:webHidden/>
          </w:rPr>
          <w:fldChar w:fldCharType="begin"/>
        </w:r>
        <w:r w:rsidR="005C1163">
          <w:rPr>
            <w:noProof/>
            <w:webHidden/>
          </w:rPr>
          <w:instrText xml:space="preserve"> PAGEREF _Toc465433476 \h </w:instrText>
        </w:r>
        <w:r w:rsidR="005C1163">
          <w:rPr>
            <w:noProof/>
            <w:webHidden/>
          </w:rPr>
        </w:r>
        <w:r w:rsidR="005C1163">
          <w:rPr>
            <w:noProof/>
            <w:webHidden/>
          </w:rPr>
          <w:fldChar w:fldCharType="separate"/>
        </w:r>
        <w:r w:rsidR="005C1163">
          <w:rPr>
            <w:noProof/>
            <w:webHidden/>
          </w:rPr>
          <w:t>54</w:t>
        </w:r>
        <w:r w:rsidR="005C1163">
          <w:rPr>
            <w:noProof/>
            <w:webHidden/>
          </w:rPr>
          <w:fldChar w:fldCharType="end"/>
        </w:r>
      </w:hyperlink>
    </w:p>
    <w:p w14:paraId="41238D7E" w14:textId="210713FA" w:rsidR="005C1163" w:rsidRDefault="00FA6573">
      <w:pPr>
        <w:pStyle w:val="TableofFigures"/>
        <w:tabs>
          <w:tab w:val="right" w:leader="dot" w:pos="9350"/>
        </w:tabs>
        <w:rPr>
          <w:rFonts w:asciiTheme="minorHAnsi" w:eastAsiaTheme="minorEastAsia" w:hAnsiTheme="minorHAnsi"/>
          <w:noProof/>
        </w:rPr>
      </w:pPr>
      <w:hyperlink w:anchor="_Toc465433477" w:history="1">
        <w:r w:rsidR="005C1163" w:rsidRPr="005E4936">
          <w:rPr>
            <w:rStyle w:val="Hyperlink"/>
            <w:noProof/>
          </w:rPr>
          <w:t>Figure 4: Comparison of Gas Price Forecast to 2016 AEO</w:t>
        </w:r>
        <w:r w:rsidR="005C1163">
          <w:rPr>
            <w:noProof/>
            <w:webHidden/>
          </w:rPr>
          <w:tab/>
        </w:r>
        <w:r w:rsidR="005C1163">
          <w:rPr>
            <w:noProof/>
            <w:webHidden/>
          </w:rPr>
          <w:fldChar w:fldCharType="begin"/>
        </w:r>
        <w:r w:rsidR="005C1163">
          <w:rPr>
            <w:noProof/>
            <w:webHidden/>
          </w:rPr>
          <w:instrText xml:space="preserve"> PAGEREF _Toc465433477 \h </w:instrText>
        </w:r>
        <w:r w:rsidR="005C1163">
          <w:rPr>
            <w:noProof/>
            <w:webHidden/>
          </w:rPr>
        </w:r>
        <w:r w:rsidR="005C1163">
          <w:rPr>
            <w:noProof/>
            <w:webHidden/>
          </w:rPr>
          <w:fldChar w:fldCharType="separate"/>
        </w:r>
        <w:r w:rsidR="005C1163">
          <w:rPr>
            <w:noProof/>
            <w:webHidden/>
          </w:rPr>
          <w:t>55</w:t>
        </w:r>
        <w:r w:rsidR="005C1163">
          <w:rPr>
            <w:noProof/>
            <w:webHidden/>
          </w:rPr>
          <w:fldChar w:fldCharType="end"/>
        </w:r>
      </w:hyperlink>
    </w:p>
    <w:p w14:paraId="0BF7F870" w14:textId="50007BE2" w:rsidR="005C1163" w:rsidRDefault="00FA6573">
      <w:pPr>
        <w:pStyle w:val="TableofFigures"/>
        <w:tabs>
          <w:tab w:val="right" w:leader="dot" w:pos="9350"/>
        </w:tabs>
        <w:rPr>
          <w:rFonts w:asciiTheme="minorHAnsi" w:eastAsiaTheme="minorEastAsia" w:hAnsiTheme="minorHAnsi"/>
          <w:noProof/>
        </w:rPr>
      </w:pPr>
      <w:hyperlink w:anchor="_Toc465433478" w:history="1">
        <w:r w:rsidR="005C1163" w:rsidRPr="005E4936">
          <w:rPr>
            <w:rStyle w:val="Hyperlink"/>
            <w:noProof/>
          </w:rPr>
          <w:t>Figure 5:  Forecast of CO</w:t>
        </w:r>
        <w:r w:rsidR="005C1163" w:rsidRPr="005E4936">
          <w:rPr>
            <w:rStyle w:val="Hyperlink"/>
            <w:noProof/>
            <w:vertAlign w:val="subscript"/>
          </w:rPr>
          <w:t>2</w:t>
        </w:r>
        <w:r w:rsidR="005C1163" w:rsidRPr="005E4936">
          <w:rPr>
            <w:rStyle w:val="Hyperlink"/>
            <w:noProof/>
          </w:rPr>
          <w:t xml:space="preserve"> Allowance Prices</w:t>
        </w:r>
        <w:r w:rsidR="005C1163">
          <w:rPr>
            <w:noProof/>
            <w:webHidden/>
          </w:rPr>
          <w:tab/>
        </w:r>
        <w:r w:rsidR="005C1163">
          <w:rPr>
            <w:noProof/>
            <w:webHidden/>
          </w:rPr>
          <w:fldChar w:fldCharType="begin"/>
        </w:r>
        <w:r w:rsidR="005C1163">
          <w:rPr>
            <w:noProof/>
            <w:webHidden/>
          </w:rPr>
          <w:instrText xml:space="preserve"> PAGEREF _Toc465433478 \h </w:instrText>
        </w:r>
        <w:r w:rsidR="005C1163">
          <w:rPr>
            <w:noProof/>
            <w:webHidden/>
          </w:rPr>
        </w:r>
        <w:r w:rsidR="005C1163">
          <w:rPr>
            <w:noProof/>
            <w:webHidden/>
          </w:rPr>
          <w:fldChar w:fldCharType="separate"/>
        </w:r>
        <w:r w:rsidR="005C1163">
          <w:rPr>
            <w:noProof/>
            <w:webHidden/>
          </w:rPr>
          <w:t>56</w:t>
        </w:r>
        <w:r w:rsidR="005C1163">
          <w:rPr>
            <w:noProof/>
            <w:webHidden/>
          </w:rPr>
          <w:fldChar w:fldCharType="end"/>
        </w:r>
      </w:hyperlink>
    </w:p>
    <w:p w14:paraId="4302961D" w14:textId="2E12AAAE" w:rsidR="005C1163" w:rsidRDefault="00FA6573">
      <w:pPr>
        <w:pStyle w:val="TableofFigures"/>
        <w:tabs>
          <w:tab w:val="right" w:leader="dot" w:pos="9350"/>
        </w:tabs>
        <w:rPr>
          <w:rFonts w:asciiTheme="minorHAnsi" w:eastAsiaTheme="minorEastAsia" w:hAnsiTheme="minorHAnsi"/>
          <w:noProof/>
        </w:rPr>
      </w:pPr>
      <w:hyperlink w:anchor="_Toc465433479" w:history="1">
        <w:r w:rsidR="005C1163" w:rsidRPr="005E4936">
          <w:rPr>
            <w:rStyle w:val="Hyperlink"/>
            <w:noProof/>
          </w:rPr>
          <w:t>Figure 6:  CELT 2016 Load Forecast</w:t>
        </w:r>
        <w:r w:rsidR="005C1163">
          <w:rPr>
            <w:noProof/>
            <w:webHidden/>
          </w:rPr>
          <w:tab/>
        </w:r>
        <w:r w:rsidR="005C1163">
          <w:rPr>
            <w:noProof/>
            <w:webHidden/>
          </w:rPr>
          <w:fldChar w:fldCharType="begin"/>
        </w:r>
        <w:r w:rsidR="005C1163">
          <w:rPr>
            <w:noProof/>
            <w:webHidden/>
          </w:rPr>
          <w:instrText xml:space="preserve"> PAGEREF _Toc465433479 \h </w:instrText>
        </w:r>
        <w:r w:rsidR="005C1163">
          <w:rPr>
            <w:noProof/>
            <w:webHidden/>
          </w:rPr>
        </w:r>
        <w:r w:rsidR="005C1163">
          <w:rPr>
            <w:noProof/>
            <w:webHidden/>
          </w:rPr>
          <w:fldChar w:fldCharType="separate"/>
        </w:r>
        <w:r w:rsidR="005C1163">
          <w:rPr>
            <w:noProof/>
            <w:webHidden/>
          </w:rPr>
          <w:t>57</w:t>
        </w:r>
        <w:r w:rsidR="005C1163">
          <w:rPr>
            <w:noProof/>
            <w:webHidden/>
          </w:rPr>
          <w:fldChar w:fldCharType="end"/>
        </w:r>
      </w:hyperlink>
    </w:p>
    <w:p w14:paraId="55459D91" w14:textId="35390524" w:rsidR="005C1163" w:rsidRDefault="00FA6573">
      <w:pPr>
        <w:pStyle w:val="TableofFigures"/>
        <w:tabs>
          <w:tab w:val="right" w:leader="dot" w:pos="9350"/>
        </w:tabs>
        <w:rPr>
          <w:rFonts w:asciiTheme="minorHAnsi" w:eastAsiaTheme="minorEastAsia" w:hAnsiTheme="minorHAnsi"/>
          <w:noProof/>
        </w:rPr>
      </w:pPr>
      <w:hyperlink w:anchor="_Toc465433480" w:history="1">
        <w:r w:rsidR="005C1163" w:rsidRPr="005E4936">
          <w:rPr>
            <w:rStyle w:val="Hyperlink"/>
            <w:noProof/>
          </w:rPr>
          <w:t>Figure 7: Total New England RPS Achievement</w:t>
        </w:r>
        <w:r w:rsidR="005C1163">
          <w:rPr>
            <w:noProof/>
            <w:webHidden/>
          </w:rPr>
          <w:tab/>
        </w:r>
        <w:r w:rsidR="005C1163">
          <w:rPr>
            <w:noProof/>
            <w:webHidden/>
          </w:rPr>
          <w:fldChar w:fldCharType="begin"/>
        </w:r>
        <w:r w:rsidR="005C1163">
          <w:rPr>
            <w:noProof/>
            <w:webHidden/>
          </w:rPr>
          <w:instrText xml:space="preserve"> PAGEREF _Toc465433480 \h </w:instrText>
        </w:r>
        <w:r w:rsidR="005C1163">
          <w:rPr>
            <w:noProof/>
            <w:webHidden/>
          </w:rPr>
        </w:r>
        <w:r w:rsidR="005C1163">
          <w:rPr>
            <w:noProof/>
            <w:webHidden/>
          </w:rPr>
          <w:fldChar w:fldCharType="separate"/>
        </w:r>
        <w:r w:rsidR="005C1163">
          <w:rPr>
            <w:noProof/>
            <w:webHidden/>
          </w:rPr>
          <w:t>59</w:t>
        </w:r>
        <w:r w:rsidR="005C1163">
          <w:rPr>
            <w:noProof/>
            <w:webHidden/>
          </w:rPr>
          <w:fldChar w:fldCharType="end"/>
        </w:r>
      </w:hyperlink>
    </w:p>
    <w:p w14:paraId="6ABAA501" w14:textId="14C01267" w:rsidR="005C1163" w:rsidRDefault="00FA6573">
      <w:pPr>
        <w:pStyle w:val="TableofFigures"/>
        <w:tabs>
          <w:tab w:val="right" w:leader="dot" w:pos="9350"/>
        </w:tabs>
        <w:rPr>
          <w:rFonts w:asciiTheme="minorHAnsi" w:eastAsiaTheme="minorEastAsia" w:hAnsiTheme="minorHAnsi"/>
          <w:noProof/>
        </w:rPr>
      </w:pPr>
      <w:hyperlink w:anchor="_Toc465433481" w:history="1">
        <w:r w:rsidR="005C1163" w:rsidRPr="005E4936">
          <w:rPr>
            <w:rStyle w:val="Hyperlink"/>
            <w:noProof/>
          </w:rPr>
          <w:t>Figure 8:  ISO-NE Load Zones</w:t>
        </w:r>
        <w:r w:rsidR="005C1163">
          <w:rPr>
            <w:noProof/>
            <w:webHidden/>
          </w:rPr>
          <w:tab/>
        </w:r>
        <w:r w:rsidR="005C1163">
          <w:rPr>
            <w:noProof/>
            <w:webHidden/>
          </w:rPr>
          <w:fldChar w:fldCharType="begin"/>
        </w:r>
        <w:r w:rsidR="005C1163">
          <w:rPr>
            <w:noProof/>
            <w:webHidden/>
          </w:rPr>
          <w:instrText xml:space="preserve"> PAGEREF _Toc465433481 \h </w:instrText>
        </w:r>
        <w:r w:rsidR="005C1163">
          <w:rPr>
            <w:noProof/>
            <w:webHidden/>
          </w:rPr>
        </w:r>
        <w:r w:rsidR="005C1163">
          <w:rPr>
            <w:noProof/>
            <w:webHidden/>
          </w:rPr>
          <w:fldChar w:fldCharType="separate"/>
        </w:r>
        <w:r w:rsidR="005C1163">
          <w:rPr>
            <w:noProof/>
            <w:webHidden/>
          </w:rPr>
          <w:t>60</w:t>
        </w:r>
        <w:r w:rsidR="005C1163">
          <w:rPr>
            <w:noProof/>
            <w:webHidden/>
          </w:rPr>
          <w:fldChar w:fldCharType="end"/>
        </w:r>
      </w:hyperlink>
    </w:p>
    <w:p w14:paraId="155915B2" w14:textId="1C7B2BF7" w:rsidR="005C1163" w:rsidRDefault="00FA6573">
      <w:pPr>
        <w:pStyle w:val="TableofFigures"/>
        <w:tabs>
          <w:tab w:val="right" w:leader="dot" w:pos="9350"/>
        </w:tabs>
        <w:rPr>
          <w:rFonts w:asciiTheme="minorHAnsi" w:eastAsiaTheme="minorEastAsia" w:hAnsiTheme="minorHAnsi"/>
          <w:noProof/>
        </w:rPr>
      </w:pPr>
      <w:hyperlink w:anchor="_Toc465433482" w:history="1">
        <w:r w:rsidR="005C1163" w:rsidRPr="005E4936">
          <w:rPr>
            <w:rStyle w:val="Hyperlink"/>
            <w:noProof/>
          </w:rPr>
          <w:t>Figure 9:  SEMA LMP Forecast</w:t>
        </w:r>
        <w:r w:rsidR="005C1163">
          <w:rPr>
            <w:noProof/>
            <w:webHidden/>
          </w:rPr>
          <w:tab/>
        </w:r>
        <w:r w:rsidR="005C1163">
          <w:rPr>
            <w:noProof/>
            <w:webHidden/>
          </w:rPr>
          <w:fldChar w:fldCharType="begin"/>
        </w:r>
        <w:r w:rsidR="005C1163">
          <w:rPr>
            <w:noProof/>
            <w:webHidden/>
          </w:rPr>
          <w:instrText xml:space="preserve"> PAGEREF _Toc465433482 \h </w:instrText>
        </w:r>
        <w:r w:rsidR="005C1163">
          <w:rPr>
            <w:noProof/>
            <w:webHidden/>
          </w:rPr>
        </w:r>
        <w:r w:rsidR="005C1163">
          <w:rPr>
            <w:noProof/>
            <w:webHidden/>
          </w:rPr>
          <w:fldChar w:fldCharType="separate"/>
        </w:r>
        <w:r w:rsidR="005C1163">
          <w:rPr>
            <w:noProof/>
            <w:webHidden/>
          </w:rPr>
          <w:t>62</w:t>
        </w:r>
        <w:r w:rsidR="005C1163">
          <w:rPr>
            <w:noProof/>
            <w:webHidden/>
          </w:rPr>
          <w:fldChar w:fldCharType="end"/>
        </w:r>
      </w:hyperlink>
    </w:p>
    <w:p w14:paraId="15A20A95" w14:textId="5B1F3093" w:rsidR="005C1163" w:rsidRDefault="00FA6573">
      <w:pPr>
        <w:pStyle w:val="TableofFigures"/>
        <w:tabs>
          <w:tab w:val="right" w:leader="dot" w:pos="9350"/>
        </w:tabs>
        <w:rPr>
          <w:rFonts w:asciiTheme="minorHAnsi" w:eastAsiaTheme="minorEastAsia" w:hAnsiTheme="minorHAnsi"/>
          <w:noProof/>
        </w:rPr>
      </w:pPr>
      <w:hyperlink w:anchor="_Toc465433483" w:history="1">
        <w:r w:rsidR="005C1163" w:rsidRPr="005E4936">
          <w:rPr>
            <w:rStyle w:val="Hyperlink"/>
            <w:noProof/>
          </w:rPr>
          <w:t>Figure 10:  2017 Settlements for On-Peak SEMA LMPs</w:t>
        </w:r>
        <w:r w:rsidR="005C1163">
          <w:rPr>
            <w:noProof/>
            <w:webHidden/>
          </w:rPr>
          <w:tab/>
        </w:r>
        <w:r w:rsidR="005C1163">
          <w:rPr>
            <w:noProof/>
            <w:webHidden/>
          </w:rPr>
          <w:fldChar w:fldCharType="begin"/>
        </w:r>
        <w:r w:rsidR="005C1163">
          <w:rPr>
            <w:noProof/>
            <w:webHidden/>
          </w:rPr>
          <w:instrText xml:space="preserve"> PAGEREF _Toc465433483 \h </w:instrText>
        </w:r>
        <w:r w:rsidR="005C1163">
          <w:rPr>
            <w:noProof/>
            <w:webHidden/>
          </w:rPr>
        </w:r>
        <w:r w:rsidR="005C1163">
          <w:rPr>
            <w:noProof/>
            <w:webHidden/>
          </w:rPr>
          <w:fldChar w:fldCharType="separate"/>
        </w:r>
        <w:r w:rsidR="005C1163">
          <w:rPr>
            <w:noProof/>
            <w:webHidden/>
          </w:rPr>
          <w:t>63</w:t>
        </w:r>
        <w:r w:rsidR="005C1163">
          <w:rPr>
            <w:noProof/>
            <w:webHidden/>
          </w:rPr>
          <w:fldChar w:fldCharType="end"/>
        </w:r>
      </w:hyperlink>
    </w:p>
    <w:p w14:paraId="047CC375" w14:textId="2DBA32DA" w:rsidR="005C1163" w:rsidRDefault="00FA6573">
      <w:pPr>
        <w:pStyle w:val="TableofFigures"/>
        <w:tabs>
          <w:tab w:val="right" w:leader="dot" w:pos="9350"/>
        </w:tabs>
        <w:rPr>
          <w:rFonts w:asciiTheme="minorHAnsi" w:eastAsiaTheme="minorEastAsia" w:hAnsiTheme="minorHAnsi"/>
          <w:noProof/>
        </w:rPr>
      </w:pPr>
      <w:hyperlink w:anchor="_Toc465433484" w:history="1">
        <w:r w:rsidR="005C1163" w:rsidRPr="005E4936">
          <w:rPr>
            <w:rStyle w:val="Hyperlink"/>
            <w:noProof/>
          </w:rPr>
          <w:t>Figure 11:  Comparison of Historical to Forecast SHRs</w:t>
        </w:r>
        <w:r w:rsidR="005C1163">
          <w:rPr>
            <w:noProof/>
            <w:webHidden/>
          </w:rPr>
          <w:tab/>
        </w:r>
        <w:r w:rsidR="005C1163">
          <w:rPr>
            <w:noProof/>
            <w:webHidden/>
          </w:rPr>
          <w:fldChar w:fldCharType="begin"/>
        </w:r>
        <w:r w:rsidR="005C1163">
          <w:rPr>
            <w:noProof/>
            <w:webHidden/>
          </w:rPr>
          <w:instrText xml:space="preserve"> PAGEREF _Toc465433484 \h </w:instrText>
        </w:r>
        <w:r w:rsidR="005C1163">
          <w:rPr>
            <w:noProof/>
            <w:webHidden/>
          </w:rPr>
        </w:r>
        <w:r w:rsidR="005C1163">
          <w:rPr>
            <w:noProof/>
            <w:webHidden/>
          </w:rPr>
          <w:fldChar w:fldCharType="separate"/>
        </w:r>
        <w:r w:rsidR="005C1163">
          <w:rPr>
            <w:noProof/>
            <w:webHidden/>
          </w:rPr>
          <w:t>64</w:t>
        </w:r>
        <w:r w:rsidR="005C1163">
          <w:rPr>
            <w:noProof/>
            <w:webHidden/>
          </w:rPr>
          <w:fldChar w:fldCharType="end"/>
        </w:r>
      </w:hyperlink>
    </w:p>
    <w:p w14:paraId="4163245D" w14:textId="2248CB15" w:rsidR="005C1163" w:rsidRDefault="00FA6573">
      <w:pPr>
        <w:pStyle w:val="TableofFigures"/>
        <w:tabs>
          <w:tab w:val="right" w:leader="dot" w:pos="9350"/>
        </w:tabs>
        <w:rPr>
          <w:rFonts w:asciiTheme="minorHAnsi" w:eastAsiaTheme="minorEastAsia" w:hAnsiTheme="minorHAnsi"/>
          <w:noProof/>
        </w:rPr>
      </w:pPr>
      <w:hyperlink w:anchor="_Toc465433485" w:history="1">
        <w:r w:rsidR="005C1163" w:rsidRPr="005E4936">
          <w:rPr>
            <w:rStyle w:val="Hyperlink"/>
            <w:noProof/>
          </w:rPr>
          <w:t>Figure 12: Wind Potential in New Hampshire</w:t>
        </w:r>
        <w:r w:rsidR="005C1163">
          <w:rPr>
            <w:noProof/>
            <w:webHidden/>
          </w:rPr>
          <w:tab/>
        </w:r>
        <w:r w:rsidR="005C1163">
          <w:rPr>
            <w:noProof/>
            <w:webHidden/>
          </w:rPr>
          <w:fldChar w:fldCharType="begin"/>
        </w:r>
        <w:r w:rsidR="005C1163">
          <w:rPr>
            <w:noProof/>
            <w:webHidden/>
          </w:rPr>
          <w:instrText xml:space="preserve"> PAGEREF _Toc465433485 \h </w:instrText>
        </w:r>
        <w:r w:rsidR="005C1163">
          <w:rPr>
            <w:noProof/>
            <w:webHidden/>
          </w:rPr>
        </w:r>
        <w:r w:rsidR="005C1163">
          <w:rPr>
            <w:noProof/>
            <w:webHidden/>
          </w:rPr>
          <w:fldChar w:fldCharType="separate"/>
        </w:r>
        <w:r w:rsidR="005C1163">
          <w:rPr>
            <w:noProof/>
            <w:webHidden/>
          </w:rPr>
          <w:t>79</w:t>
        </w:r>
        <w:r w:rsidR="005C1163">
          <w:rPr>
            <w:noProof/>
            <w:webHidden/>
          </w:rPr>
          <w:fldChar w:fldCharType="end"/>
        </w:r>
      </w:hyperlink>
    </w:p>
    <w:p w14:paraId="1174D3C7" w14:textId="1B56C296" w:rsidR="00A62578" w:rsidRDefault="004870A1">
      <w:pPr>
        <w:rPr>
          <w:rFonts w:eastAsia="Times New Roman" w:cs="Times New Roman"/>
          <w:color w:val="632423"/>
          <w:sz w:val="16"/>
          <w:szCs w:val="16"/>
        </w:rPr>
      </w:pPr>
      <w:r>
        <w:rPr>
          <w:rFonts w:eastAsia="Times New Roman" w:cs="Times New Roman"/>
          <w:color w:val="632423"/>
          <w:sz w:val="16"/>
          <w:szCs w:val="16"/>
        </w:rPr>
        <w:fldChar w:fldCharType="end"/>
      </w:r>
    </w:p>
    <w:p w14:paraId="2C67C90E" w14:textId="3262C037" w:rsidR="00B37CED" w:rsidRDefault="00B37CED">
      <w:pPr>
        <w:rPr>
          <w:rFonts w:eastAsia="Times New Roman" w:cs="Times New Roman"/>
          <w:caps/>
          <w:color w:val="632423"/>
          <w:sz w:val="16"/>
          <w:szCs w:val="16"/>
        </w:rPr>
      </w:pPr>
      <w:r>
        <w:rPr>
          <w:rFonts w:eastAsia="Times New Roman" w:cs="Times New Roman"/>
          <w:color w:val="632423"/>
          <w:sz w:val="16"/>
          <w:szCs w:val="16"/>
        </w:rPr>
        <w:br w:type="page"/>
      </w:r>
    </w:p>
    <w:p w14:paraId="2498F60E" w14:textId="77777777" w:rsidR="0025706A" w:rsidRDefault="0025706A" w:rsidP="0025706A">
      <w:pPr>
        <w:spacing w:before="240" w:after="240" w:line="240" w:lineRule="auto"/>
        <w:rPr>
          <w:rFonts w:eastAsia="Times New Roman" w:cs="Times New Roman"/>
          <w:caps/>
          <w:color w:val="632423"/>
          <w:sz w:val="16"/>
          <w:szCs w:val="16"/>
        </w:rPr>
        <w:sectPr w:rsidR="0025706A" w:rsidSect="001E5686">
          <w:pgSz w:w="12240" w:h="15840" w:code="1"/>
          <w:pgMar w:top="1440" w:right="1440" w:bottom="1440" w:left="1440" w:header="720" w:footer="720" w:gutter="0"/>
          <w:cols w:space="720"/>
          <w:titlePg/>
          <w:docGrid w:linePitch="360"/>
        </w:sectPr>
      </w:pPr>
    </w:p>
    <w:p w14:paraId="1B243401" w14:textId="77777777" w:rsidR="0025706A" w:rsidRPr="0025706A" w:rsidRDefault="0025706A" w:rsidP="004870A1">
      <w:pPr>
        <w:pStyle w:val="Header1"/>
        <w:jc w:val="left"/>
      </w:pPr>
      <w:bookmarkStart w:id="1" w:name="_Toc442800038"/>
      <w:bookmarkStart w:id="2" w:name="_Toc468288303"/>
      <w:r w:rsidRPr="0025706A">
        <w:lastRenderedPageBreak/>
        <w:t xml:space="preserve">Section </w:t>
      </w:r>
      <w:r w:rsidRPr="0025706A">
        <w:rPr>
          <w:noProof/>
        </w:rPr>
        <w:t>1:</w:t>
      </w:r>
      <w:r w:rsidRPr="0025706A">
        <w:rPr>
          <w:noProof/>
        </w:rPr>
        <w:br/>
      </w:r>
      <w:r w:rsidRPr="005F27CB">
        <w:rPr>
          <w:noProof/>
          <w:sz w:val="32"/>
          <w:szCs w:val="32"/>
        </w:rPr>
        <w:t>Executive</w:t>
      </w:r>
      <w:r w:rsidRPr="005F27CB">
        <w:rPr>
          <w:sz w:val="32"/>
          <w:szCs w:val="32"/>
        </w:rPr>
        <w:t xml:space="preserve"> Summary</w:t>
      </w:r>
      <w:bookmarkEnd w:id="1"/>
      <w:bookmarkEnd w:id="2"/>
    </w:p>
    <w:p w14:paraId="4694A49F" w14:textId="03A3EEE0" w:rsidR="00033FF8" w:rsidRPr="006327F4" w:rsidRDefault="00033FF8" w:rsidP="00EB09E1">
      <w:pPr>
        <w:rPr>
          <w:rFonts w:cs="Times New Roman"/>
          <w:color w:val="000000"/>
        </w:rPr>
      </w:pPr>
      <w:r w:rsidRPr="00EB09E1">
        <w:rPr>
          <w:rFonts w:cs="Times New Roman"/>
          <w:color w:val="000000"/>
        </w:rPr>
        <w:t>This report contains the results of the estimates of</w:t>
      </w:r>
      <w:r w:rsidR="00952AAC">
        <w:rPr>
          <w:rFonts w:cs="Times New Roman"/>
          <w:color w:val="000000"/>
        </w:rPr>
        <w:t xml:space="preserve"> both</w:t>
      </w:r>
      <w:r w:rsidRPr="00EB09E1">
        <w:rPr>
          <w:rFonts w:cs="Times New Roman"/>
          <w:color w:val="000000"/>
        </w:rPr>
        <w:t xml:space="preserve">: </w:t>
      </w:r>
      <w:proofErr w:type="spellStart"/>
      <w:r w:rsidRPr="00EB09E1">
        <w:rPr>
          <w:rFonts w:cs="Times New Roman"/>
          <w:color w:val="000000"/>
        </w:rPr>
        <w:t>i</w:t>
      </w:r>
      <w:proofErr w:type="spellEnd"/>
      <w:r w:rsidRPr="00EB09E1">
        <w:rPr>
          <w:rFonts w:cs="Times New Roman"/>
          <w:color w:val="000000"/>
        </w:rPr>
        <w:t>) the Cost of New Entry (“CONE”) and the CONE net of expected revenues (“Net CONE”)</w:t>
      </w:r>
      <w:r w:rsidR="002B7AC5">
        <w:rPr>
          <w:rFonts w:cs="Times New Roman"/>
          <w:color w:val="000000"/>
        </w:rPr>
        <w:t>,</w:t>
      </w:r>
      <w:r w:rsidRPr="00EB09E1">
        <w:rPr>
          <w:rFonts w:cs="Times New Roman"/>
          <w:color w:val="000000"/>
        </w:rPr>
        <w:t xml:space="preserve"> and ii) the technology specific Offer Review Trigger Prices (“ORTP”) for use in New England</w:t>
      </w:r>
      <w:r w:rsidR="00333532">
        <w:rPr>
          <w:rFonts w:cs="Times New Roman"/>
          <w:color w:val="000000"/>
        </w:rPr>
        <w:t>’s</w:t>
      </w:r>
      <w:r w:rsidRPr="00EB09E1">
        <w:rPr>
          <w:rFonts w:cs="Times New Roman"/>
          <w:color w:val="000000"/>
        </w:rPr>
        <w:t xml:space="preserve"> Forw</w:t>
      </w:r>
      <w:r w:rsidR="00EB09E1">
        <w:rPr>
          <w:rFonts w:cs="Times New Roman"/>
          <w:color w:val="000000"/>
        </w:rPr>
        <w:t>ard Capacity Market (“FCM”).  As</w:t>
      </w:r>
      <w:r w:rsidRPr="00EB09E1">
        <w:rPr>
          <w:rFonts w:cs="Times New Roman"/>
          <w:color w:val="000000"/>
        </w:rPr>
        <w:t xml:space="preserve"> more fully explained in</w:t>
      </w:r>
      <w:r w:rsidR="00EB09E1">
        <w:rPr>
          <w:rFonts w:cs="Times New Roman"/>
          <w:color w:val="000000"/>
        </w:rPr>
        <w:t xml:space="preserve"> this</w:t>
      </w:r>
      <w:r w:rsidRPr="00EB09E1">
        <w:rPr>
          <w:rFonts w:cs="Times New Roman"/>
          <w:color w:val="000000"/>
        </w:rPr>
        <w:t xml:space="preserve"> report, the CONE and Net CONE values are </w:t>
      </w:r>
      <w:r w:rsidR="00EB09E1" w:rsidRPr="00EB09E1">
        <w:rPr>
          <w:rFonts w:cs="Times New Roman"/>
          <w:color w:val="000000"/>
        </w:rPr>
        <w:t xml:space="preserve">parameters used in the </w:t>
      </w:r>
      <w:r w:rsidR="00EB09E1">
        <w:rPr>
          <w:rFonts w:cs="Times New Roman"/>
          <w:color w:val="000000"/>
        </w:rPr>
        <w:t xml:space="preserve">Forward Capacity Auctions (“FCA”) </w:t>
      </w:r>
      <w:r w:rsidR="00EB09E1" w:rsidRPr="00EB09E1">
        <w:rPr>
          <w:rFonts w:cs="Times New Roman"/>
          <w:color w:val="000000"/>
        </w:rPr>
        <w:t>that are intended to reflect the compensation a new entrant would need from the capacity market (net of expected revenues) in the first year of operation to recover its capital and fixed costs</w:t>
      </w:r>
      <w:r w:rsidR="00EB09E1">
        <w:rPr>
          <w:rFonts w:cs="Times New Roman"/>
          <w:color w:val="000000"/>
        </w:rPr>
        <w:t xml:space="preserve"> under long-term equilibrium conditions</w:t>
      </w:r>
      <w:r w:rsidR="00EB09E1" w:rsidRPr="00EB09E1">
        <w:rPr>
          <w:rFonts w:cs="Times New Roman"/>
          <w:color w:val="000000"/>
        </w:rPr>
        <w:t xml:space="preserve">, given reasonable expectations about future market conditions and cost recovery assumptions.  </w:t>
      </w:r>
      <w:r w:rsidR="00101FA5" w:rsidRPr="00403873">
        <w:rPr>
          <w:rFonts w:cs="Times New Roman"/>
          <w:color w:val="000000"/>
        </w:rPr>
        <w:t>Estimating Net CONE is done from the perspective</w:t>
      </w:r>
      <w:r w:rsidR="00101FA5">
        <w:rPr>
          <w:rFonts w:cs="Times New Roman"/>
          <w:color w:val="000000"/>
        </w:rPr>
        <w:t xml:space="preserve"> of a </w:t>
      </w:r>
      <w:r w:rsidR="00101FA5" w:rsidRPr="00403873">
        <w:rPr>
          <w:rFonts w:cs="Times New Roman"/>
          <w:color w:val="000000"/>
        </w:rPr>
        <w:t>hypothetical unit of a particular technology type in</w:t>
      </w:r>
      <w:r w:rsidR="00101FA5">
        <w:rPr>
          <w:rFonts w:cs="Times New Roman"/>
          <w:color w:val="000000"/>
        </w:rPr>
        <w:t xml:space="preserve"> a particular location in New </w:t>
      </w:r>
      <w:r w:rsidR="00101FA5" w:rsidRPr="00403873">
        <w:rPr>
          <w:rFonts w:cs="Times New Roman"/>
          <w:color w:val="000000"/>
        </w:rPr>
        <w:t xml:space="preserve">England, which </w:t>
      </w:r>
      <w:r w:rsidR="00101FA5">
        <w:rPr>
          <w:rFonts w:cs="Times New Roman"/>
          <w:color w:val="000000"/>
        </w:rPr>
        <w:t>is referred to</w:t>
      </w:r>
      <w:r w:rsidR="00101FA5" w:rsidRPr="00403873">
        <w:rPr>
          <w:rFonts w:cs="Times New Roman"/>
          <w:color w:val="000000"/>
        </w:rPr>
        <w:t xml:space="preserve"> as the “reference” u</w:t>
      </w:r>
      <w:r w:rsidR="00101FA5">
        <w:rPr>
          <w:rFonts w:cs="Times New Roman"/>
          <w:color w:val="000000"/>
        </w:rPr>
        <w:t xml:space="preserve">nit.  </w:t>
      </w:r>
      <w:r w:rsidR="00EB09E1">
        <w:rPr>
          <w:rFonts w:cs="Times New Roman"/>
          <w:color w:val="000000"/>
        </w:rPr>
        <w:t xml:space="preserve">The ORTP values are used </w:t>
      </w:r>
      <w:r w:rsidR="00EB09E1" w:rsidRPr="00EB09E1">
        <w:rPr>
          <w:rFonts w:cs="Times New Roman"/>
          <w:color w:val="000000"/>
        </w:rPr>
        <w:t xml:space="preserve">as a "screen" for potentially new uncompetitive resource offers in an FCA to protect against the exercise of buyer-side market power </w:t>
      </w:r>
      <w:r w:rsidR="00EB09E1" w:rsidRPr="006327F4">
        <w:rPr>
          <w:rFonts w:cs="Times New Roman"/>
          <w:color w:val="000000"/>
        </w:rPr>
        <w:t xml:space="preserve">that could inappropriately suppress capacity prices.  It is a benchmark price down to which a new capacity supply resource can offer freely without justification to </w:t>
      </w:r>
      <w:r w:rsidR="002B7AC5">
        <w:rPr>
          <w:rFonts w:cs="Times New Roman"/>
          <w:color w:val="000000"/>
        </w:rPr>
        <w:t>ISO New England Inc.’s (“</w:t>
      </w:r>
      <w:r w:rsidR="00EB09E1" w:rsidRPr="006327F4">
        <w:rPr>
          <w:rFonts w:cs="Times New Roman"/>
          <w:color w:val="000000"/>
        </w:rPr>
        <w:t>ISO-NE</w:t>
      </w:r>
      <w:r w:rsidR="002B7AC5">
        <w:rPr>
          <w:rFonts w:cs="Times New Roman"/>
          <w:color w:val="000000"/>
        </w:rPr>
        <w:t>”)</w:t>
      </w:r>
      <w:r w:rsidR="00EB09E1" w:rsidRPr="006327F4">
        <w:rPr>
          <w:rFonts w:cs="Times New Roman"/>
          <w:color w:val="000000"/>
        </w:rPr>
        <w:t xml:space="preserve"> Internal Market Monitor (“IMM”).    </w:t>
      </w:r>
    </w:p>
    <w:p w14:paraId="10850EFA" w14:textId="54A47C67" w:rsidR="00403873" w:rsidRDefault="006327F4" w:rsidP="006327F4">
      <w:pPr>
        <w:rPr>
          <w:rFonts w:cs="Times New Roman"/>
          <w:color w:val="000000"/>
        </w:rPr>
      </w:pPr>
      <w:r w:rsidRPr="006327F4">
        <w:rPr>
          <w:rFonts w:cs="Times New Roman"/>
          <w:color w:val="000000"/>
        </w:rPr>
        <w:t xml:space="preserve">ISO-NE contracted with Concentric Energy Advisors, Inc. (“Concentric”) to conduct an independent analysis of </w:t>
      </w:r>
      <w:r w:rsidR="002B7AC5">
        <w:rPr>
          <w:rFonts w:cs="Times New Roman"/>
          <w:color w:val="000000"/>
        </w:rPr>
        <w:t xml:space="preserve">the </w:t>
      </w:r>
      <w:r w:rsidRPr="006327F4">
        <w:rPr>
          <w:rFonts w:cs="Times New Roman"/>
          <w:color w:val="000000"/>
        </w:rPr>
        <w:t xml:space="preserve">CONE/Net CONE and ORTP values for the </w:t>
      </w:r>
      <w:r w:rsidR="002B7AC5">
        <w:rPr>
          <w:rFonts w:cs="Times New Roman"/>
          <w:color w:val="000000"/>
        </w:rPr>
        <w:t xml:space="preserve">FCM </w:t>
      </w:r>
      <w:r w:rsidRPr="006327F4">
        <w:rPr>
          <w:rFonts w:cs="Times New Roman"/>
          <w:color w:val="000000"/>
        </w:rPr>
        <w:t>2021/2022 Commitment Period.  Concentric and its subcontractor, Mott MacDonald</w:t>
      </w:r>
      <w:r w:rsidR="003A0E05">
        <w:rPr>
          <w:rFonts w:cs="Times New Roman"/>
          <w:color w:val="000000"/>
        </w:rPr>
        <w:t xml:space="preserve"> (“MM”)</w:t>
      </w:r>
      <w:r w:rsidRPr="006327F4">
        <w:rPr>
          <w:rFonts w:cs="Times New Roman"/>
          <w:color w:val="000000"/>
        </w:rPr>
        <w:t xml:space="preserve">, worked together to develop the recommendations presented in this report.  </w:t>
      </w:r>
      <w:r w:rsidR="004200EE" w:rsidRPr="006327F4">
        <w:rPr>
          <w:rFonts w:cs="Times New Roman"/>
          <w:color w:val="000000"/>
        </w:rPr>
        <w:t xml:space="preserve">To arrive at these results, </w:t>
      </w:r>
      <w:r w:rsidRPr="006327F4">
        <w:rPr>
          <w:rFonts w:cs="Times New Roman"/>
          <w:color w:val="000000"/>
        </w:rPr>
        <w:t xml:space="preserve">we </w:t>
      </w:r>
      <w:r w:rsidR="004200EE" w:rsidRPr="006327F4">
        <w:rPr>
          <w:rFonts w:cs="Times New Roman"/>
          <w:color w:val="000000"/>
        </w:rPr>
        <w:t xml:space="preserve">considered relevant market and technology issues, </w:t>
      </w:r>
      <w:r w:rsidRPr="006327F4">
        <w:rPr>
          <w:rFonts w:cs="Times New Roman"/>
          <w:color w:val="000000"/>
        </w:rPr>
        <w:t>screened several technologies, and closely evaluated those that met specified CONE and ORTP screening criteria.</w:t>
      </w:r>
      <w:r>
        <w:rPr>
          <w:rFonts w:cs="Times New Roman"/>
          <w:color w:val="000000"/>
        </w:rPr>
        <w:t xml:space="preserve">  </w:t>
      </w:r>
      <w:r w:rsidR="00403873">
        <w:rPr>
          <w:rFonts w:cs="Times New Roman"/>
          <w:color w:val="000000"/>
        </w:rPr>
        <w:t>This evaluation included a detailed analysis of technical specifications, capital and operating costs, and future</w:t>
      </w:r>
      <w:r w:rsidR="006C0684">
        <w:rPr>
          <w:rFonts w:cs="Times New Roman"/>
          <w:color w:val="000000"/>
        </w:rPr>
        <w:t xml:space="preserve"> market conditions to calculate </w:t>
      </w:r>
      <w:r w:rsidR="00403873">
        <w:rPr>
          <w:rFonts w:cs="Times New Roman"/>
          <w:color w:val="000000"/>
        </w:rPr>
        <w:t>expected revenues</w:t>
      </w:r>
      <w:r w:rsidR="006C0684">
        <w:rPr>
          <w:rFonts w:cs="Times New Roman"/>
          <w:color w:val="000000"/>
        </w:rPr>
        <w:t xml:space="preserve"> and arrive at recommended CONE/Net CONE and ORTP values. </w:t>
      </w:r>
    </w:p>
    <w:p w14:paraId="56DA3C69" w14:textId="0486E75C" w:rsidR="00AA7699" w:rsidRDefault="00403873">
      <w:r w:rsidRPr="00990508">
        <w:t xml:space="preserve">Based on our analysis, we recommend that the simple cycle </w:t>
      </w:r>
      <w:r w:rsidR="00101FA5" w:rsidRPr="00990508">
        <w:t xml:space="preserve">combustion </w:t>
      </w:r>
      <w:r w:rsidRPr="00990508">
        <w:t xml:space="preserve">turbine </w:t>
      </w:r>
      <w:r w:rsidR="00101FA5" w:rsidRPr="00990508">
        <w:t xml:space="preserve">(“Simple Cycle GT”) </w:t>
      </w:r>
      <w:r w:rsidRPr="00990508">
        <w:t>be used as the reference technology for FCA-12, which is the relevant auction for the 2021/2022 Commitment Period.  The choice of reference unit has a large impact on the Net CONE value and is critical to ensuring that the capacity market will procure capacity sufficient to meet the region’s resource adequacy requirement.</w:t>
      </w:r>
      <w:r w:rsidRPr="00403873">
        <w:t xml:space="preserve"> </w:t>
      </w:r>
      <w:r w:rsidR="00101FA5">
        <w:t>T</w:t>
      </w:r>
      <w:r w:rsidRPr="00990508">
        <w:t>he</w:t>
      </w:r>
      <w:r w:rsidR="00101FA5" w:rsidRPr="00990508">
        <w:t xml:space="preserve"> Simple Cycle GT </w:t>
      </w:r>
      <w:r w:rsidR="00210BEC">
        <w:t xml:space="preserve">is </w:t>
      </w:r>
      <w:r w:rsidRPr="00990508">
        <w:t xml:space="preserve">substantially </w:t>
      </w:r>
      <w:r w:rsidR="007669E1">
        <w:t>less expensive</w:t>
      </w:r>
      <w:r w:rsidR="00101FA5" w:rsidRPr="00990508">
        <w:t xml:space="preserve"> than the combined cycle combustion turbine (“Combined Cycle GT”)</w:t>
      </w:r>
      <w:r w:rsidR="00480FFA" w:rsidRPr="00990508">
        <w:t xml:space="preserve"> and the </w:t>
      </w:r>
      <w:proofErr w:type="spellStart"/>
      <w:r w:rsidR="00480FFA" w:rsidRPr="00990508">
        <w:t>aeroderivati</w:t>
      </w:r>
      <w:r w:rsidR="00247A10" w:rsidRPr="00990508">
        <w:t>ve</w:t>
      </w:r>
      <w:proofErr w:type="spellEnd"/>
      <w:r w:rsidR="00247A10" w:rsidRPr="00990508">
        <w:t xml:space="preserve"> machines</w:t>
      </w:r>
      <w:r w:rsidR="00210BEC">
        <w:t xml:space="preserve">, and is an established technology in New England.  The Simple Cycle GT technology has </w:t>
      </w:r>
      <w:r w:rsidR="00101FA5" w:rsidRPr="00990508">
        <w:t>participated and cleared in the most recent FCAs</w:t>
      </w:r>
      <w:r w:rsidRPr="00990508">
        <w:t xml:space="preserve">, </w:t>
      </w:r>
      <w:r w:rsidR="00101FA5" w:rsidRPr="00990508">
        <w:t xml:space="preserve">as shown in </w:t>
      </w:r>
      <w:r w:rsidR="00110498" w:rsidRPr="00990508">
        <w:fldChar w:fldCharType="begin"/>
      </w:r>
      <w:r w:rsidR="00110498" w:rsidRPr="00990508">
        <w:instrText xml:space="preserve"> REF  _Ref462596291 \h  \* MERGEFORMAT </w:instrText>
      </w:r>
      <w:r w:rsidR="00110498" w:rsidRPr="00990508">
        <w:fldChar w:fldCharType="separate"/>
      </w:r>
      <w:r w:rsidR="006E2301" w:rsidRPr="003A4BBA">
        <w:t xml:space="preserve">Table </w:t>
      </w:r>
      <w:r w:rsidR="006E2301">
        <w:rPr>
          <w:noProof/>
        </w:rPr>
        <w:t>1</w:t>
      </w:r>
      <w:r w:rsidR="00110498" w:rsidRPr="00990508">
        <w:fldChar w:fldCharType="end"/>
      </w:r>
      <w:r w:rsidR="00101FA5" w:rsidRPr="00990508">
        <w:t xml:space="preserve"> below.</w:t>
      </w:r>
      <w:r w:rsidR="00AD45CE">
        <w:t xml:space="preserve">   </w:t>
      </w:r>
    </w:p>
    <w:p w14:paraId="75B6A936" w14:textId="144E3A18" w:rsidR="00952AAC" w:rsidRDefault="00952AAC">
      <w:pPr>
        <w:spacing w:after="160" w:line="259" w:lineRule="auto"/>
        <w:jc w:val="left"/>
        <w:rPr>
          <w:rFonts w:cs="Times New Roman"/>
          <w:b/>
          <w:iCs/>
          <w:szCs w:val="18"/>
        </w:rPr>
      </w:pPr>
      <w:r>
        <w:br w:type="page"/>
      </w:r>
    </w:p>
    <w:p w14:paraId="58C2BEBE" w14:textId="019BAB28" w:rsidR="00101FA5" w:rsidRPr="003A4BBA" w:rsidRDefault="00326D94" w:rsidP="00D2628D">
      <w:pPr>
        <w:pStyle w:val="Caption"/>
        <w:rPr>
          <w:color w:val="000000"/>
        </w:rPr>
      </w:pPr>
      <w:bookmarkStart w:id="3" w:name="_Ref462596291"/>
      <w:bookmarkStart w:id="4" w:name="_Ref462596271"/>
      <w:bookmarkStart w:id="5" w:name="_Toc465433426"/>
      <w:r w:rsidRPr="003A4BBA">
        <w:lastRenderedPageBreak/>
        <w:t xml:space="preserve">Table </w:t>
      </w:r>
      <w:r w:rsidR="009F6832" w:rsidRPr="001B35DD">
        <w:fldChar w:fldCharType="begin"/>
      </w:r>
      <w:r w:rsidR="009F6832" w:rsidRPr="003A4BBA">
        <w:instrText xml:space="preserve"> SEQ Table \* ARABIC </w:instrText>
      </w:r>
      <w:r w:rsidR="009F6832" w:rsidRPr="001B35DD">
        <w:fldChar w:fldCharType="separate"/>
      </w:r>
      <w:r w:rsidR="000637A3">
        <w:rPr>
          <w:noProof/>
        </w:rPr>
        <w:t>1</w:t>
      </w:r>
      <w:r w:rsidR="009F6832" w:rsidRPr="001B35DD">
        <w:rPr>
          <w:noProof/>
        </w:rPr>
        <w:fldChar w:fldCharType="end"/>
      </w:r>
      <w:bookmarkEnd w:id="3"/>
      <w:r w:rsidR="007B2765" w:rsidRPr="003A4BBA">
        <w:t xml:space="preserve">: </w:t>
      </w:r>
      <w:r w:rsidR="00E173AA" w:rsidRPr="003A4BBA">
        <w:t xml:space="preserve">Proposed </w:t>
      </w:r>
      <w:r w:rsidR="00101FA5" w:rsidRPr="003A4BBA">
        <w:t>Simple Cycle and Combined Cycle GTs</w:t>
      </w:r>
      <w:bookmarkEnd w:id="4"/>
      <w:bookmarkEnd w:id="5"/>
      <w:r w:rsidR="002B7AC5">
        <w:t xml:space="preserve"> in New England</w:t>
      </w:r>
    </w:p>
    <w:tbl>
      <w:tblPr>
        <w:tblStyle w:val="TableGridLight1"/>
        <w:tblW w:w="9355" w:type="dxa"/>
        <w:tblLayout w:type="fixed"/>
        <w:tblLook w:val="04A0" w:firstRow="1" w:lastRow="0" w:firstColumn="1" w:lastColumn="0" w:noHBand="0" w:noVBand="1"/>
      </w:tblPr>
      <w:tblGrid>
        <w:gridCol w:w="1169"/>
        <w:gridCol w:w="1169"/>
        <w:gridCol w:w="1077"/>
        <w:gridCol w:w="1262"/>
        <w:gridCol w:w="898"/>
        <w:gridCol w:w="1080"/>
        <w:gridCol w:w="1260"/>
        <w:gridCol w:w="1440"/>
      </w:tblGrid>
      <w:tr w:rsidR="00444186" w:rsidRPr="003A4BBA" w14:paraId="65A6F4EF" w14:textId="77777777" w:rsidTr="00444186">
        <w:trPr>
          <w:trHeight w:val="432"/>
        </w:trPr>
        <w:tc>
          <w:tcPr>
            <w:tcW w:w="1169" w:type="dxa"/>
            <w:shd w:val="clear" w:color="auto" w:fill="BFBFBF" w:themeFill="background1" w:themeFillShade="BF"/>
            <w:tcMar>
              <w:top w:w="29" w:type="dxa"/>
              <w:left w:w="0" w:type="dxa"/>
              <w:bottom w:w="29" w:type="dxa"/>
              <w:right w:w="0" w:type="dxa"/>
            </w:tcMar>
            <w:vAlign w:val="bottom"/>
            <w:hideMark/>
          </w:tcPr>
          <w:p w14:paraId="2308435A" w14:textId="78BD556A" w:rsidR="00444186" w:rsidRPr="001436DC" w:rsidRDefault="00444186" w:rsidP="001436DC">
            <w:pPr>
              <w:spacing w:after="0"/>
              <w:jc w:val="center"/>
              <w:rPr>
                <w:rFonts w:ascii="Century Gothic" w:hAnsi="Century Gothic"/>
                <w:b/>
                <w:sz w:val="16"/>
                <w:szCs w:val="14"/>
              </w:rPr>
            </w:pPr>
            <w:r w:rsidRPr="001436DC">
              <w:rPr>
                <w:rFonts w:ascii="Century Gothic" w:hAnsi="Century Gothic"/>
                <w:b/>
                <w:sz w:val="16"/>
                <w:szCs w:val="14"/>
              </w:rPr>
              <w:t>Power</w:t>
            </w:r>
          </w:p>
          <w:p w14:paraId="3F5FF504" w14:textId="3CDDC62B" w:rsidR="00444186" w:rsidRPr="001436DC" w:rsidRDefault="00444186" w:rsidP="001436DC">
            <w:pPr>
              <w:jc w:val="center"/>
              <w:rPr>
                <w:rFonts w:ascii="Century Gothic" w:hAnsi="Century Gothic"/>
                <w:b/>
                <w:sz w:val="16"/>
                <w:szCs w:val="14"/>
              </w:rPr>
            </w:pPr>
            <w:r w:rsidRPr="001436DC">
              <w:rPr>
                <w:rFonts w:ascii="Century Gothic" w:hAnsi="Century Gothic"/>
                <w:b/>
                <w:sz w:val="16"/>
                <w:szCs w:val="14"/>
              </w:rPr>
              <w:t>Plant</w:t>
            </w:r>
          </w:p>
        </w:tc>
        <w:tc>
          <w:tcPr>
            <w:tcW w:w="1169" w:type="dxa"/>
            <w:shd w:val="clear" w:color="auto" w:fill="BFBFBF" w:themeFill="background1" w:themeFillShade="BF"/>
            <w:tcMar>
              <w:top w:w="29" w:type="dxa"/>
              <w:left w:w="0" w:type="dxa"/>
              <w:bottom w:w="29" w:type="dxa"/>
              <w:right w:w="0" w:type="dxa"/>
            </w:tcMar>
            <w:vAlign w:val="bottom"/>
            <w:hideMark/>
          </w:tcPr>
          <w:p w14:paraId="5402EA62" w14:textId="77777777" w:rsidR="00444186" w:rsidRPr="001436DC" w:rsidRDefault="00444186" w:rsidP="001436DC">
            <w:pPr>
              <w:jc w:val="center"/>
              <w:rPr>
                <w:rFonts w:ascii="Century Gothic" w:hAnsi="Century Gothic"/>
                <w:b/>
                <w:sz w:val="16"/>
                <w:szCs w:val="14"/>
              </w:rPr>
            </w:pPr>
            <w:r w:rsidRPr="001436DC">
              <w:rPr>
                <w:rFonts w:ascii="Century Gothic" w:hAnsi="Century Gothic"/>
                <w:b/>
                <w:sz w:val="16"/>
                <w:szCs w:val="14"/>
              </w:rPr>
              <w:t>Generation Technology</w:t>
            </w:r>
          </w:p>
        </w:tc>
        <w:tc>
          <w:tcPr>
            <w:tcW w:w="1077" w:type="dxa"/>
            <w:shd w:val="clear" w:color="auto" w:fill="BFBFBF" w:themeFill="background1" w:themeFillShade="BF"/>
            <w:tcMar>
              <w:top w:w="29" w:type="dxa"/>
              <w:left w:w="0" w:type="dxa"/>
              <w:bottom w:w="29" w:type="dxa"/>
              <w:right w:w="0" w:type="dxa"/>
            </w:tcMar>
            <w:vAlign w:val="bottom"/>
            <w:hideMark/>
          </w:tcPr>
          <w:p w14:paraId="3CEAC673" w14:textId="75EC80F5" w:rsidR="00444186" w:rsidRPr="001436DC" w:rsidRDefault="002B7AC5" w:rsidP="001436DC">
            <w:pPr>
              <w:jc w:val="center"/>
              <w:rPr>
                <w:rFonts w:ascii="Century Gothic" w:hAnsi="Century Gothic"/>
                <w:b/>
                <w:sz w:val="16"/>
                <w:szCs w:val="14"/>
              </w:rPr>
            </w:pPr>
            <w:r>
              <w:rPr>
                <w:rFonts w:ascii="Century Gothic" w:hAnsi="Century Gothic"/>
                <w:b/>
                <w:sz w:val="16"/>
                <w:szCs w:val="14"/>
              </w:rPr>
              <w:t xml:space="preserve">Estimated </w:t>
            </w:r>
            <w:r w:rsidR="00444186">
              <w:rPr>
                <w:rFonts w:ascii="Century Gothic" w:hAnsi="Century Gothic"/>
                <w:b/>
                <w:sz w:val="16"/>
                <w:szCs w:val="14"/>
              </w:rPr>
              <w:t>In</w:t>
            </w:r>
            <w:r>
              <w:rPr>
                <w:rFonts w:ascii="Century Gothic" w:hAnsi="Century Gothic"/>
                <w:b/>
                <w:sz w:val="16"/>
                <w:szCs w:val="14"/>
              </w:rPr>
              <w:t>-</w:t>
            </w:r>
            <w:r w:rsidR="00444186">
              <w:rPr>
                <w:rFonts w:ascii="Century Gothic" w:hAnsi="Century Gothic"/>
                <w:b/>
                <w:sz w:val="16"/>
                <w:szCs w:val="14"/>
              </w:rPr>
              <w:t xml:space="preserve"> </w:t>
            </w:r>
            <w:r>
              <w:rPr>
                <w:rFonts w:ascii="Century Gothic" w:hAnsi="Century Gothic"/>
                <w:b/>
                <w:sz w:val="16"/>
                <w:szCs w:val="14"/>
              </w:rPr>
              <w:t>S</w:t>
            </w:r>
            <w:r w:rsidR="00444186">
              <w:rPr>
                <w:rFonts w:ascii="Century Gothic" w:hAnsi="Century Gothic"/>
                <w:b/>
                <w:sz w:val="16"/>
                <w:szCs w:val="14"/>
              </w:rPr>
              <w:t>ervice Date</w:t>
            </w:r>
          </w:p>
        </w:tc>
        <w:tc>
          <w:tcPr>
            <w:tcW w:w="1262" w:type="dxa"/>
            <w:shd w:val="clear" w:color="auto" w:fill="BFBFBF" w:themeFill="background1" w:themeFillShade="BF"/>
            <w:tcMar>
              <w:top w:w="29" w:type="dxa"/>
              <w:left w:w="0" w:type="dxa"/>
              <w:bottom w:w="29" w:type="dxa"/>
              <w:right w:w="0" w:type="dxa"/>
            </w:tcMar>
            <w:vAlign w:val="bottom"/>
            <w:hideMark/>
          </w:tcPr>
          <w:p w14:paraId="15CBF349" w14:textId="77777777" w:rsidR="00444186" w:rsidRPr="001436DC" w:rsidRDefault="00444186" w:rsidP="001436DC">
            <w:pPr>
              <w:jc w:val="center"/>
              <w:rPr>
                <w:rFonts w:ascii="Century Gothic" w:hAnsi="Century Gothic"/>
                <w:b/>
                <w:sz w:val="16"/>
                <w:szCs w:val="14"/>
              </w:rPr>
            </w:pPr>
            <w:r w:rsidRPr="001436DC">
              <w:rPr>
                <w:rFonts w:ascii="Century Gothic" w:hAnsi="Century Gothic"/>
                <w:b/>
                <w:sz w:val="16"/>
                <w:szCs w:val="14"/>
              </w:rPr>
              <w:t>Turbine Manufacturer</w:t>
            </w:r>
          </w:p>
        </w:tc>
        <w:tc>
          <w:tcPr>
            <w:tcW w:w="898" w:type="dxa"/>
            <w:shd w:val="clear" w:color="auto" w:fill="BFBFBF" w:themeFill="background1" w:themeFillShade="BF"/>
            <w:tcMar>
              <w:top w:w="29" w:type="dxa"/>
              <w:left w:w="0" w:type="dxa"/>
              <w:bottom w:w="29" w:type="dxa"/>
              <w:right w:w="0" w:type="dxa"/>
            </w:tcMar>
            <w:vAlign w:val="bottom"/>
            <w:hideMark/>
          </w:tcPr>
          <w:p w14:paraId="4C40F243" w14:textId="77777777" w:rsidR="00444186" w:rsidRPr="001436DC" w:rsidRDefault="00444186" w:rsidP="001436DC">
            <w:pPr>
              <w:jc w:val="center"/>
              <w:rPr>
                <w:rFonts w:ascii="Century Gothic" w:hAnsi="Century Gothic"/>
                <w:b/>
                <w:sz w:val="16"/>
                <w:szCs w:val="14"/>
              </w:rPr>
            </w:pPr>
            <w:r w:rsidRPr="001436DC">
              <w:rPr>
                <w:rFonts w:ascii="Century Gothic" w:hAnsi="Century Gothic"/>
                <w:b/>
                <w:sz w:val="16"/>
                <w:szCs w:val="14"/>
              </w:rPr>
              <w:t>Turbine Type</w:t>
            </w:r>
          </w:p>
        </w:tc>
        <w:tc>
          <w:tcPr>
            <w:tcW w:w="1080" w:type="dxa"/>
            <w:shd w:val="clear" w:color="auto" w:fill="BFBFBF" w:themeFill="background1" w:themeFillShade="BF"/>
            <w:tcMar>
              <w:top w:w="29" w:type="dxa"/>
              <w:left w:w="0" w:type="dxa"/>
              <w:bottom w:w="29" w:type="dxa"/>
              <w:right w:w="0" w:type="dxa"/>
            </w:tcMar>
            <w:vAlign w:val="bottom"/>
            <w:hideMark/>
          </w:tcPr>
          <w:p w14:paraId="729ADDC3" w14:textId="0D1C217B" w:rsidR="00444186" w:rsidRPr="001436DC" w:rsidRDefault="002B7AC5" w:rsidP="001436DC">
            <w:pPr>
              <w:jc w:val="center"/>
              <w:rPr>
                <w:rFonts w:ascii="Century Gothic" w:hAnsi="Century Gothic"/>
                <w:b/>
                <w:sz w:val="16"/>
                <w:szCs w:val="14"/>
              </w:rPr>
            </w:pPr>
            <w:r>
              <w:rPr>
                <w:rFonts w:ascii="Century Gothic" w:hAnsi="Century Gothic"/>
                <w:b/>
                <w:sz w:val="16"/>
                <w:szCs w:val="14"/>
              </w:rPr>
              <w:t>State</w:t>
            </w:r>
          </w:p>
        </w:tc>
        <w:tc>
          <w:tcPr>
            <w:tcW w:w="1260" w:type="dxa"/>
            <w:shd w:val="clear" w:color="auto" w:fill="BFBFBF" w:themeFill="background1" w:themeFillShade="BF"/>
            <w:tcMar>
              <w:top w:w="29" w:type="dxa"/>
              <w:left w:w="0" w:type="dxa"/>
              <w:bottom w:w="29" w:type="dxa"/>
              <w:right w:w="0" w:type="dxa"/>
            </w:tcMar>
            <w:vAlign w:val="bottom"/>
            <w:hideMark/>
          </w:tcPr>
          <w:p w14:paraId="6F206E65" w14:textId="77777777" w:rsidR="00444186" w:rsidRPr="001436DC" w:rsidRDefault="00444186" w:rsidP="001436DC">
            <w:pPr>
              <w:jc w:val="center"/>
              <w:rPr>
                <w:rFonts w:ascii="Century Gothic" w:hAnsi="Century Gothic"/>
                <w:b/>
                <w:sz w:val="16"/>
                <w:szCs w:val="14"/>
              </w:rPr>
            </w:pPr>
            <w:r w:rsidRPr="001436DC">
              <w:rPr>
                <w:rFonts w:ascii="Century Gothic" w:hAnsi="Century Gothic"/>
                <w:b/>
                <w:sz w:val="16"/>
                <w:szCs w:val="14"/>
              </w:rPr>
              <w:t>Approx. Nameplate Capacity (MW)</w:t>
            </w:r>
          </w:p>
        </w:tc>
        <w:tc>
          <w:tcPr>
            <w:tcW w:w="1440" w:type="dxa"/>
            <w:shd w:val="clear" w:color="auto" w:fill="BFBFBF" w:themeFill="background1" w:themeFillShade="BF"/>
            <w:tcMar>
              <w:top w:w="29" w:type="dxa"/>
              <w:left w:w="0" w:type="dxa"/>
              <w:bottom w:w="29" w:type="dxa"/>
              <w:right w:w="0" w:type="dxa"/>
            </w:tcMar>
            <w:vAlign w:val="bottom"/>
            <w:hideMark/>
          </w:tcPr>
          <w:p w14:paraId="4A381C6A" w14:textId="77777777" w:rsidR="00444186" w:rsidRPr="001436DC" w:rsidRDefault="00444186" w:rsidP="001436DC">
            <w:pPr>
              <w:jc w:val="center"/>
              <w:rPr>
                <w:rFonts w:ascii="Century Gothic" w:hAnsi="Century Gothic"/>
                <w:b/>
                <w:sz w:val="16"/>
                <w:szCs w:val="14"/>
              </w:rPr>
            </w:pPr>
            <w:r w:rsidRPr="001436DC">
              <w:rPr>
                <w:rFonts w:ascii="Century Gothic" w:hAnsi="Century Gothic"/>
                <w:b/>
                <w:sz w:val="16"/>
                <w:szCs w:val="14"/>
              </w:rPr>
              <w:t>Current Operating Status</w:t>
            </w:r>
          </w:p>
        </w:tc>
      </w:tr>
      <w:tr w:rsidR="00444186" w:rsidRPr="003A4BBA" w14:paraId="0CF8431B" w14:textId="77777777" w:rsidTr="00444186">
        <w:trPr>
          <w:trHeight w:val="432"/>
        </w:trPr>
        <w:tc>
          <w:tcPr>
            <w:tcW w:w="1169" w:type="dxa"/>
            <w:tcMar>
              <w:top w:w="29" w:type="dxa"/>
              <w:left w:w="0" w:type="dxa"/>
              <w:bottom w:w="29" w:type="dxa"/>
              <w:right w:w="0" w:type="dxa"/>
            </w:tcMar>
            <w:vAlign w:val="center"/>
            <w:hideMark/>
          </w:tcPr>
          <w:p w14:paraId="33D360AC" w14:textId="23D673A6" w:rsidR="00444186" w:rsidRPr="001436DC" w:rsidRDefault="00444186" w:rsidP="001436DC">
            <w:pPr>
              <w:spacing w:after="0"/>
              <w:jc w:val="left"/>
              <w:rPr>
                <w:rFonts w:ascii="Century Gothic" w:hAnsi="Century Gothic"/>
                <w:sz w:val="14"/>
                <w:szCs w:val="14"/>
              </w:rPr>
            </w:pPr>
            <w:r w:rsidRPr="001436DC">
              <w:rPr>
                <w:rFonts w:ascii="Century Gothic" w:hAnsi="Century Gothic"/>
                <w:sz w:val="14"/>
                <w:szCs w:val="14"/>
              </w:rPr>
              <w:t>Salem</w:t>
            </w:r>
          </w:p>
          <w:p w14:paraId="510F5A47" w14:textId="751F626C" w:rsidR="00444186" w:rsidRPr="001436DC" w:rsidRDefault="00444186" w:rsidP="001436DC">
            <w:pPr>
              <w:spacing w:after="0"/>
              <w:jc w:val="left"/>
              <w:rPr>
                <w:rFonts w:ascii="Century Gothic" w:hAnsi="Century Gothic"/>
                <w:sz w:val="14"/>
                <w:szCs w:val="14"/>
              </w:rPr>
            </w:pPr>
            <w:r w:rsidRPr="001436DC">
              <w:rPr>
                <w:rFonts w:ascii="Century Gothic" w:hAnsi="Century Gothic"/>
                <w:sz w:val="14"/>
                <w:szCs w:val="14"/>
              </w:rPr>
              <w:t>Harbor</w:t>
            </w:r>
          </w:p>
        </w:tc>
        <w:tc>
          <w:tcPr>
            <w:tcW w:w="1169" w:type="dxa"/>
            <w:tcMar>
              <w:top w:w="29" w:type="dxa"/>
              <w:left w:w="0" w:type="dxa"/>
              <w:bottom w:w="29" w:type="dxa"/>
              <w:right w:w="0" w:type="dxa"/>
            </w:tcMar>
            <w:vAlign w:val="center"/>
            <w:hideMark/>
          </w:tcPr>
          <w:p w14:paraId="0F64EF68" w14:textId="500FAF23"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Combined Cycle</w:t>
            </w:r>
          </w:p>
        </w:tc>
        <w:tc>
          <w:tcPr>
            <w:tcW w:w="1077" w:type="dxa"/>
            <w:tcMar>
              <w:top w:w="29" w:type="dxa"/>
              <w:left w:w="0" w:type="dxa"/>
              <w:bottom w:w="29" w:type="dxa"/>
              <w:right w:w="0" w:type="dxa"/>
            </w:tcMar>
            <w:vAlign w:val="center"/>
            <w:hideMark/>
          </w:tcPr>
          <w:p w14:paraId="141C53AF" w14:textId="712BDEDB" w:rsidR="00444186" w:rsidRPr="001436DC" w:rsidRDefault="00444186" w:rsidP="001436DC">
            <w:pPr>
              <w:jc w:val="center"/>
              <w:rPr>
                <w:rFonts w:ascii="Century Gothic" w:hAnsi="Century Gothic"/>
                <w:sz w:val="14"/>
                <w:szCs w:val="14"/>
              </w:rPr>
            </w:pPr>
            <w:r>
              <w:rPr>
                <w:rFonts w:ascii="Century Gothic" w:hAnsi="Century Gothic"/>
                <w:sz w:val="14"/>
                <w:szCs w:val="14"/>
              </w:rPr>
              <w:t>6-</w:t>
            </w:r>
            <w:r w:rsidRPr="001436DC">
              <w:rPr>
                <w:rFonts w:ascii="Century Gothic" w:hAnsi="Century Gothic"/>
                <w:sz w:val="14"/>
                <w:szCs w:val="14"/>
              </w:rPr>
              <w:t>2017</w:t>
            </w:r>
          </w:p>
        </w:tc>
        <w:tc>
          <w:tcPr>
            <w:tcW w:w="1262" w:type="dxa"/>
            <w:tcMar>
              <w:top w:w="29" w:type="dxa"/>
              <w:left w:w="0" w:type="dxa"/>
              <w:bottom w:w="29" w:type="dxa"/>
              <w:right w:w="0" w:type="dxa"/>
            </w:tcMar>
            <w:vAlign w:val="center"/>
            <w:hideMark/>
          </w:tcPr>
          <w:p w14:paraId="1DC322E3"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General Electric Company</w:t>
            </w:r>
          </w:p>
        </w:tc>
        <w:tc>
          <w:tcPr>
            <w:tcW w:w="898" w:type="dxa"/>
            <w:tcMar>
              <w:top w:w="29" w:type="dxa"/>
              <w:left w:w="0" w:type="dxa"/>
              <w:bottom w:w="29" w:type="dxa"/>
              <w:right w:w="0" w:type="dxa"/>
            </w:tcMar>
            <w:vAlign w:val="center"/>
            <w:hideMark/>
          </w:tcPr>
          <w:p w14:paraId="621E2EC9"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7F 5-Series</w:t>
            </w:r>
          </w:p>
        </w:tc>
        <w:tc>
          <w:tcPr>
            <w:tcW w:w="1080" w:type="dxa"/>
            <w:tcMar>
              <w:top w:w="29" w:type="dxa"/>
              <w:left w:w="0" w:type="dxa"/>
              <w:bottom w:w="29" w:type="dxa"/>
              <w:right w:w="0" w:type="dxa"/>
            </w:tcMar>
            <w:vAlign w:val="center"/>
            <w:hideMark/>
          </w:tcPr>
          <w:p w14:paraId="3AF5CA6F" w14:textId="0B3D2382" w:rsidR="00444186" w:rsidRPr="001436DC" w:rsidRDefault="002B7AC5" w:rsidP="001436DC">
            <w:pPr>
              <w:jc w:val="center"/>
              <w:rPr>
                <w:rFonts w:ascii="Century Gothic" w:hAnsi="Century Gothic"/>
                <w:sz w:val="14"/>
                <w:szCs w:val="14"/>
              </w:rPr>
            </w:pPr>
            <w:r>
              <w:rPr>
                <w:rFonts w:ascii="Century Gothic" w:hAnsi="Century Gothic"/>
                <w:sz w:val="14"/>
                <w:szCs w:val="14"/>
              </w:rPr>
              <w:t>MA</w:t>
            </w:r>
          </w:p>
        </w:tc>
        <w:tc>
          <w:tcPr>
            <w:tcW w:w="1260" w:type="dxa"/>
            <w:tcMar>
              <w:top w:w="29" w:type="dxa"/>
              <w:left w:w="0" w:type="dxa"/>
              <w:bottom w:w="29" w:type="dxa"/>
              <w:right w:w="0" w:type="dxa"/>
            </w:tcMar>
            <w:vAlign w:val="center"/>
            <w:hideMark/>
          </w:tcPr>
          <w:p w14:paraId="4A2F7B5F"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674</w:t>
            </w:r>
          </w:p>
        </w:tc>
        <w:tc>
          <w:tcPr>
            <w:tcW w:w="1440" w:type="dxa"/>
            <w:tcMar>
              <w:top w:w="29" w:type="dxa"/>
              <w:left w:w="0" w:type="dxa"/>
              <w:bottom w:w="29" w:type="dxa"/>
              <w:right w:w="0" w:type="dxa"/>
            </w:tcMar>
            <w:vAlign w:val="center"/>
            <w:hideMark/>
          </w:tcPr>
          <w:p w14:paraId="1A9CD085"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Under Construction</w:t>
            </w:r>
          </w:p>
        </w:tc>
      </w:tr>
      <w:tr w:rsidR="00444186" w:rsidRPr="003A4BBA" w14:paraId="435E1BA8" w14:textId="77777777" w:rsidTr="00444186">
        <w:trPr>
          <w:trHeight w:val="432"/>
        </w:trPr>
        <w:tc>
          <w:tcPr>
            <w:tcW w:w="1169" w:type="dxa"/>
            <w:shd w:val="clear" w:color="auto" w:fill="F2F2F2" w:themeFill="background1" w:themeFillShade="F2"/>
            <w:tcMar>
              <w:top w:w="29" w:type="dxa"/>
              <w:left w:w="0" w:type="dxa"/>
              <w:bottom w:w="29" w:type="dxa"/>
              <w:right w:w="0" w:type="dxa"/>
            </w:tcMar>
            <w:vAlign w:val="center"/>
            <w:hideMark/>
          </w:tcPr>
          <w:p w14:paraId="2B330C8C" w14:textId="77777777" w:rsidR="00444186" w:rsidRPr="001436DC" w:rsidRDefault="00444186" w:rsidP="001436DC">
            <w:pPr>
              <w:jc w:val="left"/>
              <w:rPr>
                <w:rFonts w:ascii="Century Gothic" w:hAnsi="Century Gothic"/>
                <w:sz w:val="14"/>
                <w:szCs w:val="14"/>
              </w:rPr>
            </w:pPr>
            <w:r w:rsidRPr="001436DC">
              <w:rPr>
                <w:rFonts w:ascii="Century Gothic" w:hAnsi="Century Gothic"/>
                <w:sz w:val="14"/>
                <w:szCs w:val="14"/>
              </w:rPr>
              <w:t>West Medway II</w:t>
            </w:r>
          </w:p>
        </w:tc>
        <w:tc>
          <w:tcPr>
            <w:tcW w:w="1169" w:type="dxa"/>
            <w:shd w:val="clear" w:color="auto" w:fill="F2F2F2" w:themeFill="background1" w:themeFillShade="F2"/>
            <w:tcMar>
              <w:top w:w="29" w:type="dxa"/>
              <w:left w:w="0" w:type="dxa"/>
              <w:bottom w:w="29" w:type="dxa"/>
              <w:right w:w="0" w:type="dxa"/>
            </w:tcMar>
            <w:vAlign w:val="center"/>
            <w:hideMark/>
          </w:tcPr>
          <w:p w14:paraId="061A2B68"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Gas Turbine</w:t>
            </w:r>
          </w:p>
        </w:tc>
        <w:tc>
          <w:tcPr>
            <w:tcW w:w="1077" w:type="dxa"/>
            <w:shd w:val="clear" w:color="auto" w:fill="F2F2F2" w:themeFill="background1" w:themeFillShade="F2"/>
            <w:tcMar>
              <w:top w:w="29" w:type="dxa"/>
              <w:left w:w="0" w:type="dxa"/>
              <w:bottom w:w="29" w:type="dxa"/>
              <w:right w:w="0" w:type="dxa"/>
            </w:tcMar>
            <w:vAlign w:val="center"/>
            <w:hideMark/>
          </w:tcPr>
          <w:p w14:paraId="5AF38153" w14:textId="6F5EABD5" w:rsidR="00444186" w:rsidRPr="001436DC" w:rsidRDefault="00444186" w:rsidP="001436DC">
            <w:pPr>
              <w:jc w:val="center"/>
              <w:rPr>
                <w:rFonts w:ascii="Century Gothic" w:hAnsi="Century Gothic"/>
                <w:sz w:val="14"/>
                <w:szCs w:val="14"/>
              </w:rPr>
            </w:pPr>
            <w:r>
              <w:rPr>
                <w:rFonts w:ascii="Century Gothic" w:hAnsi="Century Gothic"/>
                <w:sz w:val="14"/>
                <w:szCs w:val="14"/>
              </w:rPr>
              <w:t>4-</w:t>
            </w:r>
            <w:r w:rsidRPr="001436DC">
              <w:rPr>
                <w:rFonts w:ascii="Century Gothic" w:hAnsi="Century Gothic"/>
                <w:sz w:val="14"/>
                <w:szCs w:val="14"/>
              </w:rPr>
              <w:t>2018</w:t>
            </w:r>
          </w:p>
        </w:tc>
        <w:tc>
          <w:tcPr>
            <w:tcW w:w="1262" w:type="dxa"/>
            <w:shd w:val="clear" w:color="auto" w:fill="F2F2F2" w:themeFill="background1" w:themeFillShade="F2"/>
            <w:tcMar>
              <w:top w:w="29" w:type="dxa"/>
              <w:left w:w="0" w:type="dxa"/>
              <w:bottom w:w="29" w:type="dxa"/>
              <w:right w:w="0" w:type="dxa"/>
            </w:tcMar>
            <w:vAlign w:val="center"/>
            <w:hideMark/>
          </w:tcPr>
          <w:p w14:paraId="4AB538C0"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GE Energy</w:t>
            </w:r>
          </w:p>
        </w:tc>
        <w:tc>
          <w:tcPr>
            <w:tcW w:w="898" w:type="dxa"/>
            <w:shd w:val="clear" w:color="auto" w:fill="F2F2F2" w:themeFill="background1" w:themeFillShade="F2"/>
            <w:tcMar>
              <w:top w:w="29" w:type="dxa"/>
              <w:left w:w="0" w:type="dxa"/>
              <w:bottom w:w="29" w:type="dxa"/>
              <w:right w:w="0" w:type="dxa"/>
            </w:tcMar>
            <w:vAlign w:val="center"/>
            <w:hideMark/>
          </w:tcPr>
          <w:p w14:paraId="254EF14C"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LMS100PA+</w:t>
            </w:r>
          </w:p>
        </w:tc>
        <w:tc>
          <w:tcPr>
            <w:tcW w:w="1080" w:type="dxa"/>
            <w:shd w:val="clear" w:color="auto" w:fill="F2F2F2" w:themeFill="background1" w:themeFillShade="F2"/>
            <w:tcMar>
              <w:top w:w="29" w:type="dxa"/>
              <w:left w:w="0" w:type="dxa"/>
              <w:bottom w:w="29" w:type="dxa"/>
              <w:right w:w="0" w:type="dxa"/>
            </w:tcMar>
            <w:vAlign w:val="center"/>
            <w:hideMark/>
          </w:tcPr>
          <w:p w14:paraId="608BB864" w14:textId="4387F211" w:rsidR="00444186" w:rsidRPr="001436DC" w:rsidRDefault="002B7AC5" w:rsidP="001436DC">
            <w:pPr>
              <w:jc w:val="center"/>
              <w:rPr>
                <w:rFonts w:ascii="Century Gothic" w:hAnsi="Century Gothic"/>
                <w:sz w:val="14"/>
                <w:szCs w:val="14"/>
              </w:rPr>
            </w:pPr>
            <w:r>
              <w:rPr>
                <w:rFonts w:ascii="Century Gothic" w:hAnsi="Century Gothic"/>
                <w:sz w:val="14"/>
                <w:szCs w:val="14"/>
              </w:rPr>
              <w:t>MA</w:t>
            </w:r>
          </w:p>
        </w:tc>
        <w:tc>
          <w:tcPr>
            <w:tcW w:w="1260" w:type="dxa"/>
            <w:shd w:val="clear" w:color="auto" w:fill="F2F2F2" w:themeFill="background1" w:themeFillShade="F2"/>
            <w:tcMar>
              <w:top w:w="29" w:type="dxa"/>
              <w:left w:w="0" w:type="dxa"/>
              <w:bottom w:w="29" w:type="dxa"/>
              <w:right w:w="0" w:type="dxa"/>
            </w:tcMar>
            <w:vAlign w:val="center"/>
            <w:hideMark/>
          </w:tcPr>
          <w:p w14:paraId="5290B884"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200</w:t>
            </w:r>
          </w:p>
        </w:tc>
        <w:tc>
          <w:tcPr>
            <w:tcW w:w="1440" w:type="dxa"/>
            <w:shd w:val="clear" w:color="auto" w:fill="F2F2F2" w:themeFill="background1" w:themeFillShade="F2"/>
            <w:tcMar>
              <w:top w:w="29" w:type="dxa"/>
              <w:left w:w="0" w:type="dxa"/>
              <w:bottom w:w="29" w:type="dxa"/>
              <w:right w:w="0" w:type="dxa"/>
            </w:tcMar>
            <w:vAlign w:val="center"/>
            <w:hideMark/>
          </w:tcPr>
          <w:p w14:paraId="150386FC"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Advanced Development</w:t>
            </w:r>
          </w:p>
        </w:tc>
      </w:tr>
      <w:tr w:rsidR="00444186" w:rsidRPr="003A4BBA" w14:paraId="162AF110" w14:textId="77777777" w:rsidTr="00444186">
        <w:trPr>
          <w:trHeight w:val="432"/>
        </w:trPr>
        <w:tc>
          <w:tcPr>
            <w:tcW w:w="1169" w:type="dxa"/>
            <w:tcMar>
              <w:top w:w="29" w:type="dxa"/>
              <w:left w:w="0" w:type="dxa"/>
              <w:bottom w:w="29" w:type="dxa"/>
              <w:right w:w="0" w:type="dxa"/>
            </w:tcMar>
            <w:vAlign w:val="center"/>
            <w:hideMark/>
          </w:tcPr>
          <w:p w14:paraId="0C57D905" w14:textId="77777777" w:rsidR="00444186" w:rsidRPr="001436DC" w:rsidRDefault="00444186" w:rsidP="001436DC">
            <w:pPr>
              <w:jc w:val="left"/>
              <w:rPr>
                <w:rFonts w:ascii="Century Gothic" w:hAnsi="Century Gothic"/>
                <w:sz w:val="14"/>
                <w:szCs w:val="14"/>
              </w:rPr>
            </w:pPr>
            <w:proofErr w:type="spellStart"/>
            <w:r w:rsidRPr="001436DC">
              <w:rPr>
                <w:rFonts w:ascii="Century Gothic" w:hAnsi="Century Gothic"/>
                <w:sz w:val="14"/>
                <w:szCs w:val="14"/>
              </w:rPr>
              <w:t>Towantic</w:t>
            </w:r>
            <w:proofErr w:type="spellEnd"/>
            <w:r w:rsidRPr="001436DC">
              <w:rPr>
                <w:rFonts w:ascii="Century Gothic" w:hAnsi="Century Gothic"/>
                <w:sz w:val="14"/>
                <w:szCs w:val="14"/>
              </w:rPr>
              <w:t xml:space="preserve"> Energy Center</w:t>
            </w:r>
          </w:p>
        </w:tc>
        <w:tc>
          <w:tcPr>
            <w:tcW w:w="1169" w:type="dxa"/>
            <w:tcMar>
              <w:top w:w="29" w:type="dxa"/>
              <w:left w:w="0" w:type="dxa"/>
              <w:bottom w:w="29" w:type="dxa"/>
              <w:right w:w="0" w:type="dxa"/>
            </w:tcMar>
            <w:vAlign w:val="center"/>
            <w:hideMark/>
          </w:tcPr>
          <w:p w14:paraId="639F7B5F" w14:textId="04BEACC2"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Combined Cycle</w:t>
            </w:r>
          </w:p>
        </w:tc>
        <w:tc>
          <w:tcPr>
            <w:tcW w:w="1077" w:type="dxa"/>
            <w:tcMar>
              <w:top w:w="29" w:type="dxa"/>
              <w:left w:w="0" w:type="dxa"/>
              <w:bottom w:w="29" w:type="dxa"/>
              <w:right w:w="0" w:type="dxa"/>
            </w:tcMar>
            <w:vAlign w:val="center"/>
            <w:hideMark/>
          </w:tcPr>
          <w:p w14:paraId="34D9F841" w14:textId="7C1632B6" w:rsidR="00444186" w:rsidRPr="001436DC" w:rsidRDefault="00444186" w:rsidP="001436DC">
            <w:pPr>
              <w:jc w:val="center"/>
              <w:rPr>
                <w:rFonts w:ascii="Century Gothic" w:hAnsi="Century Gothic"/>
                <w:sz w:val="14"/>
                <w:szCs w:val="14"/>
              </w:rPr>
            </w:pPr>
            <w:r>
              <w:rPr>
                <w:rFonts w:ascii="Century Gothic" w:hAnsi="Century Gothic"/>
                <w:sz w:val="14"/>
                <w:szCs w:val="14"/>
              </w:rPr>
              <w:t>5-</w:t>
            </w:r>
            <w:r w:rsidRPr="001436DC">
              <w:rPr>
                <w:rFonts w:ascii="Century Gothic" w:hAnsi="Century Gothic"/>
                <w:sz w:val="14"/>
                <w:szCs w:val="14"/>
              </w:rPr>
              <w:t>2018</w:t>
            </w:r>
          </w:p>
        </w:tc>
        <w:tc>
          <w:tcPr>
            <w:tcW w:w="1262" w:type="dxa"/>
            <w:tcMar>
              <w:top w:w="29" w:type="dxa"/>
              <w:left w:w="0" w:type="dxa"/>
              <w:bottom w:w="29" w:type="dxa"/>
              <w:right w:w="0" w:type="dxa"/>
            </w:tcMar>
            <w:vAlign w:val="center"/>
            <w:hideMark/>
          </w:tcPr>
          <w:p w14:paraId="2915B29A"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GE Energy</w:t>
            </w:r>
          </w:p>
        </w:tc>
        <w:tc>
          <w:tcPr>
            <w:tcW w:w="898" w:type="dxa"/>
            <w:tcMar>
              <w:top w:w="29" w:type="dxa"/>
              <w:left w:w="0" w:type="dxa"/>
              <w:bottom w:w="29" w:type="dxa"/>
              <w:right w:w="0" w:type="dxa"/>
            </w:tcMar>
            <w:vAlign w:val="center"/>
            <w:hideMark/>
          </w:tcPr>
          <w:p w14:paraId="40718162"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7HA.01</w:t>
            </w:r>
          </w:p>
        </w:tc>
        <w:tc>
          <w:tcPr>
            <w:tcW w:w="1080" w:type="dxa"/>
            <w:tcMar>
              <w:top w:w="29" w:type="dxa"/>
              <w:left w:w="0" w:type="dxa"/>
              <w:bottom w:w="29" w:type="dxa"/>
              <w:right w:w="0" w:type="dxa"/>
            </w:tcMar>
            <w:vAlign w:val="center"/>
            <w:hideMark/>
          </w:tcPr>
          <w:p w14:paraId="5D7D525C" w14:textId="515E46B9" w:rsidR="00444186" w:rsidRPr="001436DC" w:rsidRDefault="002B7AC5" w:rsidP="001436DC">
            <w:pPr>
              <w:jc w:val="center"/>
              <w:rPr>
                <w:rFonts w:ascii="Century Gothic" w:hAnsi="Century Gothic"/>
                <w:sz w:val="14"/>
                <w:szCs w:val="14"/>
              </w:rPr>
            </w:pPr>
            <w:r>
              <w:rPr>
                <w:rFonts w:ascii="Century Gothic" w:hAnsi="Century Gothic"/>
                <w:sz w:val="14"/>
                <w:szCs w:val="14"/>
              </w:rPr>
              <w:t>CT</w:t>
            </w:r>
          </w:p>
        </w:tc>
        <w:tc>
          <w:tcPr>
            <w:tcW w:w="1260" w:type="dxa"/>
            <w:tcMar>
              <w:top w:w="29" w:type="dxa"/>
              <w:left w:w="0" w:type="dxa"/>
              <w:bottom w:w="29" w:type="dxa"/>
              <w:right w:w="0" w:type="dxa"/>
            </w:tcMar>
            <w:vAlign w:val="center"/>
            <w:hideMark/>
          </w:tcPr>
          <w:p w14:paraId="03838DE7"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785</w:t>
            </w:r>
          </w:p>
        </w:tc>
        <w:tc>
          <w:tcPr>
            <w:tcW w:w="1440" w:type="dxa"/>
            <w:tcMar>
              <w:top w:w="29" w:type="dxa"/>
              <w:left w:w="0" w:type="dxa"/>
              <w:bottom w:w="29" w:type="dxa"/>
              <w:right w:w="0" w:type="dxa"/>
            </w:tcMar>
            <w:vAlign w:val="center"/>
            <w:hideMark/>
          </w:tcPr>
          <w:p w14:paraId="68E78D77"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Under Construction</w:t>
            </w:r>
          </w:p>
        </w:tc>
      </w:tr>
      <w:tr w:rsidR="00444186" w:rsidRPr="003A4BBA" w14:paraId="7C67AA06" w14:textId="77777777" w:rsidTr="00444186">
        <w:trPr>
          <w:trHeight w:val="432"/>
        </w:trPr>
        <w:tc>
          <w:tcPr>
            <w:tcW w:w="1169" w:type="dxa"/>
            <w:shd w:val="clear" w:color="auto" w:fill="F2F2F2" w:themeFill="background1" w:themeFillShade="F2"/>
            <w:tcMar>
              <w:top w:w="29" w:type="dxa"/>
              <w:left w:w="0" w:type="dxa"/>
              <w:bottom w:w="29" w:type="dxa"/>
              <w:right w:w="0" w:type="dxa"/>
            </w:tcMar>
            <w:vAlign w:val="center"/>
            <w:hideMark/>
          </w:tcPr>
          <w:p w14:paraId="5771E69E" w14:textId="21F63631" w:rsidR="00444186" w:rsidRPr="001436DC" w:rsidRDefault="00444186" w:rsidP="001436DC">
            <w:pPr>
              <w:jc w:val="left"/>
              <w:rPr>
                <w:rFonts w:ascii="Century Gothic" w:hAnsi="Century Gothic"/>
                <w:sz w:val="14"/>
                <w:szCs w:val="14"/>
              </w:rPr>
            </w:pPr>
            <w:r w:rsidRPr="001436DC">
              <w:rPr>
                <w:rFonts w:ascii="Century Gothic" w:hAnsi="Century Gothic"/>
                <w:sz w:val="14"/>
                <w:szCs w:val="14"/>
              </w:rPr>
              <w:t>Wallingford</w:t>
            </w:r>
          </w:p>
          <w:p w14:paraId="12D34817" w14:textId="20256A92" w:rsidR="00444186" w:rsidRPr="001436DC" w:rsidRDefault="00444186" w:rsidP="001436DC">
            <w:pPr>
              <w:jc w:val="left"/>
              <w:rPr>
                <w:rFonts w:ascii="Century Gothic" w:hAnsi="Century Gothic"/>
                <w:sz w:val="14"/>
                <w:szCs w:val="14"/>
              </w:rPr>
            </w:pPr>
            <w:r w:rsidRPr="001436DC">
              <w:rPr>
                <w:rFonts w:ascii="Century Gothic" w:hAnsi="Century Gothic"/>
                <w:sz w:val="14"/>
                <w:szCs w:val="14"/>
              </w:rPr>
              <w:t>Energy (LS Power)</w:t>
            </w:r>
          </w:p>
        </w:tc>
        <w:tc>
          <w:tcPr>
            <w:tcW w:w="1169" w:type="dxa"/>
            <w:shd w:val="clear" w:color="auto" w:fill="F2F2F2" w:themeFill="background1" w:themeFillShade="F2"/>
            <w:tcMar>
              <w:top w:w="29" w:type="dxa"/>
              <w:left w:w="0" w:type="dxa"/>
              <w:bottom w:w="29" w:type="dxa"/>
              <w:right w:w="0" w:type="dxa"/>
            </w:tcMar>
            <w:vAlign w:val="center"/>
            <w:hideMark/>
          </w:tcPr>
          <w:p w14:paraId="514339AC" w14:textId="3E4CE390"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Gas Turbine</w:t>
            </w:r>
          </w:p>
        </w:tc>
        <w:tc>
          <w:tcPr>
            <w:tcW w:w="1077" w:type="dxa"/>
            <w:shd w:val="clear" w:color="auto" w:fill="F2F2F2" w:themeFill="background1" w:themeFillShade="F2"/>
            <w:tcMar>
              <w:top w:w="29" w:type="dxa"/>
              <w:left w:w="0" w:type="dxa"/>
              <w:bottom w:w="29" w:type="dxa"/>
              <w:right w:w="0" w:type="dxa"/>
            </w:tcMar>
            <w:vAlign w:val="center"/>
            <w:hideMark/>
          </w:tcPr>
          <w:p w14:paraId="29B86316" w14:textId="69EDC158" w:rsidR="00444186" w:rsidRPr="001436DC" w:rsidRDefault="00444186" w:rsidP="001436DC">
            <w:pPr>
              <w:jc w:val="center"/>
              <w:rPr>
                <w:rFonts w:ascii="Century Gothic" w:hAnsi="Century Gothic"/>
                <w:sz w:val="14"/>
                <w:szCs w:val="14"/>
              </w:rPr>
            </w:pPr>
            <w:r>
              <w:rPr>
                <w:rFonts w:ascii="Century Gothic" w:hAnsi="Century Gothic"/>
                <w:sz w:val="14"/>
                <w:szCs w:val="14"/>
              </w:rPr>
              <w:t>6-</w:t>
            </w:r>
            <w:r w:rsidRPr="001436DC">
              <w:rPr>
                <w:rFonts w:ascii="Century Gothic" w:hAnsi="Century Gothic"/>
                <w:sz w:val="14"/>
                <w:szCs w:val="14"/>
              </w:rPr>
              <w:t>2018</w:t>
            </w:r>
          </w:p>
        </w:tc>
        <w:tc>
          <w:tcPr>
            <w:tcW w:w="1262" w:type="dxa"/>
            <w:shd w:val="clear" w:color="auto" w:fill="F2F2F2" w:themeFill="background1" w:themeFillShade="F2"/>
            <w:tcMar>
              <w:top w:w="29" w:type="dxa"/>
              <w:left w:w="0" w:type="dxa"/>
              <w:bottom w:w="29" w:type="dxa"/>
              <w:right w:w="0" w:type="dxa"/>
            </w:tcMar>
            <w:vAlign w:val="center"/>
            <w:hideMark/>
          </w:tcPr>
          <w:p w14:paraId="21BDFE43" w14:textId="02A78A7C"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GE Energy</w:t>
            </w:r>
          </w:p>
        </w:tc>
        <w:tc>
          <w:tcPr>
            <w:tcW w:w="898" w:type="dxa"/>
            <w:shd w:val="clear" w:color="auto" w:fill="F2F2F2" w:themeFill="background1" w:themeFillShade="F2"/>
            <w:tcMar>
              <w:top w:w="29" w:type="dxa"/>
              <w:left w:w="0" w:type="dxa"/>
              <w:bottom w:w="29" w:type="dxa"/>
              <w:right w:w="0" w:type="dxa"/>
            </w:tcMar>
            <w:vAlign w:val="center"/>
            <w:hideMark/>
          </w:tcPr>
          <w:p w14:paraId="10D01DD2" w14:textId="70785B89"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LM6000</w:t>
            </w:r>
          </w:p>
        </w:tc>
        <w:tc>
          <w:tcPr>
            <w:tcW w:w="1080" w:type="dxa"/>
            <w:shd w:val="clear" w:color="auto" w:fill="F2F2F2" w:themeFill="background1" w:themeFillShade="F2"/>
            <w:tcMar>
              <w:top w:w="29" w:type="dxa"/>
              <w:left w:w="0" w:type="dxa"/>
              <w:bottom w:w="29" w:type="dxa"/>
              <w:right w:w="0" w:type="dxa"/>
            </w:tcMar>
            <w:vAlign w:val="center"/>
            <w:hideMark/>
          </w:tcPr>
          <w:p w14:paraId="1B14ADB9" w14:textId="28CC0B2A" w:rsidR="00444186" w:rsidRPr="001436DC" w:rsidRDefault="002B7AC5" w:rsidP="001436DC">
            <w:pPr>
              <w:jc w:val="center"/>
              <w:rPr>
                <w:rFonts w:ascii="Century Gothic" w:hAnsi="Century Gothic"/>
                <w:sz w:val="14"/>
                <w:szCs w:val="14"/>
              </w:rPr>
            </w:pPr>
            <w:r>
              <w:rPr>
                <w:rFonts w:ascii="Century Gothic" w:hAnsi="Century Gothic"/>
                <w:sz w:val="14"/>
                <w:szCs w:val="14"/>
              </w:rPr>
              <w:t>CT</w:t>
            </w:r>
          </w:p>
        </w:tc>
        <w:tc>
          <w:tcPr>
            <w:tcW w:w="1260" w:type="dxa"/>
            <w:shd w:val="clear" w:color="auto" w:fill="F2F2F2" w:themeFill="background1" w:themeFillShade="F2"/>
            <w:tcMar>
              <w:top w:w="29" w:type="dxa"/>
              <w:left w:w="0" w:type="dxa"/>
              <w:bottom w:w="29" w:type="dxa"/>
              <w:right w:w="0" w:type="dxa"/>
            </w:tcMar>
            <w:vAlign w:val="center"/>
            <w:hideMark/>
          </w:tcPr>
          <w:p w14:paraId="16EC4D0C" w14:textId="7BFC7B0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90</w:t>
            </w:r>
          </w:p>
        </w:tc>
        <w:tc>
          <w:tcPr>
            <w:tcW w:w="1440" w:type="dxa"/>
            <w:shd w:val="clear" w:color="auto" w:fill="F2F2F2" w:themeFill="background1" w:themeFillShade="F2"/>
            <w:tcMar>
              <w:top w:w="29" w:type="dxa"/>
              <w:left w:w="0" w:type="dxa"/>
              <w:bottom w:w="29" w:type="dxa"/>
              <w:right w:w="0" w:type="dxa"/>
            </w:tcMar>
            <w:vAlign w:val="center"/>
            <w:hideMark/>
          </w:tcPr>
          <w:p w14:paraId="0254705F" w14:textId="2008AFD5"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Early Development</w:t>
            </w:r>
          </w:p>
        </w:tc>
      </w:tr>
      <w:tr w:rsidR="00444186" w:rsidRPr="003A4BBA" w14:paraId="72B22E6A" w14:textId="77777777" w:rsidTr="00444186">
        <w:trPr>
          <w:trHeight w:val="432"/>
        </w:trPr>
        <w:tc>
          <w:tcPr>
            <w:tcW w:w="1169" w:type="dxa"/>
            <w:tcMar>
              <w:top w:w="29" w:type="dxa"/>
              <w:left w:w="0" w:type="dxa"/>
              <w:bottom w:w="29" w:type="dxa"/>
              <w:right w:w="0" w:type="dxa"/>
            </w:tcMar>
            <w:vAlign w:val="center"/>
            <w:hideMark/>
          </w:tcPr>
          <w:p w14:paraId="2FF2AD42" w14:textId="7D89B39D" w:rsidR="00444186" w:rsidRPr="001436DC" w:rsidRDefault="00444186" w:rsidP="001436DC">
            <w:pPr>
              <w:jc w:val="left"/>
              <w:rPr>
                <w:rFonts w:ascii="Century Gothic" w:hAnsi="Century Gothic"/>
                <w:sz w:val="14"/>
                <w:szCs w:val="14"/>
              </w:rPr>
            </w:pPr>
            <w:r w:rsidRPr="001436DC">
              <w:rPr>
                <w:rFonts w:ascii="Century Gothic" w:hAnsi="Century Gothic"/>
                <w:sz w:val="14"/>
                <w:szCs w:val="14"/>
              </w:rPr>
              <w:t>Bridgeport Harbor Station</w:t>
            </w:r>
          </w:p>
        </w:tc>
        <w:tc>
          <w:tcPr>
            <w:tcW w:w="1169" w:type="dxa"/>
            <w:tcMar>
              <w:top w:w="29" w:type="dxa"/>
              <w:left w:w="0" w:type="dxa"/>
              <w:bottom w:w="29" w:type="dxa"/>
              <w:right w:w="0" w:type="dxa"/>
            </w:tcMar>
            <w:vAlign w:val="center"/>
            <w:hideMark/>
          </w:tcPr>
          <w:p w14:paraId="301F56E2"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Combined Cycle</w:t>
            </w:r>
          </w:p>
        </w:tc>
        <w:tc>
          <w:tcPr>
            <w:tcW w:w="1077" w:type="dxa"/>
            <w:tcMar>
              <w:top w:w="29" w:type="dxa"/>
              <w:left w:w="0" w:type="dxa"/>
              <w:bottom w:w="29" w:type="dxa"/>
              <w:right w:w="0" w:type="dxa"/>
            </w:tcMar>
            <w:vAlign w:val="center"/>
            <w:hideMark/>
          </w:tcPr>
          <w:p w14:paraId="7B166224" w14:textId="57E94D08" w:rsidR="00444186" w:rsidRPr="001436DC" w:rsidRDefault="00444186" w:rsidP="001436DC">
            <w:pPr>
              <w:jc w:val="center"/>
              <w:rPr>
                <w:rFonts w:ascii="Century Gothic" w:hAnsi="Century Gothic"/>
                <w:sz w:val="14"/>
                <w:szCs w:val="14"/>
              </w:rPr>
            </w:pPr>
            <w:r>
              <w:rPr>
                <w:rFonts w:ascii="Century Gothic" w:hAnsi="Century Gothic"/>
                <w:sz w:val="14"/>
                <w:szCs w:val="14"/>
              </w:rPr>
              <w:t>6-</w:t>
            </w:r>
            <w:r w:rsidRPr="001436DC">
              <w:rPr>
                <w:rFonts w:ascii="Century Gothic" w:hAnsi="Century Gothic"/>
                <w:sz w:val="14"/>
                <w:szCs w:val="14"/>
              </w:rPr>
              <w:t>2019</w:t>
            </w:r>
          </w:p>
        </w:tc>
        <w:tc>
          <w:tcPr>
            <w:tcW w:w="1262" w:type="dxa"/>
            <w:tcMar>
              <w:top w:w="29" w:type="dxa"/>
              <w:left w:w="0" w:type="dxa"/>
              <w:bottom w:w="29" w:type="dxa"/>
              <w:right w:w="0" w:type="dxa"/>
            </w:tcMar>
            <w:vAlign w:val="center"/>
            <w:hideMark/>
          </w:tcPr>
          <w:p w14:paraId="24BFEA4D"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GE Energy</w:t>
            </w:r>
          </w:p>
        </w:tc>
        <w:tc>
          <w:tcPr>
            <w:tcW w:w="898" w:type="dxa"/>
            <w:tcMar>
              <w:top w:w="29" w:type="dxa"/>
              <w:left w:w="0" w:type="dxa"/>
              <w:bottom w:w="29" w:type="dxa"/>
              <w:right w:w="0" w:type="dxa"/>
            </w:tcMar>
            <w:vAlign w:val="center"/>
            <w:hideMark/>
          </w:tcPr>
          <w:p w14:paraId="718C631D" w14:textId="34AB276C" w:rsidR="00444186" w:rsidRPr="001436DC" w:rsidRDefault="00444186" w:rsidP="001436DC">
            <w:pPr>
              <w:jc w:val="center"/>
              <w:rPr>
                <w:rFonts w:ascii="Century Gothic" w:hAnsi="Century Gothic"/>
                <w:sz w:val="14"/>
                <w:szCs w:val="14"/>
              </w:rPr>
            </w:pPr>
            <w:r>
              <w:rPr>
                <w:rFonts w:ascii="Century Gothic" w:hAnsi="Century Gothic"/>
                <w:sz w:val="14"/>
                <w:szCs w:val="14"/>
              </w:rPr>
              <w:t>TBD</w:t>
            </w:r>
          </w:p>
        </w:tc>
        <w:tc>
          <w:tcPr>
            <w:tcW w:w="1080" w:type="dxa"/>
            <w:tcMar>
              <w:top w:w="29" w:type="dxa"/>
              <w:left w:w="0" w:type="dxa"/>
              <w:bottom w:w="29" w:type="dxa"/>
              <w:right w:w="0" w:type="dxa"/>
            </w:tcMar>
            <w:vAlign w:val="center"/>
            <w:hideMark/>
          </w:tcPr>
          <w:p w14:paraId="31C332E4" w14:textId="36D50993" w:rsidR="00444186" w:rsidRPr="001436DC" w:rsidRDefault="002B7AC5" w:rsidP="001436DC">
            <w:pPr>
              <w:jc w:val="center"/>
              <w:rPr>
                <w:rFonts w:ascii="Century Gothic" w:hAnsi="Century Gothic"/>
                <w:sz w:val="14"/>
                <w:szCs w:val="14"/>
              </w:rPr>
            </w:pPr>
            <w:r>
              <w:rPr>
                <w:rFonts w:ascii="Century Gothic" w:hAnsi="Century Gothic"/>
                <w:sz w:val="14"/>
                <w:szCs w:val="14"/>
              </w:rPr>
              <w:t>CT</w:t>
            </w:r>
          </w:p>
        </w:tc>
        <w:tc>
          <w:tcPr>
            <w:tcW w:w="1260" w:type="dxa"/>
            <w:tcMar>
              <w:top w:w="29" w:type="dxa"/>
              <w:left w:w="0" w:type="dxa"/>
              <w:bottom w:w="29" w:type="dxa"/>
              <w:right w:w="0" w:type="dxa"/>
            </w:tcMar>
            <w:vAlign w:val="center"/>
            <w:hideMark/>
          </w:tcPr>
          <w:p w14:paraId="7130311A"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485</w:t>
            </w:r>
          </w:p>
        </w:tc>
        <w:tc>
          <w:tcPr>
            <w:tcW w:w="1440" w:type="dxa"/>
            <w:tcMar>
              <w:top w:w="29" w:type="dxa"/>
              <w:left w:w="0" w:type="dxa"/>
              <w:bottom w:w="29" w:type="dxa"/>
              <w:right w:w="0" w:type="dxa"/>
            </w:tcMar>
            <w:vAlign w:val="center"/>
            <w:hideMark/>
          </w:tcPr>
          <w:p w14:paraId="60D8A802"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Early Development</w:t>
            </w:r>
          </w:p>
        </w:tc>
      </w:tr>
      <w:tr w:rsidR="00444186" w:rsidRPr="003A4BBA" w14:paraId="108BCB02" w14:textId="77777777" w:rsidTr="00444186">
        <w:trPr>
          <w:trHeight w:val="432"/>
        </w:trPr>
        <w:tc>
          <w:tcPr>
            <w:tcW w:w="1169" w:type="dxa"/>
            <w:shd w:val="clear" w:color="auto" w:fill="F2F2F2" w:themeFill="background1" w:themeFillShade="F2"/>
            <w:tcMar>
              <w:top w:w="29" w:type="dxa"/>
              <w:left w:w="0" w:type="dxa"/>
              <w:bottom w:w="29" w:type="dxa"/>
              <w:right w:w="0" w:type="dxa"/>
            </w:tcMar>
            <w:vAlign w:val="center"/>
            <w:hideMark/>
          </w:tcPr>
          <w:p w14:paraId="38AB829B" w14:textId="26BC889F" w:rsidR="00444186" w:rsidRPr="001436DC" w:rsidRDefault="00444186" w:rsidP="001436DC">
            <w:pPr>
              <w:jc w:val="left"/>
              <w:rPr>
                <w:rFonts w:ascii="Century Gothic" w:hAnsi="Century Gothic"/>
                <w:sz w:val="14"/>
                <w:szCs w:val="14"/>
              </w:rPr>
            </w:pPr>
            <w:r w:rsidRPr="001436DC">
              <w:rPr>
                <w:rFonts w:ascii="Century Gothic" w:hAnsi="Century Gothic"/>
                <w:sz w:val="14"/>
                <w:szCs w:val="14"/>
              </w:rPr>
              <w:t>Canal 3</w:t>
            </w:r>
          </w:p>
        </w:tc>
        <w:tc>
          <w:tcPr>
            <w:tcW w:w="1169" w:type="dxa"/>
            <w:shd w:val="clear" w:color="auto" w:fill="F2F2F2" w:themeFill="background1" w:themeFillShade="F2"/>
            <w:tcMar>
              <w:top w:w="29" w:type="dxa"/>
              <w:left w:w="0" w:type="dxa"/>
              <w:bottom w:w="29" w:type="dxa"/>
              <w:right w:w="0" w:type="dxa"/>
            </w:tcMar>
            <w:vAlign w:val="center"/>
            <w:hideMark/>
          </w:tcPr>
          <w:p w14:paraId="6EF3CC06"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Gas Turbine</w:t>
            </w:r>
          </w:p>
        </w:tc>
        <w:tc>
          <w:tcPr>
            <w:tcW w:w="1077" w:type="dxa"/>
            <w:shd w:val="clear" w:color="auto" w:fill="F2F2F2" w:themeFill="background1" w:themeFillShade="F2"/>
            <w:tcMar>
              <w:top w:w="29" w:type="dxa"/>
              <w:left w:w="0" w:type="dxa"/>
              <w:bottom w:w="29" w:type="dxa"/>
              <w:right w:w="0" w:type="dxa"/>
            </w:tcMar>
            <w:vAlign w:val="center"/>
            <w:hideMark/>
          </w:tcPr>
          <w:p w14:paraId="4D450781" w14:textId="4E77C17E" w:rsidR="00444186" w:rsidRPr="001436DC" w:rsidRDefault="00444186" w:rsidP="001436DC">
            <w:pPr>
              <w:jc w:val="center"/>
              <w:rPr>
                <w:rFonts w:ascii="Century Gothic" w:hAnsi="Century Gothic"/>
                <w:sz w:val="14"/>
                <w:szCs w:val="14"/>
              </w:rPr>
            </w:pPr>
            <w:r>
              <w:rPr>
                <w:rFonts w:ascii="Century Gothic" w:hAnsi="Century Gothic"/>
                <w:sz w:val="14"/>
                <w:szCs w:val="14"/>
              </w:rPr>
              <w:t>6-</w:t>
            </w:r>
            <w:r w:rsidRPr="001436DC">
              <w:rPr>
                <w:rFonts w:ascii="Century Gothic" w:hAnsi="Century Gothic"/>
                <w:sz w:val="14"/>
                <w:szCs w:val="14"/>
              </w:rPr>
              <w:t>2019</w:t>
            </w:r>
          </w:p>
        </w:tc>
        <w:tc>
          <w:tcPr>
            <w:tcW w:w="1262" w:type="dxa"/>
            <w:shd w:val="clear" w:color="auto" w:fill="F2F2F2" w:themeFill="background1" w:themeFillShade="F2"/>
            <w:tcMar>
              <w:top w:w="29" w:type="dxa"/>
              <w:left w:w="0" w:type="dxa"/>
              <w:bottom w:w="29" w:type="dxa"/>
              <w:right w:w="0" w:type="dxa"/>
            </w:tcMar>
            <w:vAlign w:val="center"/>
            <w:hideMark/>
          </w:tcPr>
          <w:p w14:paraId="6C3DC3F7"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GE Energy</w:t>
            </w:r>
          </w:p>
        </w:tc>
        <w:tc>
          <w:tcPr>
            <w:tcW w:w="898" w:type="dxa"/>
            <w:shd w:val="clear" w:color="auto" w:fill="F2F2F2" w:themeFill="background1" w:themeFillShade="F2"/>
            <w:tcMar>
              <w:top w:w="29" w:type="dxa"/>
              <w:left w:w="0" w:type="dxa"/>
              <w:bottom w:w="29" w:type="dxa"/>
              <w:right w:w="0" w:type="dxa"/>
            </w:tcMar>
            <w:vAlign w:val="center"/>
            <w:hideMark/>
          </w:tcPr>
          <w:p w14:paraId="1893CE59"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7HA.02</w:t>
            </w:r>
          </w:p>
        </w:tc>
        <w:tc>
          <w:tcPr>
            <w:tcW w:w="1080" w:type="dxa"/>
            <w:shd w:val="clear" w:color="auto" w:fill="F2F2F2" w:themeFill="background1" w:themeFillShade="F2"/>
            <w:tcMar>
              <w:top w:w="29" w:type="dxa"/>
              <w:left w:w="0" w:type="dxa"/>
              <w:bottom w:w="29" w:type="dxa"/>
              <w:right w:w="0" w:type="dxa"/>
            </w:tcMar>
            <w:vAlign w:val="center"/>
            <w:hideMark/>
          </w:tcPr>
          <w:p w14:paraId="795FEA4B" w14:textId="25DD128A" w:rsidR="00444186" w:rsidRPr="001436DC" w:rsidRDefault="002B7AC5" w:rsidP="001436DC">
            <w:pPr>
              <w:jc w:val="center"/>
              <w:rPr>
                <w:rFonts w:ascii="Century Gothic" w:hAnsi="Century Gothic"/>
                <w:sz w:val="14"/>
                <w:szCs w:val="14"/>
              </w:rPr>
            </w:pPr>
            <w:r>
              <w:rPr>
                <w:rFonts w:ascii="Century Gothic" w:hAnsi="Century Gothic"/>
                <w:sz w:val="14"/>
                <w:szCs w:val="14"/>
              </w:rPr>
              <w:t>MA</w:t>
            </w:r>
          </w:p>
        </w:tc>
        <w:tc>
          <w:tcPr>
            <w:tcW w:w="1260" w:type="dxa"/>
            <w:shd w:val="clear" w:color="auto" w:fill="F2F2F2" w:themeFill="background1" w:themeFillShade="F2"/>
            <w:tcMar>
              <w:top w:w="29" w:type="dxa"/>
              <w:left w:w="0" w:type="dxa"/>
              <w:bottom w:w="29" w:type="dxa"/>
              <w:right w:w="0" w:type="dxa"/>
            </w:tcMar>
            <w:vAlign w:val="center"/>
            <w:hideMark/>
          </w:tcPr>
          <w:p w14:paraId="3F4A023F"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333</w:t>
            </w:r>
          </w:p>
        </w:tc>
        <w:tc>
          <w:tcPr>
            <w:tcW w:w="1440" w:type="dxa"/>
            <w:shd w:val="clear" w:color="auto" w:fill="F2F2F2" w:themeFill="background1" w:themeFillShade="F2"/>
            <w:tcMar>
              <w:top w:w="29" w:type="dxa"/>
              <w:left w:w="0" w:type="dxa"/>
              <w:bottom w:w="29" w:type="dxa"/>
              <w:right w:w="0" w:type="dxa"/>
            </w:tcMar>
            <w:vAlign w:val="center"/>
            <w:hideMark/>
          </w:tcPr>
          <w:p w14:paraId="1544EEDA"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Early Development</w:t>
            </w:r>
          </w:p>
        </w:tc>
      </w:tr>
      <w:tr w:rsidR="00444186" w:rsidRPr="003A4BBA" w14:paraId="3521892F" w14:textId="77777777" w:rsidTr="00444186">
        <w:trPr>
          <w:trHeight w:val="432"/>
        </w:trPr>
        <w:tc>
          <w:tcPr>
            <w:tcW w:w="1169" w:type="dxa"/>
            <w:tcMar>
              <w:top w:w="29" w:type="dxa"/>
              <w:left w:w="0" w:type="dxa"/>
              <w:bottom w:w="29" w:type="dxa"/>
              <w:right w:w="0" w:type="dxa"/>
            </w:tcMar>
            <w:vAlign w:val="center"/>
            <w:hideMark/>
          </w:tcPr>
          <w:p w14:paraId="5DF7CCD6" w14:textId="77777777" w:rsidR="00444186" w:rsidRPr="001436DC" w:rsidRDefault="00444186" w:rsidP="001436DC">
            <w:pPr>
              <w:jc w:val="left"/>
              <w:rPr>
                <w:rFonts w:ascii="Century Gothic" w:hAnsi="Century Gothic"/>
                <w:sz w:val="14"/>
                <w:szCs w:val="14"/>
              </w:rPr>
            </w:pPr>
            <w:r w:rsidRPr="001436DC">
              <w:rPr>
                <w:rFonts w:ascii="Century Gothic" w:hAnsi="Century Gothic"/>
                <w:sz w:val="14"/>
                <w:szCs w:val="14"/>
              </w:rPr>
              <w:t>Clear River Energy Center</w:t>
            </w:r>
          </w:p>
        </w:tc>
        <w:tc>
          <w:tcPr>
            <w:tcW w:w="1169" w:type="dxa"/>
            <w:tcMar>
              <w:top w:w="29" w:type="dxa"/>
              <w:left w:w="0" w:type="dxa"/>
              <w:bottom w:w="29" w:type="dxa"/>
              <w:right w:w="0" w:type="dxa"/>
            </w:tcMar>
            <w:vAlign w:val="center"/>
            <w:hideMark/>
          </w:tcPr>
          <w:p w14:paraId="175E58CE"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Combined Cycle</w:t>
            </w:r>
          </w:p>
        </w:tc>
        <w:tc>
          <w:tcPr>
            <w:tcW w:w="1077" w:type="dxa"/>
            <w:tcMar>
              <w:top w:w="29" w:type="dxa"/>
              <w:left w:w="0" w:type="dxa"/>
              <w:bottom w:w="29" w:type="dxa"/>
              <w:right w:w="0" w:type="dxa"/>
            </w:tcMar>
            <w:vAlign w:val="center"/>
            <w:hideMark/>
          </w:tcPr>
          <w:p w14:paraId="1C5E7150" w14:textId="5FE68D53" w:rsidR="00444186" w:rsidRPr="001436DC" w:rsidRDefault="00444186" w:rsidP="001436DC">
            <w:pPr>
              <w:jc w:val="center"/>
              <w:rPr>
                <w:rFonts w:ascii="Century Gothic" w:hAnsi="Century Gothic"/>
                <w:sz w:val="14"/>
                <w:szCs w:val="14"/>
              </w:rPr>
            </w:pPr>
            <w:r>
              <w:rPr>
                <w:rFonts w:ascii="Century Gothic" w:hAnsi="Century Gothic"/>
                <w:sz w:val="14"/>
                <w:szCs w:val="14"/>
              </w:rPr>
              <w:t>6-</w:t>
            </w:r>
            <w:r w:rsidRPr="001436DC">
              <w:rPr>
                <w:rFonts w:ascii="Century Gothic" w:hAnsi="Century Gothic"/>
                <w:sz w:val="14"/>
                <w:szCs w:val="14"/>
              </w:rPr>
              <w:t>2019</w:t>
            </w:r>
          </w:p>
        </w:tc>
        <w:tc>
          <w:tcPr>
            <w:tcW w:w="1262" w:type="dxa"/>
            <w:tcMar>
              <w:top w:w="29" w:type="dxa"/>
              <w:left w:w="0" w:type="dxa"/>
              <w:bottom w:w="29" w:type="dxa"/>
              <w:right w:w="0" w:type="dxa"/>
            </w:tcMar>
            <w:vAlign w:val="center"/>
            <w:hideMark/>
          </w:tcPr>
          <w:p w14:paraId="6E2DB91D"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Not announced</w:t>
            </w:r>
          </w:p>
        </w:tc>
        <w:tc>
          <w:tcPr>
            <w:tcW w:w="898" w:type="dxa"/>
            <w:tcMar>
              <w:top w:w="29" w:type="dxa"/>
              <w:left w:w="0" w:type="dxa"/>
              <w:bottom w:w="29" w:type="dxa"/>
              <w:right w:w="0" w:type="dxa"/>
            </w:tcMar>
            <w:vAlign w:val="center"/>
            <w:hideMark/>
          </w:tcPr>
          <w:p w14:paraId="6B23906F" w14:textId="42F4E1DD" w:rsidR="00444186" w:rsidRPr="001436DC" w:rsidRDefault="00444186" w:rsidP="001436DC">
            <w:pPr>
              <w:jc w:val="center"/>
              <w:rPr>
                <w:rFonts w:ascii="Century Gothic" w:hAnsi="Century Gothic"/>
                <w:sz w:val="14"/>
                <w:szCs w:val="14"/>
              </w:rPr>
            </w:pPr>
            <w:r>
              <w:rPr>
                <w:rFonts w:ascii="Century Gothic" w:hAnsi="Century Gothic"/>
                <w:sz w:val="14"/>
                <w:szCs w:val="14"/>
              </w:rPr>
              <w:t>TBD</w:t>
            </w:r>
            <w:r w:rsidRPr="001436DC">
              <w:rPr>
                <w:rFonts w:ascii="Century Gothic" w:hAnsi="Century Gothic"/>
                <w:sz w:val="14"/>
                <w:szCs w:val="14"/>
              </w:rPr>
              <w:t xml:space="preserve"> - G, H, or J Class</w:t>
            </w:r>
          </w:p>
        </w:tc>
        <w:tc>
          <w:tcPr>
            <w:tcW w:w="1080" w:type="dxa"/>
            <w:tcMar>
              <w:top w:w="29" w:type="dxa"/>
              <w:left w:w="0" w:type="dxa"/>
              <w:bottom w:w="29" w:type="dxa"/>
              <w:right w:w="0" w:type="dxa"/>
            </w:tcMar>
            <w:vAlign w:val="center"/>
            <w:hideMark/>
          </w:tcPr>
          <w:p w14:paraId="4E68D8C0" w14:textId="2D1CEC36" w:rsidR="00444186" w:rsidRPr="001436DC" w:rsidRDefault="002B7AC5" w:rsidP="001436DC">
            <w:pPr>
              <w:jc w:val="center"/>
              <w:rPr>
                <w:rFonts w:ascii="Century Gothic" w:hAnsi="Century Gothic"/>
                <w:sz w:val="14"/>
                <w:szCs w:val="14"/>
              </w:rPr>
            </w:pPr>
            <w:r>
              <w:rPr>
                <w:rFonts w:ascii="Century Gothic" w:hAnsi="Century Gothic"/>
                <w:sz w:val="14"/>
                <w:szCs w:val="14"/>
              </w:rPr>
              <w:t>RI</w:t>
            </w:r>
          </w:p>
        </w:tc>
        <w:tc>
          <w:tcPr>
            <w:tcW w:w="1260" w:type="dxa"/>
            <w:tcMar>
              <w:top w:w="29" w:type="dxa"/>
              <w:left w:w="0" w:type="dxa"/>
              <w:bottom w:w="29" w:type="dxa"/>
              <w:right w:w="0" w:type="dxa"/>
            </w:tcMar>
            <w:vAlign w:val="center"/>
            <w:hideMark/>
          </w:tcPr>
          <w:p w14:paraId="4866395A"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1000</w:t>
            </w:r>
          </w:p>
        </w:tc>
        <w:tc>
          <w:tcPr>
            <w:tcW w:w="1440" w:type="dxa"/>
            <w:tcMar>
              <w:top w:w="29" w:type="dxa"/>
              <w:left w:w="0" w:type="dxa"/>
              <w:bottom w:w="29" w:type="dxa"/>
              <w:right w:w="0" w:type="dxa"/>
            </w:tcMar>
            <w:vAlign w:val="center"/>
            <w:hideMark/>
          </w:tcPr>
          <w:p w14:paraId="14B31461" w14:textId="77777777" w:rsidR="00444186" w:rsidRPr="001436DC" w:rsidRDefault="00444186" w:rsidP="001436DC">
            <w:pPr>
              <w:jc w:val="center"/>
              <w:rPr>
                <w:rFonts w:ascii="Century Gothic" w:hAnsi="Century Gothic"/>
                <w:sz w:val="14"/>
                <w:szCs w:val="14"/>
              </w:rPr>
            </w:pPr>
            <w:r w:rsidRPr="001436DC">
              <w:rPr>
                <w:rFonts w:ascii="Century Gothic" w:hAnsi="Century Gothic"/>
                <w:sz w:val="14"/>
                <w:szCs w:val="14"/>
              </w:rPr>
              <w:t>Early Development</w:t>
            </w:r>
          </w:p>
        </w:tc>
      </w:tr>
    </w:tbl>
    <w:p w14:paraId="375B9359" w14:textId="4F05048E" w:rsidR="00101FA5" w:rsidRDefault="00101FA5" w:rsidP="00E173AA">
      <w:pPr>
        <w:keepNext/>
        <w:rPr>
          <w:rFonts w:cs="Times New Roman"/>
          <w:color w:val="000000"/>
        </w:rPr>
      </w:pPr>
    </w:p>
    <w:p w14:paraId="1631700F" w14:textId="499E904F" w:rsidR="00375E1F" w:rsidRDefault="00E173AA" w:rsidP="00DE76E9">
      <w:pPr>
        <w:rPr>
          <w:rFonts w:cs="Times New Roman"/>
          <w:color w:val="000000"/>
        </w:rPr>
      </w:pPr>
      <w:r w:rsidRPr="00375E1F">
        <w:rPr>
          <w:rFonts w:cs="Times New Roman"/>
          <w:color w:val="000000"/>
        </w:rPr>
        <w:t xml:space="preserve">The active participation of Simple Cycle GTs </w:t>
      </w:r>
      <w:r w:rsidR="00333532" w:rsidRPr="00375E1F">
        <w:rPr>
          <w:rFonts w:cs="Times New Roman"/>
          <w:color w:val="000000"/>
        </w:rPr>
        <w:t xml:space="preserve">in recent FCAs differs from </w:t>
      </w:r>
      <w:r w:rsidR="00101FA5" w:rsidRPr="00375E1F">
        <w:rPr>
          <w:rFonts w:cs="Times New Roman"/>
          <w:color w:val="000000"/>
        </w:rPr>
        <w:t>the</w:t>
      </w:r>
      <w:r w:rsidR="00333532" w:rsidRPr="00375E1F">
        <w:rPr>
          <w:rFonts w:cs="Times New Roman"/>
          <w:color w:val="000000"/>
        </w:rPr>
        <w:t xml:space="preserve"> situation </w:t>
      </w:r>
      <w:r w:rsidR="00867C2A" w:rsidRPr="00375E1F">
        <w:rPr>
          <w:rFonts w:cs="Times New Roman"/>
          <w:color w:val="000000"/>
        </w:rPr>
        <w:t>that existed when</w:t>
      </w:r>
      <w:r w:rsidR="00333532" w:rsidRPr="00375E1F">
        <w:rPr>
          <w:rFonts w:cs="Times New Roman"/>
          <w:color w:val="000000"/>
        </w:rPr>
        <w:t xml:space="preserve"> the </w:t>
      </w:r>
      <w:r w:rsidR="00101FA5" w:rsidRPr="00375E1F">
        <w:rPr>
          <w:rFonts w:cs="Times New Roman"/>
          <w:color w:val="000000"/>
        </w:rPr>
        <w:t xml:space="preserve">CONE/Net CONE study </w:t>
      </w:r>
      <w:r w:rsidR="00867C2A" w:rsidRPr="00375E1F">
        <w:rPr>
          <w:rFonts w:cs="Times New Roman"/>
          <w:color w:val="000000"/>
        </w:rPr>
        <w:t xml:space="preserve">was </w:t>
      </w:r>
      <w:r w:rsidR="00101FA5" w:rsidRPr="00375E1F">
        <w:rPr>
          <w:rFonts w:cs="Times New Roman"/>
          <w:color w:val="000000"/>
        </w:rPr>
        <w:t>conducted in 2014</w:t>
      </w:r>
      <w:r w:rsidR="003F3584" w:rsidRPr="00375E1F">
        <w:rPr>
          <w:rFonts w:cs="Times New Roman"/>
          <w:color w:val="000000"/>
        </w:rPr>
        <w:t>, where the</w:t>
      </w:r>
      <w:r w:rsidR="00C504D3" w:rsidRPr="00375E1F">
        <w:rPr>
          <w:rFonts w:cs="Times New Roman"/>
          <w:color w:val="000000"/>
        </w:rPr>
        <w:t xml:space="preserve"> </w:t>
      </w:r>
      <w:r w:rsidRPr="00375E1F">
        <w:rPr>
          <w:rFonts w:cs="Times New Roman"/>
          <w:color w:val="000000"/>
        </w:rPr>
        <w:t xml:space="preserve">Combined Cycle GT was the recommended reference technology because there </w:t>
      </w:r>
      <w:proofErr w:type="gramStart"/>
      <w:r w:rsidR="00101FA5" w:rsidRPr="00375E1F">
        <w:rPr>
          <w:rFonts w:cs="Times New Roman"/>
          <w:color w:val="000000"/>
        </w:rPr>
        <w:t>were</w:t>
      </w:r>
      <w:proofErr w:type="gramEnd"/>
      <w:r w:rsidR="00101FA5" w:rsidRPr="00375E1F">
        <w:rPr>
          <w:rFonts w:cs="Times New Roman"/>
          <w:color w:val="000000"/>
        </w:rPr>
        <w:t xml:space="preserve"> no Simple Cycle GTs proposed or participating in the FCM</w:t>
      </w:r>
      <w:r w:rsidR="00333532" w:rsidRPr="00375E1F">
        <w:rPr>
          <w:rFonts w:cs="Times New Roman"/>
          <w:color w:val="000000"/>
        </w:rPr>
        <w:t xml:space="preserve"> at that time</w:t>
      </w:r>
      <w:r w:rsidR="00101FA5" w:rsidRPr="00375E1F">
        <w:rPr>
          <w:rFonts w:cs="Times New Roman"/>
          <w:color w:val="000000"/>
        </w:rPr>
        <w:t xml:space="preserve">. </w:t>
      </w:r>
      <w:r w:rsidR="00375E1F">
        <w:rPr>
          <w:rFonts w:cs="Times New Roman"/>
          <w:color w:val="000000"/>
        </w:rPr>
        <w:t>Stakeholders</w:t>
      </w:r>
      <w:r w:rsidR="003F3584" w:rsidRPr="00375E1F">
        <w:rPr>
          <w:rFonts w:cs="Times New Roman"/>
          <w:color w:val="000000"/>
        </w:rPr>
        <w:t xml:space="preserve"> </w:t>
      </w:r>
      <w:r w:rsidR="00AA7699" w:rsidRPr="00375E1F">
        <w:rPr>
          <w:rFonts w:cs="Times New Roman"/>
          <w:color w:val="000000"/>
        </w:rPr>
        <w:t xml:space="preserve">expressed concern regarding </w:t>
      </w:r>
      <w:r w:rsidR="00AA7699" w:rsidRPr="00375E1F">
        <w:t xml:space="preserve">the use of the </w:t>
      </w:r>
      <w:r w:rsidR="002B7AC5">
        <w:t>Simple Cycle GT</w:t>
      </w:r>
      <w:r w:rsidR="00AA7699" w:rsidRPr="00375E1F">
        <w:t xml:space="preserve"> as the reference technology </w:t>
      </w:r>
      <w:r w:rsidR="00AA7699" w:rsidRPr="00375E1F">
        <w:rPr>
          <w:rFonts w:cs="Times New Roman"/>
          <w:color w:val="000000"/>
        </w:rPr>
        <w:t xml:space="preserve">and </w:t>
      </w:r>
      <w:r w:rsidR="008A6C1A" w:rsidRPr="00375E1F">
        <w:rPr>
          <w:rFonts w:cs="Times New Roman"/>
          <w:color w:val="000000"/>
        </w:rPr>
        <w:t>the non-line</w:t>
      </w:r>
      <w:r w:rsidR="00952AAC" w:rsidRPr="00375E1F">
        <w:rPr>
          <w:rFonts w:cs="Times New Roman"/>
          <w:color w:val="000000"/>
        </w:rPr>
        <w:t>a</w:t>
      </w:r>
      <w:r w:rsidR="008A6C1A" w:rsidRPr="00375E1F">
        <w:rPr>
          <w:rFonts w:cs="Times New Roman"/>
          <w:color w:val="000000"/>
        </w:rPr>
        <w:t xml:space="preserve">r </w:t>
      </w:r>
      <w:r w:rsidR="009E2921" w:rsidRPr="00375E1F">
        <w:rPr>
          <w:rFonts w:cs="Times New Roman"/>
          <w:color w:val="000000"/>
        </w:rPr>
        <w:t xml:space="preserve">reliability </w:t>
      </w:r>
      <w:r w:rsidR="008A6C1A" w:rsidRPr="00375E1F">
        <w:rPr>
          <w:rFonts w:cs="Times New Roman"/>
          <w:color w:val="000000"/>
        </w:rPr>
        <w:t xml:space="preserve">risk between understating </w:t>
      </w:r>
      <w:r w:rsidR="009E2921" w:rsidRPr="00375E1F">
        <w:rPr>
          <w:rFonts w:cs="Times New Roman"/>
          <w:color w:val="000000"/>
        </w:rPr>
        <w:t xml:space="preserve">and overstating </w:t>
      </w:r>
      <w:r w:rsidR="008A6C1A" w:rsidRPr="00375E1F">
        <w:rPr>
          <w:rFonts w:cs="Times New Roman"/>
          <w:color w:val="000000"/>
        </w:rPr>
        <w:t>Net CONE</w:t>
      </w:r>
      <w:r w:rsidR="00375E1F">
        <w:rPr>
          <w:rFonts w:cs="Times New Roman"/>
          <w:color w:val="000000"/>
        </w:rPr>
        <w:t xml:space="preserve"> under the current demand curve design.</w:t>
      </w:r>
      <w:r w:rsidR="009E2921" w:rsidRPr="00375E1F">
        <w:rPr>
          <w:rFonts w:cs="Times New Roman"/>
          <w:color w:val="000000"/>
        </w:rPr>
        <w:t xml:space="preserve"> </w:t>
      </w:r>
      <w:r w:rsidR="00947A63">
        <w:rPr>
          <w:rFonts w:cs="Times New Roman"/>
          <w:color w:val="000000"/>
        </w:rPr>
        <w:t xml:space="preserve">Setting aside the fact that the new zonal demand curves mitigate these concerns, our mandate for this CONE/Net CONE study was to evaluate the </w:t>
      </w:r>
      <w:r w:rsidR="00947A63" w:rsidRPr="00EB09E1">
        <w:rPr>
          <w:rFonts w:cs="Times New Roman"/>
          <w:color w:val="000000"/>
        </w:rPr>
        <w:t xml:space="preserve">compensation a </w:t>
      </w:r>
      <w:r w:rsidR="00947A63">
        <w:rPr>
          <w:rFonts w:cs="Times New Roman"/>
          <w:color w:val="000000"/>
        </w:rPr>
        <w:t xml:space="preserve">hypothetical </w:t>
      </w:r>
      <w:r w:rsidR="00947A63" w:rsidRPr="00EB09E1">
        <w:rPr>
          <w:rFonts w:cs="Times New Roman"/>
          <w:color w:val="000000"/>
        </w:rPr>
        <w:t xml:space="preserve">new entrant would need </w:t>
      </w:r>
      <w:r w:rsidR="00947A63">
        <w:rPr>
          <w:rFonts w:cs="Times New Roman"/>
          <w:color w:val="000000"/>
        </w:rPr>
        <w:t>under long-term equilibrium conditions to enter the market</w:t>
      </w:r>
      <w:r w:rsidR="00947A63" w:rsidRPr="00EB09E1">
        <w:rPr>
          <w:rFonts w:cs="Times New Roman"/>
          <w:color w:val="000000"/>
        </w:rPr>
        <w:t xml:space="preserve">, </w:t>
      </w:r>
      <w:r w:rsidR="00947A63">
        <w:rPr>
          <w:rFonts w:cs="Times New Roman"/>
          <w:color w:val="000000"/>
        </w:rPr>
        <w:t>and recommend the new entrant reference technology.</w:t>
      </w:r>
    </w:p>
    <w:p w14:paraId="7BA38D97" w14:textId="6162BBC0" w:rsidR="000E7470" w:rsidRDefault="00E173AA" w:rsidP="000E7470">
      <w:pPr>
        <w:rPr>
          <w:rFonts w:cs="Times New Roman"/>
        </w:rPr>
      </w:pPr>
      <w:r>
        <w:rPr>
          <w:rFonts w:cs="Times New Roman"/>
          <w:color w:val="000000"/>
        </w:rPr>
        <w:t>G</w:t>
      </w:r>
      <w:r w:rsidRPr="00403873">
        <w:rPr>
          <w:rFonts w:cs="Times New Roman"/>
          <w:color w:val="000000"/>
        </w:rPr>
        <w:t>iven that the market has revealed tha</w:t>
      </w:r>
      <w:r w:rsidR="006C0684">
        <w:rPr>
          <w:rFonts w:cs="Times New Roman"/>
          <w:color w:val="000000"/>
        </w:rPr>
        <w:t xml:space="preserve">t the </w:t>
      </w:r>
      <w:r>
        <w:rPr>
          <w:rFonts w:cs="Times New Roman"/>
          <w:color w:val="000000"/>
        </w:rPr>
        <w:t>simple cycle technology is a c</w:t>
      </w:r>
      <w:r w:rsidRPr="00403873">
        <w:rPr>
          <w:rFonts w:cs="Times New Roman"/>
          <w:color w:val="000000"/>
        </w:rPr>
        <w:t>ost-effective technology</w:t>
      </w:r>
      <w:r>
        <w:rPr>
          <w:rFonts w:cs="Times New Roman"/>
          <w:color w:val="000000"/>
        </w:rPr>
        <w:t xml:space="preserve"> that has gained commercial </w:t>
      </w:r>
      <w:r w:rsidRPr="00403873">
        <w:rPr>
          <w:rFonts w:cs="Times New Roman"/>
          <w:color w:val="000000"/>
        </w:rPr>
        <w:t xml:space="preserve">acceptance </w:t>
      </w:r>
      <w:r>
        <w:rPr>
          <w:rFonts w:cs="Times New Roman"/>
          <w:color w:val="000000"/>
        </w:rPr>
        <w:t xml:space="preserve">and is </w:t>
      </w:r>
      <w:r w:rsidRPr="00403873">
        <w:rPr>
          <w:rFonts w:cs="Times New Roman"/>
          <w:color w:val="000000"/>
        </w:rPr>
        <w:t>econom</w:t>
      </w:r>
      <w:r>
        <w:rPr>
          <w:rFonts w:cs="Times New Roman"/>
          <w:color w:val="000000"/>
        </w:rPr>
        <w:t xml:space="preserve">ically viable in New England, we believe that the </w:t>
      </w:r>
      <w:r w:rsidR="00101FA5">
        <w:rPr>
          <w:rFonts w:cs="Times New Roman"/>
          <w:color w:val="000000"/>
        </w:rPr>
        <w:t xml:space="preserve">Simple Cycle GT </w:t>
      </w:r>
      <w:r w:rsidR="00403873" w:rsidRPr="00403873">
        <w:rPr>
          <w:rFonts w:cs="Times New Roman"/>
          <w:color w:val="000000"/>
        </w:rPr>
        <w:t>appropriately balances</w:t>
      </w:r>
      <w:r w:rsidR="006C0684">
        <w:rPr>
          <w:rFonts w:cs="Times New Roman"/>
          <w:color w:val="000000"/>
        </w:rPr>
        <w:t xml:space="preserve"> relevant</w:t>
      </w:r>
      <w:r w:rsidR="00403873">
        <w:rPr>
          <w:rFonts w:cs="Times New Roman"/>
          <w:color w:val="000000"/>
        </w:rPr>
        <w:t xml:space="preserve"> considerations – </w:t>
      </w:r>
      <w:r w:rsidR="00333532">
        <w:rPr>
          <w:rFonts w:cs="Times New Roman"/>
          <w:color w:val="000000"/>
        </w:rPr>
        <w:t xml:space="preserve">it is </w:t>
      </w:r>
      <w:r w:rsidR="00333532" w:rsidRPr="00403873">
        <w:rPr>
          <w:rFonts w:cs="Times New Roman"/>
          <w:color w:val="000000"/>
        </w:rPr>
        <w:t xml:space="preserve">the most economic </w:t>
      </w:r>
      <w:r w:rsidR="002B7AC5">
        <w:rPr>
          <w:rFonts w:cs="Times New Roman"/>
          <w:color w:val="000000"/>
        </w:rPr>
        <w:t xml:space="preserve">and </w:t>
      </w:r>
      <w:r w:rsidR="00333532" w:rsidRPr="00403873">
        <w:rPr>
          <w:rFonts w:cs="Times New Roman"/>
          <w:color w:val="000000"/>
        </w:rPr>
        <w:t>proven technology that was evaluate</w:t>
      </w:r>
      <w:r w:rsidR="00333532">
        <w:rPr>
          <w:rFonts w:cs="Times New Roman"/>
          <w:color w:val="000000"/>
        </w:rPr>
        <w:t xml:space="preserve">d, and is </w:t>
      </w:r>
      <w:r w:rsidR="00333532" w:rsidRPr="00403873">
        <w:rPr>
          <w:rFonts w:cs="Times New Roman"/>
          <w:color w:val="000000"/>
        </w:rPr>
        <w:t>ac</w:t>
      </w:r>
      <w:r w:rsidR="00333532">
        <w:rPr>
          <w:rFonts w:cs="Times New Roman"/>
          <w:color w:val="000000"/>
        </w:rPr>
        <w:t xml:space="preserve">tively being developed in the </w:t>
      </w:r>
      <w:r w:rsidR="00333532" w:rsidRPr="00403873">
        <w:rPr>
          <w:rFonts w:cs="Times New Roman"/>
          <w:color w:val="000000"/>
        </w:rPr>
        <w:t xml:space="preserve">region.   </w:t>
      </w:r>
      <w:r w:rsidR="000E7470" w:rsidRPr="00E173AA">
        <w:rPr>
          <w:rFonts w:cs="Times New Roman"/>
        </w:rPr>
        <w:t xml:space="preserve">The results of our CONE/Net CONE analysis and ORTP analysis are shown in </w:t>
      </w:r>
      <w:r w:rsidR="00B76365" w:rsidRPr="004E5448">
        <w:rPr>
          <w:rFonts w:cs="Times New Roman"/>
        </w:rPr>
        <w:fldChar w:fldCharType="begin"/>
      </w:r>
      <w:r w:rsidR="00B76365" w:rsidRPr="004E5448">
        <w:rPr>
          <w:rFonts w:cs="Times New Roman"/>
        </w:rPr>
        <w:instrText xml:space="preserve"> REF _Ref462596476 \h </w:instrText>
      </w:r>
      <w:r w:rsidR="004E5448">
        <w:rPr>
          <w:rFonts w:cs="Times New Roman"/>
        </w:rPr>
        <w:instrText xml:space="preserve"> \* MERGEFORMAT </w:instrText>
      </w:r>
      <w:r w:rsidR="00B76365" w:rsidRPr="004E5448">
        <w:rPr>
          <w:rFonts w:cs="Times New Roman"/>
        </w:rPr>
      </w:r>
      <w:r w:rsidR="00B76365" w:rsidRPr="004E5448">
        <w:rPr>
          <w:rFonts w:cs="Times New Roman"/>
        </w:rPr>
        <w:fldChar w:fldCharType="end"/>
      </w:r>
      <w:r w:rsidR="00B76365">
        <w:rPr>
          <w:rFonts w:cs="Times New Roman"/>
        </w:rPr>
        <w:t xml:space="preserve"> </w:t>
      </w:r>
      <w:r w:rsidR="00210BEC">
        <w:rPr>
          <w:rFonts w:cs="Times New Roman"/>
        </w:rPr>
        <w:t>Table 2.</w:t>
      </w:r>
    </w:p>
    <w:p w14:paraId="138A5C13" w14:textId="77777777" w:rsidR="009D2CDD" w:rsidRDefault="009D2CDD">
      <w:pPr>
        <w:spacing w:after="160" w:line="259" w:lineRule="auto"/>
        <w:jc w:val="left"/>
        <w:rPr>
          <w:rFonts w:cs="Times New Roman"/>
          <w:b/>
          <w:iCs/>
          <w:szCs w:val="18"/>
        </w:rPr>
      </w:pPr>
      <w:bookmarkStart w:id="6" w:name="_Ref462596476"/>
      <w:r>
        <w:br w:type="page"/>
      </w:r>
    </w:p>
    <w:p w14:paraId="32F058E9" w14:textId="0DC39A53" w:rsidR="00B03793" w:rsidRDefault="00B15404" w:rsidP="009E6AC8">
      <w:pPr>
        <w:pStyle w:val="Caption"/>
      </w:pPr>
      <w:bookmarkStart w:id="7" w:name="_Toc465433427"/>
      <w:r>
        <w:lastRenderedPageBreak/>
        <w:t xml:space="preserve">Table </w:t>
      </w:r>
      <w:r w:rsidR="0046643C">
        <w:rPr>
          <w:smallCaps/>
        </w:rPr>
        <w:fldChar w:fldCharType="begin"/>
      </w:r>
      <w:r w:rsidR="0046643C">
        <w:rPr>
          <w:smallCaps/>
        </w:rPr>
        <w:instrText xml:space="preserve"> SEQ Table \* ARABIC </w:instrText>
      </w:r>
      <w:r w:rsidR="0046643C">
        <w:rPr>
          <w:smallCaps/>
        </w:rPr>
        <w:fldChar w:fldCharType="separate"/>
      </w:r>
      <w:r w:rsidR="000637A3">
        <w:rPr>
          <w:smallCaps/>
          <w:noProof/>
        </w:rPr>
        <w:t>2</w:t>
      </w:r>
      <w:r w:rsidR="0046643C">
        <w:rPr>
          <w:smallCaps/>
          <w:noProof/>
        </w:rPr>
        <w:fldChar w:fldCharType="end"/>
      </w:r>
      <w:bookmarkEnd w:id="6"/>
      <w:r>
        <w:t>:</w:t>
      </w:r>
      <w:r w:rsidR="00B76365">
        <w:t xml:space="preserve"> </w:t>
      </w:r>
      <w:r w:rsidR="000E7470" w:rsidRPr="00B15404">
        <w:t xml:space="preserve">Net CONE </w:t>
      </w:r>
      <w:r w:rsidR="00CD28F5" w:rsidRPr="00B15404">
        <w:t>Summary f</w:t>
      </w:r>
      <w:r w:rsidR="000E7470" w:rsidRPr="00B15404">
        <w:t>or Candidate Reference Technologies (2021$)</w:t>
      </w:r>
      <w:bookmarkEnd w:id="7"/>
      <w:r w:rsidR="0083367D" w:rsidRPr="0083367D">
        <w:t xml:space="preserve"> </w:t>
      </w:r>
    </w:p>
    <w:p w14:paraId="24EEA3C9" w14:textId="37CD6764" w:rsidR="000E7470" w:rsidRDefault="0083090C" w:rsidP="008E234D">
      <w:pPr>
        <w:ind w:hanging="180"/>
        <w:jc w:val="center"/>
        <w:rPr>
          <w:rFonts w:cs="Times New Roman"/>
        </w:rPr>
      </w:pPr>
      <w:r w:rsidRPr="0083090C">
        <w:rPr>
          <w:noProof/>
        </w:rPr>
        <w:drawing>
          <wp:inline distT="0" distB="0" distL="0" distR="0" wp14:anchorId="424ADFC2" wp14:editId="05B89C6D">
            <wp:extent cx="5941060" cy="11715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739" cy="1173089"/>
                    </a:xfrm>
                    <a:prstGeom prst="rect">
                      <a:avLst/>
                    </a:prstGeom>
                    <a:noFill/>
                    <a:ln>
                      <a:noFill/>
                    </a:ln>
                  </pic:spPr>
                </pic:pic>
              </a:graphicData>
            </a:graphic>
          </wp:inline>
        </w:drawing>
      </w:r>
    </w:p>
    <w:p w14:paraId="18F11D3D" w14:textId="77777777" w:rsidR="0083090C" w:rsidRDefault="0083090C" w:rsidP="008E234D">
      <w:pPr>
        <w:ind w:hanging="180"/>
        <w:jc w:val="center"/>
        <w:rPr>
          <w:rFonts w:cs="Times New Roman"/>
        </w:rPr>
      </w:pPr>
    </w:p>
    <w:p w14:paraId="424BE1F6" w14:textId="31CBC9AF" w:rsidR="00E173AA" w:rsidRDefault="000E7470" w:rsidP="000A767D">
      <w:pPr>
        <w:rPr>
          <w:rFonts w:cs="Times New Roman"/>
          <w:color w:val="000000"/>
        </w:rPr>
      </w:pPr>
      <w:r>
        <w:rPr>
          <w:rFonts w:cs="Times New Roman"/>
          <w:color w:val="000000"/>
        </w:rPr>
        <w:t xml:space="preserve">Similarly, we have conducted an evaluation of resources that have or are expected to participate in the FCM and have an ORTP above the expected auction starting price.  Based on the CONE/Net CONE analysis for the </w:t>
      </w:r>
      <w:r w:rsidR="002B7AC5">
        <w:rPr>
          <w:rFonts w:cs="Times New Roman"/>
          <w:color w:val="000000"/>
        </w:rPr>
        <w:t xml:space="preserve">simple cycle and combined cycle </w:t>
      </w:r>
      <w:r>
        <w:rPr>
          <w:rFonts w:cs="Times New Roman"/>
          <w:color w:val="000000"/>
        </w:rPr>
        <w:t>gas turbines with appropriate modifications to assumptions to reflect the low end of the competitive range, and a detailed analysis of other re</w:t>
      </w:r>
      <w:r w:rsidRPr="005C6359">
        <w:rPr>
          <w:rFonts w:cs="Times New Roman"/>
          <w:color w:val="000000"/>
        </w:rPr>
        <w:t>source</w:t>
      </w:r>
      <w:r w:rsidR="00DF5075" w:rsidRPr="005C6359">
        <w:rPr>
          <w:rFonts w:cs="Times New Roman"/>
          <w:color w:val="000000"/>
        </w:rPr>
        <w:t>s</w:t>
      </w:r>
      <w:r>
        <w:rPr>
          <w:rFonts w:cs="Times New Roman"/>
          <w:color w:val="000000"/>
        </w:rPr>
        <w:t xml:space="preserve"> meeting the stated screening criteria, we recommend </w:t>
      </w:r>
      <w:r w:rsidR="002B7AC5">
        <w:rPr>
          <w:rFonts w:cs="Times New Roman"/>
          <w:color w:val="000000"/>
        </w:rPr>
        <w:t xml:space="preserve">the </w:t>
      </w:r>
      <w:r>
        <w:rPr>
          <w:rFonts w:cs="Times New Roman"/>
          <w:color w:val="000000"/>
        </w:rPr>
        <w:t>resource spec</w:t>
      </w:r>
      <w:r w:rsidR="00F26797">
        <w:rPr>
          <w:rFonts w:cs="Times New Roman"/>
          <w:color w:val="000000"/>
        </w:rPr>
        <w:t xml:space="preserve">ific ORTPs shown in </w:t>
      </w:r>
      <w:r w:rsidR="00F26797" w:rsidRPr="004E5448">
        <w:rPr>
          <w:rFonts w:cs="Times New Roman"/>
          <w:color w:val="000000"/>
        </w:rPr>
        <w:fldChar w:fldCharType="begin"/>
      </w:r>
      <w:r w:rsidR="00F26797" w:rsidRPr="004E5448">
        <w:rPr>
          <w:rFonts w:cs="Times New Roman"/>
          <w:color w:val="000000"/>
        </w:rPr>
        <w:instrText xml:space="preserve"> REF _Ref462596608 \h </w:instrText>
      </w:r>
      <w:r w:rsidR="004E5448">
        <w:rPr>
          <w:rFonts w:cs="Times New Roman"/>
          <w:color w:val="000000"/>
        </w:rPr>
        <w:instrText xml:space="preserve"> \* MERGEFORMAT </w:instrText>
      </w:r>
      <w:r w:rsidR="00F26797" w:rsidRPr="004E5448">
        <w:rPr>
          <w:rFonts w:cs="Times New Roman"/>
          <w:color w:val="000000"/>
        </w:rPr>
      </w:r>
      <w:r w:rsidR="00F26797" w:rsidRPr="004E5448">
        <w:rPr>
          <w:rFonts w:cs="Times New Roman"/>
          <w:color w:val="000000"/>
        </w:rPr>
        <w:fldChar w:fldCharType="separate"/>
      </w:r>
      <w:r w:rsidR="006E2301" w:rsidRPr="0073024E">
        <w:rPr>
          <w:rFonts w:cs="Times New Roman"/>
        </w:rPr>
        <w:t xml:space="preserve">Table </w:t>
      </w:r>
      <w:r w:rsidR="006E2301" w:rsidRPr="001436DC">
        <w:rPr>
          <w:rFonts w:cs="Times New Roman"/>
          <w:noProof/>
        </w:rPr>
        <w:t>3</w:t>
      </w:r>
      <w:r w:rsidR="00F26797" w:rsidRPr="004E5448">
        <w:rPr>
          <w:rFonts w:cs="Times New Roman"/>
          <w:color w:val="000000"/>
        </w:rPr>
        <w:fldChar w:fldCharType="end"/>
      </w:r>
      <w:r w:rsidR="00F26797">
        <w:rPr>
          <w:rFonts w:cs="Times New Roman"/>
          <w:color w:val="000000"/>
        </w:rPr>
        <w:t xml:space="preserve"> </w:t>
      </w:r>
      <w:r w:rsidR="00CD28F5">
        <w:rPr>
          <w:rFonts w:cs="Times New Roman"/>
          <w:color w:val="000000"/>
        </w:rPr>
        <w:t>below.</w:t>
      </w:r>
    </w:p>
    <w:p w14:paraId="13F6C905" w14:textId="7BB482D1" w:rsidR="009D2CDD" w:rsidRDefault="000D3AC2" w:rsidP="00D2628D">
      <w:pPr>
        <w:pStyle w:val="Caption"/>
      </w:pPr>
      <w:bookmarkStart w:id="8" w:name="_Ref462596608"/>
      <w:bookmarkStart w:id="9" w:name="_Toc465433428"/>
      <w:r>
        <w:t xml:space="preserve">Table </w:t>
      </w:r>
      <w:r w:rsidR="0046643C">
        <w:rPr>
          <w:smallCaps/>
        </w:rPr>
        <w:fldChar w:fldCharType="begin"/>
      </w:r>
      <w:r w:rsidR="0046643C">
        <w:rPr>
          <w:smallCaps/>
        </w:rPr>
        <w:instrText xml:space="preserve"> SEQ Table \* ARABIC </w:instrText>
      </w:r>
      <w:r w:rsidR="0046643C">
        <w:rPr>
          <w:smallCaps/>
        </w:rPr>
        <w:fldChar w:fldCharType="separate"/>
      </w:r>
      <w:r w:rsidR="000637A3">
        <w:rPr>
          <w:smallCaps/>
          <w:noProof/>
        </w:rPr>
        <w:t>3</w:t>
      </w:r>
      <w:r w:rsidR="0046643C">
        <w:rPr>
          <w:smallCaps/>
          <w:noProof/>
        </w:rPr>
        <w:fldChar w:fldCharType="end"/>
      </w:r>
      <w:bookmarkEnd w:id="8"/>
      <w:r w:rsidRPr="000D3AC2">
        <w:t xml:space="preserve">: </w:t>
      </w:r>
      <w:r w:rsidR="00CD28F5" w:rsidRPr="000D3AC2">
        <w:t>ORTP Summary for Specific Resources (2021$)</w:t>
      </w:r>
      <w:bookmarkEnd w:id="9"/>
    </w:p>
    <w:p w14:paraId="0604AF29" w14:textId="780EB8F5" w:rsidR="00210BEC" w:rsidRDefault="00806D91" w:rsidP="00806D91">
      <w:pPr>
        <w:pStyle w:val="Caption"/>
      </w:pPr>
      <w:r w:rsidRPr="00806D91">
        <w:rPr>
          <w:noProof/>
        </w:rPr>
        <w:drawing>
          <wp:inline distT="0" distB="0" distL="0" distR="0" wp14:anchorId="5DFD353E" wp14:editId="53A84EC4">
            <wp:extent cx="5972175" cy="159940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8816" cy="1609215"/>
                    </a:xfrm>
                    <a:prstGeom prst="rect">
                      <a:avLst/>
                    </a:prstGeom>
                    <a:noFill/>
                    <a:ln>
                      <a:noFill/>
                    </a:ln>
                  </pic:spPr>
                </pic:pic>
              </a:graphicData>
            </a:graphic>
          </wp:inline>
        </w:drawing>
      </w:r>
    </w:p>
    <w:p w14:paraId="7C616C9C" w14:textId="54510615" w:rsidR="00210BEC" w:rsidRDefault="00210BEC" w:rsidP="001436DC"/>
    <w:p w14:paraId="6F052007" w14:textId="450F5E18" w:rsidR="00210BEC" w:rsidRDefault="00210BEC" w:rsidP="00210BEC">
      <w:pPr>
        <w:jc w:val="center"/>
        <w:rPr>
          <w:rFonts w:cs="Times New Roman"/>
          <w:color w:val="000000"/>
        </w:rPr>
      </w:pPr>
    </w:p>
    <w:p w14:paraId="4363454C" w14:textId="77777777" w:rsidR="00210BEC" w:rsidRPr="00210BEC" w:rsidRDefault="00210BEC" w:rsidP="001436DC"/>
    <w:p w14:paraId="2D6D8481" w14:textId="77777777" w:rsidR="00210BEC" w:rsidRDefault="00210BEC" w:rsidP="00D2628D">
      <w:pPr>
        <w:pStyle w:val="Caption"/>
      </w:pPr>
    </w:p>
    <w:p w14:paraId="350AC30F" w14:textId="77777777" w:rsidR="00210BEC" w:rsidRDefault="00210BEC" w:rsidP="00D2628D">
      <w:pPr>
        <w:pStyle w:val="Caption"/>
      </w:pPr>
    </w:p>
    <w:p w14:paraId="0867CFDF" w14:textId="77777777" w:rsidR="00210BEC" w:rsidRDefault="00210BEC" w:rsidP="00D2628D">
      <w:pPr>
        <w:pStyle w:val="Caption"/>
      </w:pPr>
    </w:p>
    <w:p w14:paraId="3A878EE0" w14:textId="77777777" w:rsidR="00210BEC" w:rsidRDefault="00210BEC" w:rsidP="00D2628D">
      <w:pPr>
        <w:pStyle w:val="Caption"/>
      </w:pPr>
    </w:p>
    <w:p w14:paraId="6CD95483" w14:textId="412BE6EB" w:rsidR="003A4D6D" w:rsidRDefault="003A4D6D" w:rsidP="00D2628D">
      <w:pPr>
        <w:pStyle w:val="Caption"/>
        <w:rPr>
          <w:color w:val="000000"/>
        </w:rPr>
        <w:sectPr w:rsidR="003A4D6D" w:rsidSect="001E5686">
          <w:headerReference w:type="even" r:id="rId19"/>
          <w:type w:val="continuous"/>
          <w:pgSz w:w="12240" w:h="15840" w:code="1"/>
          <w:pgMar w:top="1440" w:right="1440" w:bottom="1440" w:left="1440" w:header="720" w:footer="720" w:gutter="0"/>
          <w:cols w:space="720"/>
          <w:docGrid w:linePitch="360"/>
        </w:sectPr>
      </w:pPr>
    </w:p>
    <w:p w14:paraId="2D4E0A88" w14:textId="0B007023" w:rsidR="00792D23" w:rsidRPr="0025706A" w:rsidRDefault="00792D23" w:rsidP="00012F91">
      <w:pPr>
        <w:pStyle w:val="Header1"/>
        <w:jc w:val="left"/>
      </w:pPr>
      <w:bookmarkStart w:id="10" w:name="_Toc468288304"/>
      <w:r w:rsidRPr="0025706A">
        <w:lastRenderedPageBreak/>
        <w:t xml:space="preserve">Section </w:t>
      </w:r>
      <w:r>
        <w:t>2</w:t>
      </w:r>
      <w:proofErr w:type="gramStart"/>
      <w:r w:rsidRPr="0025706A">
        <w:t>:</w:t>
      </w:r>
      <w:proofErr w:type="gramEnd"/>
      <w:r w:rsidRPr="0025706A">
        <w:br/>
      </w:r>
      <w:r w:rsidR="00952AAC">
        <w:rPr>
          <w:sz w:val="32"/>
        </w:rPr>
        <w:t>I</w:t>
      </w:r>
      <w:r w:rsidR="00952AAC" w:rsidRPr="0011789B">
        <w:rPr>
          <w:sz w:val="32"/>
        </w:rPr>
        <w:t>ntroduction</w:t>
      </w:r>
      <w:bookmarkEnd w:id="10"/>
    </w:p>
    <w:p w14:paraId="25F6C3C6" w14:textId="77777777" w:rsidR="00386C57" w:rsidRDefault="00386C57" w:rsidP="00456566">
      <w:pPr>
        <w:pStyle w:val="Heading2"/>
      </w:pPr>
      <w:bookmarkStart w:id="11" w:name="_Toc468288305"/>
      <w:r w:rsidRPr="00F667F6">
        <w:t>Background</w:t>
      </w:r>
      <w:bookmarkEnd w:id="11"/>
    </w:p>
    <w:p w14:paraId="06C13788" w14:textId="4C468C07" w:rsidR="00386C57" w:rsidRPr="004200EE" w:rsidRDefault="00386C57" w:rsidP="004200EE">
      <w:pPr>
        <w:rPr>
          <w:rFonts w:cs="Times New Roman"/>
        </w:rPr>
      </w:pPr>
      <w:r w:rsidRPr="004200EE">
        <w:rPr>
          <w:rFonts w:cs="Times New Roman"/>
        </w:rPr>
        <w:t xml:space="preserve">ISO-NE ensures that sufficient resources are available to meet future demand for electricity through a </w:t>
      </w:r>
      <w:r w:rsidR="006C0684">
        <w:rPr>
          <w:rFonts w:cs="Times New Roman"/>
        </w:rPr>
        <w:t xml:space="preserve">capacity market mechanism.  The </w:t>
      </w:r>
      <w:r w:rsidRPr="004200EE">
        <w:rPr>
          <w:rFonts w:cs="Times New Roman"/>
        </w:rPr>
        <w:t>FCM is a long</w:t>
      </w:r>
      <w:r w:rsidR="00CC18E7">
        <w:rPr>
          <w:rFonts w:cs="Times New Roman"/>
        </w:rPr>
        <w:t>-</w:t>
      </w:r>
      <w:r w:rsidRPr="004200EE">
        <w:rPr>
          <w:rFonts w:cs="Times New Roman"/>
        </w:rPr>
        <w:t>term market that assures resource adequacy, locally and system-wide</w:t>
      </w:r>
      <w:r w:rsidR="006C0684">
        <w:rPr>
          <w:rFonts w:cs="Times New Roman"/>
        </w:rPr>
        <w:t xml:space="preserve">, and </w:t>
      </w:r>
      <w:r w:rsidRPr="004200EE">
        <w:rPr>
          <w:rFonts w:cs="Times New Roman"/>
        </w:rPr>
        <w:t>is designed to promote economic investment in new and existing supply and demand resources where and when they are needed.  Under this mark</w:t>
      </w:r>
      <w:r w:rsidR="006C0684">
        <w:rPr>
          <w:rFonts w:cs="Times New Roman"/>
        </w:rPr>
        <w:t xml:space="preserve">et design, auctions </w:t>
      </w:r>
      <w:r w:rsidRPr="004200EE">
        <w:rPr>
          <w:rFonts w:cs="Times New Roman"/>
        </w:rPr>
        <w:t>are held annu</w:t>
      </w:r>
      <w:r w:rsidR="006C0684">
        <w:rPr>
          <w:rFonts w:cs="Times New Roman"/>
        </w:rPr>
        <w:t xml:space="preserve">ally, three years ahead of the </w:t>
      </w:r>
      <w:r w:rsidR="00333532">
        <w:rPr>
          <w:rFonts w:cs="Times New Roman"/>
        </w:rPr>
        <w:t xml:space="preserve">Capacity </w:t>
      </w:r>
      <w:r w:rsidR="006C0684">
        <w:rPr>
          <w:rFonts w:cs="Times New Roman"/>
        </w:rPr>
        <w:t>Commitment P</w:t>
      </w:r>
      <w:r w:rsidRPr="004200EE">
        <w:rPr>
          <w:rFonts w:cs="Times New Roman"/>
        </w:rPr>
        <w:t>eriod</w:t>
      </w:r>
      <w:r w:rsidR="006C0684">
        <w:rPr>
          <w:rFonts w:cs="Times New Roman"/>
        </w:rPr>
        <w:t xml:space="preserve"> (June 1, XX to May 31, XX+1)</w:t>
      </w:r>
      <w:r w:rsidRPr="004200EE">
        <w:rPr>
          <w:rFonts w:cs="Times New Roman"/>
        </w:rPr>
        <w:t xml:space="preserve">, which is intended to provide for a planning period for new entry to allow potential new capacity to compete in the auctions.  The </w:t>
      </w:r>
      <w:r w:rsidR="00CC18E7">
        <w:rPr>
          <w:rFonts w:cs="Times New Roman"/>
        </w:rPr>
        <w:t xml:space="preserve">Capacity </w:t>
      </w:r>
      <w:r w:rsidR="006C0684">
        <w:rPr>
          <w:rFonts w:cs="Times New Roman"/>
        </w:rPr>
        <w:t>Commitment P</w:t>
      </w:r>
      <w:r w:rsidRPr="004200EE">
        <w:rPr>
          <w:rFonts w:cs="Times New Roman"/>
        </w:rPr>
        <w:t xml:space="preserve">eriod is a year-long period that corresponds to the ISO-NE power year.  Thus, sellers commit to provide capacity for one year—for example, June 1, 2021 to May 31, 2022—three-plus years in advance </w:t>
      </w:r>
      <w:r w:rsidR="006C0684">
        <w:rPr>
          <w:rFonts w:cs="Times New Roman"/>
        </w:rPr>
        <w:t xml:space="preserve">of the </w:t>
      </w:r>
      <w:r w:rsidR="00CC18E7">
        <w:rPr>
          <w:rFonts w:cs="Times New Roman"/>
        </w:rPr>
        <w:t xml:space="preserve">Capacity </w:t>
      </w:r>
      <w:r w:rsidR="006C0684">
        <w:rPr>
          <w:rFonts w:cs="Times New Roman"/>
        </w:rPr>
        <w:t>Commitment P</w:t>
      </w:r>
      <w:r w:rsidRPr="004200EE">
        <w:rPr>
          <w:rFonts w:cs="Times New Roman"/>
        </w:rPr>
        <w:t xml:space="preserve">eriod.  </w:t>
      </w:r>
    </w:p>
    <w:p w14:paraId="3D7C2384" w14:textId="40F3A552" w:rsidR="00386C57" w:rsidRPr="004200EE" w:rsidRDefault="00386C57" w:rsidP="004200EE">
      <w:pPr>
        <w:rPr>
          <w:rFonts w:cs="Times New Roman"/>
          <w:shd w:val="clear" w:color="auto" w:fill="FFFFFF"/>
        </w:rPr>
      </w:pPr>
      <w:r w:rsidRPr="004200EE">
        <w:rPr>
          <w:rFonts w:cs="Times New Roman"/>
          <w:shd w:val="clear" w:color="auto" w:fill="FFFFFF"/>
        </w:rPr>
        <w:t xml:space="preserve">The FCA utilizes a downward-sloping demand curve designed to procure sufficient capacity to maintain resource adequacy and reduce price volatility over time, yielding smaller swings in capacity prices when the market moves from conditions of excess supply to periods when new capacity resources are needed.  The demand curve’s shape is defined by: (1) the estimated gross </w:t>
      </w:r>
      <w:r w:rsidR="00333532">
        <w:rPr>
          <w:rFonts w:cs="Times New Roman"/>
          <w:shd w:val="clear" w:color="auto" w:fill="FFFFFF"/>
        </w:rPr>
        <w:t>entry cost</w:t>
      </w:r>
      <w:r w:rsidR="00035D0F">
        <w:rPr>
          <w:rFonts w:cs="Times New Roman"/>
          <w:shd w:val="clear" w:color="auto" w:fill="FFFFFF"/>
        </w:rPr>
        <w:t>, or CONE</w:t>
      </w:r>
      <w:r w:rsidRPr="004200EE">
        <w:rPr>
          <w:rFonts w:cs="Times New Roman"/>
          <w:shd w:val="clear" w:color="auto" w:fill="FFFFFF"/>
        </w:rPr>
        <w:t xml:space="preserve"> for a new capacity resource; </w:t>
      </w:r>
      <w:r w:rsidR="006C0684">
        <w:rPr>
          <w:rFonts w:cs="Times New Roman"/>
          <w:shd w:val="clear" w:color="auto" w:fill="FFFFFF"/>
        </w:rPr>
        <w:t xml:space="preserve">and </w:t>
      </w:r>
      <w:r w:rsidRPr="004200EE">
        <w:rPr>
          <w:rFonts w:cs="Times New Roman"/>
          <w:shd w:val="clear" w:color="auto" w:fill="FFFFFF"/>
        </w:rPr>
        <w:t xml:space="preserve">(2) the estimated </w:t>
      </w:r>
      <w:r w:rsidR="00333532">
        <w:rPr>
          <w:rFonts w:cs="Times New Roman"/>
          <w:shd w:val="clear" w:color="auto" w:fill="FFFFFF"/>
        </w:rPr>
        <w:t xml:space="preserve">gross entry cost </w:t>
      </w:r>
      <w:r w:rsidRPr="004200EE">
        <w:rPr>
          <w:rFonts w:cs="Times New Roman"/>
          <w:shd w:val="clear" w:color="auto" w:fill="FFFFFF"/>
        </w:rPr>
        <w:t>net of revenues from energy, reserve, and other markets</w:t>
      </w:r>
      <w:r w:rsidR="00035D0F">
        <w:rPr>
          <w:rFonts w:cs="Times New Roman"/>
          <w:shd w:val="clear" w:color="auto" w:fill="FFFFFF"/>
        </w:rPr>
        <w:t xml:space="preserve"> or Net CONE</w:t>
      </w:r>
      <w:r w:rsidR="006C0684">
        <w:rPr>
          <w:rFonts w:cs="Times New Roman"/>
          <w:shd w:val="clear" w:color="auto" w:fill="FFFFFF"/>
        </w:rPr>
        <w:t xml:space="preserve">.  </w:t>
      </w:r>
      <w:r w:rsidRPr="004200EE">
        <w:rPr>
          <w:rFonts w:cs="Times New Roman"/>
          <w:shd w:val="clear" w:color="auto" w:fill="FFFFFF"/>
        </w:rPr>
        <w:t xml:space="preserve">Net CONE is the </w:t>
      </w:r>
      <w:proofErr w:type="spellStart"/>
      <w:r w:rsidRPr="004200EE">
        <w:rPr>
          <w:rFonts w:cs="Times New Roman"/>
          <w:shd w:val="clear" w:color="auto" w:fill="FFFFFF"/>
        </w:rPr>
        <w:t>levelized</w:t>
      </w:r>
      <w:proofErr w:type="spellEnd"/>
      <w:r w:rsidRPr="004200EE">
        <w:rPr>
          <w:rFonts w:cs="Times New Roman"/>
          <w:shd w:val="clear" w:color="auto" w:fill="FFFFFF"/>
        </w:rPr>
        <w:t xml:space="preserve"> capacity revenue that a new resource would need in </w:t>
      </w:r>
      <w:r w:rsidR="006C0684">
        <w:rPr>
          <w:rFonts w:cs="Times New Roman"/>
          <w:shd w:val="clear" w:color="auto" w:fill="FFFFFF"/>
        </w:rPr>
        <w:t>its</w:t>
      </w:r>
      <w:r w:rsidRPr="004200EE">
        <w:rPr>
          <w:rFonts w:cs="Times New Roman"/>
          <w:shd w:val="clear" w:color="auto" w:fill="FFFFFF"/>
        </w:rPr>
        <w:t xml:space="preserve"> first year of operating to be economic</w:t>
      </w:r>
      <w:r w:rsidR="00035D0F">
        <w:rPr>
          <w:rFonts w:cs="Times New Roman"/>
          <w:shd w:val="clear" w:color="auto" w:fill="FFFFFF"/>
        </w:rPr>
        <w:t>,</w:t>
      </w:r>
      <w:r w:rsidRPr="004200EE">
        <w:rPr>
          <w:rFonts w:cs="Times New Roman"/>
          <w:shd w:val="clear" w:color="auto" w:fill="FFFFFF"/>
        </w:rPr>
        <w:t xml:space="preserve"> given reasonable assumptions about net revenues.  Estimating the CONE/Net CONE values accurately in order to represent the true value that new entrants would need to enter the market is an important design criterion for the sloped demand curve to achieve desired reliability objectives.</w:t>
      </w:r>
    </w:p>
    <w:p w14:paraId="5E6B40E3" w14:textId="2A652CDA" w:rsidR="00386C57" w:rsidRPr="00406567" w:rsidRDefault="00386C57" w:rsidP="004200EE">
      <w:pPr>
        <w:rPr>
          <w:rFonts w:eastAsia="Times New Roman" w:cs="Times New Roman"/>
          <w:szCs w:val="24"/>
        </w:rPr>
      </w:pPr>
      <w:r w:rsidRPr="004200EE">
        <w:rPr>
          <w:rFonts w:cs="Times New Roman"/>
          <w:shd w:val="clear" w:color="auto" w:fill="FFFFFF"/>
        </w:rPr>
        <w:t>In addition, the FCM design includes a mechanism to protect against the price suppressing effects of uncompetitive new resource offers.  This mechanism subjects all new entrants in the FCA</w:t>
      </w:r>
      <w:r w:rsidRPr="00F26BC9">
        <w:rPr>
          <w:rFonts w:cs="Times New Roman"/>
          <w:shd w:val="clear" w:color="auto" w:fill="FFFFFF"/>
        </w:rPr>
        <w:t xml:space="preserve"> to a benchmark known as the O</w:t>
      </w:r>
      <w:r w:rsidR="006C0684">
        <w:rPr>
          <w:rFonts w:cs="Times New Roman"/>
          <w:shd w:val="clear" w:color="auto" w:fill="FFFFFF"/>
        </w:rPr>
        <w:t>RTP</w:t>
      </w:r>
      <w:r w:rsidRPr="00F26BC9">
        <w:rPr>
          <w:rFonts w:cs="Times New Roman"/>
          <w:shd w:val="clear" w:color="auto" w:fill="FFFFFF"/>
        </w:rPr>
        <w:t xml:space="preserve">.  The ORTP acts as a screen for potentially uncompetitive offers </w:t>
      </w:r>
      <w:r w:rsidR="00D3493E">
        <w:rPr>
          <w:rFonts w:cs="Times New Roman"/>
          <w:shd w:val="clear" w:color="auto" w:fill="FFFFFF"/>
        </w:rPr>
        <w:t xml:space="preserve">from new resources </w:t>
      </w:r>
      <w:r w:rsidRPr="00F26BC9">
        <w:rPr>
          <w:rFonts w:cs="Times New Roman"/>
          <w:shd w:val="clear" w:color="auto" w:fill="FFFFFF"/>
        </w:rPr>
        <w:t>in an FCA. It does so by setting benchmark prices which approximate the Net CONE for each resource, but represent the low end of the range of competitive offers in order to prevent new resources from offering</w:t>
      </w:r>
      <w:r w:rsidRPr="005F1F8C">
        <w:rPr>
          <w:rFonts w:cs="Times New Roman"/>
        </w:rPr>
        <w:t xml:space="preserve"> at prices significantly below their true net cost of entry.</w:t>
      </w:r>
      <w:r>
        <w:rPr>
          <w:rFonts w:cs="Times New Roman"/>
        </w:rPr>
        <w:t xml:space="preserve">  New supply offers above the ORTP level are presumed to be competitive and not an attempt to suppress the auction clearing price, while offers below the ORTP level must be reviewed by the IMM pursuant to a unit-specific review process.  ORTPs are calculated for specific resource types every three years and adjusted annually between calculation periods.  </w:t>
      </w:r>
    </w:p>
    <w:p w14:paraId="05623025" w14:textId="77777777" w:rsidR="00386C57" w:rsidRDefault="00386C57" w:rsidP="00456566">
      <w:pPr>
        <w:pStyle w:val="Heading2"/>
      </w:pPr>
      <w:bookmarkStart w:id="12" w:name="_Toc468288306"/>
      <w:r>
        <w:t>Scope and Objectives</w:t>
      </w:r>
      <w:bookmarkEnd w:id="12"/>
    </w:p>
    <w:p w14:paraId="22DD9EE2" w14:textId="06F6F959" w:rsidR="00386C57" w:rsidRDefault="00386C57" w:rsidP="000A767D">
      <w:pPr>
        <w:rPr>
          <w:rFonts w:cs="Times New Roman"/>
          <w:shd w:val="clear" w:color="auto" w:fill="FFFFFF"/>
        </w:rPr>
      </w:pPr>
      <w:r>
        <w:rPr>
          <w:rFonts w:cs="Times New Roman"/>
          <w:shd w:val="clear" w:color="auto" w:fill="FFFFFF"/>
        </w:rPr>
        <w:t>Concentric</w:t>
      </w:r>
      <w:r w:rsidR="003A0E05">
        <w:rPr>
          <w:rFonts w:cs="Times New Roman"/>
          <w:shd w:val="clear" w:color="auto" w:fill="FFFFFF"/>
        </w:rPr>
        <w:t xml:space="preserve"> and MM</w:t>
      </w:r>
      <w:r w:rsidRPr="00562316">
        <w:rPr>
          <w:rFonts w:cs="Times New Roman"/>
          <w:shd w:val="clear" w:color="auto" w:fill="FFFFFF"/>
        </w:rPr>
        <w:t xml:space="preserve"> </w:t>
      </w:r>
      <w:r>
        <w:rPr>
          <w:rFonts w:cs="Times New Roman"/>
          <w:shd w:val="clear" w:color="auto" w:fill="FFFFFF"/>
        </w:rPr>
        <w:t>were</w:t>
      </w:r>
      <w:r w:rsidRPr="00562316">
        <w:rPr>
          <w:rFonts w:cs="Times New Roman"/>
          <w:shd w:val="clear" w:color="auto" w:fill="FFFFFF"/>
        </w:rPr>
        <w:t xml:space="preserve"> retained by ISO-NE to conduct both a CONE/Net CONE </w:t>
      </w:r>
      <w:r w:rsidR="00D3493E">
        <w:rPr>
          <w:rFonts w:cs="Times New Roman"/>
          <w:shd w:val="clear" w:color="auto" w:fill="FFFFFF"/>
        </w:rPr>
        <w:t>s</w:t>
      </w:r>
      <w:r w:rsidRPr="00562316">
        <w:rPr>
          <w:rFonts w:cs="Times New Roman"/>
          <w:shd w:val="clear" w:color="auto" w:fill="FFFFFF"/>
        </w:rPr>
        <w:t>tudy as well as an ORTP</w:t>
      </w:r>
      <w:r>
        <w:rPr>
          <w:rFonts w:cs="Times New Roman"/>
          <w:shd w:val="clear" w:color="auto" w:fill="FFFFFF"/>
        </w:rPr>
        <w:t xml:space="preserve"> </w:t>
      </w:r>
      <w:r w:rsidR="00D3493E">
        <w:rPr>
          <w:rFonts w:cs="Times New Roman"/>
          <w:shd w:val="clear" w:color="auto" w:fill="FFFFFF"/>
        </w:rPr>
        <w:t>s</w:t>
      </w:r>
      <w:r w:rsidRPr="00562316">
        <w:rPr>
          <w:rFonts w:cs="Times New Roman"/>
          <w:shd w:val="clear" w:color="auto" w:fill="FFFFFF"/>
        </w:rPr>
        <w:t xml:space="preserve">tudy to determine appropriate </w:t>
      </w:r>
      <w:r>
        <w:rPr>
          <w:rFonts w:cs="Times New Roman"/>
          <w:shd w:val="clear" w:color="auto" w:fill="FFFFFF"/>
        </w:rPr>
        <w:t>CONE</w:t>
      </w:r>
      <w:r w:rsidR="000A767D">
        <w:rPr>
          <w:rFonts w:cs="Times New Roman"/>
          <w:shd w:val="clear" w:color="auto" w:fill="FFFFFF"/>
        </w:rPr>
        <w:t xml:space="preserve">, </w:t>
      </w:r>
      <w:r>
        <w:rPr>
          <w:rFonts w:cs="Times New Roman"/>
          <w:shd w:val="clear" w:color="auto" w:fill="FFFFFF"/>
        </w:rPr>
        <w:t>Net CONE</w:t>
      </w:r>
      <w:r w:rsidR="000A767D">
        <w:rPr>
          <w:rFonts w:cs="Times New Roman"/>
          <w:shd w:val="clear" w:color="auto" w:fill="FFFFFF"/>
        </w:rPr>
        <w:t xml:space="preserve">, and ORTP values </w:t>
      </w:r>
      <w:r w:rsidR="00D3493E">
        <w:rPr>
          <w:rFonts w:cs="Times New Roman"/>
          <w:shd w:val="clear" w:color="auto" w:fill="FFFFFF"/>
        </w:rPr>
        <w:t>f</w:t>
      </w:r>
      <w:r>
        <w:rPr>
          <w:rFonts w:cs="Times New Roman"/>
          <w:shd w:val="clear" w:color="auto" w:fill="FFFFFF"/>
        </w:rPr>
        <w:t xml:space="preserve">or FCA-12, as well as </w:t>
      </w:r>
      <w:r w:rsidR="004870A1">
        <w:rPr>
          <w:rFonts w:cs="Times New Roman"/>
          <w:shd w:val="clear" w:color="auto" w:fill="FFFFFF"/>
        </w:rPr>
        <w:t xml:space="preserve">the </w:t>
      </w:r>
      <w:r w:rsidR="004870A1">
        <w:rPr>
          <w:rFonts w:cs="Times New Roman"/>
          <w:shd w:val="clear" w:color="auto" w:fill="FFFFFF"/>
        </w:rPr>
        <w:lastRenderedPageBreak/>
        <w:t xml:space="preserve">indices to be used </w:t>
      </w:r>
      <w:r w:rsidR="000A767D">
        <w:rPr>
          <w:rFonts w:cs="Times New Roman"/>
          <w:shd w:val="clear" w:color="auto" w:fill="FFFFFF"/>
        </w:rPr>
        <w:t xml:space="preserve">for </w:t>
      </w:r>
      <w:r>
        <w:rPr>
          <w:rFonts w:cs="Times New Roman"/>
          <w:shd w:val="clear" w:color="auto" w:fill="FFFFFF"/>
        </w:rPr>
        <w:t xml:space="preserve">escalating costs and revenues so that ISO-NE can update the CONE, Net CONE and ORTP values for FCA-13 and FCA-14.  </w:t>
      </w:r>
    </w:p>
    <w:p w14:paraId="2B251AB8" w14:textId="77777777" w:rsidR="00386C57" w:rsidRPr="00867C2A" w:rsidRDefault="00386C57" w:rsidP="008E234D">
      <w:r w:rsidRPr="00867C2A">
        <w:t>For the calculation of CONE and Net CONE, ISO-NE’s Tariff requires the following:</w:t>
      </w:r>
    </w:p>
    <w:p w14:paraId="497EDDC9" w14:textId="14D22E74" w:rsidR="00386C57" w:rsidRDefault="00D3493E" w:rsidP="00386C57">
      <w:pPr>
        <w:ind w:left="900" w:right="900"/>
        <w:rPr>
          <w:rFonts w:cs="Times New Roman"/>
          <w:i/>
          <w:sz w:val="20"/>
          <w:shd w:val="clear" w:color="auto" w:fill="FFFFFF"/>
        </w:rPr>
      </w:pPr>
      <w:r>
        <w:rPr>
          <w:rFonts w:cs="Times New Roman"/>
          <w:i/>
          <w:sz w:val="20"/>
          <w:shd w:val="clear" w:color="auto" w:fill="FFFFFF"/>
        </w:rPr>
        <w:t>“</w:t>
      </w:r>
      <w:r w:rsidR="00386C57" w:rsidRPr="0098153A">
        <w:rPr>
          <w:rFonts w:cs="Times New Roman"/>
          <w:i/>
          <w:sz w:val="20"/>
          <w:shd w:val="clear" w:color="auto" w:fill="FFFFFF"/>
        </w:rPr>
        <w:t>CONE and Net CONE shall be recalculated using updated data coincident with the recalculation of Offer Review Trigger Prices pursuant to Section III.A.21.1.2. Whenever these values are recalculated, the ISO will review the results of the recalculation with stakeholders and the new values will be filed with the Commission prior to the Forward Capacity Auction in which the new value is to apply.</w:t>
      </w:r>
      <w:r>
        <w:rPr>
          <w:rFonts w:cs="Times New Roman"/>
          <w:i/>
          <w:sz w:val="20"/>
          <w:shd w:val="clear" w:color="auto" w:fill="FFFFFF"/>
        </w:rPr>
        <w:t>”</w:t>
      </w:r>
      <w:r w:rsidR="00386C57" w:rsidRPr="0098153A">
        <w:rPr>
          <w:rFonts w:cs="Times New Roman"/>
          <w:i/>
          <w:sz w:val="20"/>
          <w:shd w:val="clear" w:color="auto" w:fill="FFFFFF"/>
        </w:rPr>
        <w:t xml:space="preserve">  </w:t>
      </w:r>
    </w:p>
    <w:p w14:paraId="230F32CD" w14:textId="7D0E872B" w:rsidR="00386C57" w:rsidRDefault="00D3493E" w:rsidP="00386C57">
      <w:pPr>
        <w:ind w:left="900" w:right="900"/>
        <w:rPr>
          <w:rFonts w:cs="Times New Roman"/>
          <w:i/>
          <w:sz w:val="20"/>
          <w:shd w:val="clear" w:color="auto" w:fill="FFFFFF"/>
        </w:rPr>
      </w:pPr>
      <w:r>
        <w:rPr>
          <w:rFonts w:cs="Times New Roman"/>
          <w:i/>
          <w:sz w:val="20"/>
          <w:shd w:val="clear" w:color="auto" w:fill="FFFFFF"/>
        </w:rPr>
        <w:t>“</w:t>
      </w:r>
      <w:r w:rsidR="00386C57" w:rsidRPr="0098153A">
        <w:rPr>
          <w:rFonts w:cs="Times New Roman"/>
          <w:i/>
          <w:sz w:val="20"/>
          <w:shd w:val="clear" w:color="auto" w:fill="FFFFFF"/>
        </w:rPr>
        <w:t xml:space="preserve">Between recalculations, CONE and Net CONE will be adjusted for each Forward Capacity Auction pursuant to Section </w:t>
      </w:r>
      <w:proofErr w:type="gramStart"/>
      <w:r w:rsidR="00386C57" w:rsidRPr="0098153A">
        <w:rPr>
          <w:rFonts w:cs="Times New Roman"/>
          <w:i/>
          <w:sz w:val="20"/>
          <w:shd w:val="clear" w:color="auto" w:fill="FFFFFF"/>
        </w:rPr>
        <w:t>III.A.21.1.2(</w:t>
      </w:r>
      <w:proofErr w:type="gramEnd"/>
      <w:r w:rsidR="00386C57" w:rsidRPr="0098153A">
        <w:rPr>
          <w:rFonts w:cs="Times New Roman"/>
          <w:i/>
          <w:sz w:val="20"/>
          <w:shd w:val="clear" w:color="auto" w:fill="FFFFFF"/>
        </w:rPr>
        <w:t>e)</w:t>
      </w:r>
      <w:r w:rsidR="00386C57">
        <w:rPr>
          <w:rFonts w:cs="Times New Roman"/>
          <w:i/>
          <w:sz w:val="20"/>
          <w:shd w:val="clear" w:color="auto" w:fill="FFFFFF"/>
        </w:rPr>
        <w:t>….</w:t>
      </w:r>
      <w:r>
        <w:rPr>
          <w:rFonts w:cs="Times New Roman"/>
          <w:i/>
          <w:sz w:val="20"/>
          <w:shd w:val="clear" w:color="auto" w:fill="FFFFFF"/>
        </w:rPr>
        <w:t>”</w:t>
      </w:r>
      <w:r w:rsidR="00386C57">
        <w:rPr>
          <w:rStyle w:val="FootnoteReference"/>
          <w:rFonts w:cs="Times New Roman"/>
          <w:i/>
          <w:sz w:val="20"/>
          <w:shd w:val="clear" w:color="auto" w:fill="FFFFFF"/>
        </w:rPr>
        <w:footnoteReference w:id="1"/>
      </w:r>
    </w:p>
    <w:p w14:paraId="191CA097" w14:textId="77777777" w:rsidR="00386C57" w:rsidRDefault="00386C57" w:rsidP="008E234D">
      <w:r>
        <w:t>For the calculation of ORTP values, ISO-NE’s Tariff requires the following:</w:t>
      </w:r>
    </w:p>
    <w:p w14:paraId="7A498A95" w14:textId="4DFB2F6F" w:rsidR="00386C57" w:rsidRPr="00392882" w:rsidRDefault="00386C57" w:rsidP="00386C57">
      <w:pPr>
        <w:ind w:left="900" w:right="900"/>
        <w:rPr>
          <w:rFonts w:cs="Times New Roman"/>
          <w:i/>
          <w:sz w:val="20"/>
          <w:shd w:val="clear" w:color="auto" w:fill="FFFFFF"/>
        </w:rPr>
      </w:pPr>
      <w:r w:rsidRPr="00392882">
        <w:rPr>
          <w:rFonts w:cs="Times New Roman"/>
          <w:i/>
          <w:sz w:val="20"/>
          <w:shd w:val="clear" w:color="auto" w:fill="FFFFFF"/>
        </w:rPr>
        <w:t xml:space="preserve"> </w:t>
      </w:r>
      <w:r w:rsidR="00D3493E">
        <w:rPr>
          <w:rFonts w:cs="Times New Roman"/>
          <w:i/>
          <w:sz w:val="20"/>
          <w:shd w:val="clear" w:color="auto" w:fill="FFFFFF"/>
        </w:rPr>
        <w:t>“</w:t>
      </w:r>
      <w:r w:rsidRPr="00392882">
        <w:rPr>
          <w:rFonts w:cs="Times New Roman"/>
          <w:i/>
          <w:sz w:val="20"/>
          <w:shd w:val="clear" w:color="auto" w:fill="FFFFFF"/>
        </w:rPr>
        <w:t>The Offer Review Trigger Price for each of the technology types</w:t>
      </w:r>
      <w:r>
        <w:rPr>
          <w:rFonts w:cs="Times New Roman"/>
          <w:i/>
          <w:sz w:val="20"/>
          <w:shd w:val="clear" w:color="auto" w:fill="FFFFFF"/>
        </w:rPr>
        <w:t>…</w:t>
      </w:r>
      <w:r w:rsidRPr="00392882">
        <w:rPr>
          <w:rFonts w:cs="Times New Roman"/>
          <w:i/>
          <w:sz w:val="20"/>
          <w:shd w:val="clear" w:color="auto" w:fill="FFFFFF"/>
        </w:rPr>
        <w:t xml:space="preserve"> shall be recalculated using updated data no less often than once every three years. Where any Offer Review Trigger Price is recalculated, the Internal Market Monitor will review the results of the recalculation with stakeholders and the new Offer Review Trigger Price shall be filed with the Commission prior to the Forward Capacity Auction in which the Offer Review Trigger Price is to apply</w:t>
      </w:r>
      <w:r w:rsidR="00D3493E">
        <w:rPr>
          <w:rFonts w:cs="Times New Roman"/>
          <w:i/>
          <w:sz w:val="20"/>
          <w:shd w:val="clear" w:color="auto" w:fill="FFFFFF"/>
        </w:rPr>
        <w:t>”</w:t>
      </w:r>
      <w:r w:rsidRPr="00392882">
        <w:rPr>
          <w:rFonts w:cs="Times New Roman"/>
          <w:i/>
          <w:sz w:val="20"/>
          <w:shd w:val="clear" w:color="auto" w:fill="FFFFFF"/>
        </w:rPr>
        <w:t>.</w:t>
      </w:r>
      <w:r w:rsidR="003A0E05">
        <w:rPr>
          <w:rStyle w:val="FootnoteReference"/>
          <w:rFonts w:cs="Times New Roman"/>
          <w:i/>
          <w:sz w:val="20"/>
          <w:shd w:val="clear" w:color="auto" w:fill="FFFFFF"/>
        </w:rPr>
        <w:footnoteReference w:id="2"/>
      </w:r>
    </w:p>
    <w:p w14:paraId="72566C23" w14:textId="5A03AE46" w:rsidR="00386C57" w:rsidRDefault="00386C57" w:rsidP="00386C57">
      <w:pPr>
        <w:rPr>
          <w:rFonts w:cs="Times New Roman"/>
          <w:shd w:val="clear" w:color="auto" w:fill="FFFFFF"/>
        </w:rPr>
      </w:pPr>
      <w:r>
        <w:rPr>
          <w:rFonts w:cs="Times New Roman"/>
          <w:shd w:val="clear" w:color="auto" w:fill="FFFFFF"/>
        </w:rPr>
        <w:t xml:space="preserve">Concentric and </w:t>
      </w:r>
      <w:r w:rsidR="00BF622B">
        <w:rPr>
          <w:rFonts w:cs="Times New Roman"/>
          <w:shd w:val="clear" w:color="auto" w:fill="FFFFFF"/>
        </w:rPr>
        <w:t>MM</w:t>
      </w:r>
      <w:r>
        <w:rPr>
          <w:rFonts w:cs="Times New Roman"/>
          <w:shd w:val="clear" w:color="auto" w:fill="FFFFFF"/>
        </w:rPr>
        <w:t xml:space="preserve"> have conducted both studies simultaneously in </w:t>
      </w:r>
      <w:r w:rsidRPr="00562316">
        <w:rPr>
          <w:rFonts w:cs="Times New Roman"/>
          <w:shd w:val="clear" w:color="auto" w:fill="FFFFFF"/>
        </w:rPr>
        <w:t>an open and transparent process</w:t>
      </w:r>
      <w:r>
        <w:rPr>
          <w:rFonts w:cs="Times New Roman"/>
          <w:shd w:val="clear" w:color="auto" w:fill="FFFFFF"/>
        </w:rPr>
        <w:t xml:space="preserve"> with stakeholders and ISO-NE.  Key assumptions and issues were brought to stakeholders for input and feedback in </w:t>
      </w:r>
      <w:r w:rsidR="00D3493E">
        <w:rPr>
          <w:rFonts w:cs="Times New Roman"/>
          <w:shd w:val="clear" w:color="auto" w:fill="FFFFFF"/>
        </w:rPr>
        <w:t>five</w:t>
      </w:r>
      <w:r>
        <w:rPr>
          <w:rFonts w:cs="Times New Roman"/>
          <w:shd w:val="clear" w:color="auto" w:fill="FFFFFF"/>
        </w:rPr>
        <w:t xml:space="preserve"> separate meetings</w:t>
      </w:r>
      <w:r w:rsidR="000A767D">
        <w:rPr>
          <w:rFonts w:cs="Times New Roman"/>
          <w:shd w:val="clear" w:color="auto" w:fill="FFFFFF"/>
        </w:rPr>
        <w:t xml:space="preserve"> in front of the NEPOOL Markets Committee.</w:t>
      </w:r>
      <w:r>
        <w:rPr>
          <w:rFonts w:cs="Times New Roman"/>
          <w:shd w:val="clear" w:color="auto" w:fill="FFFFFF"/>
        </w:rPr>
        <w:t xml:space="preserve">  These meetings provided important feedback and </w:t>
      </w:r>
      <w:r w:rsidR="000A767D">
        <w:rPr>
          <w:rFonts w:cs="Times New Roman"/>
          <w:shd w:val="clear" w:color="auto" w:fill="FFFFFF"/>
        </w:rPr>
        <w:t>direction</w:t>
      </w:r>
      <w:r>
        <w:rPr>
          <w:rFonts w:cs="Times New Roman"/>
          <w:shd w:val="clear" w:color="auto" w:fill="FFFFFF"/>
        </w:rPr>
        <w:t xml:space="preserve"> on </w:t>
      </w:r>
      <w:r w:rsidRPr="00562316">
        <w:rPr>
          <w:rFonts w:cs="Times New Roman"/>
          <w:shd w:val="clear" w:color="auto" w:fill="FFFFFF"/>
        </w:rPr>
        <w:t xml:space="preserve">concepts and metrics relevant to the </w:t>
      </w:r>
      <w:r>
        <w:rPr>
          <w:rFonts w:cs="Times New Roman"/>
          <w:shd w:val="clear" w:color="auto" w:fill="FFFFFF"/>
        </w:rPr>
        <w:t>study process, and provided g</w:t>
      </w:r>
      <w:r w:rsidRPr="00562316">
        <w:rPr>
          <w:rFonts w:cs="Times New Roman"/>
          <w:shd w:val="clear" w:color="auto" w:fill="FFFFFF"/>
        </w:rPr>
        <w:t>uidance for consideration of</w:t>
      </w:r>
      <w:r w:rsidR="00D3493E">
        <w:rPr>
          <w:rFonts w:cs="Times New Roman"/>
          <w:shd w:val="clear" w:color="auto" w:fill="FFFFFF"/>
        </w:rPr>
        <w:t>,</w:t>
      </w:r>
      <w:r w:rsidRPr="00562316">
        <w:rPr>
          <w:rFonts w:cs="Times New Roman"/>
          <w:shd w:val="clear" w:color="auto" w:fill="FFFFFF"/>
        </w:rPr>
        <w:t xml:space="preserve"> and recommendations on</w:t>
      </w:r>
      <w:r w:rsidR="00D3493E">
        <w:rPr>
          <w:rFonts w:cs="Times New Roman"/>
          <w:shd w:val="clear" w:color="auto" w:fill="FFFFFF"/>
        </w:rPr>
        <w:t>,</w:t>
      </w:r>
      <w:r w:rsidRPr="00562316">
        <w:rPr>
          <w:rFonts w:cs="Times New Roman"/>
          <w:shd w:val="clear" w:color="auto" w:fill="FFFFFF"/>
        </w:rPr>
        <w:t xml:space="preserve"> key </w:t>
      </w:r>
      <w:r>
        <w:rPr>
          <w:rFonts w:cs="Times New Roman"/>
          <w:shd w:val="clear" w:color="auto" w:fill="FFFFFF"/>
        </w:rPr>
        <w:t>study issues and outcomes.</w:t>
      </w:r>
    </w:p>
    <w:p w14:paraId="4E19D56D" w14:textId="77777777" w:rsidR="00386C57" w:rsidRPr="00E324A1" w:rsidRDefault="00386C57" w:rsidP="00456566">
      <w:pPr>
        <w:pStyle w:val="Heading2"/>
      </w:pPr>
      <w:bookmarkStart w:id="13" w:name="_Toc468288307"/>
      <w:r w:rsidRPr="00E324A1">
        <w:t>Approach</w:t>
      </w:r>
      <w:bookmarkEnd w:id="13"/>
    </w:p>
    <w:p w14:paraId="501DA185" w14:textId="2FF17A0D" w:rsidR="00386C57" w:rsidRDefault="00386C57" w:rsidP="00386C57">
      <w:pPr>
        <w:rPr>
          <w:rFonts w:eastAsia="Times New Roman" w:cs="Times New Roman"/>
          <w:szCs w:val="24"/>
        </w:rPr>
      </w:pPr>
      <w:r>
        <w:rPr>
          <w:rFonts w:eastAsia="Times New Roman" w:cs="Times New Roman"/>
          <w:szCs w:val="24"/>
        </w:rPr>
        <w:t xml:space="preserve">The objective of the CONE/Net CONE and ORTP studies is to calculate values for FCA-12 for the 2021/2022 </w:t>
      </w:r>
      <w:r w:rsidR="00CC18E7">
        <w:rPr>
          <w:rFonts w:eastAsia="Times New Roman" w:cs="Times New Roman"/>
          <w:szCs w:val="24"/>
        </w:rPr>
        <w:t xml:space="preserve">Capacity </w:t>
      </w:r>
      <w:r>
        <w:rPr>
          <w:rFonts w:eastAsia="Times New Roman" w:cs="Times New Roman"/>
          <w:szCs w:val="24"/>
        </w:rPr>
        <w:t>Commitment Period</w:t>
      </w:r>
      <w:r w:rsidR="000A767D">
        <w:rPr>
          <w:rFonts w:eastAsia="Times New Roman" w:cs="Times New Roman"/>
          <w:szCs w:val="24"/>
        </w:rPr>
        <w:t>.</w:t>
      </w:r>
      <w:r>
        <w:rPr>
          <w:rFonts w:eastAsia="Times New Roman" w:cs="Times New Roman"/>
          <w:szCs w:val="24"/>
        </w:rPr>
        <w:t xml:space="preserve">  The CONE/Net CONE values must reflect the price needed to attract sufficient new capacity under long-term equilibrium conditions.  Consistent with guidance from ISO-NE and </w:t>
      </w:r>
      <w:r w:rsidR="00684CE9">
        <w:rPr>
          <w:rFonts w:eastAsia="Times New Roman" w:cs="Times New Roman"/>
          <w:szCs w:val="24"/>
        </w:rPr>
        <w:t>the Federal Energy Regulatory Commission (“</w:t>
      </w:r>
      <w:r>
        <w:rPr>
          <w:rFonts w:eastAsia="Times New Roman" w:cs="Times New Roman"/>
          <w:szCs w:val="24"/>
        </w:rPr>
        <w:t>FERC</w:t>
      </w:r>
      <w:r w:rsidR="00684CE9">
        <w:rPr>
          <w:rFonts w:eastAsia="Times New Roman" w:cs="Times New Roman"/>
          <w:szCs w:val="24"/>
        </w:rPr>
        <w:t>”)</w:t>
      </w:r>
      <w:r>
        <w:rPr>
          <w:rFonts w:eastAsia="Times New Roman" w:cs="Times New Roman"/>
          <w:szCs w:val="24"/>
        </w:rPr>
        <w:t xml:space="preserve">, the recommended ORTPs are </w:t>
      </w:r>
      <w:r w:rsidRPr="00E324A1">
        <w:rPr>
          <w:rFonts w:eastAsia="Times New Roman" w:cs="Times New Roman"/>
          <w:szCs w:val="24"/>
        </w:rPr>
        <w:t xml:space="preserve">set at the low end of the competitive range of expected values so as to strike a reasonable balance by only subjecting resources to </w:t>
      </w:r>
      <w:r>
        <w:rPr>
          <w:rFonts w:eastAsia="Times New Roman" w:cs="Times New Roman"/>
          <w:szCs w:val="24"/>
        </w:rPr>
        <w:t>re</w:t>
      </w:r>
      <w:r w:rsidRPr="00E324A1">
        <w:rPr>
          <w:rFonts w:eastAsia="Times New Roman" w:cs="Times New Roman"/>
          <w:szCs w:val="24"/>
        </w:rPr>
        <w:t>view which appear commercially implausible absent out-of-market revenues</w:t>
      </w:r>
      <w:r>
        <w:rPr>
          <w:rFonts w:eastAsia="Times New Roman" w:cs="Times New Roman"/>
          <w:szCs w:val="24"/>
        </w:rPr>
        <w:t xml:space="preserve">.  </w:t>
      </w:r>
    </w:p>
    <w:p w14:paraId="1BCA4CE0" w14:textId="77777777" w:rsidR="00386C57" w:rsidRDefault="00386C57" w:rsidP="00386C57">
      <w:pPr>
        <w:rPr>
          <w:rFonts w:eastAsia="Times New Roman" w:cs="Times New Roman"/>
          <w:szCs w:val="24"/>
        </w:rPr>
      </w:pPr>
      <w:r>
        <w:rPr>
          <w:rFonts w:eastAsia="Times New Roman" w:cs="Times New Roman"/>
          <w:szCs w:val="24"/>
        </w:rPr>
        <w:t>The study process consisted of the four basic tasks outlined below and further described in this report:</w:t>
      </w:r>
    </w:p>
    <w:p w14:paraId="3AF3F3E2" w14:textId="4A75CED9" w:rsidR="00386C57" w:rsidRDefault="00386C57" w:rsidP="001436DC">
      <w:pPr>
        <w:pStyle w:val="ListParagraph"/>
      </w:pPr>
      <w:r w:rsidRPr="004200EE">
        <w:rPr>
          <w:b/>
        </w:rPr>
        <w:t>Resource Screening and Selection.</w:t>
      </w:r>
      <w:r>
        <w:t xml:space="preserve">  The first step in the process was the development of screening criteria for the selection of resource types for which to calculate a CONE/Net CONE </w:t>
      </w:r>
      <w:r>
        <w:lastRenderedPageBreak/>
        <w:t xml:space="preserve">value and </w:t>
      </w:r>
      <w:r w:rsidR="008E234D">
        <w:t>O</w:t>
      </w:r>
      <w:r>
        <w:t>RTP benchmark value</w:t>
      </w:r>
      <w:r w:rsidR="00BF622B">
        <w:t>s</w:t>
      </w:r>
      <w:r>
        <w:t xml:space="preserve">.  </w:t>
      </w:r>
      <w:r w:rsidRPr="009B69E9">
        <w:t>Those resources that passed the screen</w:t>
      </w:r>
      <w:r w:rsidR="00BF622B">
        <w:t>s</w:t>
      </w:r>
      <w:r w:rsidRPr="009B69E9">
        <w:t xml:space="preserve"> were subject to a full evaluation of costs and revenues over the </w:t>
      </w:r>
      <w:r>
        <w:t>expected life of the facilit</w:t>
      </w:r>
      <w:r w:rsidR="00BF622B">
        <w:t>ies</w:t>
      </w:r>
      <w:r>
        <w:t>.</w:t>
      </w:r>
    </w:p>
    <w:p w14:paraId="3BDFFC05" w14:textId="5A418674" w:rsidR="00386C57" w:rsidRPr="0028466C" w:rsidRDefault="00386C57" w:rsidP="001436DC">
      <w:pPr>
        <w:pStyle w:val="ListParagraph"/>
      </w:pPr>
      <w:r w:rsidRPr="004200EE">
        <w:rPr>
          <w:b/>
        </w:rPr>
        <w:t>Calculation of CONE.</w:t>
      </w:r>
      <w:r w:rsidRPr="009A6B5A">
        <w:t xml:space="preserve">  </w:t>
      </w:r>
      <w:r>
        <w:t>For each of the selected technologies for the CONE/Net CONE and ORTP analysis, we de</w:t>
      </w:r>
      <w:r w:rsidRPr="009A6B5A">
        <w:t xml:space="preserve">veloped technical specifications, installed capital costs and operating costs over the 20 year expected life of </w:t>
      </w:r>
      <w:r w:rsidR="00D3493E">
        <w:t>each</w:t>
      </w:r>
      <w:r w:rsidRPr="009A6B5A">
        <w:t xml:space="preserve"> facility (11 years for Energy Efficiency and Demand Response</w:t>
      </w:r>
      <w:r w:rsidR="00EE5932">
        <w:t xml:space="preserve"> Resources</w:t>
      </w:r>
      <w:r w:rsidRPr="009A6B5A">
        <w:t xml:space="preserve">).  Based on reasonable financial assumptions associated with merchant plant development in New England regarding the cost </w:t>
      </w:r>
      <w:r w:rsidRPr="0028466C">
        <w:t xml:space="preserve">of debt, return on equity and debt to equity ratio, we calculated </w:t>
      </w:r>
      <w:r w:rsidR="000A767D">
        <w:t xml:space="preserve">a </w:t>
      </w:r>
      <w:r w:rsidRPr="0028466C">
        <w:t xml:space="preserve">first year revenue requirement that ensured the recovery on and of investment costs. We adjusted selected operating costs, as well as our financial assumptions, for the ORTP calculation to reflect </w:t>
      </w:r>
      <w:r w:rsidR="000A767D">
        <w:t xml:space="preserve">a resource with output under contract consistent with Tariff requirements </w:t>
      </w:r>
      <w:r w:rsidR="00726262">
        <w:t xml:space="preserve">and to achieve </w:t>
      </w:r>
      <w:r w:rsidRPr="0028466C">
        <w:t xml:space="preserve">the “low end of the competitive range” objective.  </w:t>
      </w:r>
    </w:p>
    <w:p w14:paraId="1AD41A45" w14:textId="77777777" w:rsidR="00386C57" w:rsidRDefault="00386C57" w:rsidP="001436DC">
      <w:pPr>
        <w:pStyle w:val="ListParagraph"/>
      </w:pPr>
      <w:r w:rsidRPr="004200EE">
        <w:rPr>
          <w:b/>
        </w:rPr>
        <w:t xml:space="preserve">Calculation of Expected Revenues. </w:t>
      </w:r>
      <w:r w:rsidRPr="009A6B5A">
        <w:t xml:space="preserve"> We estimated expected revenues for each of the selected technologies</w:t>
      </w:r>
      <w:r>
        <w:t>, including</w:t>
      </w:r>
      <w:r w:rsidRPr="009A6B5A">
        <w:t xml:space="preserve"> energy revenues (net of variable costs), </w:t>
      </w:r>
      <w:r>
        <w:t xml:space="preserve">ancillary service revenues, renewable energy credit (“REC”) revenues and pay for performance (“PFP”) revenues.  The calculation of expected revenues included a review of historic data, an analysis of expected future market conditions, the development of an energy price forecast using a production cost simulation model, a review of current and future expected REC prices, and data provided by ISO-NE on expected future shortage events under long-term equilibrium conditions.  </w:t>
      </w:r>
    </w:p>
    <w:p w14:paraId="5600835C" w14:textId="6AB1E64F" w:rsidR="00386C57" w:rsidRDefault="00386C57" w:rsidP="001436DC">
      <w:pPr>
        <w:pStyle w:val="ListParagraph"/>
      </w:pPr>
      <w:r w:rsidRPr="004200EE">
        <w:rPr>
          <w:b/>
        </w:rPr>
        <w:t xml:space="preserve">Calculation of Net CONE and ORTP. </w:t>
      </w:r>
      <w:r w:rsidRPr="0028466C">
        <w:t xml:space="preserve"> Based on the calculation of CONE and expected revenues, we calculated the compensation needed from the capacity market in the first year of operation (2021) to determine Net CONE and ORTP values for each resource.   For generation resources, capital costs, </w:t>
      </w:r>
      <w:r w:rsidR="00BF622B">
        <w:t xml:space="preserve">operating costs, </w:t>
      </w:r>
      <w:r w:rsidRPr="0028466C">
        <w:t>expected non-capacity revenues</w:t>
      </w:r>
      <w:r w:rsidR="00BF622B">
        <w:t>,</w:t>
      </w:r>
      <w:r w:rsidR="008E234D">
        <w:t xml:space="preserve"> and </w:t>
      </w:r>
      <w:r w:rsidRPr="0028466C">
        <w:t xml:space="preserve">assumptions regarding depreciation, taxes and discount rate were input into a capital budgeting model which was used to calculate the break-even contribution required from the FCM to yield a discounted cash flow with a net present value of zero for the </w:t>
      </w:r>
      <w:r w:rsidR="00726262">
        <w:t>resources</w:t>
      </w:r>
      <w:r w:rsidRPr="0028466C">
        <w:t xml:space="preserve">. The Net CONE value and ORTP value was set equal to the year-one capacity price output from the model over the life of the facility. The difference between the Net CONE values and the ORTP values </w:t>
      </w:r>
      <w:r w:rsidR="00726262">
        <w:t xml:space="preserve">is </w:t>
      </w:r>
      <w:r w:rsidRPr="0028466C">
        <w:t>the assumption of costs and revenues reflecting a low end of the competitive range for the ORTP values.</w:t>
      </w:r>
      <w:r>
        <w:t xml:space="preserve">  </w:t>
      </w:r>
    </w:p>
    <w:p w14:paraId="5DBF0EBA" w14:textId="77777777" w:rsidR="00D3493E" w:rsidRDefault="00D3493E" w:rsidP="00D3493E">
      <w:pPr>
        <w:spacing w:after="0"/>
        <w:ind w:left="720"/>
      </w:pPr>
    </w:p>
    <w:p w14:paraId="6CBC4666" w14:textId="1ECFE483" w:rsidR="00386C57" w:rsidRDefault="00386C57" w:rsidP="009057C2">
      <w:pPr>
        <w:spacing w:after="0"/>
        <w:ind w:left="360"/>
      </w:pPr>
      <w:r w:rsidRPr="00261459">
        <w:t>For Energy Efficiency, the methodology used to calculate the ORTP value was the same as tha</w:t>
      </w:r>
      <w:r w:rsidR="00726262" w:rsidRPr="00261459">
        <w:t xml:space="preserve">t used for generation resources, except that the </w:t>
      </w:r>
      <w:r w:rsidR="007964D6">
        <w:t xml:space="preserve">methodology </w:t>
      </w:r>
      <w:r w:rsidR="00726262" w:rsidRPr="00261459">
        <w:t xml:space="preserve">discounted cash flows over the 11-year contract life.  </w:t>
      </w:r>
      <w:r w:rsidRPr="00261459">
        <w:t>However, the model took into account of all costs incurred by the utility and end-use customer to deploy the efficiency measure. In addition, the model reflected the end-use customer energy savings associate</w:t>
      </w:r>
      <w:r w:rsidR="00726262" w:rsidRPr="00261459">
        <w:t>d with the efficiency programs, and</w:t>
      </w:r>
      <w:r w:rsidRPr="00261459">
        <w:t xml:space="preserve"> discounted </w:t>
      </w:r>
      <w:r w:rsidR="00726262" w:rsidRPr="00261459">
        <w:t xml:space="preserve">the </w:t>
      </w:r>
      <w:r w:rsidRPr="00261459">
        <w:t xml:space="preserve">cash flows over the 11-year life of the energy efficiency measure. </w:t>
      </w:r>
    </w:p>
    <w:p w14:paraId="7CE9BC15" w14:textId="77777777" w:rsidR="00D3493E" w:rsidRPr="00261459" w:rsidRDefault="00D3493E" w:rsidP="009057C2">
      <w:pPr>
        <w:spacing w:after="0"/>
        <w:ind w:left="360"/>
      </w:pPr>
    </w:p>
    <w:p w14:paraId="0DE59910" w14:textId="287E3D4C" w:rsidR="00386C57" w:rsidRDefault="00386C57" w:rsidP="009057C2">
      <w:pPr>
        <w:spacing w:after="0"/>
        <w:ind w:left="360"/>
      </w:pPr>
      <w:r w:rsidRPr="00261459">
        <w:t>For Demand Resources, the methodology used to calculate the ORTP</w:t>
      </w:r>
      <w:r w:rsidR="00D3493E">
        <w:t xml:space="preserve"> value</w:t>
      </w:r>
      <w:r w:rsidRPr="00261459">
        <w:t xml:space="preserve"> was the same as that used for new generation resources, except that the </w:t>
      </w:r>
      <w:r w:rsidR="007964D6">
        <w:t>methodology</w:t>
      </w:r>
      <w:r w:rsidR="007964D6" w:rsidRPr="00261459" w:rsidDel="007964D6">
        <w:t xml:space="preserve"> </w:t>
      </w:r>
      <w:r w:rsidRPr="00261459">
        <w:t xml:space="preserve">discounted cash flows over the 11-year contract life. For Demand Resources composed primarily of large commercial or industrial customers that use pre-existing equipment or strategies, incremental costs included new equipment costs and annual operating costs such as customer incentives and sales representative commissions. For Demand Resources primarily composed </w:t>
      </w:r>
      <w:r w:rsidR="00726262" w:rsidRPr="00261459">
        <w:t xml:space="preserve">of </w:t>
      </w:r>
      <w:r w:rsidRPr="00261459">
        <w:t xml:space="preserve">mass market </w:t>
      </w:r>
      <w:r w:rsidRPr="00261459">
        <w:lastRenderedPageBreak/>
        <w:t>measures that do not use pre-existing equipment or strategies, incremental costs included equipment costs, customer incentives, marketing, sales, and recruitment costs, operations and maintenance costs, and software and network infrastructure costs</w:t>
      </w:r>
      <w:r w:rsidR="00622C27" w:rsidRPr="00261459">
        <w:t>.</w:t>
      </w:r>
    </w:p>
    <w:p w14:paraId="51B9BF33" w14:textId="77777777" w:rsidR="00D3493E" w:rsidRPr="00261459" w:rsidRDefault="00D3493E" w:rsidP="00D3493E">
      <w:pPr>
        <w:spacing w:after="0"/>
        <w:ind w:left="720"/>
      </w:pPr>
    </w:p>
    <w:p w14:paraId="5A4E61ED" w14:textId="26CE3153" w:rsidR="00726262" w:rsidRDefault="00386C57" w:rsidP="00386C57">
      <w:pPr>
        <w:rPr>
          <w:rFonts w:cs="Times New Roman"/>
          <w:shd w:val="clear" w:color="auto" w:fill="FFFFFF"/>
        </w:rPr>
      </w:pPr>
      <w:r>
        <w:rPr>
          <w:rFonts w:cs="Times New Roman"/>
          <w:shd w:val="clear" w:color="auto" w:fill="FFFFFF"/>
        </w:rPr>
        <w:t xml:space="preserve">Each of these tasks involved a detailed review of historical data, forecast of future prices, and professional judgement in order to calculate </w:t>
      </w:r>
      <w:r w:rsidR="00726262">
        <w:rPr>
          <w:rFonts w:cs="Times New Roman"/>
          <w:shd w:val="clear" w:color="auto" w:fill="FFFFFF"/>
        </w:rPr>
        <w:t xml:space="preserve">estimated values </w:t>
      </w:r>
      <w:r>
        <w:rPr>
          <w:rFonts w:cs="Times New Roman"/>
          <w:shd w:val="clear" w:color="auto" w:fill="FFFFFF"/>
        </w:rPr>
        <w:t xml:space="preserve">for each technology.  These parameters were informed through consultation with ISO-NE and stakeholders in order to ensure the </w:t>
      </w:r>
      <w:r w:rsidRPr="009A6B5A">
        <w:rPr>
          <w:rFonts w:cs="Times New Roman"/>
          <w:shd w:val="clear" w:color="auto" w:fill="FFFFFF"/>
        </w:rPr>
        <w:t xml:space="preserve">effectiveness and appropriateness of </w:t>
      </w:r>
      <w:r>
        <w:rPr>
          <w:rFonts w:cs="Times New Roman"/>
          <w:shd w:val="clear" w:color="auto" w:fill="FFFFFF"/>
        </w:rPr>
        <w:t xml:space="preserve">the </w:t>
      </w:r>
      <w:r w:rsidRPr="009A6B5A">
        <w:rPr>
          <w:rFonts w:cs="Times New Roman"/>
          <w:shd w:val="clear" w:color="auto" w:fill="FFFFFF"/>
        </w:rPr>
        <w:t>methods and data</w:t>
      </w:r>
      <w:r>
        <w:rPr>
          <w:rFonts w:cs="Times New Roman"/>
          <w:shd w:val="clear" w:color="auto" w:fill="FFFFFF"/>
        </w:rPr>
        <w:t xml:space="preserve"> used</w:t>
      </w:r>
      <w:r w:rsidRPr="009A6B5A">
        <w:rPr>
          <w:rFonts w:cs="Times New Roman"/>
          <w:shd w:val="clear" w:color="auto" w:fill="FFFFFF"/>
        </w:rPr>
        <w:t>.</w:t>
      </w:r>
    </w:p>
    <w:p w14:paraId="05191E2E" w14:textId="77777777" w:rsidR="00386C57" w:rsidRPr="00E324A1" w:rsidRDefault="00386C57" w:rsidP="00456566">
      <w:pPr>
        <w:pStyle w:val="Heading2"/>
      </w:pPr>
      <w:bookmarkStart w:id="14" w:name="_Toc468288308"/>
      <w:r>
        <w:t>Report Contents</w:t>
      </w:r>
      <w:bookmarkEnd w:id="14"/>
    </w:p>
    <w:p w14:paraId="2FA76FE0" w14:textId="20A72305" w:rsidR="00386C57" w:rsidRDefault="00386C57" w:rsidP="00F966DA">
      <w:pPr>
        <w:rPr>
          <w:rFonts w:cs="Times New Roman"/>
        </w:rPr>
      </w:pPr>
      <w:r w:rsidRPr="00381538">
        <w:rPr>
          <w:rFonts w:cs="Times New Roman"/>
        </w:rPr>
        <w:t>Th</w:t>
      </w:r>
      <w:r w:rsidR="000E2033" w:rsidRPr="00381538">
        <w:rPr>
          <w:rFonts w:cs="Times New Roman"/>
        </w:rPr>
        <w:t>e balance of the report begins with a detailed description of our CONE</w:t>
      </w:r>
      <w:r w:rsidR="00381538">
        <w:rPr>
          <w:rFonts w:cs="Times New Roman"/>
        </w:rPr>
        <w:t xml:space="preserve">/Net CONE </w:t>
      </w:r>
      <w:r w:rsidR="000E2033" w:rsidRPr="00381538">
        <w:rPr>
          <w:rFonts w:cs="Times New Roman"/>
        </w:rPr>
        <w:t>study and results</w:t>
      </w:r>
      <w:r w:rsidR="00381538" w:rsidRPr="00381538">
        <w:rPr>
          <w:rFonts w:cs="Times New Roman"/>
        </w:rPr>
        <w:t xml:space="preserve">, including </w:t>
      </w:r>
      <w:r w:rsidR="00381538">
        <w:rPr>
          <w:rFonts w:cs="Times New Roman"/>
        </w:rPr>
        <w:t xml:space="preserve">our screening process, development of technical specifications, calculation of capital costs and operating costs, approach to and calculation of financial assumptions, development of net revenue forecasts and final CONE/Net CONE values </w:t>
      </w:r>
      <w:r w:rsidR="00D3493E">
        <w:rPr>
          <w:rFonts w:cs="Times New Roman"/>
        </w:rPr>
        <w:t xml:space="preserve">for candidate reference technologies </w:t>
      </w:r>
      <w:r w:rsidR="00381538">
        <w:rPr>
          <w:rFonts w:cs="Times New Roman"/>
        </w:rPr>
        <w:t xml:space="preserve">and the recommended </w:t>
      </w:r>
      <w:r w:rsidR="00D3493E">
        <w:rPr>
          <w:rFonts w:cs="Times New Roman"/>
        </w:rPr>
        <w:t xml:space="preserve">reference </w:t>
      </w:r>
      <w:r w:rsidR="00381538">
        <w:rPr>
          <w:rFonts w:cs="Times New Roman"/>
        </w:rPr>
        <w:t>technology.</w:t>
      </w:r>
    </w:p>
    <w:p w14:paraId="457BC1D0" w14:textId="0C2706B4" w:rsidR="00381538" w:rsidRDefault="00381538" w:rsidP="00F966DA">
      <w:pPr>
        <w:rPr>
          <w:rFonts w:cs="Times New Roman"/>
        </w:rPr>
      </w:pPr>
      <w:r>
        <w:rPr>
          <w:rFonts w:cs="Times New Roman"/>
        </w:rPr>
        <w:t xml:space="preserve">Following the CONE/Net CONE study description and results, the ORTP study is presented.  The ORTP study </w:t>
      </w:r>
      <w:r w:rsidR="00D3493E">
        <w:rPr>
          <w:rFonts w:cs="Times New Roman"/>
        </w:rPr>
        <w:t xml:space="preserve">was </w:t>
      </w:r>
      <w:r>
        <w:rPr>
          <w:rFonts w:cs="Times New Roman"/>
        </w:rPr>
        <w:t xml:space="preserve">largely </w:t>
      </w:r>
      <w:r w:rsidR="00F66349">
        <w:rPr>
          <w:rFonts w:cs="Times New Roman"/>
        </w:rPr>
        <w:t>based on the CONE/Net CONE stu</w:t>
      </w:r>
      <w:r>
        <w:rPr>
          <w:rFonts w:cs="Times New Roman"/>
        </w:rPr>
        <w:t xml:space="preserve">dy for gas-fired </w:t>
      </w:r>
      <w:r w:rsidR="00F66349">
        <w:rPr>
          <w:rFonts w:cs="Times New Roman"/>
        </w:rPr>
        <w:t>resources</w:t>
      </w:r>
      <w:r>
        <w:rPr>
          <w:rFonts w:cs="Times New Roman"/>
        </w:rPr>
        <w:t>, with some cost and</w:t>
      </w:r>
      <w:r w:rsidR="00F66349">
        <w:rPr>
          <w:rFonts w:cs="Times New Roman"/>
        </w:rPr>
        <w:t xml:space="preserve"> </w:t>
      </w:r>
      <w:r>
        <w:rPr>
          <w:rFonts w:cs="Times New Roman"/>
        </w:rPr>
        <w:t xml:space="preserve">financial assumptions modified to </w:t>
      </w:r>
      <w:r w:rsidR="00F66349">
        <w:rPr>
          <w:rFonts w:cs="Times New Roman"/>
        </w:rPr>
        <w:t>reflect</w:t>
      </w:r>
      <w:r>
        <w:rPr>
          <w:rFonts w:cs="Times New Roman"/>
        </w:rPr>
        <w:t xml:space="preserve"> the low end of the competitive range objective.  The ORTP study</w:t>
      </w:r>
      <w:r w:rsidR="00344760">
        <w:rPr>
          <w:rFonts w:cs="Times New Roman"/>
        </w:rPr>
        <w:t xml:space="preserve"> also </w:t>
      </w:r>
      <w:r w:rsidR="00F66349">
        <w:rPr>
          <w:rFonts w:cs="Times New Roman"/>
        </w:rPr>
        <w:t>include</w:t>
      </w:r>
      <w:r w:rsidR="00D3493E">
        <w:rPr>
          <w:rFonts w:cs="Times New Roman"/>
        </w:rPr>
        <w:t>d</w:t>
      </w:r>
      <w:r w:rsidR="00F66349">
        <w:rPr>
          <w:rFonts w:cs="Times New Roman"/>
        </w:rPr>
        <w:t xml:space="preserve"> a screening of other resource types expected to enter the FCM, and an analysis and recommended values for those resources that passed the screening criteria.</w:t>
      </w:r>
    </w:p>
    <w:p w14:paraId="179CF13D" w14:textId="77777777" w:rsidR="00012F91" w:rsidRDefault="00012F91" w:rsidP="00F966DA">
      <w:pPr>
        <w:rPr>
          <w:rFonts w:cs="Times New Roman"/>
        </w:rPr>
        <w:sectPr w:rsidR="00012F91" w:rsidSect="000A767D">
          <w:headerReference w:type="even" r:id="rId20"/>
          <w:pgSz w:w="12240" w:h="15840" w:code="1"/>
          <w:pgMar w:top="1440" w:right="1440" w:bottom="1440" w:left="1440" w:header="720" w:footer="720" w:gutter="0"/>
          <w:cols w:space="720"/>
          <w:docGrid w:linePitch="360"/>
        </w:sectPr>
      </w:pPr>
    </w:p>
    <w:p w14:paraId="0D2E66F0" w14:textId="77777777" w:rsidR="00A527AF" w:rsidRPr="00293BA8" w:rsidRDefault="00A527AF" w:rsidP="004870A1">
      <w:pPr>
        <w:pStyle w:val="Header1"/>
        <w:jc w:val="left"/>
      </w:pPr>
      <w:bookmarkStart w:id="15" w:name="_Toc468288309"/>
      <w:r w:rsidRPr="0025706A">
        <w:lastRenderedPageBreak/>
        <w:t xml:space="preserve">Section </w:t>
      </w:r>
      <w:r>
        <w:t>3</w:t>
      </w:r>
      <w:proofErr w:type="gramStart"/>
      <w:r w:rsidRPr="0025706A">
        <w:t>:</w:t>
      </w:r>
      <w:proofErr w:type="gramEnd"/>
      <w:r w:rsidRPr="00293BA8">
        <w:br/>
      </w:r>
      <w:r w:rsidRPr="0011789B">
        <w:rPr>
          <w:sz w:val="32"/>
        </w:rPr>
        <w:t>CONE/Net CONE Study</w:t>
      </w:r>
      <w:bookmarkEnd w:id="15"/>
    </w:p>
    <w:p w14:paraId="482FC567" w14:textId="77777777" w:rsidR="00A527AF" w:rsidRPr="00386C57" w:rsidRDefault="00A527AF" w:rsidP="00456566">
      <w:pPr>
        <w:pStyle w:val="Heading2"/>
        <w:numPr>
          <w:ilvl w:val="0"/>
          <w:numId w:val="22"/>
        </w:numPr>
      </w:pPr>
      <w:bookmarkStart w:id="16" w:name="_Toc468288310"/>
      <w:r w:rsidRPr="00386C57">
        <w:t>Resource Screening Criteria, Process and Selection</w:t>
      </w:r>
      <w:bookmarkEnd w:id="16"/>
    </w:p>
    <w:p w14:paraId="6BB4CD71" w14:textId="557F690A" w:rsidR="00A527AF" w:rsidRPr="00F356B1" w:rsidRDefault="00A527AF" w:rsidP="00867C2A">
      <w:r w:rsidRPr="00F356B1">
        <w:t xml:space="preserve">We began the CONE/Net CONE study by recognizing the </w:t>
      </w:r>
      <w:r w:rsidRPr="00684CE9">
        <w:t xml:space="preserve">variety of resources that currently participate in the FCM, and the establishment of technology screening criteria to focus the analysis on those resources that are appropriate as </w:t>
      </w:r>
      <w:r w:rsidR="000C0F25" w:rsidRPr="00684CE9">
        <w:t xml:space="preserve">candidate </w:t>
      </w:r>
      <w:r w:rsidRPr="00684CE9">
        <w:t xml:space="preserve">reference technologies for determining Net CONE.  </w:t>
      </w:r>
      <w:r w:rsidR="00684CE9" w:rsidRPr="00684CE9">
        <w:t xml:space="preserve">Based on guidelines approved by the FERC in the last calculation process, </w:t>
      </w:r>
      <w:r w:rsidRPr="00684CE9">
        <w:t xml:space="preserve">we </w:t>
      </w:r>
      <w:r w:rsidR="00684CE9" w:rsidRPr="00684CE9">
        <w:t>used</w:t>
      </w:r>
      <w:r w:rsidRPr="00684CE9">
        <w:t xml:space="preserve"> the following criteria for selecting the appropriate </w:t>
      </w:r>
      <w:r w:rsidR="000C0F25" w:rsidRPr="00684CE9">
        <w:t xml:space="preserve">candidate </w:t>
      </w:r>
      <w:r w:rsidRPr="00684CE9">
        <w:t>reference technologies for the evaluation of Net CONE values</w:t>
      </w:r>
      <w:r w:rsidRPr="00F356B1">
        <w:t>:</w:t>
      </w:r>
    </w:p>
    <w:p w14:paraId="123A5DC4" w14:textId="7D5753C0" w:rsidR="00A527AF" w:rsidRPr="0027107E" w:rsidRDefault="00A527AF" w:rsidP="00456566">
      <w:pPr>
        <w:pStyle w:val="ListParagraph"/>
        <w:numPr>
          <w:ilvl w:val="0"/>
          <w:numId w:val="39"/>
        </w:numPr>
      </w:pPr>
      <w:r w:rsidRPr="0027107E">
        <w:t>Must be likely to be economic for merchant entry under long-term equilibrium conditions</w:t>
      </w:r>
      <w:r w:rsidR="00BF622B">
        <w:t>;</w:t>
      </w:r>
    </w:p>
    <w:p w14:paraId="642BE977" w14:textId="4513FE74" w:rsidR="00A527AF" w:rsidRPr="0027107E" w:rsidRDefault="00A527AF" w:rsidP="00456566">
      <w:pPr>
        <w:pStyle w:val="ListParagraph"/>
        <w:numPr>
          <w:ilvl w:val="0"/>
          <w:numId w:val="39"/>
        </w:numPr>
      </w:pPr>
      <w:r w:rsidRPr="0027107E">
        <w:t>Must have reliable cost information available to calculate a CONE value using a full “bottom up” analytical approach</w:t>
      </w:r>
      <w:r w:rsidR="00BF622B">
        <w:t>.</w:t>
      </w:r>
    </w:p>
    <w:p w14:paraId="03A85C17" w14:textId="77777777" w:rsidR="00A527AF" w:rsidRPr="00F356B1" w:rsidRDefault="00A527AF" w:rsidP="00867C2A">
      <w:pPr>
        <w:rPr>
          <w:color w:val="000000"/>
        </w:rPr>
      </w:pPr>
      <w:r w:rsidRPr="00F356B1">
        <w:t>The first principle, that the reference technology must be economic for merchant entry under long-term equilibrium conditions, recognizes that uneconomic technologies will have a higher Net CONE than other alternative</w:t>
      </w:r>
      <w:r>
        <w:t>s</w:t>
      </w:r>
      <w:r w:rsidRPr="00F356B1">
        <w:t xml:space="preserve"> and would set Net CONE higher than required to meet established reliability objectives.  In order to determine </w:t>
      </w:r>
      <w:r w:rsidRPr="00F356B1">
        <w:rPr>
          <w:color w:val="000000"/>
        </w:rPr>
        <w:t xml:space="preserve">whether the reference technology is likely to be economic as part of the long-term equilibrium, the resource must meet the following criteria:  </w:t>
      </w:r>
      <w:proofErr w:type="spellStart"/>
      <w:r w:rsidRPr="00F356B1">
        <w:rPr>
          <w:color w:val="000000"/>
        </w:rPr>
        <w:t>i</w:t>
      </w:r>
      <w:proofErr w:type="spellEnd"/>
      <w:r w:rsidRPr="00F356B1">
        <w:rPr>
          <w:color w:val="000000"/>
        </w:rPr>
        <w:t xml:space="preserve">) the resource must be of a size that can be used to meet resource adequacy requirements; ii) the resource must have demonstrated commercial interest by merchant developers based on the information available for projects recently completed, under construction, or in the interconnection queue in New England; and iii) the resource must have an </w:t>
      </w:r>
      <w:r w:rsidRPr="00F356B1">
        <w:rPr>
          <w:iCs/>
          <w:color w:val="000000"/>
        </w:rPr>
        <w:t>estimated Net CONE that is not so high that the technology is unlikely to be part of the long-term equilibrium</w:t>
      </w:r>
      <w:r w:rsidRPr="00F356B1">
        <w:rPr>
          <w:color w:val="000000"/>
        </w:rPr>
        <w:t>. As different resource types provide different services other than capacity (</w:t>
      </w:r>
      <w:r w:rsidRPr="00F356B1">
        <w:rPr>
          <w:iCs/>
          <w:color w:val="000000"/>
        </w:rPr>
        <w:t>e.g.</w:t>
      </w:r>
      <w:r w:rsidRPr="00F356B1">
        <w:rPr>
          <w:color w:val="000000"/>
        </w:rPr>
        <w:t xml:space="preserve">, baseload versus peaking operations), several technologies could be economic with the same Net CONE in a long-term equilibrium. However, market conditions </w:t>
      </w:r>
      <w:r>
        <w:rPr>
          <w:color w:val="000000"/>
        </w:rPr>
        <w:t xml:space="preserve">will change over the forecast period, such that different </w:t>
      </w:r>
      <w:r w:rsidRPr="00F356B1">
        <w:rPr>
          <w:color w:val="000000"/>
        </w:rPr>
        <w:t>technolog</w:t>
      </w:r>
      <w:r>
        <w:rPr>
          <w:color w:val="000000"/>
        </w:rPr>
        <w:t>ies</w:t>
      </w:r>
      <w:r w:rsidRPr="00F356B1">
        <w:rPr>
          <w:color w:val="000000"/>
        </w:rPr>
        <w:t xml:space="preserve"> </w:t>
      </w:r>
      <w:r>
        <w:rPr>
          <w:color w:val="000000"/>
        </w:rPr>
        <w:t>can</w:t>
      </w:r>
      <w:r w:rsidRPr="00F356B1">
        <w:rPr>
          <w:color w:val="000000"/>
        </w:rPr>
        <w:t xml:space="preserve"> have the lowest Net CONE value</w:t>
      </w:r>
      <w:r>
        <w:rPr>
          <w:color w:val="000000"/>
        </w:rPr>
        <w:t xml:space="preserve"> over time</w:t>
      </w:r>
      <w:r w:rsidRPr="00F356B1">
        <w:rPr>
          <w:color w:val="000000"/>
        </w:rPr>
        <w:t xml:space="preserve">. For this reason, reference technologies that are clearly expected to be a part of the long-term mix of additions should not be excluded as a candidate reference technology, even if their Net CONE value may be temporarily slightly higher than other technologies. </w:t>
      </w:r>
    </w:p>
    <w:p w14:paraId="6CE19A5F" w14:textId="482CF885" w:rsidR="00A527AF" w:rsidRDefault="00A527AF" w:rsidP="00A127DD">
      <w:pPr>
        <w:rPr>
          <w:color w:val="000000"/>
        </w:rPr>
      </w:pPr>
      <w:r w:rsidRPr="00F356B1">
        <w:rPr>
          <w:color w:val="000000"/>
        </w:rPr>
        <w:t>The second principle is that the reference technology m</w:t>
      </w:r>
      <w:r w:rsidRPr="00F356B1">
        <w:t xml:space="preserve">ust have reliable cost information available to calculate a CONE/Net CONE value using a full “bottom up” analytical approach.  </w:t>
      </w:r>
      <w:r w:rsidRPr="00F356B1">
        <w:rPr>
          <w:color w:val="000000"/>
        </w:rPr>
        <w:t>Estimating CONE/Net CONE values requires the development of assumptions about resource specifications, the analysis of potential costs and revenues, the estimation of financial parameters and risks, and the execution of subjective decisions in developing the Net CONE values. Therefore, it is critical that enough data is available to determine a technology’s Net CONE with</w:t>
      </w:r>
      <w:r w:rsidR="00D3493E">
        <w:rPr>
          <w:color w:val="000000"/>
        </w:rPr>
        <w:t xml:space="preserve"> a</w:t>
      </w:r>
      <w:r w:rsidRPr="00F356B1">
        <w:rPr>
          <w:color w:val="000000"/>
        </w:rPr>
        <w:t xml:space="preserve"> </w:t>
      </w:r>
      <w:r>
        <w:rPr>
          <w:color w:val="000000"/>
        </w:rPr>
        <w:t xml:space="preserve">reasonably </w:t>
      </w:r>
      <w:r w:rsidRPr="00F356B1">
        <w:rPr>
          <w:color w:val="000000"/>
        </w:rPr>
        <w:t xml:space="preserve">low </w:t>
      </w:r>
      <w:r>
        <w:rPr>
          <w:color w:val="000000"/>
        </w:rPr>
        <w:t xml:space="preserve">level of </w:t>
      </w:r>
      <w:r w:rsidRPr="00F356B1">
        <w:rPr>
          <w:color w:val="000000"/>
        </w:rPr>
        <w:t xml:space="preserve">uncertainty. </w:t>
      </w:r>
    </w:p>
    <w:p w14:paraId="6DE075A5" w14:textId="6C2D78E2" w:rsidR="00A527AF" w:rsidRDefault="00A527AF" w:rsidP="00867C2A">
      <w:r>
        <w:rPr>
          <w:color w:val="000000"/>
        </w:rPr>
        <w:t xml:space="preserve">Several different resources were considered for an evaluation, including gas-fired resources, coal-fired resources, nuclear resources and various renewable resources.  Gas-fired resources passed </w:t>
      </w:r>
      <w:r>
        <w:rPr>
          <w:color w:val="000000"/>
        </w:rPr>
        <w:lastRenderedPageBreak/>
        <w:t xml:space="preserve">the screening criteria, as they have been proven to be economic for new entry and have numerous sources of historical operating data.  </w:t>
      </w:r>
      <w:r w:rsidR="00BF622B">
        <w:rPr>
          <w:color w:val="000000"/>
        </w:rPr>
        <w:t xml:space="preserve">As a result, </w:t>
      </w:r>
      <w:r>
        <w:t xml:space="preserve">we focused on gas-fired resources in both simple cycle and combined cycle configurations as the appropriate technologies for the CONE/Net CONE analysis.  </w:t>
      </w:r>
    </w:p>
    <w:p w14:paraId="570E33E0" w14:textId="77777777" w:rsidR="00A527AF" w:rsidRPr="00012F91" w:rsidRDefault="00A527AF" w:rsidP="00867C2A">
      <w:r w:rsidRPr="00012F91">
        <w:t xml:space="preserve">In terms of the simple cycle technologies, we considered both frame machines and </w:t>
      </w:r>
      <w:proofErr w:type="spellStart"/>
      <w:r w:rsidRPr="00012F91">
        <w:t>aeroderivative</w:t>
      </w:r>
      <w:proofErr w:type="spellEnd"/>
      <w:r w:rsidRPr="00012F91">
        <w:t xml:space="preserve"> machines.  For frame machines, we considered the following key features:</w:t>
      </w:r>
    </w:p>
    <w:p w14:paraId="56E8F8CE" w14:textId="77777777" w:rsidR="00A527AF" w:rsidRPr="00012F91" w:rsidRDefault="00A527AF" w:rsidP="00456566">
      <w:pPr>
        <w:pStyle w:val="ListParagraph"/>
        <w:numPr>
          <w:ilvl w:val="0"/>
          <w:numId w:val="8"/>
        </w:numPr>
      </w:pPr>
      <w:r w:rsidRPr="00012F91">
        <w:t>Can provide reliable generation to the grid for a low capital cost</w:t>
      </w:r>
    </w:p>
    <w:p w14:paraId="429DEE46" w14:textId="77777777" w:rsidR="00A527AF" w:rsidRPr="00012F91" w:rsidRDefault="00A527AF" w:rsidP="00456566">
      <w:pPr>
        <w:pStyle w:val="ListParagraph"/>
        <w:numPr>
          <w:ilvl w:val="0"/>
          <w:numId w:val="8"/>
        </w:numPr>
      </w:pPr>
      <w:r w:rsidRPr="00012F91">
        <w:t>Can be installed with fast start capability</w:t>
      </w:r>
    </w:p>
    <w:p w14:paraId="3FCABB70" w14:textId="77777777" w:rsidR="00A527AF" w:rsidRPr="00012F91" w:rsidRDefault="00A527AF" w:rsidP="00456566">
      <w:pPr>
        <w:pStyle w:val="ListParagraph"/>
        <w:numPr>
          <w:ilvl w:val="0"/>
          <w:numId w:val="8"/>
        </w:numPr>
      </w:pPr>
      <w:r w:rsidRPr="00012F91">
        <w:t>Technology being continuously developed and improved by the manufacturers</w:t>
      </w:r>
    </w:p>
    <w:p w14:paraId="5F858084" w14:textId="77777777" w:rsidR="00A527AF" w:rsidRPr="00012F91" w:rsidRDefault="00A527AF" w:rsidP="00456566">
      <w:pPr>
        <w:pStyle w:val="ListParagraph"/>
        <w:numPr>
          <w:ilvl w:val="0"/>
          <w:numId w:val="8"/>
        </w:numPr>
      </w:pPr>
      <w:r w:rsidRPr="00012F91">
        <w:t>Usually installed for peak power production</w:t>
      </w:r>
    </w:p>
    <w:p w14:paraId="1FA03713" w14:textId="77777777" w:rsidR="00A527AF" w:rsidRPr="00012F91" w:rsidRDefault="00A527AF" w:rsidP="00456566">
      <w:pPr>
        <w:pStyle w:val="ListParagraph"/>
        <w:numPr>
          <w:ilvl w:val="0"/>
          <w:numId w:val="8"/>
        </w:numPr>
      </w:pPr>
      <w:r w:rsidRPr="00012F91">
        <w:t>Industrial design intended for long term operation at high efficiencies</w:t>
      </w:r>
    </w:p>
    <w:p w14:paraId="606D95B0" w14:textId="77777777" w:rsidR="00A527AF" w:rsidRPr="00012F91" w:rsidRDefault="00A527AF" w:rsidP="00456566">
      <w:pPr>
        <w:pStyle w:val="ListParagraph"/>
        <w:numPr>
          <w:ilvl w:val="0"/>
          <w:numId w:val="8"/>
        </w:numPr>
      </w:pPr>
      <w:r w:rsidRPr="00012F91">
        <w:t>Currently being installed in New England</w:t>
      </w:r>
    </w:p>
    <w:p w14:paraId="15AE7627" w14:textId="5038E7AE" w:rsidR="00A527AF" w:rsidRPr="00012F91" w:rsidRDefault="00A527AF" w:rsidP="00A527AF">
      <w:pPr>
        <w:rPr>
          <w:rFonts w:cs="Times New Roman"/>
        </w:rPr>
      </w:pPr>
      <w:r w:rsidRPr="00012F91">
        <w:rPr>
          <w:rFonts w:cs="Times New Roman"/>
        </w:rPr>
        <w:t xml:space="preserve">The Simple Cycle GTs that </w:t>
      </w:r>
      <w:proofErr w:type="gramStart"/>
      <w:r w:rsidRPr="00012F91">
        <w:rPr>
          <w:rFonts w:cs="Times New Roman"/>
        </w:rPr>
        <w:t>were</w:t>
      </w:r>
      <w:proofErr w:type="gramEnd"/>
      <w:r w:rsidRPr="00012F91">
        <w:rPr>
          <w:rFonts w:cs="Times New Roman"/>
        </w:rPr>
        <w:t xml:space="preserve"> considered as candidate </w:t>
      </w:r>
      <w:r w:rsidR="00D3493E">
        <w:rPr>
          <w:rFonts w:cs="Times New Roman"/>
        </w:rPr>
        <w:t xml:space="preserve">simple cycle </w:t>
      </w:r>
      <w:r w:rsidRPr="00012F91">
        <w:rPr>
          <w:rFonts w:cs="Times New Roman"/>
        </w:rPr>
        <w:t xml:space="preserve">technologies are shown in </w:t>
      </w:r>
      <w:r w:rsidR="008504EB" w:rsidRPr="00012F91">
        <w:rPr>
          <w:rFonts w:cs="Times New Roman"/>
        </w:rPr>
        <w:fldChar w:fldCharType="begin"/>
      </w:r>
      <w:r w:rsidR="008504EB" w:rsidRPr="00012F91">
        <w:rPr>
          <w:rFonts w:cs="Times New Roman"/>
        </w:rPr>
        <w:instrText xml:space="preserve"> REF _Ref462661649 \h  \* MERGEFORMAT </w:instrText>
      </w:r>
      <w:r w:rsidR="008504EB" w:rsidRPr="00012F91">
        <w:rPr>
          <w:rFonts w:cs="Times New Roman"/>
        </w:rPr>
      </w:r>
      <w:r w:rsidR="008504EB" w:rsidRPr="00012F91">
        <w:rPr>
          <w:rFonts w:cs="Times New Roman"/>
        </w:rPr>
        <w:fldChar w:fldCharType="separate"/>
      </w:r>
      <w:r w:rsidR="006E2301" w:rsidRPr="0073024E">
        <w:rPr>
          <w:rFonts w:cs="Times New Roman"/>
        </w:rPr>
        <w:t xml:space="preserve">Table </w:t>
      </w:r>
      <w:r w:rsidR="006E2301" w:rsidRPr="00EE3048">
        <w:rPr>
          <w:rFonts w:cs="Times New Roman"/>
          <w:noProof/>
        </w:rPr>
        <w:t>4</w:t>
      </w:r>
      <w:r w:rsidR="008504EB" w:rsidRPr="00012F91">
        <w:rPr>
          <w:rFonts w:cs="Times New Roman"/>
        </w:rPr>
        <w:fldChar w:fldCharType="end"/>
      </w:r>
      <w:r w:rsidR="008504EB" w:rsidRPr="00012F91">
        <w:rPr>
          <w:rFonts w:cs="Times New Roman"/>
        </w:rPr>
        <w:t xml:space="preserve"> </w:t>
      </w:r>
      <w:r w:rsidRPr="00012F91">
        <w:rPr>
          <w:rFonts w:cs="Times New Roman"/>
        </w:rPr>
        <w:t>below.</w:t>
      </w:r>
    </w:p>
    <w:p w14:paraId="70F71628" w14:textId="7DA55E62" w:rsidR="0031577E" w:rsidRPr="00EE3048" w:rsidRDefault="0031577E" w:rsidP="00D2628D">
      <w:pPr>
        <w:pStyle w:val="Caption"/>
        <w:rPr>
          <w:lang w:val="fr-CA"/>
        </w:rPr>
      </w:pPr>
      <w:bookmarkStart w:id="17" w:name="_Ref462661649"/>
      <w:bookmarkStart w:id="18" w:name="_Toc465433429"/>
      <w:r w:rsidRPr="00EE3048">
        <w:rPr>
          <w:lang w:val="fr-CA"/>
        </w:rPr>
        <w:t xml:space="preserve">Table </w:t>
      </w:r>
      <w:r w:rsidR="00E61692">
        <w:fldChar w:fldCharType="begin"/>
      </w:r>
      <w:r w:rsidR="00E61692" w:rsidRPr="00EE3048">
        <w:rPr>
          <w:lang w:val="fr-CA"/>
        </w:rPr>
        <w:instrText xml:space="preserve"> SEQ Table \* ARABIC </w:instrText>
      </w:r>
      <w:r w:rsidR="00E61692">
        <w:fldChar w:fldCharType="separate"/>
      </w:r>
      <w:r w:rsidR="000637A3">
        <w:rPr>
          <w:noProof/>
          <w:lang w:val="fr-CA"/>
        </w:rPr>
        <w:t>4</w:t>
      </w:r>
      <w:r w:rsidR="00E61692">
        <w:rPr>
          <w:noProof/>
        </w:rPr>
        <w:fldChar w:fldCharType="end"/>
      </w:r>
      <w:bookmarkEnd w:id="17"/>
      <w:r w:rsidRPr="00EE3048">
        <w:rPr>
          <w:lang w:val="fr-CA"/>
        </w:rPr>
        <w:t>: Simple Cycle</w:t>
      </w:r>
      <w:r w:rsidR="00E85C49" w:rsidRPr="00EE3048">
        <w:rPr>
          <w:lang w:val="fr-CA"/>
        </w:rPr>
        <w:t xml:space="preserve"> Frame</w:t>
      </w:r>
      <w:r w:rsidRPr="00EE3048">
        <w:rPr>
          <w:lang w:val="fr-CA"/>
        </w:rPr>
        <w:t xml:space="preserve"> </w:t>
      </w:r>
      <w:proofErr w:type="spellStart"/>
      <w:r w:rsidRPr="00EE3048">
        <w:rPr>
          <w:lang w:val="fr-CA"/>
        </w:rPr>
        <w:t>GTs</w:t>
      </w:r>
      <w:bookmarkEnd w:id="18"/>
      <w:proofErr w:type="spellEnd"/>
    </w:p>
    <w:tbl>
      <w:tblPr>
        <w:tblStyle w:val="GridTable4-Accent320"/>
        <w:tblW w:w="0" w:type="auto"/>
        <w:tblLook w:val="04A0" w:firstRow="1" w:lastRow="0" w:firstColumn="1" w:lastColumn="0" w:noHBand="0" w:noVBand="1"/>
      </w:tblPr>
      <w:tblGrid>
        <w:gridCol w:w="2042"/>
        <w:gridCol w:w="7534"/>
      </w:tblGrid>
      <w:tr w:rsidR="00E64E74" w:rsidRPr="00E85C49" w14:paraId="0C037ECF" w14:textId="77777777" w:rsidTr="001436D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FF746B" w14:textId="78CDA423" w:rsidR="00E64E74" w:rsidRPr="009057C2" w:rsidRDefault="00D3493E">
            <w:pPr>
              <w:jc w:val="left"/>
              <w:rPr>
                <w:rFonts w:ascii="Century Gothic" w:hAnsi="Century Gothic"/>
                <w:b w:val="0"/>
                <w:smallCaps w:val="0"/>
                <w:color w:val="000000" w:themeColor="text1"/>
                <w:sz w:val="20"/>
              </w:rPr>
            </w:pPr>
            <w:r w:rsidRPr="009057C2">
              <w:rPr>
                <w:rFonts w:ascii="Century Gothic" w:hAnsi="Century Gothic"/>
                <w:smallCaps w:val="0"/>
                <w:color w:val="000000" w:themeColor="text1"/>
                <w:sz w:val="20"/>
              </w:rPr>
              <w:t xml:space="preserve">Frame </w:t>
            </w:r>
            <w:r w:rsidR="00E64E74" w:rsidRPr="009057C2">
              <w:rPr>
                <w:rFonts w:ascii="Century Gothic" w:hAnsi="Century Gothic"/>
                <w:smallCaps w:val="0"/>
                <w:color w:val="000000" w:themeColor="text1"/>
                <w:sz w:val="20"/>
              </w:rPr>
              <w:t>Technology</w:t>
            </w:r>
          </w:p>
        </w:tc>
        <w:tc>
          <w:tcPr>
            <w:tcW w:w="0" w:type="auto"/>
            <w:vAlign w:val="center"/>
          </w:tcPr>
          <w:p w14:paraId="43220AC2" w14:textId="77777777" w:rsidR="00E64E74" w:rsidRPr="009057C2" w:rsidRDefault="00E64E74" w:rsidP="007964D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mallCaps w:val="0"/>
                <w:color w:val="000000" w:themeColor="text1"/>
                <w:sz w:val="20"/>
              </w:rPr>
            </w:pPr>
            <w:r w:rsidRPr="009057C2">
              <w:rPr>
                <w:rFonts w:ascii="Century Gothic" w:hAnsi="Century Gothic"/>
                <w:smallCaps w:val="0"/>
                <w:color w:val="000000" w:themeColor="text1"/>
                <w:sz w:val="20"/>
              </w:rPr>
              <w:t>Justification</w:t>
            </w:r>
          </w:p>
        </w:tc>
      </w:tr>
      <w:tr w:rsidR="00E64E74" w:rsidRPr="00E85C49" w14:paraId="6F8704E8" w14:textId="77777777" w:rsidTr="001436DC">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2485DD" w14:textId="77777777" w:rsidR="00E64E74" w:rsidRPr="001436DC" w:rsidRDefault="00E64E74" w:rsidP="00EE3048">
            <w:pPr>
              <w:spacing w:after="0"/>
              <w:jc w:val="center"/>
              <w:rPr>
                <w:rFonts w:ascii="Century Gothic" w:hAnsi="Century Gothic"/>
                <w:sz w:val="18"/>
                <w:szCs w:val="18"/>
              </w:rPr>
            </w:pPr>
            <w:r w:rsidRPr="001436DC">
              <w:rPr>
                <w:rFonts w:ascii="Century Gothic" w:hAnsi="Century Gothic"/>
                <w:sz w:val="18"/>
                <w:szCs w:val="18"/>
              </w:rPr>
              <w:t>GE7HA.02</w:t>
            </w:r>
          </w:p>
        </w:tc>
        <w:tc>
          <w:tcPr>
            <w:tcW w:w="0" w:type="auto"/>
          </w:tcPr>
          <w:p w14:paraId="7D30781A" w14:textId="77777777" w:rsidR="00E64E74" w:rsidRPr="007964D6" w:rsidRDefault="00E64E74" w:rsidP="001436DC">
            <w:pPr>
              <w:pStyle w:val="ListParagraph"/>
              <w:cnfStyle w:val="000000100000" w:firstRow="0" w:lastRow="0" w:firstColumn="0" w:lastColumn="0" w:oddVBand="0" w:evenVBand="0" w:oddHBand="1" w:evenHBand="0" w:firstRowFirstColumn="0" w:firstRowLastColumn="0" w:lastRowFirstColumn="0" w:lastRowLastColumn="0"/>
            </w:pPr>
            <w:r w:rsidRPr="007964D6">
              <w:t>GE’s newest large frame machine</w:t>
            </w:r>
          </w:p>
          <w:p w14:paraId="477C715C" w14:textId="77777777" w:rsidR="00E64E74" w:rsidRPr="007964D6" w:rsidRDefault="00E64E74" w:rsidP="001436DC">
            <w:pPr>
              <w:pStyle w:val="ListParagraph"/>
              <w:cnfStyle w:val="000000100000" w:firstRow="0" w:lastRow="0" w:firstColumn="0" w:lastColumn="0" w:oddVBand="0" w:evenVBand="0" w:oddHBand="1" w:evenHBand="0" w:firstRowFirstColumn="0" w:firstRowLastColumn="0" w:lastRowFirstColumn="0" w:lastRowLastColumn="0"/>
            </w:pPr>
            <w:r w:rsidRPr="007964D6">
              <w:t>Currently scheduled to be next in GE test rig</w:t>
            </w:r>
          </w:p>
          <w:p w14:paraId="0C15B044" w14:textId="321CD235" w:rsidR="00E64E74" w:rsidRPr="007964D6" w:rsidRDefault="00E64E74" w:rsidP="001436DC">
            <w:pPr>
              <w:pStyle w:val="ListParagraph"/>
              <w:cnfStyle w:val="000000100000" w:firstRow="0" w:lastRow="0" w:firstColumn="0" w:lastColumn="0" w:oddVBand="0" w:evenVBand="0" w:oddHBand="1" w:evenHBand="0" w:firstRowFirstColumn="0" w:firstRowLastColumn="0" w:lastRowFirstColumn="0" w:lastRowLastColumn="0"/>
            </w:pPr>
            <w:r w:rsidRPr="007964D6">
              <w:t xml:space="preserve">Highest </w:t>
            </w:r>
            <w:r w:rsidR="00D3493E" w:rsidRPr="007964D6">
              <w:t>o</w:t>
            </w:r>
            <w:r w:rsidRPr="007964D6">
              <w:t>utput available for a Frame GT</w:t>
            </w:r>
          </w:p>
          <w:p w14:paraId="26FA687B" w14:textId="16B9067C" w:rsidR="00E64E74" w:rsidRPr="007964D6" w:rsidRDefault="00E64E74" w:rsidP="001436DC">
            <w:pPr>
              <w:pStyle w:val="ListParagraph"/>
              <w:cnfStyle w:val="000000100000" w:firstRow="0" w:lastRow="0" w:firstColumn="0" w:lastColumn="0" w:oddVBand="0" w:evenVBand="0" w:oddHBand="1" w:evenHBand="0" w:firstRowFirstColumn="0" w:firstRowLastColumn="0" w:lastRowFirstColumn="0" w:lastRowLastColumn="0"/>
            </w:pPr>
            <w:r w:rsidRPr="007964D6">
              <w:t xml:space="preserve">GE </w:t>
            </w:r>
            <w:r w:rsidR="00D3493E" w:rsidRPr="007964D6">
              <w:t>g</w:t>
            </w:r>
            <w:r w:rsidRPr="007964D6">
              <w:t>uaranteed performance</w:t>
            </w:r>
          </w:p>
        </w:tc>
      </w:tr>
      <w:tr w:rsidR="00E64E74" w:rsidRPr="00E85C49" w14:paraId="3BFE76D7" w14:textId="77777777" w:rsidTr="001436DC">
        <w:trPr>
          <w:trHeight w:val="89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D42A66" w14:textId="77777777" w:rsidR="00E64E74" w:rsidRPr="001436DC" w:rsidRDefault="00E64E74" w:rsidP="00EE3048">
            <w:pPr>
              <w:spacing w:after="0"/>
              <w:jc w:val="center"/>
              <w:rPr>
                <w:rFonts w:ascii="Century Gothic" w:hAnsi="Century Gothic"/>
                <w:sz w:val="18"/>
                <w:szCs w:val="18"/>
              </w:rPr>
            </w:pPr>
            <w:r w:rsidRPr="001436DC">
              <w:rPr>
                <w:rFonts w:ascii="Century Gothic" w:hAnsi="Century Gothic"/>
                <w:sz w:val="18"/>
                <w:szCs w:val="18"/>
              </w:rPr>
              <w:t>Siemens 8000H</w:t>
            </w:r>
          </w:p>
        </w:tc>
        <w:tc>
          <w:tcPr>
            <w:tcW w:w="0" w:type="auto"/>
          </w:tcPr>
          <w:p w14:paraId="4B6B571B" w14:textId="77777777" w:rsidR="00E64E74" w:rsidRPr="007964D6" w:rsidRDefault="00E64E74" w:rsidP="001436DC">
            <w:pPr>
              <w:pStyle w:val="ListParagraph"/>
              <w:cnfStyle w:val="000000000000" w:firstRow="0" w:lastRow="0" w:firstColumn="0" w:lastColumn="0" w:oddVBand="0" w:evenVBand="0" w:oddHBand="0" w:evenHBand="0" w:firstRowFirstColumn="0" w:firstRowLastColumn="0" w:lastRowFirstColumn="0" w:lastRowLastColumn="0"/>
            </w:pPr>
            <w:r w:rsidRPr="007964D6">
              <w:t>Largest installed experience base for large frame gas turbines</w:t>
            </w:r>
          </w:p>
          <w:p w14:paraId="6FF98EA8" w14:textId="77777777" w:rsidR="00E64E74" w:rsidRPr="007964D6" w:rsidRDefault="00E64E74" w:rsidP="001436DC">
            <w:pPr>
              <w:pStyle w:val="ListParagraph"/>
              <w:cnfStyle w:val="000000000000" w:firstRow="0" w:lastRow="0" w:firstColumn="0" w:lastColumn="0" w:oddVBand="0" w:evenVBand="0" w:oddHBand="0" w:evenHBand="0" w:firstRowFirstColumn="0" w:firstRowLastColumn="0" w:lastRowFirstColumn="0" w:lastRowLastColumn="0"/>
            </w:pPr>
            <w:r w:rsidRPr="007964D6">
              <w:t>Smaller and less efficient than GE ‘s or MHI’s newest machines</w:t>
            </w:r>
          </w:p>
          <w:p w14:paraId="53E2B9CB" w14:textId="533A849C" w:rsidR="00E64E74" w:rsidRPr="007964D6" w:rsidRDefault="00D3493E" w:rsidP="001436DC">
            <w:pPr>
              <w:pStyle w:val="ListParagraph"/>
              <w:cnfStyle w:val="000000000000" w:firstRow="0" w:lastRow="0" w:firstColumn="0" w:lastColumn="0" w:oddVBand="0" w:evenVBand="0" w:oddHBand="0" w:evenHBand="0" w:firstRowFirstColumn="0" w:firstRowLastColumn="0" w:lastRowFirstColumn="0" w:lastRowLastColumn="0"/>
            </w:pPr>
            <w:r w:rsidRPr="007964D6">
              <w:t>C</w:t>
            </w:r>
            <w:r w:rsidR="00E64E74" w:rsidRPr="007964D6">
              <w:t>urrently working on a new larger more efficient machine</w:t>
            </w:r>
          </w:p>
        </w:tc>
      </w:tr>
      <w:tr w:rsidR="00E64E74" w:rsidRPr="00E85C49" w14:paraId="3EA52664" w14:textId="77777777" w:rsidTr="001436D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21E4A2" w14:textId="77777777" w:rsidR="00E64E74" w:rsidRPr="001436DC" w:rsidRDefault="00E64E74" w:rsidP="00EE3048">
            <w:pPr>
              <w:spacing w:after="0"/>
              <w:jc w:val="center"/>
              <w:rPr>
                <w:rFonts w:ascii="Century Gothic" w:hAnsi="Century Gothic"/>
                <w:sz w:val="18"/>
                <w:szCs w:val="18"/>
              </w:rPr>
            </w:pPr>
            <w:r w:rsidRPr="001436DC">
              <w:rPr>
                <w:rFonts w:ascii="Century Gothic" w:hAnsi="Century Gothic"/>
                <w:sz w:val="18"/>
                <w:szCs w:val="18"/>
              </w:rPr>
              <w:t>MHI M501GAC</w:t>
            </w:r>
          </w:p>
        </w:tc>
        <w:tc>
          <w:tcPr>
            <w:tcW w:w="0" w:type="auto"/>
          </w:tcPr>
          <w:p w14:paraId="2B4CDC1E" w14:textId="06FE2C0B" w:rsidR="00E64E74" w:rsidRPr="007964D6" w:rsidRDefault="00E64E74" w:rsidP="00456566">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7964D6">
              <w:t xml:space="preserve">Air </w:t>
            </w:r>
            <w:r w:rsidR="00D3493E" w:rsidRPr="007964D6">
              <w:t>c</w:t>
            </w:r>
            <w:r w:rsidRPr="007964D6">
              <w:t>ooled large frame gas turbine from previous generation technology</w:t>
            </w:r>
          </w:p>
        </w:tc>
      </w:tr>
      <w:tr w:rsidR="00E64E74" w:rsidRPr="00E85C49" w14:paraId="66858B04" w14:textId="77777777" w:rsidTr="001436DC">
        <w:trPr>
          <w:trHeight w:val="143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BEACB5" w14:textId="77777777" w:rsidR="00E64E74" w:rsidRPr="001436DC" w:rsidRDefault="00E64E74" w:rsidP="00EE3048">
            <w:pPr>
              <w:spacing w:after="0"/>
              <w:jc w:val="center"/>
              <w:rPr>
                <w:rFonts w:ascii="Century Gothic" w:hAnsi="Century Gothic"/>
                <w:sz w:val="18"/>
                <w:szCs w:val="18"/>
              </w:rPr>
            </w:pPr>
            <w:r w:rsidRPr="001436DC">
              <w:rPr>
                <w:rFonts w:ascii="Century Gothic" w:hAnsi="Century Gothic"/>
                <w:sz w:val="18"/>
                <w:szCs w:val="18"/>
              </w:rPr>
              <w:t>MHI 501JAC1</w:t>
            </w:r>
          </w:p>
        </w:tc>
        <w:tc>
          <w:tcPr>
            <w:tcW w:w="0" w:type="auto"/>
          </w:tcPr>
          <w:p w14:paraId="0DF4888E" w14:textId="77777777" w:rsidR="00E64E74" w:rsidRPr="007964D6" w:rsidRDefault="00E64E74" w:rsidP="0045656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964D6">
              <w:t>New entry into simple cycle market</w:t>
            </w:r>
          </w:p>
          <w:p w14:paraId="7927592B" w14:textId="77777777" w:rsidR="00E64E74" w:rsidRPr="007964D6" w:rsidRDefault="00E64E7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964D6">
              <w:t>Not yet installed in simple cycle configuration</w:t>
            </w:r>
          </w:p>
          <w:p w14:paraId="745AD222" w14:textId="77777777" w:rsidR="00E64E74" w:rsidRPr="007964D6" w:rsidRDefault="00E64E74" w:rsidP="0045656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964D6">
              <w:t>Requires negotiation with MHI</w:t>
            </w:r>
          </w:p>
          <w:p w14:paraId="7594BF8D" w14:textId="799BD400" w:rsidR="00D3493E" w:rsidRPr="007964D6" w:rsidRDefault="00D3493E" w:rsidP="0045656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964D6">
              <w:t>Smaller, more expensive from an installed $/kW perspective, small installed base in United States</w:t>
            </w:r>
          </w:p>
        </w:tc>
      </w:tr>
      <w:tr w:rsidR="00E64E74" w:rsidRPr="00E85C49" w14:paraId="6A9ED763" w14:textId="77777777" w:rsidTr="001436D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330FF7" w14:textId="07672257" w:rsidR="00E64E74" w:rsidRPr="001436DC" w:rsidRDefault="00E64E74">
            <w:pPr>
              <w:spacing w:after="0"/>
              <w:jc w:val="center"/>
              <w:rPr>
                <w:rFonts w:ascii="Century Gothic" w:hAnsi="Century Gothic"/>
                <w:sz w:val="18"/>
                <w:szCs w:val="18"/>
              </w:rPr>
            </w:pPr>
            <w:r w:rsidRPr="001436DC">
              <w:rPr>
                <w:rFonts w:ascii="Century Gothic" w:hAnsi="Century Gothic"/>
                <w:sz w:val="18"/>
                <w:szCs w:val="18"/>
              </w:rPr>
              <w:t xml:space="preserve">Other </w:t>
            </w:r>
            <w:r w:rsidR="006164DE" w:rsidRPr="001436DC">
              <w:rPr>
                <w:rFonts w:ascii="Century Gothic" w:hAnsi="Century Gothic"/>
                <w:sz w:val="18"/>
                <w:szCs w:val="18"/>
              </w:rPr>
              <w:t>F</w:t>
            </w:r>
            <w:r w:rsidRPr="001436DC">
              <w:rPr>
                <w:rFonts w:ascii="Century Gothic" w:hAnsi="Century Gothic"/>
                <w:sz w:val="18"/>
                <w:szCs w:val="18"/>
              </w:rPr>
              <w:t xml:space="preserve">rame </w:t>
            </w:r>
            <w:r w:rsidR="006164DE" w:rsidRPr="001436DC">
              <w:rPr>
                <w:rFonts w:ascii="Century Gothic" w:hAnsi="Century Gothic"/>
                <w:sz w:val="18"/>
                <w:szCs w:val="18"/>
              </w:rPr>
              <w:t>M</w:t>
            </w:r>
            <w:r w:rsidRPr="001436DC">
              <w:rPr>
                <w:rFonts w:ascii="Century Gothic" w:hAnsi="Century Gothic"/>
                <w:sz w:val="18"/>
                <w:szCs w:val="18"/>
              </w:rPr>
              <w:t>achines</w:t>
            </w:r>
          </w:p>
        </w:tc>
        <w:tc>
          <w:tcPr>
            <w:tcW w:w="0" w:type="auto"/>
          </w:tcPr>
          <w:p w14:paraId="7896F576" w14:textId="7DC0834D" w:rsidR="00E64E74" w:rsidRPr="007964D6" w:rsidRDefault="00E64E74" w:rsidP="001436DC">
            <w:pPr>
              <w:pStyle w:val="ListParagraph"/>
              <w:cnfStyle w:val="000000100000" w:firstRow="0" w:lastRow="0" w:firstColumn="0" w:lastColumn="0" w:oddVBand="0" w:evenVBand="0" w:oddHBand="1" w:evenHBand="0" w:firstRowFirstColumn="0" w:firstRowLastColumn="0" w:lastRowFirstColumn="0" w:lastRowLastColumn="0"/>
            </w:pPr>
            <w:r w:rsidRPr="007964D6">
              <w:t>MHI/Hitachi HH100 targets 7EA retrofits as a drop-in replacement</w:t>
            </w:r>
          </w:p>
          <w:p w14:paraId="6D15710C" w14:textId="0BB0985F" w:rsidR="00E64E74" w:rsidRPr="007964D6" w:rsidRDefault="006164DE" w:rsidP="001436DC">
            <w:pPr>
              <w:pStyle w:val="ListParagraph"/>
              <w:cnfStyle w:val="000000100000" w:firstRow="0" w:lastRow="0" w:firstColumn="0" w:lastColumn="0" w:oddVBand="0" w:evenVBand="0" w:oddHBand="1" w:evenHBand="0" w:firstRowFirstColumn="0" w:firstRowLastColumn="0" w:lastRowFirstColumn="0" w:lastRowLastColumn="0"/>
            </w:pPr>
            <w:r w:rsidRPr="007964D6">
              <w:t>Alstom/GE GT-24 Not being marketed aggressively by GE</w:t>
            </w:r>
            <w:r w:rsidRPr="007964D6">
              <w:tab/>
            </w:r>
          </w:p>
        </w:tc>
      </w:tr>
    </w:tbl>
    <w:p w14:paraId="4F24106A" w14:textId="77777777" w:rsidR="00A527AF" w:rsidRDefault="00A527AF" w:rsidP="00A527AF">
      <w:pPr>
        <w:rPr>
          <w:rFonts w:cs="Times New Roman"/>
        </w:rPr>
      </w:pPr>
    </w:p>
    <w:p w14:paraId="35969A36" w14:textId="10D23DF2" w:rsidR="00A527AF" w:rsidRPr="00012F91" w:rsidRDefault="00A527AF" w:rsidP="00A127DD">
      <w:r>
        <w:t xml:space="preserve">As a result of the review of the above Simple Cycle GT options, we chose the GE7HA.02 as the frame combustion turbine model on which to conduct a full CONE/Net CONE evaluation.  </w:t>
      </w:r>
      <w:r w:rsidR="007964D6">
        <w:t>Although not yet in commercial operation, t</w:t>
      </w:r>
      <w:r>
        <w:t xml:space="preserve">his machine is </w:t>
      </w:r>
      <w:r w:rsidRPr="00012F91">
        <w:t xml:space="preserve">currently being installed at a generating facility in New England and is the most current frame technology available for simple cycle operation.  </w:t>
      </w:r>
    </w:p>
    <w:p w14:paraId="6DA6CC13" w14:textId="77777777" w:rsidR="00A527AF" w:rsidRPr="00012F91" w:rsidRDefault="00A527AF" w:rsidP="00A127DD">
      <w:r w:rsidRPr="00012F91">
        <w:t xml:space="preserve">For </w:t>
      </w:r>
      <w:proofErr w:type="spellStart"/>
      <w:r w:rsidRPr="00012F91">
        <w:t>aeroderivative</w:t>
      </w:r>
      <w:proofErr w:type="spellEnd"/>
      <w:r w:rsidRPr="00012F91">
        <w:t xml:space="preserve"> machines, we considered the following key features:</w:t>
      </w:r>
    </w:p>
    <w:p w14:paraId="32EFF987" w14:textId="6C9F20B0" w:rsidR="00A527AF" w:rsidRPr="00012F91" w:rsidRDefault="00A527AF" w:rsidP="00456566">
      <w:pPr>
        <w:pStyle w:val="ListParagraph"/>
        <w:numPr>
          <w:ilvl w:val="0"/>
          <w:numId w:val="12"/>
        </w:numPr>
      </w:pPr>
      <w:r w:rsidRPr="00012F91">
        <w:lastRenderedPageBreak/>
        <w:t>Fastest to market</w:t>
      </w:r>
      <w:r w:rsidR="003F3584">
        <w:t xml:space="preserve"> and</w:t>
      </w:r>
      <w:r w:rsidRPr="00012F91">
        <w:t xml:space="preserve"> fastest to engineer</w:t>
      </w:r>
    </w:p>
    <w:p w14:paraId="3B447700" w14:textId="77777777" w:rsidR="00A527AF" w:rsidRPr="00012F91" w:rsidRDefault="00A527AF" w:rsidP="00456566">
      <w:pPr>
        <w:pStyle w:val="ListParagraph"/>
        <w:numPr>
          <w:ilvl w:val="0"/>
          <w:numId w:val="12"/>
        </w:numPr>
      </w:pPr>
      <w:r w:rsidRPr="00012F91">
        <w:t xml:space="preserve">Size makes them more expensive in $/kW installed </w:t>
      </w:r>
    </w:p>
    <w:p w14:paraId="4C96155D" w14:textId="77777777" w:rsidR="00A527AF" w:rsidRPr="00012F91" w:rsidRDefault="00A527AF" w:rsidP="00456566">
      <w:pPr>
        <w:pStyle w:val="ListParagraph"/>
        <w:numPr>
          <w:ilvl w:val="0"/>
          <w:numId w:val="12"/>
        </w:numPr>
      </w:pPr>
      <w:r w:rsidRPr="00012F91">
        <w:t>LM6000PH or LM6000 PF+ are currently installed in New England</w:t>
      </w:r>
    </w:p>
    <w:p w14:paraId="34BE6CDF" w14:textId="77777777" w:rsidR="00A527AF" w:rsidRPr="00012F91" w:rsidRDefault="00A527AF" w:rsidP="00456566">
      <w:pPr>
        <w:pStyle w:val="ListParagraph"/>
        <w:numPr>
          <w:ilvl w:val="0"/>
          <w:numId w:val="12"/>
        </w:numPr>
      </w:pPr>
      <w:r w:rsidRPr="00012F91">
        <w:t>Can be converted from simple cycle if originally arranged properly</w:t>
      </w:r>
    </w:p>
    <w:p w14:paraId="357904C6" w14:textId="71647719" w:rsidR="001B2181" w:rsidRDefault="00A527AF" w:rsidP="0063553A">
      <w:pPr>
        <w:spacing w:after="0"/>
        <w:rPr>
          <w:rFonts w:cs="Times New Roman"/>
        </w:rPr>
      </w:pPr>
      <w:r w:rsidRPr="00012F91">
        <w:rPr>
          <w:rFonts w:cs="Times New Roman"/>
        </w:rPr>
        <w:t xml:space="preserve">The </w:t>
      </w:r>
      <w:proofErr w:type="spellStart"/>
      <w:r w:rsidRPr="00012F91">
        <w:rPr>
          <w:rFonts w:cs="Times New Roman"/>
        </w:rPr>
        <w:t>aeroderivative</w:t>
      </w:r>
      <w:proofErr w:type="spellEnd"/>
      <w:r w:rsidRPr="00012F91">
        <w:rPr>
          <w:rFonts w:cs="Times New Roman"/>
        </w:rPr>
        <w:t xml:space="preserve"> </w:t>
      </w:r>
      <w:r w:rsidR="0063553A">
        <w:rPr>
          <w:rFonts w:cs="Times New Roman"/>
        </w:rPr>
        <w:t>gas turbines</w:t>
      </w:r>
      <w:r w:rsidRPr="00012F91">
        <w:rPr>
          <w:rFonts w:cs="Times New Roman"/>
        </w:rPr>
        <w:t xml:space="preserve"> that were considered as candidate </w:t>
      </w:r>
      <w:r w:rsidR="0063553A">
        <w:rPr>
          <w:rFonts w:cs="Times New Roman"/>
        </w:rPr>
        <w:t xml:space="preserve">simple cycle </w:t>
      </w:r>
      <w:r w:rsidRPr="00012F91">
        <w:rPr>
          <w:rFonts w:cs="Times New Roman"/>
        </w:rPr>
        <w:t>technologies are shown</w:t>
      </w:r>
      <w:r w:rsidR="0063553A">
        <w:rPr>
          <w:rFonts w:cs="Times New Roman"/>
        </w:rPr>
        <w:t xml:space="preserve"> in Table 5</w:t>
      </w:r>
      <w:r w:rsidR="00682467">
        <w:rPr>
          <w:rFonts w:cs="Times New Roman"/>
        </w:rPr>
        <w:t xml:space="preserve"> </w:t>
      </w:r>
      <w:r>
        <w:rPr>
          <w:rFonts w:cs="Times New Roman"/>
        </w:rPr>
        <w:t>below.</w:t>
      </w:r>
      <w:bookmarkStart w:id="19" w:name="_Ref462661789"/>
    </w:p>
    <w:p w14:paraId="6603B6CE" w14:textId="1386BF63" w:rsidR="00A527AF" w:rsidRDefault="00682467" w:rsidP="00D2628D">
      <w:pPr>
        <w:pStyle w:val="Caption"/>
      </w:pPr>
      <w:bookmarkStart w:id="20" w:name="_Toc465433430"/>
      <w:r>
        <w:t xml:space="preserve">Table </w:t>
      </w:r>
      <w:r w:rsidR="00FA6573">
        <w:fldChar w:fldCharType="begin"/>
      </w:r>
      <w:r w:rsidR="00FA6573">
        <w:instrText xml:space="preserve"> SEQ Table \* ARABIC </w:instrText>
      </w:r>
      <w:r w:rsidR="00FA6573">
        <w:fldChar w:fldCharType="separate"/>
      </w:r>
      <w:r w:rsidR="000637A3">
        <w:rPr>
          <w:noProof/>
        </w:rPr>
        <w:t>5</w:t>
      </w:r>
      <w:r w:rsidR="00FA6573">
        <w:rPr>
          <w:noProof/>
        </w:rPr>
        <w:fldChar w:fldCharType="end"/>
      </w:r>
      <w:bookmarkEnd w:id="19"/>
      <w:r>
        <w:t xml:space="preserve">: </w:t>
      </w:r>
      <w:r w:rsidR="00E85C49">
        <w:t xml:space="preserve">Simple Cycle </w:t>
      </w:r>
      <w:proofErr w:type="spellStart"/>
      <w:r>
        <w:t>A</w:t>
      </w:r>
      <w:r w:rsidRPr="003B4C27">
        <w:t>eroderivative</w:t>
      </w:r>
      <w:proofErr w:type="spellEnd"/>
      <w:r w:rsidRPr="003B4C27">
        <w:t xml:space="preserve"> </w:t>
      </w:r>
      <w:proofErr w:type="gramStart"/>
      <w:r w:rsidRPr="003B4C27">
        <w:t>GTs</w:t>
      </w:r>
      <w:bookmarkEnd w:id="20"/>
      <w:proofErr w:type="gramEnd"/>
    </w:p>
    <w:tbl>
      <w:tblPr>
        <w:tblStyle w:val="GridTable4-Accent33"/>
        <w:tblW w:w="0" w:type="auto"/>
        <w:tblLook w:val="04A0" w:firstRow="1" w:lastRow="0" w:firstColumn="1" w:lastColumn="0" w:noHBand="0" w:noVBand="1"/>
      </w:tblPr>
      <w:tblGrid>
        <w:gridCol w:w="2605"/>
        <w:gridCol w:w="6745"/>
      </w:tblGrid>
      <w:tr w:rsidR="00B57017" w:rsidRPr="00E85C49" w14:paraId="56514E2F" w14:textId="77777777" w:rsidTr="001436D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dxa"/>
            <w:vAlign w:val="center"/>
          </w:tcPr>
          <w:p w14:paraId="1287159F" w14:textId="2F26A79E" w:rsidR="00B57017" w:rsidRPr="009057C2" w:rsidRDefault="00B57017" w:rsidP="001436DC">
            <w:pPr>
              <w:jc w:val="left"/>
              <w:rPr>
                <w:rFonts w:ascii="Century Gothic" w:hAnsi="Century Gothic"/>
                <w:smallCaps w:val="0"/>
                <w:color w:val="000000" w:themeColor="text1"/>
                <w:sz w:val="18"/>
              </w:rPr>
            </w:pPr>
            <w:proofErr w:type="spellStart"/>
            <w:r w:rsidRPr="009057C2">
              <w:rPr>
                <w:rFonts w:ascii="Century Gothic" w:hAnsi="Century Gothic"/>
                <w:smallCaps w:val="0"/>
                <w:color w:val="000000" w:themeColor="text1"/>
                <w:sz w:val="18"/>
              </w:rPr>
              <w:t>Aeroderivative</w:t>
            </w:r>
            <w:proofErr w:type="spellEnd"/>
            <w:r w:rsidRPr="009057C2">
              <w:rPr>
                <w:rFonts w:ascii="Century Gothic" w:hAnsi="Century Gothic"/>
                <w:smallCaps w:val="0"/>
                <w:color w:val="000000" w:themeColor="text1"/>
                <w:sz w:val="18"/>
              </w:rPr>
              <w:t xml:space="preserve"> Technology</w:t>
            </w:r>
          </w:p>
        </w:tc>
        <w:tc>
          <w:tcPr>
            <w:tcW w:w="0" w:type="dxa"/>
            <w:vAlign w:val="center"/>
          </w:tcPr>
          <w:p w14:paraId="6355314D" w14:textId="77777777" w:rsidR="00B57017" w:rsidRPr="009057C2" w:rsidRDefault="00B5701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mallCaps w:val="0"/>
                <w:color w:val="000000" w:themeColor="text1"/>
                <w:sz w:val="18"/>
              </w:rPr>
            </w:pPr>
            <w:r w:rsidRPr="009057C2">
              <w:rPr>
                <w:rFonts w:ascii="Century Gothic" w:hAnsi="Century Gothic"/>
                <w:smallCaps w:val="0"/>
                <w:color w:val="000000" w:themeColor="text1"/>
                <w:sz w:val="18"/>
              </w:rPr>
              <w:t>Justification</w:t>
            </w:r>
          </w:p>
        </w:tc>
      </w:tr>
      <w:tr w:rsidR="00B57017" w:rsidRPr="00E85C49" w14:paraId="6B8AA127" w14:textId="77777777" w:rsidTr="00635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8313A8B" w14:textId="77777777" w:rsidR="00B57017" w:rsidRPr="00EE3048" w:rsidRDefault="00B57017" w:rsidP="00EE3048">
            <w:pPr>
              <w:spacing w:after="0"/>
              <w:jc w:val="center"/>
              <w:rPr>
                <w:rFonts w:ascii="Century Gothic" w:hAnsi="Century Gothic"/>
                <w:sz w:val="16"/>
                <w:szCs w:val="16"/>
              </w:rPr>
            </w:pPr>
            <w:r w:rsidRPr="00EE3048">
              <w:rPr>
                <w:rFonts w:ascii="Century Gothic" w:hAnsi="Century Gothic"/>
                <w:sz w:val="16"/>
                <w:szCs w:val="16"/>
              </w:rPr>
              <w:t>GE LM6000PH and LM6000 PF+</w:t>
            </w:r>
          </w:p>
        </w:tc>
        <w:tc>
          <w:tcPr>
            <w:tcW w:w="6745" w:type="dxa"/>
          </w:tcPr>
          <w:p w14:paraId="639F9553" w14:textId="77777777" w:rsidR="00B57017" w:rsidRPr="005C6359" w:rsidRDefault="00B57017" w:rsidP="00456566">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5C6359">
              <w:t>One of the most widely installed machines in New England</w:t>
            </w:r>
          </w:p>
          <w:p w14:paraId="7C307F25" w14:textId="77777777" w:rsidR="00B57017" w:rsidRPr="005C6359" w:rsidRDefault="00B57017" w:rsidP="00456566">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5C6359">
              <w:t>Latest dry-cooled version</w:t>
            </w:r>
          </w:p>
        </w:tc>
      </w:tr>
      <w:tr w:rsidR="00B57017" w:rsidRPr="00E85C49" w14:paraId="206C9215" w14:textId="77777777" w:rsidTr="0063553A">
        <w:tc>
          <w:tcPr>
            <w:cnfStyle w:val="001000000000" w:firstRow="0" w:lastRow="0" w:firstColumn="1" w:lastColumn="0" w:oddVBand="0" w:evenVBand="0" w:oddHBand="0" w:evenHBand="0" w:firstRowFirstColumn="0" w:firstRowLastColumn="0" w:lastRowFirstColumn="0" w:lastRowLastColumn="0"/>
            <w:tcW w:w="2605" w:type="dxa"/>
            <w:vAlign w:val="center"/>
          </w:tcPr>
          <w:p w14:paraId="405558F8" w14:textId="77777777" w:rsidR="00B57017" w:rsidRPr="00EE3048" w:rsidRDefault="00B57017" w:rsidP="00EE3048">
            <w:pPr>
              <w:spacing w:after="0"/>
              <w:jc w:val="center"/>
              <w:rPr>
                <w:rFonts w:ascii="Century Gothic" w:hAnsi="Century Gothic"/>
                <w:sz w:val="16"/>
                <w:szCs w:val="16"/>
              </w:rPr>
            </w:pPr>
            <w:r w:rsidRPr="00EE3048">
              <w:rPr>
                <w:rFonts w:ascii="Century Gothic" w:hAnsi="Century Gothic"/>
                <w:sz w:val="16"/>
                <w:szCs w:val="16"/>
              </w:rPr>
              <w:t>LM2500</w:t>
            </w:r>
          </w:p>
        </w:tc>
        <w:tc>
          <w:tcPr>
            <w:tcW w:w="6745" w:type="dxa"/>
          </w:tcPr>
          <w:p w14:paraId="2542E90E" w14:textId="77777777" w:rsidR="00B57017" w:rsidRPr="005C6359" w:rsidRDefault="00B57017" w:rsidP="00456566">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5C6359">
              <w:t>High $/kW installed cost</w:t>
            </w:r>
          </w:p>
          <w:p w14:paraId="12F37217" w14:textId="3639FE1B" w:rsidR="00B57017" w:rsidRPr="005C6359" w:rsidRDefault="00B57017" w:rsidP="00456566">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5C6359">
              <w:t xml:space="preserve">Often utilized in </w:t>
            </w:r>
            <w:r w:rsidR="00E07A74">
              <w:t>combined heat and power</w:t>
            </w:r>
            <w:r w:rsidRPr="005C6359">
              <w:t xml:space="preserve"> or industrial process applications</w:t>
            </w:r>
          </w:p>
        </w:tc>
      </w:tr>
      <w:tr w:rsidR="00B57017" w:rsidRPr="00E85C49" w14:paraId="342AD8D9" w14:textId="77777777" w:rsidTr="00635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02CEC2D" w14:textId="77777777" w:rsidR="00B57017" w:rsidRPr="00EE3048" w:rsidRDefault="00B57017" w:rsidP="00EE3048">
            <w:pPr>
              <w:spacing w:after="0"/>
              <w:jc w:val="center"/>
              <w:rPr>
                <w:rFonts w:ascii="Century Gothic" w:hAnsi="Century Gothic"/>
                <w:sz w:val="16"/>
                <w:szCs w:val="16"/>
              </w:rPr>
            </w:pPr>
            <w:r w:rsidRPr="00EE3048">
              <w:rPr>
                <w:rFonts w:ascii="Century Gothic" w:hAnsi="Century Gothic"/>
                <w:sz w:val="16"/>
                <w:szCs w:val="16"/>
              </w:rPr>
              <w:t>Rolls Royce Trent</w:t>
            </w:r>
          </w:p>
        </w:tc>
        <w:tc>
          <w:tcPr>
            <w:tcW w:w="6745" w:type="dxa"/>
          </w:tcPr>
          <w:p w14:paraId="566D24D5" w14:textId="77777777" w:rsidR="00B57017" w:rsidRPr="005C6359" w:rsidRDefault="00B57017" w:rsidP="00456566">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5C6359">
              <w:t>Viable option to LM6000 family</w:t>
            </w:r>
          </w:p>
        </w:tc>
      </w:tr>
      <w:tr w:rsidR="00B57017" w:rsidRPr="00E85C49" w14:paraId="223113B1" w14:textId="77777777" w:rsidTr="0063553A">
        <w:tc>
          <w:tcPr>
            <w:cnfStyle w:val="001000000000" w:firstRow="0" w:lastRow="0" w:firstColumn="1" w:lastColumn="0" w:oddVBand="0" w:evenVBand="0" w:oddHBand="0" w:evenHBand="0" w:firstRowFirstColumn="0" w:firstRowLastColumn="0" w:lastRowFirstColumn="0" w:lastRowLastColumn="0"/>
            <w:tcW w:w="2605" w:type="dxa"/>
            <w:vAlign w:val="center"/>
          </w:tcPr>
          <w:p w14:paraId="6ACDBA0C" w14:textId="77777777" w:rsidR="00B57017" w:rsidRPr="00EE3048" w:rsidRDefault="00B57017" w:rsidP="00EE3048">
            <w:pPr>
              <w:spacing w:after="0"/>
              <w:jc w:val="center"/>
              <w:rPr>
                <w:rFonts w:ascii="Century Gothic" w:hAnsi="Century Gothic"/>
                <w:sz w:val="16"/>
                <w:szCs w:val="16"/>
              </w:rPr>
            </w:pPr>
            <w:r w:rsidRPr="00EE3048">
              <w:rPr>
                <w:rFonts w:ascii="Century Gothic" w:hAnsi="Century Gothic"/>
                <w:sz w:val="16"/>
                <w:szCs w:val="16"/>
              </w:rPr>
              <w:t xml:space="preserve">MHI Pratt &amp; Whitney FT8 </w:t>
            </w:r>
            <w:proofErr w:type="spellStart"/>
            <w:r w:rsidRPr="00EE3048">
              <w:rPr>
                <w:rFonts w:ascii="Century Gothic" w:hAnsi="Century Gothic"/>
                <w:sz w:val="16"/>
                <w:szCs w:val="16"/>
              </w:rPr>
              <w:t>Swiftpac</w:t>
            </w:r>
            <w:proofErr w:type="spellEnd"/>
          </w:p>
        </w:tc>
        <w:tc>
          <w:tcPr>
            <w:tcW w:w="6745" w:type="dxa"/>
          </w:tcPr>
          <w:p w14:paraId="7167478E" w14:textId="6BED41E1" w:rsidR="00B57017" w:rsidRPr="005C6359" w:rsidRDefault="00B57017" w:rsidP="00456566">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5C6359">
              <w:t>Less efficient machine with small N</w:t>
            </w:r>
            <w:r w:rsidR="00CC18E7" w:rsidRPr="005C6359">
              <w:t xml:space="preserve">ew </w:t>
            </w:r>
            <w:r w:rsidRPr="005C6359">
              <w:t>E</w:t>
            </w:r>
            <w:r w:rsidR="00CC18E7" w:rsidRPr="005C6359">
              <w:t>ngland</w:t>
            </w:r>
            <w:r w:rsidRPr="005C6359">
              <w:t xml:space="preserve"> installed base</w:t>
            </w:r>
          </w:p>
        </w:tc>
      </w:tr>
      <w:tr w:rsidR="00B57017" w:rsidRPr="00E85C49" w14:paraId="622895DE" w14:textId="77777777" w:rsidTr="00635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FCD1F94" w14:textId="77777777" w:rsidR="00B57017" w:rsidRPr="00EE3048" w:rsidRDefault="00B57017" w:rsidP="00EE3048">
            <w:pPr>
              <w:spacing w:after="0"/>
              <w:jc w:val="center"/>
              <w:rPr>
                <w:rFonts w:ascii="Century Gothic" w:hAnsi="Century Gothic"/>
                <w:sz w:val="16"/>
                <w:szCs w:val="16"/>
              </w:rPr>
            </w:pPr>
            <w:r w:rsidRPr="00EE3048">
              <w:rPr>
                <w:rFonts w:ascii="Century Gothic" w:hAnsi="Century Gothic"/>
                <w:sz w:val="16"/>
                <w:szCs w:val="16"/>
              </w:rPr>
              <w:t>Siemens SGT 800</w:t>
            </w:r>
          </w:p>
        </w:tc>
        <w:tc>
          <w:tcPr>
            <w:tcW w:w="6745" w:type="dxa"/>
          </w:tcPr>
          <w:p w14:paraId="0B41460A" w14:textId="77777777" w:rsidR="00B57017" w:rsidRPr="005C6359" w:rsidRDefault="00B57017" w:rsidP="00456566">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5C6359">
              <w:t>Efficient competitor to LM6000 and Trent with small installed base in NE</w:t>
            </w:r>
          </w:p>
        </w:tc>
      </w:tr>
      <w:tr w:rsidR="00B57017" w:rsidRPr="00E85C49" w14:paraId="2A3342BC" w14:textId="77777777" w:rsidTr="0063553A">
        <w:tc>
          <w:tcPr>
            <w:cnfStyle w:val="001000000000" w:firstRow="0" w:lastRow="0" w:firstColumn="1" w:lastColumn="0" w:oddVBand="0" w:evenVBand="0" w:oddHBand="0" w:evenHBand="0" w:firstRowFirstColumn="0" w:firstRowLastColumn="0" w:lastRowFirstColumn="0" w:lastRowLastColumn="0"/>
            <w:tcW w:w="2605" w:type="dxa"/>
            <w:vAlign w:val="center"/>
          </w:tcPr>
          <w:p w14:paraId="4A0A543E" w14:textId="77777777" w:rsidR="00B57017" w:rsidRPr="00EE3048" w:rsidRDefault="00B57017" w:rsidP="00EE3048">
            <w:pPr>
              <w:spacing w:after="0"/>
              <w:jc w:val="center"/>
              <w:rPr>
                <w:rFonts w:ascii="Century Gothic" w:hAnsi="Century Gothic"/>
                <w:sz w:val="16"/>
                <w:szCs w:val="16"/>
              </w:rPr>
            </w:pPr>
            <w:r w:rsidRPr="00EE3048">
              <w:rPr>
                <w:rFonts w:ascii="Century Gothic" w:hAnsi="Century Gothic"/>
                <w:sz w:val="16"/>
                <w:szCs w:val="16"/>
              </w:rPr>
              <w:t>Solar Titan 250</w:t>
            </w:r>
          </w:p>
        </w:tc>
        <w:tc>
          <w:tcPr>
            <w:tcW w:w="6745" w:type="dxa"/>
          </w:tcPr>
          <w:p w14:paraId="094EAC43" w14:textId="77777777" w:rsidR="00B57017" w:rsidRPr="005C6359" w:rsidRDefault="00B57017" w:rsidP="00456566">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5C6359">
              <w:t>Small machine with high heat rate and small installed base in NE</w:t>
            </w:r>
          </w:p>
        </w:tc>
      </w:tr>
      <w:tr w:rsidR="00B57017" w:rsidRPr="00E85C49" w14:paraId="11D5115D" w14:textId="77777777" w:rsidTr="00635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B93E936" w14:textId="77777777" w:rsidR="00B57017" w:rsidRPr="00EE3048" w:rsidRDefault="00B57017" w:rsidP="00EE3048">
            <w:pPr>
              <w:spacing w:after="0"/>
              <w:jc w:val="center"/>
              <w:rPr>
                <w:rFonts w:ascii="Century Gothic" w:hAnsi="Century Gothic"/>
                <w:sz w:val="16"/>
                <w:szCs w:val="16"/>
              </w:rPr>
            </w:pPr>
            <w:r w:rsidRPr="00EE3048">
              <w:rPr>
                <w:rFonts w:ascii="Century Gothic" w:hAnsi="Century Gothic"/>
                <w:sz w:val="16"/>
                <w:szCs w:val="16"/>
              </w:rPr>
              <w:t>GE LMS100PA</w:t>
            </w:r>
          </w:p>
        </w:tc>
        <w:tc>
          <w:tcPr>
            <w:tcW w:w="6745" w:type="dxa"/>
          </w:tcPr>
          <w:p w14:paraId="446677F6" w14:textId="69D62DBE" w:rsidR="00B57017" w:rsidRPr="005C6359" w:rsidRDefault="00B57017" w:rsidP="00456566">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5C6359">
              <w:t xml:space="preserve">Wet Cooled machine that is designed with some </w:t>
            </w:r>
            <w:proofErr w:type="spellStart"/>
            <w:r w:rsidRPr="005C6359">
              <w:t>aeroderivative</w:t>
            </w:r>
            <w:proofErr w:type="spellEnd"/>
            <w:r w:rsidRPr="005C6359">
              <w:t xml:space="preserve"> turbine sections and some frame machine sections</w:t>
            </w:r>
          </w:p>
          <w:p w14:paraId="2A14ECD0" w14:textId="77777777" w:rsidR="00B57017" w:rsidRPr="005C6359" w:rsidRDefault="00B57017" w:rsidP="00456566">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5C6359">
              <w:t xml:space="preserve">Only advanced </w:t>
            </w:r>
            <w:proofErr w:type="spellStart"/>
            <w:r w:rsidRPr="005C6359">
              <w:t>aeroderivative</w:t>
            </w:r>
            <w:proofErr w:type="spellEnd"/>
            <w:r w:rsidRPr="005C6359">
              <w:t xml:space="preserve"> machine available</w:t>
            </w:r>
          </w:p>
          <w:p w14:paraId="7FCDB63C" w14:textId="77777777" w:rsidR="00B57017" w:rsidRPr="005C6359" w:rsidRDefault="00B57017" w:rsidP="00456566">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5C6359">
              <w:t>Most efficient simple cycle gas turbine available</w:t>
            </w:r>
          </w:p>
        </w:tc>
      </w:tr>
    </w:tbl>
    <w:p w14:paraId="12F5777F" w14:textId="690651B7" w:rsidR="00A527AF" w:rsidRPr="008E234D" w:rsidRDefault="00A527AF" w:rsidP="001B2181">
      <w:pPr>
        <w:rPr>
          <w:rFonts w:asciiTheme="minorHAnsi" w:hAnsiTheme="minorHAnsi" w:cs="Times New Roman"/>
          <w:sz w:val="20"/>
          <w:szCs w:val="20"/>
        </w:rPr>
      </w:pPr>
    </w:p>
    <w:p w14:paraId="0624FA6A" w14:textId="0C7FD446" w:rsidR="0010725C" w:rsidRDefault="0010725C" w:rsidP="007964D6">
      <w:r>
        <w:t xml:space="preserve">As a result of the review of the above </w:t>
      </w:r>
      <w:proofErr w:type="spellStart"/>
      <w:r>
        <w:t>aeroderivative</w:t>
      </w:r>
      <w:proofErr w:type="spellEnd"/>
      <w:r>
        <w:t xml:space="preserve"> machines, we chose the GE LM6000PF+ and the GE LMS100 PA on which to conduct a full CONE/Net CONE evaluation.  These machines are currently installed in New England and represent a commercially acceptable and cost effective technology. </w:t>
      </w:r>
    </w:p>
    <w:p w14:paraId="6DF604FF" w14:textId="77777777" w:rsidR="00A527AF" w:rsidRPr="00012F91" w:rsidRDefault="00A527AF" w:rsidP="00A127DD">
      <w:r w:rsidRPr="00012F91">
        <w:t>Finally, for the combined cycle technologies, we considered the following key features:</w:t>
      </w:r>
    </w:p>
    <w:p w14:paraId="122A9DE1" w14:textId="77777777" w:rsidR="00A527AF" w:rsidRPr="00012F91" w:rsidRDefault="00A527AF" w:rsidP="009057C2">
      <w:pPr>
        <w:pStyle w:val="ListParagraph"/>
        <w:numPr>
          <w:ilvl w:val="1"/>
          <w:numId w:val="55"/>
        </w:numPr>
      </w:pPr>
      <w:r w:rsidRPr="00012F91">
        <w:t xml:space="preserve">Can provide reliable generation to the grid </w:t>
      </w:r>
    </w:p>
    <w:p w14:paraId="07F7824E" w14:textId="77777777" w:rsidR="00A527AF" w:rsidRPr="00012F91" w:rsidRDefault="00A527AF" w:rsidP="009057C2">
      <w:pPr>
        <w:pStyle w:val="ListParagraph"/>
        <w:numPr>
          <w:ilvl w:val="1"/>
          <w:numId w:val="55"/>
        </w:numPr>
      </w:pPr>
      <w:r w:rsidRPr="00012F91">
        <w:t xml:space="preserve">Can provide the best thermal efficiency available </w:t>
      </w:r>
    </w:p>
    <w:p w14:paraId="3D4E9B57" w14:textId="77777777" w:rsidR="00A527AF" w:rsidRPr="00012F91" w:rsidRDefault="00A527AF" w:rsidP="009057C2">
      <w:pPr>
        <w:pStyle w:val="ListParagraph"/>
        <w:numPr>
          <w:ilvl w:val="1"/>
          <w:numId w:val="55"/>
        </w:numPr>
      </w:pPr>
      <w:r w:rsidRPr="00012F91">
        <w:t>Utilizes the largest and most efficient gas turbine technology available for combined cycle applications</w:t>
      </w:r>
    </w:p>
    <w:p w14:paraId="0BAA2A81" w14:textId="77777777" w:rsidR="00A527AF" w:rsidRPr="00012F91" w:rsidRDefault="00A527AF" w:rsidP="009057C2">
      <w:pPr>
        <w:pStyle w:val="ListParagraph"/>
        <w:numPr>
          <w:ilvl w:val="1"/>
          <w:numId w:val="55"/>
        </w:numPr>
      </w:pPr>
      <w:r w:rsidRPr="00012F91">
        <w:t>Current frame designs are undergoing a step-change improvement in output and efficiency</w:t>
      </w:r>
    </w:p>
    <w:p w14:paraId="1A2D5ECC" w14:textId="77777777" w:rsidR="00A527AF" w:rsidRPr="00012F91" w:rsidRDefault="00A527AF" w:rsidP="009057C2">
      <w:pPr>
        <w:pStyle w:val="ListParagraph"/>
        <w:numPr>
          <w:ilvl w:val="1"/>
          <w:numId w:val="55"/>
        </w:numPr>
      </w:pPr>
      <w:r w:rsidRPr="00012F91">
        <w:t>Currently being installed in New England</w:t>
      </w:r>
    </w:p>
    <w:p w14:paraId="23E5AD82" w14:textId="77777777" w:rsidR="007964D6" w:rsidRDefault="007964D6">
      <w:pPr>
        <w:keepNext/>
        <w:keepLines/>
        <w:spacing w:line="240" w:lineRule="auto"/>
        <w:jc w:val="left"/>
        <w:rPr>
          <w:rFonts w:cs="Times New Roman"/>
        </w:rPr>
      </w:pPr>
    </w:p>
    <w:p w14:paraId="3EC565DD" w14:textId="6BC3F525" w:rsidR="005C6359" w:rsidRDefault="00A527AF" w:rsidP="001436DC">
      <w:pPr>
        <w:keepNext/>
        <w:keepLines/>
        <w:rPr>
          <w:b/>
        </w:rPr>
      </w:pPr>
      <w:r w:rsidRPr="00BF0EF0">
        <w:rPr>
          <w:rFonts w:cs="Times New Roman"/>
        </w:rPr>
        <w:t xml:space="preserve">The </w:t>
      </w:r>
      <w:r>
        <w:rPr>
          <w:rFonts w:cs="Times New Roman"/>
        </w:rPr>
        <w:t xml:space="preserve">Combined Cycle </w:t>
      </w:r>
      <w:r w:rsidRPr="00BF0EF0">
        <w:rPr>
          <w:rFonts w:cs="Times New Roman"/>
        </w:rPr>
        <w:t>GTs that</w:t>
      </w:r>
      <w:r>
        <w:rPr>
          <w:rFonts w:cs="Times New Roman"/>
        </w:rPr>
        <w:t xml:space="preserve"> were considered as candidate peaking technologies are shown in </w:t>
      </w:r>
      <w:r w:rsidR="00E07A74">
        <w:rPr>
          <w:rFonts w:cs="Times New Roman"/>
        </w:rPr>
        <w:t>Table 6</w:t>
      </w:r>
      <w:r w:rsidR="00F469A7" w:rsidRPr="00FE4C1F">
        <w:rPr>
          <w:rFonts w:cs="Times New Roman"/>
        </w:rPr>
        <w:t xml:space="preserve"> </w:t>
      </w:r>
      <w:r>
        <w:rPr>
          <w:rFonts w:cs="Times New Roman"/>
        </w:rPr>
        <w:t>below.</w:t>
      </w:r>
      <w:bookmarkStart w:id="21" w:name="_Ref462661952"/>
    </w:p>
    <w:p w14:paraId="0B12853F" w14:textId="77777777" w:rsidR="00FE4C1F" w:rsidRDefault="00FE4C1F">
      <w:pPr>
        <w:spacing w:after="160" w:line="259" w:lineRule="auto"/>
        <w:jc w:val="left"/>
        <w:rPr>
          <w:b/>
        </w:rPr>
      </w:pPr>
      <w:r>
        <w:rPr>
          <w:b/>
        </w:rPr>
        <w:br w:type="page"/>
      </w:r>
    </w:p>
    <w:p w14:paraId="193A2EA8" w14:textId="07999CA8" w:rsidR="00A527AF" w:rsidRPr="005C1163" w:rsidRDefault="00713AEB" w:rsidP="001436DC">
      <w:pPr>
        <w:keepNext/>
        <w:keepLines/>
        <w:spacing w:line="240" w:lineRule="auto"/>
        <w:jc w:val="center"/>
      </w:pPr>
      <w:bookmarkStart w:id="22" w:name="_Toc465433431"/>
      <w:r w:rsidRPr="005C1163">
        <w:rPr>
          <w:rFonts w:cs="Times New Roman"/>
          <w:b/>
          <w:iCs/>
          <w:szCs w:val="18"/>
        </w:rPr>
        <w:lastRenderedPageBreak/>
        <w:t xml:space="preserve">Table </w:t>
      </w:r>
      <w:r w:rsidR="00E61692" w:rsidRPr="001436DC">
        <w:rPr>
          <w:rFonts w:cs="Times New Roman"/>
          <w:b/>
          <w:iCs/>
          <w:szCs w:val="18"/>
        </w:rPr>
        <w:fldChar w:fldCharType="begin"/>
      </w:r>
      <w:r w:rsidR="00E61692" w:rsidRPr="005C1163">
        <w:rPr>
          <w:rFonts w:cs="Times New Roman"/>
          <w:b/>
          <w:iCs/>
          <w:szCs w:val="18"/>
        </w:rPr>
        <w:instrText xml:space="preserve"> SEQ Table \* ARABIC </w:instrText>
      </w:r>
      <w:r w:rsidR="00E61692" w:rsidRPr="001436DC">
        <w:rPr>
          <w:rFonts w:cs="Times New Roman"/>
          <w:b/>
          <w:iCs/>
          <w:szCs w:val="18"/>
        </w:rPr>
        <w:fldChar w:fldCharType="separate"/>
      </w:r>
      <w:r w:rsidR="000637A3">
        <w:rPr>
          <w:rFonts w:cs="Times New Roman"/>
          <w:b/>
          <w:iCs/>
          <w:noProof/>
          <w:szCs w:val="18"/>
        </w:rPr>
        <w:t>6</w:t>
      </w:r>
      <w:r w:rsidR="00E61692" w:rsidRPr="001436DC">
        <w:rPr>
          <w:rFonts w:cs="Times New Roman"/>
          <w:b/>
          <w:iCs/>
          <w:szCs w:val="18"/>
        </w:rPr>
        <w:fldChar w:fldCharType="end"/>
      </w:r>
      <w:bookmarkEnd w:id="21"/>
      <w:r w:rsidRPr="005C1163">
        <w:rPr>
          <w:rFonts w:cs="Times New Roman"/>
          <w:b/>
          <w:iCs/>
          <w:szCs w:val="18"/>
        </w:rPr>
        <w:t>: Combined Cycle GTs</w:t>
      </w:r>
      <w:bookmarkEnd w:id="22"/>
    </w:p>
    <w:tbl>
      <w:tblPr>
        <w:tblStyle w:val="GridTable4-Accent34"/>
        <w:tblW w:w="0" w:type="auto"/>
        <w:tblLook w:val="04A0" w:firstRow="1" w:lastRow="0" w:firstColumn="1" w:lastColumn="0" w:noHBand="0" w:noVBand="1"/>
      </w:tblPr>
      <w:tblGrid>
        <w:gridCol w:w="2049"/>
        <w:gridCol w:w="7527"/>
      </w:tblGrid>
      <w:tr w:rsidR="009C13EA" w:rsidRPr="00E85C49" w14:paraId="1A4DBFCC" w14:textId="77777777" w:rsidTr="001436D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FB390F" w14:textId="77777777" w:rsidR="009C13EA" w:rsidRPr="009057C2" w:rsidRDefault="009C13EA" w:rsidP="001436DC">
            <w:pPr>
              <w:jc w:val="center"/>
              <w:rPr>
                <w:rFonts w:ascii="Century Gothic" w:hAnsi="Century Gothic"/>
                <w:smallCaps w:val="0"/>
                <w:color w:val="000000" w:themeColor="text1"/>
                <w:sz w:val="18"/>
              </w:rPr>
            </w:pPr>
            <w:r w:rsidRPr="009057C2">
              <w:rPr>
                <w:rFonts w:ascii="Century Gothic" w:hAnsi="Century Gothic"/>
                <w:smallCaps w:val="0"/>
                <w:color w:val="000000" w:themeColor="text1"/>
                <w:sz w:val="18"/>
              </w:rPr>
              <w:t>Combined Cycle Frame Technology</w:t>
            </w:r>
          </w:p>
        </w:tc>
        <w:tc>
          <w:tcPr>
            <w:tcW w:w="0" w:type="auto"/>
            <w:vAlign w:val="center"/>
          </w:tcPr>
          <w:p w14:paraId="29C8E033" w14:textId="77777777" w:rsidR="009C13EA" w:rsidRPr="009057C2" w:rsidRDefault="009C13EA" w:rsidP="001436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mallCaps w:val="0"/>
                <w:color w:val="000000" w:themeColor="text1"/>
                <w:sz w:val="18"/>
              </w:rPr>
            </w:pPr>
            <w:r w:rsidRPr="009057C2">
              <w:rPr>
                <w:rFonts w:ascii="Century Gothic" w:hAnsi="Century Gothic"/>
                <w:smallCaps w:val="0"/>
                <w:color w:val="000000" w:themeColor="text1"/>
                <w:sz w:val="18"/>
              </w:rPr>
              <w:t>Justification</w:t>
            </w:r>
          </w:p>
        </w:tc>
      </w:tr>
      <w:tr w:rsidR="009C13EA" w:rsidRPr="00E85C49" w14:paraId="47DDE068" w14:textId="77777777" w:rsidTr="00EE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C3C296" w14:textId="77777777" w:rsidR="009C13EA" w:rsidRPr="00EE3048" w:rsidRDefault="009C13EA" w:rsidP="00EE3048">
            <w:pPr>
              <w:keepNext/>
              <w:keepLines/>
              <w:spacing w:after="0" w:line="240" w:lineRule="auto"/>
              <w:contextualSpacing/>
              <w:jc w:val="center"/>
              <w:rPr>
                <w:rFonts w:ascii="Century Gothic" w:hAnsi="Century Gothic" w:cstheme="minorHAnsi"/>
                <w:sz w:val="16"/>
                <w:szCs w:val="16"/>
              </w:rPr>
            </w:pPr>
            <w:r w:rsidRPr="00EE3048">
              <w:rPr>
                <w:rFonts w:ascii="Century Gothic" w:hAnsi="Century Gothic" w:cstheme="minorHAnsi"/>
                <w:sz w:val="16"/>
                <w:szCs w:val="16"/>
              </w:rPr>
              <w:t>GE7HA.02</w:t>
            </w:r>
          </w:p>
        </w:tc>
        <w:tc>
          <w:tcPr>
            <w:tcW w:w="0" w:type="auto"/>
          </w:tcPr>
          <w:p w14:paraId="780CC749" w14:textId="76942090" w:rsidR="009C13EA" w:rsidRPr="00FE4C1F" w:rsidRDefault="009C13EA">
            <w:pPr>
              <w:pStyle w:val="ListParagraph"/>
              <w:cnfStyle w:val="000000100000" w:firstRow="0" w:lastRow="0" w:firstColumn="0" w:lastColumn="0" w:oddVBand="0" w:evenVBand="0" w:oddHBand="1" w:evenHBand="0" w:firstRowFirstColumn="0" w:firstRowLastColumn="0" w:lastRowFirstColumn="0" w:lastRowLastColumn="0"/>
            </w:pPr>
            <w:r w:rsidRPr="00FE4C1F">
              <w:t>Latest air cooled large frame gas turbine</w:t>
            </w:r>
          </w:p>
          <w:p w14:paraId="1D4630B6" w14:textId="27C5C8DE" w:rsidR="009C13EA" w:rsidRPr="00FE4C1F" w:rsidRDefault="009C13EA">
            <w:pPr>
              <w:pStyle w:val="ListParagraph"/>
              <w:cnfStyle w:val="000000100000" w:firstRow="0" w:lastRow="0" w:firstColumn="0" w:lastColumn="0" w:oddVBand="0" w:evenVBand="0" w:oddHBand="1" w:evenHBand="0" w:firstRowFirstColumn="0" w:firstRowLastColumn="0" w:lastRowFirstColumn="0" w:lastRowLastColumn="0"/>
            </w:pPr>
            <w:r w:rsidRPr="00FE4C1F">
              <w:t xml:space="preserve">Highest </w:t>
            </w:r>
            <w:r w:rsidR="00E07A74">
              <w:t>o</w:t>
            </w:r>
            <w:r w:rsidRPr="00FE4C1F">
              <w:t>utput available for a Frame GT as of June 2016</w:t>
            </w:r>
          </w:p>
          <w:p w14:paraId="28C76CE4" w14:textId="49DEFFBD" w:rsidR="009C13EA" w:rsidRPr="00FE4C1F" w:rsidRDefault="009C13EA">
            <w:pPr>
              <w:pStyle w:val="ListParagraph"/>
              <w:cnfStyle w:val="000000100000" w:firstRow="0" w:lastRow="0" w:firstColumn="0" w:lastColumn="0" w:oddVBand="0" w:evenVBand="0" w:oddHBand="1" w:evenHBand="0" w:firstRowFirstColumn="0" w:firstRowLastColumn="0" w:lastRowFirstColumn="0" w:lastRowLastColumn="0"/>
            </w:pPr>
            <w:r w:rsidRPr="00FE4C1F">
              <w:t>Currently scheduled to be next in GE test rig</w:t>
            </w:r>
          </w:p>
          <w:p w14:paraId="05A93834" w14:textId="77777777" w:rsidR="009C13EA" w:rsidRPr="00FE4C1F" w:rsidRDefault="009C13EA" w:rsidP="00456566">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rsidRPr="00FE4C1F">
              <w:t>Performance guaranteed by GE</w:t>
            </w:r>
          </w:p>
        </w:tc>
      </w:tr>
      <w:tr w:rsidR="009C13EA" w:rsidRPr="00E85C49" w14:paraId="50A0DEE2" w14:textId="77777777" w:rsidTr="00EE3048">
        <w:tc>
          <w:tcPr>
            <w:cnfStyle w:val="001000000000" w:firstRow="0" w:lastRow="0" w:firstColumn="1" w:lastColumn="0" w:oddVBand="0" w:evenVBand="0" w:oddHBand="0" w:evenHBand="0" w:firstRowFirstColumn="0" w:firstRowLastColumn="0" w:lastRowFirstColumn="0" w:lastRowLastColumn="0"/>
            <w:tcW w:w="0" w:type="auto"/>
            <w:vAlign w:val="center"/>
          </w:tcPr>
          <w:p w14:paraId="25F6D47E" w14:textId="77777777" w:rsidR="009C13EA" w:rsidRPr="00EE3048" w:rsidRDefault="009C13EA" w:rsidP="00EE3048">
            <w:pPr>
              <w:keepNext/>
              <w:keepLines/>
              <w:spacing w:after="0" w:line="240" w:lineRule="auto"/>
              <w:contextualSpacing/>
              <w:jc w:val="center"/>
              <w:rPr>
                <w:rFonts w:ascii="Century Gothic" w:hAnsi="Century Gothic" w:cstheme="minorHAnsi"/>
                <w:sz w:val="16"/>
                <w:szCs w:val="16"/>
              </w:rPr>
            </w:pPr>
            <w:r w:rsidRPr="00EE3048">
              <w:rPr>
                <w:rFonts w:ascii="Century Gothic" w:hAnsi="Century Gothic" w:cstheme="minorHAnsi"/>
                <w:sz w:val="16"/>
                <w:szCs w:val="16"/>
              </w:rPr>
              <w:t>GE 7HA.01</w:t>
            </w:r>
          </w:p>
        </w:tc>
        <w:tc>
          <w:tcPr>
            <w:tcW w:w="0" w:type="auto"/>
          </w:tcPr>
          <w:p w14:paraId="0942B008" w14:textId="7F8C8868" w:rsidR="009C13EA" w:rsidRPr="00FE4C1F" w:rsidRDefault="009C13EA" w:rsidP="00456566">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FE4C1F">
              <w:t>Currently offered for sale, but expected to be replaced by the 7HA.02 due to improvements in capacity and efficiency</w:t>
            </w:r>
            <w:r w:rsidRPr="00FE4C1F">
              <w:tab/>
            </w:r>
          </w:p>
          <w:p w14:paraId="5E67D69B" w14:textId="37D7F789" w:rsidR="00E85C49" w:rsidRPr="00FE4C1F" w:rsidRDefault="009C13EA" w:rsidP="00456566">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FE4C1F">
              <w:t>In operation now</w:t>
            </w:r>
          </w:p>
        </w:tc>
      </w:tr>
      <w:tr w:rsidR="009C13EA" w:rsidRPr="00E85C49" w14:paraId="3B7E48D0" w14:textId="77777777" w:rsidTr="00EE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93777E" w14:textId="77777777" w:rsidR="009C13EA" w:rsidRPr="00EE3048" w:rsidRDefault="009C13EA" w:rsidP="00EE3048">
            <w:pPr>
              <w:keepNext/>
              <w:keepLines/>
              <w:spacing w:after="0" w:line="240" w:lineRule="auto"/>
              <w:contextualSpacing/>
              <w:jc w:val="center"/>
              <w:rPr>
                <w:rFonts w:ascii="Century Gothic" w:hAnsi="Century Gothic" w:cstheme="minorHAnsi"/>
                <w:sz w:val="16"/>
                <w:szCs w:val="16"/>
              </w:rPr>
            </w:pPr>
            <w:r w:rsidRPr="00EE3048">
              <w:rPr>
                <w:rFonts w:ascii="Century Gothic" w:hAnsi="Century Gothic" w:cstheme="minorHAnsi"/>
                <w:sz w:val="16"/>
                <w:szCs w:val="16"/>
              </w:rPr>
              <w:t>GE 7FA - .04 thru.06</w:t>
            </w:r>
          </w:p>
        </w:tc>
        <w:tc>
          <w:tcPr>
            <w:tcW w:w="0" w:type="auto"/>
          </w:tcPr>
          <w:p w14:paraId="225BEC20" w14:textId="515B4A53" w:rsidR="004461BE" w:rsidRPr="00FE4C1F" w:rsidRDefault="009C13EA" w:rsidP="00456566">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FE4C1F">
              <w:t>Will continue to be offered for sale, but are smaller and less efficient than the 7HA.02 technologies</w:t>
            </w:r>
          </w:p>
        </w:tc>
      </w:tr>
      <w:tr w:rsidR="009C13EA" w:rsidRPr="00E85C49" w14:paraId="1963F974" w14:textId="77777777" w:rsidTr="00EE3048">
        <w:tc>
          <w:tcPr>
            <w:cnfStyle w:val="001000000000" w:firstRow="0" w:lastRow="0" w:firstColumn="1" w:lastColumn="0" w:oddVBand="0" w:evenVBand="0" w:oddHBand="0" w:evenHBand="0" w:firstRowFirstColumn="0" w:firstRowLastColumn="0" w:lastRowFirstColumn="0" w:lastRowLastColumn="0"/>
            <w:tcW w:w="0" w:type="auto"/>
            <w:vAlign w:val="center"/>
          </w:tcPr>
          <w:p w14:paraId="76BC2E73" w14:textId="77777777" w:rsidR="009C13EA" w:rsidRPr="00EE3048" w:rsidRDefault="009C13EA" w:rsidP="00EE3048">
            <w:pPr>
              <w:keepNext/>
              <w:keepLines/>
              <w:spacing w:after="0" w:line="240" w:lineRule="auto"/>
              <w:contextualSpacing/>
              <w:jc w:val="center"/>
              <w:rPr>
                <w:rFonts w:ascii="Century Gothic" w:hAnsi="Century Gothic" w:cstheme="minorHAnsi"/>
                <w:sz w:val="16"/>
                <w:szCs w:val="16"/>
              </w:rPr>
            </w:pPr>
            <w:r w:rsidRPr="00EE3048">
              <w:rPr>
                <w:rFonts w:ascii="Century Gothic" w:hAnsi="Century Gothic" w:cstheme="minorHAnsi"/>
                <w:sz w:val="16"/>
                <w:szCs w:val="16"/>
              </w:rPr>
              <w:t>Siemens 8000H</w:t>
            </w:r>
          </w:p>
        </w:tc>
        <w:tc>
          <w:tcPr>
            <w:tcW w:w="0" w:type="auto"/>
          </w:tcPr>
          <w:p w14:paraId="2C4ED848" w14:textId="0D4A8088" w:rsidR="009C13EA" w:rsidRPr="00FE4C1F" w:rsidRDefault="009C13EA" w:rsidP="00456566">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FE4C1F">
              <w:t>Largest installed experience for large frame gas turbines</w:t>
            </w:r>
          </w:p>
          <w:p w14:paraId="67CC0836" w14:textId="61E00A9E" w:rsidR="004461BE" w:rsidRPr="00FE4C1F" w:rsidRDefault="009C13EA" w:rsidP="00456566">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FE4C1F">
              <w:t>Smaller and less efficient than GE’s or MHI’s latest technology machines</w:t>
            </w:r>
          </w:p>
        </w:tc>
      </w:tr>
      <w:tr w:rsidR="009C13EA" w:rsidRPr="00E85C49" w14:paraId="0EBCA978" w14:textId="77777777" w:rsidTr="00EE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6597F5" w14:textId="77777777" w:rsidR="009C13EA" w:rsidRPr="00EE3048" w:rsidRDefault="009C13EA" w:rsidP="00EE3048">
            <w:pPr>
              <w:keepNext/>
              <w:keepLines/>
              <w:spacing w:after="0" w:line="240" w:lineRule="auto"/>
              <w:contextualSpacing/>
              <w:jc w:val="center"/>
              <w:rPr>
                <w:rFonts w:ascii="Century Gothic" w:hAnsi="Century Gothic" w:cstheme="minorHAnsi"/>
                <w:sz w:val="16"/>
                <w:szCs w:val="16"/>
              </w:rPr>
            </w:pPr>
            <w:r w:rsidRPr="00EE3048">
              <w:rPr>
                <w:rFonts w:ascii="Century Gothic" w:hAnsi="Century Gothic" w:cstheme="minorHAnsi"/>
                <w:sz w:val="16"/>
                <w:szCs w:val="16"/>
              </w:rPr>
              <w:t>Siemens 8000J? – New machine not officially named yet</w:t>
            </w:r>
          </w:p>
        </w:tc>
        <w:tc>
          <w:tcPr>
            <w:tcW w:w="0" w:type="auto"/>
          </w:tcPr>
          <w:p w14:paraId="73834A0C" w14:textId="0B05C9F5" w:rsidR="009C13EA" w:rsidRPr="00FE4C1F" w:rsidRDefault="009C13EA" w:rsidP="00456566">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FE4C1F">
              <w:t>Siemens is working on their next generation machine, but it is not yet available</w:t>
            </w:r>
          </w:p>
        </w:tc>
      </w:tr>
      <w:tr w:rsidR="009C13EA" w:rsidRPr="00E85C49" w14:paraId="36EE40AA" w14:textId="77777777" w:rsidTr="00EE3048">
        <w:tc>
          <w:tcPr>
            <w:cnfStyle w:val="001000000000" w:firstRow="0" w:lastRow="0" w:firstColumn="1" w:lastColumn="0" w:oddVBand="0" w:evenVBand="0" w:oddHBand="0" w:evenHBand="0" w:firstRowFirstColumn="0" w:firstRowLastColumn="0" w:lastRowFirstColumn="0" w:lastRowLastColumn="0"/>
            <w:tcW w:w="0" w:type="auto"/>
            <w:vAlign w:val="center"/>
          </w:tcPr>
          <w:p w14:paraId="76BE24DA" w14:textId="77777777" w:rsidR="009C13EA" w:rsidRPr="00EE3048" w:rsidRDefault="009C13EA" w:rsidP="00EE3048">
            <w:pPr>
              <w:keepNext/>
              <w:keepLines/>
              <w:spacing w:after="0" w:line="240" w:lineRule="auto"/>
              <w:contextualSpacing/>
              <w:jc w:val="center"/>
              <w:rPr>
                <w:rFonts w:ascii="Century Gothic" w:hAnsi="Century Gothic" w:cstheme="minorHAnsi"/>
                <w:sz w:val="16"/>
                <w:szCs w:val="16"/>
              </w:rPr>
            </w:pPr>
            <w:r w:rsidRPr="00EE3048">
              <w:rPr>
                <w:rFonts w:ascii="Century Gothic" w:hAnsi="Century Gothic" w:cstheme="minorHAnsi"/>
                <w:sz w:val="16"/>
                <w:szCs w:val="16"/>
              </w:rPr>
              <w:t>Siemens F Class Machines</w:t>
            </w:r>
          </w:p>
        </w:tc>
        <w:tc>
          <w:tcPr>
            <w:tcW w:w="0" w:type="auto"/>
          </w:tcPr>
          <w:p w14:paraId="7798AB3D" w14:textId="08F57CCC" w:rsidR="00E85C49" w:rsidRPr="00FE4C1F" w:rsidRDefault="009C13EA" w:rsidP="00456566">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FE4C1F">
              <w:t xml:space="preserve">These are not expected to be available in the 2019-2020 time -frame  </w:t>
            </w:r>
          </w:p>
        </w:tc>
      </w:tr>
      <w:tr w:rsidR="009C13EA" w:rsidRPr="00E85C49" w14:paraId="217972CA" w14:textId="77777777" w:rsidTr="00EE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339D2F" w14:textId="77777777" w:rsidR="009C13EA" w:rsidRPr="00EE3048" w:rsidRDefault="009C13EA" w:rsidP="00EE3048">
            <w:pPr>
              <w:keepNext/>
              <w:keepLines/>
              <w:spacing w:after="0" w:line="240" w:lineRule="auto"/>
              <w:contextualSpacing/>
              <w:jc w:val="center"/>
              <w:rPr>
                <w:rFonts w:ascii="Century Gothic" w:hAnsi="Century Gothic" w:cstheme="minorHAnsi"/>
                <w:sz w:val="16"/>
                <w:szCs w:val="16"/>
              </w:rPr>
            </w:pPr>
            <w:r w:rsidRPr="00EE3048">
              <w:rPr>
                <w:rFonts w:ascii="Century Gothic" w:hAnsi="Century Gothic" w:cstheme="minorHAnsi"/>
                <w:sz w:val="16"/>
                <w:szCs w:val="16"/>
              </w:rPr>
              <w:t>MHI M501J and JAC1</w:t>
            </w:r>
          </w:p>
        </w:tc>
        <w:tc>
          <w:tcPr>
            <w:tcW w:w="0" w:type="auto"/>
          </w:tcPr>
          <w:p w14:paraId="702215B3" w14:textId="7B806A8C" w:rsidR="009C13EA" w:rsidRPr="00FE4C1F" w:rsidRDefault="009C13EA" w:rsidP="00456566">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FE4C1F">
              <w:t>M501J is a steam cooled large frame gas turbine</w:t>
            </w:r>
          </w:p>
          <w:p w14:paraId="66A75728" w14:textId="77777777" w:rsidR="009C13EA" w:rsidRPr="00FE4C1F" w:rsidRDefault="009C13EA" w:rsidP="00456566">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FE4C1F">
              <w:t>Slightly lower capacity than the M501JAC1, but with equal heat rate</w:t>
            </w:r>
          </w:p>
          <w:p w14:paraId="3CC77F5C" w14:textId="77777777" w:rsidR="009C13EA" w:rsidRPr="00FE4C1F" w:rsidRDefault="009C13EA" w:rsidP="00456566">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FE4C1F">
              <w:t>M501JAC1</w:t>
            </w:r>
          </w:p>
          <w:p w14:paraId="4C6DC07E" w14:textId="77777777" w:rsidR="009C13EA" w:rsidRPr="00FE4C1F" w:rsidRDefault="009C13EA" w:rsidP="00456566">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FE4C1F">
              <w:t>Best heat rate available for a large frame machine, comparable output to a GE7HA.02</w:t>
            </w:r>
          </w:p>
          <w:p w14:paraId="521713D2" w14:textId="78217CBD" w:rsidR="00E07A74" w:rsidRDefault="009C13EA" w:rsidP="00456566">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FE4C1F">
              <w:t>Utilizes an external compressor to provide additional cooling air</w:t>
            </w:r>
          </w:p>
          <w:p w14:paraId="297E73F9" w14:textId="37BB5C77" w:rsidR="009C13EA" w:rsidRPr="00FE4C1F" w:rsidRDefault="009C13EA" w:rsidP="00456566">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FE4C1F">
              <w:t>Currently in operation in MHI Tea Point facility in Takasago, Japan</w:t>
            </w:r>
          </w:p>
          <w:p w14:paraId="7333D4E5" w14:textId="77777777" w:rsidR="009C13EA" w:rsidRPr="00FE4C1F" w:rsidRDefault="009C13EA" w:rsidP="00456566">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FE4C1F">
              <w:t>Performance guaranteed by MHI</w:t>
            </w:r>
          </w:p>
          <w:p w14:paraId="267B534C" w14:textId="77777777" w:rsidR="009C13EA" w:rsidRPr="00FE4C1F" w:rsidRDefault="009C13EA" w:rsidP="00456566">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FE4C1F">
              <w:t>M501JAC</w:t>
            </w:r>
          </w:p>
          <w:p w14:paraId="34737686" w14:textId="29D71A2C" w:rsidR="009C13EA" w:rsidRPr="00210BEC" w:rsidRDefault="00A44117" w:rsidP="001436DC">
            <w:pPr>
              <w:pStyle w:val="ListParagraph"/>
              <w:numPr>
                <w:ilvl w:val="1"/>
                <w:numId w:val="17"/>
              </w:numPr>
              <w:cnfStyle w:val="000000100000" w:firstRow="0" w:lastRow="0" w:firstColumn="0" w:lastColumn="0" w:oddVBand="0" w:evenVBand="0" w:oddHBand="1" w:evenHBand="0" w:firstRowFirstColumn="0" w:firstRowLastColumn="0" w:lastRowFirstColumn="0" w:lastRowLastColumn="0"/>
              <w:rPr>
                <w:rFonts w:cstheme="minorHAnsi"/>
                <w:szCs w:val="16"/>
              </w:rPr>
            </w:pPr>
            <w:r>
              <w:t>C</w:t>
            </w:r>
            <w:r w:rsidR="009C13EA" w:rsidRPr="00FE4C1F">
              <w:t>urrent development machine that are available for purchase if you negotiate with MHI</w:t>
            </w:r>
          </w:p>
          <w:p w14:paraId="3A60751B" w14:textId="740633C1" w:rsidR="00A44117" w:rsidRPr="007964D6" w:rsidRDefault="00A44117" w:rsidP="001436DC">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FE4C1F">
              <w:t>Smaller, more expensive from an installed $/kW perspective, small installed base in United States, and New England in particular.  Heat Rate significantly worse than larger frame machines, driving installed $/kW costs higher</w:t>
            </w:r>
          </w:p>
        </w:tc>
      </w:tr>
      <w:tr w:rsidR="009C13EA" w:rsidRPr="00E85C49" w14:paraId="787E4090" w14:textId="77777777" w:rsidTr="00EE3048">
        <w:tc>
          <w:tcPr>
            <w:cnfStyle w:val="001000000000" w:firstRow="0" w:lastRow="0" w:firstColumn="1" w:lastColumn="0" w:oddVBand="0" w:evenVBand="0" w:oddHBand="0" w:evenHBand="0" w:firstRowFirstColumn="0" w:firstRowLastColumn="0" w:lastRowFirstColumn="0" w:lastRowLastColumn="0"/>
            <w:tcW w:w="0" w:type="auto"/>
            <w:vAlign w:val="center"/>
          </w:tcPr>
          <w:p w14:paraId="4B356B06" w14:textId="77777777" w:rsidR="009C13EA" w:rsidRPr="00EE3048" w:rsidRDefault="009C13EA" w:rsidP="00EE3048">
            <w:pPr>
              <w:keepNext/>
              <w:keepLines/>
              <w:spacing w:after="0" w:line="240" w:lineRule="auto"/>
              <w:contextualSpacing/>
              <w:jc w:val="center"/>
              <w:rPr>
                <w:rFonts w:ascii="Century Gothic" w:hAnsi="Century Gothic" w:cstheme="minorHAnsi"/>
                <w:sz w:val="16"/>
                <w:szCs w:val="16"/>
              </w:rPr>
            </w:pPr>
            <w:r w:rsidRPr="00EE3048">
              <w:rPr>
                <w:rFonts w:ascii="Century Gothic" w:hAnsi="Century Gothic" w:cstheme="minorHAnsi"/>
                <w:sz w:val="16"/>
                <w:szCs w:val="16"/>
              </w:rPr>
              <w:t>Other frame machines</w:t>
            </w:r>
          </w:p>
        </w:tc>
        <w:tc>
          <w:tcPr>
            <w:tcW w:w="0" w:type="auto"/>
          </w:tcPr>
          <w:p w14:paraId="3DAC3B87" w14:textId="208B8DF8" w:rsidR="009C13EA" w:rsidRPr="00A44117" w:rsidRDefault="009C13EA" w:rsidP="00456566">
            <w:pPr>
              <w:pStyle w:val="ListParagraph"/>
              <w:cnfStyle w:val="000000000000" w:firstRow="0" w:lastRow="0" w:firstColumn="0" w:lastColumn="0" w:oddVBand="0" w:evenVBand="0" w:oddHBand="0" w:evenHBand="0" w:firstRowFirstColumn="0" w:firstRowLastColumn="0" w:lastRowFirstColumn="0" w:lastRowLastColumn="0"/>
            </w:pPr>
            <w:r w:rsidRPr="00A44117">
              <w:t>MHI/Hitachi HH100</w:t>
            </w:r>
            <w:r w:rsidR="00A44117" w:rsidRPr="00A44117">
              <w:t xml:space="preserve"> and </w:t>
            </w:r>
            <w:r w:rsidRPr="00A44117">
              <w:t>Alstom/GE GT-24</w:t>
            </w:r>
            <w:r w:rsidR="00A44117" w:rsidRPr="00A44117">
              <w:t xml:space="preserve"> </w:t>
            </w:r>
            <w:r w:rsidR="00A44117">
              <w:t>n</w:t>
            </w:r>
            <w:r w:rsidRPr="00A44117">
              <w:t>ot being marketed by GE in the U.S</w:t>
            </w:r>
            <w:r w:rsidR="00A44117">
              <w:t>.</w:t>
            </w:r>
          </w:p>
          <w:p w14:paraId="1374877B" w14:textId="77777777" w:rsidR="009C13EA" w:rsidRPr="00EE3048" w:rsidRDefault="009C13EA" w:rsidP="001436D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theme="minorHAnsi"/>
                <w:szCs w:val="16"/>
              </w:rPr>
            </w:pPr>
            <w:r w:rsidRPr="00EE3048">
              <w:t>Siemens SGT Family – Not a large installed base in New England, not aggressively marketed by Siemens</w:t>
            </w:r>
          </w:p>
        </w:tc>
      </w:tr>
    </w:tbl>
    <w:p w14:paraId="163D861F" w14:textId="77777777" w:rsidR="00B636AE" w:rsidRDefault="00B636AE" w:rsidP="00A527AF">
      <w:pPr>
        <w:rPr>
          <w:rFonts w:cs="Times New Roman"/>
        </w:rPr>
      </w:pPr>
    </w:p>
    <w:p w14:paraId="0000AD32" w14:textId="6D3B47C7" w:rsidR="00A527AF" w:rsidRDefault="00A527AF" w:rsidP="00251D41">
      <w:r>
        <w:t xml:space="preserve">As a result of the review of the above Combined Cycle GT options, we chose the GE 7HA.02 as the combined cycle turbine model on which to conduct a full CONE/Net CONE evaluation.  This machine is currently being installed in New England in a combined cycle configuration and therefore represents a commercially acceptable and cost effective technology. </w:t>
      </w:r>
    </w:p>
    <w:p w14:paraId="35010B64" w14:textId="08054AFB" w:rsidR="00A527AF" w:rsidRDefault="00A527AF" w:rsidP="00251D41">
      <w:r>
        <w:t>We have noted that a</w:t>
      </w:r>
      <w:r w:rsidRPr="00BF64E4">
        <w:t xml:space="preserve">ll </w:t>
      </w:r>
      <w:r>
        <w:t xml:space="preserve">of the generating resources that </w:t>
      </w:r>
      <w:r w:rsidRPr="00BF64E4">
        <w:t xml:space="preserve">underwent full evaluation utilize turbines developed by GE.  This is because GE clearly has most or </w:t>
      </w:r>
      <w:proofErr w:type="gramStart"/>
      <w:r w:rsidRPr="00BF64E4">
        <w:t>all of the</w:t>
      </w:r>
      <w:proofErr w:type="gramEnd"/>
      <w:r w:rsidRPr="00BF64E4">
        <w:t xml:space="preserve"> market share for new turbines being developed in New England</w:t>
      </w:r>
      <w:r w:rsidR="00CC18E7">
        <w:t xml:space="preserve"> at this time</w:t>
      </w:r>
      <w:r>
        <w:t xml:space="preserve">.  Other </w:t>
      </w:r>
      <w:r w:rsidRPr="00BF64E4">
        <w:t xml:space="preserve">gas-fired resources that use turbines from </w:t>
      </w:r>
      <w:r w:rsidRPr="00BF64E4">
        <w:lastRenderedPageBreak/>
        <w:t>other manufacturers were also considered</w:t>
      </w:r>
      <w:r>
        <w:t xml:space="preserve"> but were not fully evaluated since they did not reflect the level of activity in New England demonstrated by GE.</w:t>
      </w:r>
    </w:p>
    <w:p w14:paraId="041EC5F6" w14:textId="0884DE78" w:rsidR="00A527AF" w:rsidRDefault="00A527AF" w:rsidP="00251D41">
      <w:pPr>
        <w:rPr>
          <w:rFonts w:ascii="TimesNewRomanPSMT" w:hAnsi="TimesNewRomanPSMT"/>
          <w:color w:val="000000"/>
        </w:rPr>
      </w:pPr>
      <w:r>
        <w:rPr>
          <w:color w:val="000000"/>
        </w:rPr>
        <w:t xml:space="preserve">We applied the </w:t>
      </w:r>
      <w:r w:rsidRPr="003F3584">
        <w:rPr>
          <w:color w:val="000000"/>
        </w:rPr>
        <w:t xml:space="preserve">same </w:t>
      </w:r>
      <w:r w:rsidR="001A479C" w:rsidRPr="003F3584">
        <w:rPr>
          <w:color w:val="000000"/>
        </w:rPr>
        <w:t>screening</w:t>
      </w:r>
      <w:r w:rsidRPr="003F3584">
        <w:rPr>
          <w:color w:val="000000"/>
        </w:rPr>
        <w:t xml:space="preserve"> criteria</w:t>
      </w:r>
      <w:r w:rsidR="00A44117">
        <w:rPr>
          <w:color w:val="000000"/>
        </w:rPr>
        <w:t xml:space="preserve"> for consideration as a candidate reference technology</w:t>
      </w:r>
      <w:r>
        <w:rPr>
          <w:color w:val="000000"/>
        </w:rPr>
        <w:t xml:space="preserve"> to other resources that are currently participating in the FCM.  These resources did not pass our screening criteria, as shown in </w:t>
      </w:r>
      <w:r w:rsidR="00B636AE" w:rsidRPr="00B636AE">
        <w:rPr>
          <w:color w:val="000000"/>
        </w:rPr>
        <w:fldChar w:fldCharType="begin"/>
      </w:r>
      <w:r w:rsidR="00B636AE" w:rsidRPr="00B636AE">
        <w:rPr>
          <w:color w:val="000000"/>
        </w:rPr>
        <w:instrText xml:space="preserve"> REF _Ref462596815 \h </w:instrText>
      </w:r>
      <w:r w:rsidR="00B636AE">
        <w:rPr>
          <w:color w:val="000000"/>
        </w:rPr>
        <w:instrText xml:space="preserve"> \* MERGEFORMAT </w:instrText>
      </w:r>
      <w:r w:rsidR="00B636AE" w:rsidRPr="00B636AE">
        <w:rPr>
          <w:color w:val="000000"/>
        </w:rPr>
      </w:r>
      <w:r w:rsidR="00B636AE" w:rsidRPr="00B636AE">
        <w:rPr>
          <w:color w:val="000000"/>
        </w:rPr>
        <w:fldChar w:fldCharType="separate"/>
      </w:r>
      <w:r w:rsidR="006E2301">
        <w:t xml:space="preserve">Table </w:t>
      </w:r>
      <w:r w:rsidR="006E2301">
        <w:rPr>
          <w:noProof/>
        </w:rPr>
        <w:t>7</w:t>
      </w:r>
      <w:r w:rsidR="00B636AE" w:rsidRPr="00B636AE">
        <w:rPr>
          <w:color w:val="000000"/>
        </w:rPr>
        <w:fldChar w:fldCharType="end"/>
      </w:r>
      <w:r w:rsidR="00B636AE">
        <w:rPr>
          <w:color w:val="000000"/>
        </w:rPr>
        <w:t xml:space="preserve"> </w:t>
      </w:r>
      <w:r>
        <w:rPr>
          <w:color w:val="000000"/>
        </w:rPr>
        <w:t>below</w:t>
      </w:r>
      <w:r>
        <w:rPr>
          <w:rFonts w:ascii="TimesNewRomanPSMT" w:hAnsi="TimesNewRomanPSMT"/>
          <w:color w:val="000000"/>
        </w:rPr>
        <w:t>.</w:t>
      </w:r>
    </w:p>
    <w:p w14:paraId="2B9D2C56" w14:textId="63A66DD8" w:rsidR="00A527AF" w:rsidRPr="004E19C7" w:rsidRDefault="00A527AF" w:rsidP="00D2628D">
      <w:pPr>
        <w:pStyle w:val="Caption"/>
        <w:rPr>
          <w:color w:val="000000"/>
        </w:rPr>
      </w:pPr>
      <w:bookmarkStart w:id="23" w:name="_Ref462596815"/>
      <w:bookmarkStart w:id="24" w:name="_Toc465433432"/>
      <w:r>
        <w:t xml:space="preserve">Table </w:t>
      </w:r>
      <w:r w:rsidR="00FA6573">
        <w:fldChar w:fldCharType="begin"/>
      </w:r>
      <w:r w:rsidR="00FA6573">
        <w:instrText xml:space="preserve"> SEQ Table \* ARABIC </w:instrText>
      </w:r>
      <w:r w:rsidR="00FA6573">
        <w:fldChar w:fldCharType="separate"/>
      </w:r>
      <w:r w:rsidR="000637A3">
        <w:rPr>
          <w:noProof/>
        </w:rPr>
        <w:t>7</w:t>
      </w:r>
      <w:r w:rsidR="00FA6573">
        <w:rPr>
          <w:noProof/>
        </w:rPr>
        <w:fldChar w:fldCharType="end"/>
      </w:r>
      <w:bookmarkEnd w:id="23"/>
      <w:r>
        <w:t xml:space="preserve">: </w:t>
      </w:r>
      <w:r w:rsidRPr="00F34A7B">
        <w:rPr>
          <w:color w:val="000000"/>
        </w:rPr>
        <w:t>Resource Screening Results</w:t>
      </w:r>
      <w:bookmarkEnd w:id="24"/>
    </w:p>
    <w:tbl>
      <w:tblPr>
        <w:tblStyle w:val="GridTable4-Accent35"/>
        <w:tblW w:w="0" w:type="auto"/>
        <w:tblInd w:w="175" w:type="dxa"/>
        <w:tblLook w:val="0420" w:firstRow="1" w:lastRow="0" w:firstColumn="0" w:lastColumn="0" w:noHBand="0" w:noVBand="1"/>
      </w:tblPr>
      <w:tblGrid>
        <w:gridCol w:w="1141"/>
        <w:gridCol w:w="3873"/>
        <w:gridCol w:w="4387"/>
      </w:tblGrid>
      <w:tr w:rsidR="00BB0037" w:rsidRPr="004461BE" w14:paraId="35ECD622" w14:textId="77777777" w:rsidTr="00EE3048">
        <w:trPr>
          <w:cnfStyle w:val="100000000000" w:firstRow="1" w:lastRow="0" w:firstColumn="0" w:lastColumn="0" w:oddVBand="0" w:evenVBand="0" w:oddHBand="0" w:evenHBand="0" w:firstRowFirstColumn="0" w:firstRowLastColumn="0" w:lastRowFirstColumn="0" w:lastRowLastColumn="0"/>
          <w:trHeight w:val="432"/>
        </w:trPr>
        <w:tc>
          <w:tcPr>
            <w:tcW w:w="0" w:type="auto"/>
            <w:hideMark/>
          </w:tcPr>
          <w:p w14:paraId="1631AD80" w14:textId="77777777" w:rsidR="00BB0037" w:rsidRPr="00EE3048" w:rsidRDefault="00BB0037" w:rsidP="00BB0037">
            <w:pPr>
              <w:keepNext/>
              <w:keepLines/>
              <w:spacing w:before="100" w:beforeAutospacing="1" w:line="240" w:lineRule="auto"/>
              <w:contextualSpacing/>
              <w:jc w:val="center"/>
              <w:rPr>
                <w:rFonts w:ascii="Century Gothic" w:eastAsia="Times New Roman" w:hAnsi="Century Gothic" w:cs="Times New Roman"/>
                <w:sz w:val="20"/>
                <w:szCs w:val="20"/>
              </w:rPr>
            </w:pPr>
          </w:p>
        </w:tc>
        <w:tc>
          <w:tcPr>
            <w:tcW w:w="0" w:type="auto"/>
            <w:vAlign w:val="center"/>
            <w:hideMark/>
          </w:tcPr>
          <w:p w14:paraId="0AD9BC54" w14:textId="77777777" w:rsidR="00BB0037" w:rsidRPr="009057C2" w:rsidRDefault="00BB0037" w:rsidP="00A12D4D">
            <w:pPr>
              <w:keepNext/>
              <w:keepLines/>
              <w:spacing w:before="100" w:beforeAutospacing="1" w:line="240" w:lineRule="auto"/>
              <w:contextualSpacing/>
              <w:jc w:val="center"/>
              <w:rPr>
                <w:rFonts w:ascii="Century Gothic" w:eastAsia="Times New Roman" w:hAnsi="Century Gothic" w:cs="Arial"/>
                <w:smallCaps w:val="0"/>
                <w:color w:val="000000" w:themeColor="text1"/>
                <w:sz w:val="18"/>
                <w:szCs w:val="18"/>
              </w:rPr>
            </w:pPr>
            <w:r w:rsidRPr="009057C2">
              <w:rPr>
                <w:rFonts w:ascii="Century Gothic" w:eastAsia="MS PGothic" w:hAnsi="Century Gothic" w:cs="Arial"/>
                <w:smallCaps w:val="0"/>
                <w:color w:val="000000" w:themeColor="text1"/>
                <w:kern w:val="24"/>
                <w:sz w:val="18"/>
                <w:szCs w:val="18"/>
              </w:rPr>
              <w:t>Economic For Merchant Entry</w:t>
            </w:r>
          </w:p>
        </w:tc>
        <w:tc>
          <w:tcPr>
            <w:tcW w:w="0" w:type="auto"/>
            <w:vAlign w:val="center"/>
            <w:hideMark/>
          </w:tcPr>
          <w:p w14:paraId="5E1A982A" w14:textId="268EE402" w:rsidR="00BB0037" w:rsidRPr="009057C2" w:rsidRDefault="00BB0037">
            <w:pPr>
              <w:keepNext/>
              <w:keepLines/>
              <w:spacing w:before="100" w:beforeAutospacing="1" w:line="240" w:lineRule="auto"/>
              <w:contextualSpacing/>
              <w:jc w:val="center"/>
              <w:rPr>
                <w:rFonts w:ascii="Century Gothic" w:eastAsia="MS PGothic" w:hAnsi="Century Gothic" w:cs="Arial"/>
                <w:smallCaps w:val="0"/>
                <w:color w:val="000000" w:themeColor="text1"/>
                <w:kern w:val="24"/>
                <w:sz w:val="18"/>
                <w:szCs w:val="18"/>
              </w:rPr>
            </w:pPr>
            <w:r w:rsidRPr="009057C2">
              <w:rPr>
                <w:rFonts w:ascii="Century Gothic" w:eastAsia="MS PGothic" w:hAnsi="Century Gothic" w:cs="Arial"/>
                <w:smallCaps w:val="0"/>
                <w:color w:val="000000" w:themeColor="text1"/>
                <w:kern w:val="24"/>
                <w:sz w:val="18"/>
                <w:szCs w:val="18"/>
              </w:rPr>
              <w:t>Reliable Cost Information</w:t>
            </w:r>
          </w:p>
          <w:p w14:paraId="3D4C5F32" w14:textId="77777777" w:rsidR="00BB0037" w:rsidRPr="009057C2" w:rsidRDefault="00BB0037">
            <w:pPr>
              <w:keepNext/>
              <w:keepLines/>
              <w:spacing w:before="100" w:beforeAutospacing="1" w:line="240" w:lineRule="auto"/>
              <w:contextualSpacing/>
              <w:jc w:val="center"/>
              <w:rPr>
                <w:rFonts w:ascii="Century Gothic" w:eastAsia="Times New Roman" w:hAnsi="Century Gothic" w:cs="Arial"/>
                <w:smallCaps w:val="0"/>
                <w:color w:val="000000" w:themeColor="text1"/>
                <w:sz w:val="18"/>
                <w:szCs w:val="18"/>
              </w:rPr>
            </w:pPr>
            <w:r w:rsidRPr="009057C2">
              <w:rPr>
                <w:rFonts w:ascii="Century Gothic" w:eastAsia="MS PGothic" w:hAnsi="Century Gothic" w:cs="Arial"/>
                <w:smallCaps w:val="0"/>
                <w:color w:val="000000" w:themeColor="text1"/>
                <w:kern w:val="24"/>
                <w:sz w:val="18"/>
                <w:szCs w:val="18"/>
              </w:rPr>
              <w:t>for a Full Bottoms Up Approach</w:t>
            </w:r>
          </w:p>
        </w:tc>
      </w:tr>
      <w:tr w:rsidR="00BB0037" w:rsidRPr="004461BE" w14:paraId="743153E1" w14:textId="77777777" w:rsidTr="00FE4C1F">
        <w:trPr>
          <w:cnfStyle w:val="000000100000" w:firstRow="0" w:lastRow="0" w:firstColumn="0" w:lastColumn="0" w:oddVBand="0" w:evenVBand="0" w:oddHBand="1" w:evenHBand="0" w:firstRowFirstColumn="0" w:firstRowLastColumn="0" w:lastRowFirstColumn="0" w:lastRowLastColumn="0"/>
          <w:trHeight w:val="432"/>
        </w:trPr>
        <w:tc>
          <w:tcPr>
            <w:tcW w:w="0" w:type="auto"/>
            <w:vAlign w:val="center"/>
            <w:hideMark/>
          </w:tcPr>
          <w:p w14:paraId="59DFAF71" w14:textId="77777777" w:rsidR="00BB0037" w:rsidRPr="00EE3048" w:rsidRDefault="00BB0037" w:rsidP="00FE4C1F">
            <w:pPr>
              <w:keepNext/>
              <w:keepLines/>
              <w:spacing w:before="100" w:beforeAutospacing="1" w:line="240" w:lineRule="auto"/>
              <w:contextualSpacing/>
              <w:jc w:val="center"/>
              <w:rPr>
                <w:rFonts w:ascii="Century Gothic" w:eastAsia="Times New Roman" w:hAnsi="Century Gothic" w:cs="Arial"/>
                <w:b/>
                <w:sz w:val="18"/>
                <w:szCs w:val="20"/>
              </w:rPr>
            </w:pPr>
            <w:r w:rsidRPr="00EE3048">
              <w:rPr>
                <w:rFonts w:ascii="Century Gothic" w:eastAsia="MS PGothic" w:hAnsi="Century Gothic" w:cs="Arial"/>
                <w:b/>
                <w:color w:val="000000"/>
                <w:kern w:val="24"/>
                <w:sz w:val="18"/>
                <w:szCs w:val="20"/>
              </w:rPr>
              <w:t>On-Shore Wind</w:t>
            </w:r>
          </w:p>
        </w:tc>
        <w:tc>
          <w:tcPr>
            <w:tcW w:w="0" w:type="auto"/>
            <w:hideMark/>
          </w:tcPr>
          <w:p w14:paraId="755A5AC3" w14:textId="297D56E5" w:rsidR="00BB0037" w:rsidRPr="00EE3048" w:rsidRDefault="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 xml:space="preserve">Higher cost </w:t>
            </w:r>
            <w:r w:rsidR="00713261" w:rsidRPr="003F3584">
              <w:rPr>
                <w:rFonts w:ascii="Century Gothic" w:eastAsia="Calibri" w:hAnsi="Century Gothic" w:cs="Times New Roman"/>
                <w:sz w:val="18"/>
              </w:rPr>
              <w:t>than</w:t>
            </w:r>
            <w:r w:rsidRPr="00EE3048">
              <w:rPr>
                <w:rFonts w:ascii="Century Gothic" w:eastAsia="Calibri" w:hAnsi="Century Gothic" w:cs="Times New Roman"/>
                <w:sz w:val="18"/>
              </w:rPr>
              <w:t xml:space="preserve"> other CONE alternatives without a contract for output</w:t>
            </w:r>
          </w:p>
        </w:tc>
        <w:tc>
          <w:tcPr>
            <w:tcW w:w="0" w:type="auto"/>
            <w:hideMark/>
          </w:tcPr>
          <w:p w14:paraId="2658ED71"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Inconsistencies in project size and arrangement that differentiate projects.</w:t>
            </w:r>
          </w:p>
          <w:p w14:paraId="3C99D29B" w14:textId="24D219CB"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A “Standard Design” more than likely would not fit multiple projects</w:t>
            </w:r>
          </w:p>
        </w:tc>
      </w:tr>
      <w:tr w:rsidR="00BB0037" w:rsidRPr="004461BE" w14:paraId="23769E10" w14:textId="77777777" w:rsidTr="00FE4C1F">
        <w:trPr>
          <w:trHeight w:val="432"/>
        </w:trPr>
        <w:tc>
          <w:tcPr>
            <w:tcW w:w="0" w:type="auto"/>
            <w:vAlign w:val="center"/>
            <w:hideMark/>
          </w:tcPr>
          <w:p w14:paraId="236BDB32" w14:textId="77777777" w:rsidR="00BB0037" w:rsidRPr="00EE3048" w:rsidRDefault="00BB0037" w:rsidP="00FE4C1F">
            <w:pPr>
              <w:keepNext/>
              <w:keepLines/>
              <w:spacing w:before="100" w:beforeAutospacing="1" w:line="240" w:lineRule="auto"/>
              <w:contextualSpacing/>
              <w:jc w:val="center"/>
              <w:rPr>
                <w:rFonts w:ascii="Century Gothic" w:eastAsia="Times New Roman" w:hAnsi="Century Gothic" w:cs="Arial"/>
                <w:b/>
                <w:sz w:val="18"/>
                <w:szCs w:val="20"/>
              </w:rPr>
            </w:pPr>
            <w:r w:rsidRPr="00EE3048">
              <w:rPr>
                <w:rFonts w:ascii="Century Gothic" w:eastAsia="MS PGothic" w:hAnsi="Century Gothic" w:cs="Arial"/>
                <w:b/>
                <w:color w:val="000000"/>
                <w:kern w:val="24"/>
                <w:sz w:val="18"/>
                <w:szCs w:val="20"/>
              </w:rPr>
              <w:t>Off-Shore Wind</w:t>
            </w:r>
          </w:p>
        </w:tc>
        <w:tc>
          <w:tcPr>
            <w:tcW w:w="0" w:type="auto"/>
            <w:hideMark/>
          </w:tcPr>
          <w:p w14:paraId="7BC4DBC3"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Since no projects are in commercial operation in the US, the economics for merchant entry are unknown</w:t>
            </w:r>
          </w:p>
        </w:tc>
        <w:tc>
          <w:tcPr>
            <w:tcW w:w="0" w:type="auto"/>
            <w:hideMark/>
          </w:tcPr>
          <w:p w14:paraId="4A2FB66F"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Since no projects are in commercial operation in the US, there is insufficient data to perform a full analysis</w:t>
            </w:r>
          </w:p>
        </w:tc>
      </w:tr>
      <w:tr w:rsidR="00BB0037" w:rsidRPr="004461BE" w14:paraId="6F1AD02C" w14:textId="77777777" w:rsidTr="00FE4C1F">
        <w:trPr>
          <w:cnfStyle w:val="000000100000" w:firstRow="0" w:lastRow="0" w:firstColumn="0" w:lastColumn="0" w:oddVBand="0" w:evenVBand="0" w:oddHBand="1" w:evenHBand="0" w:firstRowFirstColumn="0" w:firstRowLastColumn="0" w:lastRowFirstColumn="0" w:lastRowLastColumn="0"/>
          <w:trHeight w:val="432"/>
        </w:trPr>
        <w:tc>
          <w:tcPr>
            <w:tcW w:w="0" w:type="auto"/>
            <w:vAlign w:val="center"/>
            <w:hideMark/>
          </w:tcPr>
          <w:p w14:paraId="189A8835" w14:textId="77777777" w:rsidR="00BB0037" w:rsidRPr="00EE3048" w:rsidRDefault="00BB0037" w:rsidP="00FE4C1F">
            <w:pPr>
              <w:keepNext/>
              <w:keepLines/>
              <w:spacing w:before="100" w:beforeAutospacing="1" w:line="240" w:lineRule="auto"/>
              <w:contextualSpacing/>
              <w:jc w:val="center"/>
              <w:rPr>
                <w:rFonts w:ascii="Century Gothic" w:eastAsia="Times New Roman" w:hAnsi="Century Gothic" w:cs="Arial"/>
                <w:b/>
                <w:sz w:val="18"/>
                <w:szCs w:val="20"/>
              </w:rPr>
            </w:pPr>
            <w:r w:rsidRPr="00EE3048">
              <w:rPr>
                <w:rFonts w:ascii="Century Gothic" w:eastAsia="MS PGothic" w:hAnsi="Century Gothic" w:cs="Arial"/>
                <w:b/>
                <w:color w:val="000000"/>
                <w:kern w:val="24"/>
                <w:sz w:val="18"/>
                <w:szCs w:val="20"/>
              </w:rPr>
              <w:t>Coal</w:t>
            </w:r>
          </w:p>
        </w:tc>
        <w:tc>
          <w:tcPr>
            <w:tcW w:w="0" w:type="auto"/>
            <w:hideMark/>
          </w:tcPr>
          <w:p w14:paraId="7B681C29"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Unlikely to be developed in New England</w:t>
            </w:r>
          </w:p>
        </w:tc>
        <w:tc>
          <w:tcPr>
            <w:tcW w:w="0" w:type="auto"/>
            <w:hideMark/>
          </w:tcPr>
          <w:p w14:paraId="640D58F6" w14:textId="77777777" w:rsidR="00BB0037" w:rsidRPr="00EE3048" w:rsidRDefault="00BB0037" w:rsidP="00BB0037">
            <w:pPr>
              <w:spacing w:line="240" w:lineRule="auto"/>
              <w:jc w:val="left"/>
              <w:rPr>
                <w:rFonts w:ascii="Century Gothic" w:eastAsia="Calibri" w:hAnsi="Century Gothic" w:cs="Times New Roman"/>
                <w:sz w:val="18"/>
              </w:rPr>
            </w:pPr>
          </w:p>
        </w:tc>
      </w:tr>
      <w:tr w:rsidR="00BB0037" w:rsidRPr="004461BE" w14:paraId="4BBD89FA" w14:textId="77777777" w:rsidTr="00FE4C1F">
        <w:trPr>
          <w:trHeight w:val="432"/>
        </w:trPr>
        <w:tc>
          <w:tcPr>
            <w:tcW w:w="0" w:type="auto"/>
            <w:vAlign w:val="center"/>
            <w:hideMark/>
          </w:tcPr>
          <w:p w14:paraId="72B11D05" w14:textId="77777777" w:rsidR="00BB0037" w:rsidRPr="00EE3048" w:rsidRDefault="00BB0037" w:rsidP="00FE4C1F">
            <w:pPr>
              <w:keepNext/>
              <w:keepLines/>
              <w:spacing w:before="100" w:beforeAutospacing="1" w:line="240" w:lineRule="auto"/>
              <w:contextualSpacing/>
              <w:jc w:val="center"/>
              <w:rPr>
                <w:rFonts w:ascii="Century Gothic" w:eastAsia="Times New Roman" w:hAnsi="Century Gothic" w:cs="Arial"/>
                <w:b/>
                <w:sz w:val="18"/>
                <w:szCs w:val="20"/>
              </w:rPr>
            </w:pPr>
            <w:r w:rsidRPr="00EE3048">
              <w:rPr>
                <w:rFonts w:ascii="Century Gothic" w:eastAsia="MS PGothic" w:hAnsi="Century Gothic" w:cs="Arial"/>
                <w:b/>
                <w:color w:val="000000"/>
                <w:kern w:val="24"/>
                <w:sz w:val="18"/>
                <w:szCs w:val="20"/>
              </w:rPr>
              <w:t>Nuclear</w:t>
            </w:r>
          </w:p>
        </w:tc>
        <w:tc>
          <w:tcPr>
            <w:tcW w:w="0" w:type="auto"/>
            <w:hideMark/>
          </w:tcPr>
          <w:p w14:paraId="0FB33E88"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Unlikely to be developed in New England</w:t>
            </w:r>
          </w:p>
        </w:tc>
        <w:tc>
          <w:tcPr>
            <w:tcW w:w="0" w:type="auto"/>
            <w:hideMark/>
          </w:tcPr>
          <w:p w14:paraId="6A72A8AB" w14:textId="77777777" w:rsidR="00BB0037" w:rsidRPr="00EE3048" w:rsidRDefault="00BB0037" w:rsidP="00BB0037">
            <w:pPr>
              <w:spacing w:line="240" w:lineRule="auto"/>
              <w:jc w:val="left"/>
              <w:rPr>
                <w:rFonts w:ascii="Century Gothic" w:eastAsia="Calibri" w:hAnsi="Century Gothic" w:cs="Times New Roman"/>
                <w:sz w:val="18"/>
              </w:rPr>
            </w:pPr>
          </w:p>
        </w:tc>
      </w:tr>
      <w:tr w:rsidR="00BB0037" w:rsidRPr="004461BE" w14:paraId="444F6704" w14:textId="77777777" w:rsidTr="00FE4C1F">
        <w:trPr>
          <w:cnfStyle w:val="000000100000" w:firstRow="0" w:lastRow="0" w:firstColumn="0" w:lastColumn="0" w:oddVBand="0" w:evenVBand="0" w:oddHBand="1" w:evenHBand="0" w:firstRowFirstColumn="0" w:firstRowLastColumn="0" w:lastRowFirstColumn="0" w:lastRowLastColumn="0"/>
          <w:trHeight w:val="432"/>
        </w:trPr>
        <w:tc>
          <w:tcPr>
            <w:tcW w:w="0" w:type="auto"/>
            <w:vAlign w:val="center"/>
            <w:hideMark/>
          </w:tcPr>
          <w:p w14:paraId="41631E34" w14:textId="77777777" w:rsidR="00BB0037" w:rsidRPr="00EE3048" w:rsidRDefault="00BB0037" w:rsidP="00FE4C1F">
            <w:pPr>
              <w:keepNext/>
              <w:keepLines/>
              <w:spacing w:before="100" w:beforeAutospacing="1" w:line="240" w:lineRule="auto"/>
              <w:contextualSpacing/>
              <w:jc w:val="center"/>
              <w:rPr>
                <w:rFonts w:ascii="Century Gothic" w:eastAsia="Times New Roman" w:hAnsi="Century Gothic" w:cs="Arial"/>
                <w:b/>
                <w:sz w:val="18"/>
                <w:szCs w:val="20"/>
              </w:rPr>
            </w:pPr>
            <w:r w:rsidRPr="00EE3048">
              <w:rPr>
                <w:rFonts w:ascii="Century Gothic" w:eastAsia="MS PGothic" w:hAnsi="Century Gothic" w:cs="Arial"/>
                <w:b/>
                <w:color w:val="000000"/>
                <w:kern w:val="24"/>
                <w:sz w:val="18"/>
                <w:szCs w:val="20"/>
              </w:rPr>
              <w:t>Solar</w:t>
            </w:r>
          </w:p>
        </w:tc>
        <w:tc>
          <w:tcPr>
            <w:tcW w:w="0" w:type="auto"/>
            <w:hideMark/>
          </w:tcPr>
          <w:p w14:paraId="128A7754"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Higher cost than other alternatives due to low solar irradiance and high land cost</w:t>
            </w:r>
          </w:p>
        </w:tc>
        <w:tc>
          <w:tcPr>
            <w:tcW w:w="0" w:type="auto"/>
            <w:hideMark/>
          </w:tcPr>
          <w:p w14:paraId="65107B19"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Current significant differences in costs and incentives result in inconsistent data</w:t>
            </w:r>
          </w:p>
        </w:tc>
      </w:tr>
      <w:tr w:rsidR="00BB0037" w:rsidRPr="004461BE" w14:paraId="1D3B1C81" w14:textId="77777777" w:rsidTr="00FE4C1F">
        <w:trPr>
          <w:trHeight w:val="432"/>
        </w:trPr>
        <w:tc>
          <w:tcPr>
            <w:tcW w:w="0" w:type="auto"/>
            <w:vAlign w:val="center"/>
            <w:hideMark/>
          </w:tcPr>
          <w:p w14:paraId="352FE4BD" w14:textId="77777777" w:rsidR="00BB0037" w:rsidRPr="00EE3048" w:rsidRDefault="00BB0037" w:rsidP="00FE4C1F">
            <w:pPr>
              <w:keepNext/>
              <w:keepLines/>
              <w:spacing w:before="100" w:beforeAutospacing="1" w:line="240" w:lineRule="auto"/>
              <w:contextualSpacing/>
              <w:jc w:val="center"/>
              <w:rPr>
                <w:rFonts w:ascii="Century Gothic" w:eastAsia="Times New Roman" w:hAnsi="Century Gothic" w:cs="Arial"/>
                <w:b/>
                <w:sz w:val="18"/>
                <w:szCs w:val="20"/>
              </w:rPr>
            </w:pPr>
            <w:r w:rsidRPr="00EE3048">
              <w:rPr>
                <w:rFonts w:ascii="Century Gothic" w:eastAsia="MS PGothic" w:hAnsi="Century Gothic" w:cs="Arial"/>
                <w:b/>
                <w:color w:val="000000"/>
                <w:kern w:val="24"/>
                <w:sz w:val="18"/>
                <w:szCs w:val="20"/>
              </w:rPr>
              <w:t>Large-Scale Battery</w:t>
            </w:r>
          </w:p>
        </w:tc>
        <w:tc>
          <w:tcPr>
            <w:tcW w:w="0" w:type="auto"/>
            <w:hideMark/>
          </w:tcPr>
          <w:p w14:paraId="0966E9CD"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Since no projects are in commercial operation in the US, the economics for merchant entry are unknown</w:t>
            </w:r>
          </w:p>
        </w:tc>
        <w:tc>
          <w:tcPr>
            <w:tcW w:w="0" w:type="auto"/>
            <w:hideMark/>
          </w:tcPr>
          <w:p w14:paraId="4C24075B" w14:textId="77777777" w:rsidR="00BB0037" w:rsidRPr="00EE3048" w:rsidRDefault="00BB0037" w:rsidP="00BB0037">
            <w:pPr>
              <w:numPr>
                <w:ilvl w:val="0"/>
                <w:numId w:val="42"/>
              </w:numPr>
              <w:spacing w:line="240" w:lineRule="auto"/>
              <w:contextualSpacing/>
              <w:jc w:val="left"/>
              <w:rPr>
                <w:rFonts w:ascii="Century Gothic" w:eastAsia="Calibri" w:hAnsi="Century Gothic" w:cs="Times New Roman"/>
                <w:sz w:val="18"/>
              </w:rPr>
            </w:pPr>
            <w:r w:rsidRPr="00EE3048">
              <w:rPr>
                <w:rFonts w:ascii="Century Gothic" w:eastAsia="Calibri" w:hAnsi="Century Gothic" w:cs="Times New Roman"/>
                <w:sz w:val="18"/>
              </w:rPr>
              <w:t>Since no projects are in commercial operation in the US, there is insufficient data to perform a full analysis</w:t>
            </w:r>
          </w:p>
        </w:tc>
      </w:tr>
    </w:tbl>
    <w:p w14:paraId="1F797C1A" w14:textId="244B07B1" w:rsidR="002E3795" w:rsidRDefault="00A96EE2" w:rsidP="00456566">
      <w:pPr>
        <w:pStyle w:val="Heading2"/>
      </w:pPr>
      <w:bookmarkStart w:id="25" w:name="_Toc468288311"/>
      <w:r>
        <w:t>Key Assumptions</w:t>
      </w:r>
      <w:bookmarkEnd w:id="25"/>
    </w:p>
    <w:p w14:paraId="1E3BEC1E" w14:textId="77777777" w:rsidR="00A527AF" w:rsidRPr="00BF64E4" w:rsidRDefault="00A527AF" w:rsidP="00867C2A">
      <w:r w:rsidRPr="00BF64E4">
        <w:t>General assumptions utilized in the CONE technology screening that are applicable to all technologies include assumptions regarding location, plant configuration, interconnections to the gas and electric distribution systems, dual fuel capability, and environmental control capabilities.  Each assumption is described below.</w:t>
      </w:r>
    </w:p>
    <w:p w14:paraId="7BDDED19" w14:textId="77777777" w:rsidR="00A527AF" w:rsidRPr="001471D0" w:rsidRDefault="00A527AF" w:rsidP="00A12D4D">
      <w:pPr>
        <w:pStyle w:val="Heading3"/>
      </w:pPr>
      <w:r w:rsidRPr="001471D0">
        <w:t>Location</w:t>
      </w:r>
    </w:p>
    <w:p w14:paraId="0BDDCCC0" w14:textId="15754A96" w:rsidR="00A527AF" w:rsidRPr="00BF64E4" w:rsidRDefault="00A527AF" w:rsidP="00A34EE4">
      <w:r w:rsidRPr="00BF64E4">
        <w:t xml:space="preserve">Locations were screened based on </w:t>
      </w:r>
      <w:r w:rsidR="0010725C">
        <w:t>two</w:t>
      </w:r>
      <w:r w:rsidR="0010725C" w:rsidRPr="00BF64E4">
        <w:t xml:space="preserve"> </w:t>
      </w:r>
      <w:r w:rsidRPr="00BF64E4">
        <w:t>primary criteria</w:t>
      </w:r>
      <w:r>
        <w:t xml:space="preserve">:  </w:t>
      </w:r>
      <w:proofErr w:type="spellStart"/>
      <w:r>
        <w:t>i</w:t>
      </w:r>
      <w:proofErr w:type="spellEnd"/>
      <w:r>
        <w:t>)</w:t>
      </w:r>
      <w:r w:rsidRPr="00BF64E4">
        <w:t xml:space="preserve"> locations where energy infrastructure already exists to allow ready access to the electric and gas distribution networks</w:t>
      </w:r>
      <w:r>
        <w:t xml:space="preserve">; </w:t>
      </w:r>
      <w:r w:rsidR="0010725C">
        <w:t xml:space="preserve">and </w:t>
      </w:r>
      <w:r>
        <w:t>ii)</w:t>
      </w:r>
      <w:r w:rsidRPr="00BF64E4">
        <w:t xml:space="preserve"> locations in which r</w:t>
      </w:r>
      <w:r>
        <w:t>etirements were likely to occur.  P</w:t>
      </w:r>
      <w:r w:rsidRPr="00BF64E4">
        <w:t>reference was given to locations meeting the first and second criteria that were located in close proximity to high-demand areas.</w:t>
      </w:r>
    </w:p>
    <w:p w14:paraId="57048E2E" w14:textId="479CE16B" w:rsidR="00A527AF" w:rsidRDefault="00A527AF">
      <w:r w:rsidRPr="00BF64E4">
        <w:t xml:space="preserve">Applying these criteria </w:t>
      </w:r>
      <w:r>
        <w:t xml:space="preserve">resulted in the identification of </w:t>
      </w:r>
      <w:r w:rsidRPr="00BF64E4">
        <w:t xml:space="preserve">Southeastern Connecticut and Bristol County, Massachusetts as likely candidates.  Because Bristol County has fewer projects in </w:t>
      </w:r>
      <w:r w:rsidRPr="00BF64E4">
        <w:lastRenderedPageBreak/>
        <w:t xml:space="preserve">development than </w:t>
      </w:r>
      <w:r w:rsidR="00A44117">
        <w:t xml:space="preserve">Southeastern </w:t>
      </w:r>
      <w:r w:rsidRPr="00BF64E4">
        <w:t>and because significant amounts of capacity are expected to retire in and around Bristol County,</w:t>
      </w:r>
      <w:r w:rsidR="00A44117">
        <w:t xml:space="preserve"> the Bristol County</w:t>
      </w:r>
      <w:r w:rsidRPr="00BF64E4">
        <w:t xml:space="preserve"> location was chosen for the CONE analysis.</w:t>
      </w:r>
      <w:r w:rsidRPr="00BF64E4">
        <w:rPr>
          <w:rStyle w:val="FootnoteReference"/>
          <w:rFonts w:cs="Times New Roman"/>
        </w:rPr>
        <w:footnoteReference w:id="3"/>
      </w:r>
    </w:p>
    <w:p w14:paraId="652F588D" w14:textId="66517E67" w:rsidR="00A73195" w:rsidRDefault="00A73195" w:rsidP="00EE3048">
      <w:pPr>
        <w:pStyle w:val="Heading3"/>
      </w:pPr>
      <w:r>
        <w:t>Greenfield versus Brownfield</w:t>
      </w:r>
    </w:p>
    <w:p w14:paraId="24341E57" w14:textId="121BF5FA" w:rsidR="00A73195" w:rsidRPr="00A73195" w:rsidRDefault="0097434E">
      <w:r>
        <w:t xml:space="preserve">Both </w:t>
      </w:r>
      <w:proofErr w:type="gramStart"/>
      <w:r>
        <w:t>greenfield</w:t>
      </w:r>
      <w:proofErr w:type="gramEnd"/>
      <w:r>
        <w:t xml:space="preserve"> and brownfield sites were considered since both sites are currently being developed in New England.  Due to the fact that brownfield sites are highly variable in terms of characteristics and the extent of the re-use of existing equipment, the ability to reasonably estimate development costs for brownfield sites was challenging and uncertain.  Therefore, we assumed that a new entrant would be located on a </w:t>
      </w:r>
      <w:proofErr w:type="gramStart"/>
      <w:r>
        <w:t>greenfield</w:t>
      </w:r>
      <w:proofErr w:type="gramEnd"/>
      <w:r>
        <w:t xml:space="preserve"> site. </w:t>
      </w:r>
    </w:p>
    <w:p w14:paraId="64CF6FE6" w14:textId="77777777" w:rsidR="00A527AF" w:rsidRPr="001471D0" w:rsidRDefault="00A527AF" w:rsidP="00A12D4D">
      <w:pPr>
        <w:pStyle w:val="Heading3"/>
      </w:pPr>
      <w:r w:rsidRPr="001471D0">
        <w:t>Plant Configuration</w:t>
      </w:r>
    </w:p>
    <w:p w14:paraId="0504A7B2" w14:textId="5BDC6C36" w:rsidR="00A527AF" w:rsidRPr="00BF64E4" w:rsidRDefault="00A527AF" w:rsidP="00251D41">
      <w:r w:rsidRPr="00BF64E4">
        <w:t xml:space="preserve">Projects being currently developed </w:t>
      </w:r>
      <w:r w:rsidR="000E1CEA">
        <w:t xml:space="preserve">in New England </w:t>
      </w:r>
      <w:r w:rsidRPr="00BF64E4">
        <w:t xml:space="preserve">provide </w:t>
      </w:r>
      <w:r w:rsidR="000E1CEA">
        <w:t xml:space="preserve">important data points on </w:t>
      </w:r>
      <w:r w:rsidRPr="00BF64E4">
        <w:t>plant configurations viewed as most viable by the market.  A sampling of recent gas-fired projects developed in New England is shown below.  Note that the</w:t>
      </w:r>
      <w:r w:rsidR="000E1CEA">
        <w:t>se</w:t>
      </w:r>
      <w:r w:rsidRPr="00BF64E4">
        <w:t xml:space="preserve"> projects </w:t>
      </w:r>
      <w:r w:rsidR="000E1CEA">
        <w:t xml:space="preserve">represent a </w:t>
      </w:r>
      <w:r w:rsidRPr="00BF64E4">
        <w:t xml:space="preserve">mix of </w:t>
      </w:r>
      <w:r w:rsidR="000E1CEA">
        <w:t xml:space="preserve">combined cycle and simple cycle technologies, </w:t>
      </w:r>
      <w:r w:rsidRPr="00BF64E4">
        <w:t>and all use turbines manufactured by GE. Additionally, all projects are located in Southern New England.</w:t>
      </w:r>
    </w:p>
    <w:p w14:paraId="191EFD19" w14:textId="3B2C2877" w:rsidR="00FE7D5C" w:rsidRPr="00FE7D5C" w:rsidRDefault="00A527AF" w:rsidP="00D2628D">
      <w:pPr>
        <w:pStyle w:val="Caption"/>
      </w:pPr>
      <w:bookmarkStart w:id="26" w:name="_Ref462406136"/>
      <w:bookmarkStart w:id="27" w:name="_Toc465433433"/>
      <w:r w:rsidRPr="00D63A2C">
        <w:t xml:space="preserve">Table </w:t>
      </w:r>
      <w:r w:rsidR="00FA6573">
        <w:fldChar w:fldCharType="begin"/>
      </w:r>
      <w:r w:rsidR="00FA6573">
        <w:instrText xml:space="preserve"> SEQ Table \* ARABIC </w:instrText>
      </w:r>
      <w:r w:rsidR="00FA6573">
        <w:fldChar w:fldCharType="separate"/>
      </w:r>
      <w:r w:rsidR="000637A3">
        <w:rPr>
          <w:noProof/>
        </w:rPr>
        <w:t>8</w:t>
      </w:r>
      <w:r w:rsidR="00FA6573">
        <w:rPr>
          <w:noProof/>
        </w:rPr>
        <w:fldChar w:fldCharType="end"/>
      </w:r>
      <w:bookmarkEnd w:id="26"/>
      <w:r>
        <w:t>:</w:t>
      </w:r>
      <w:r w:rsidRPr="00D63A2C">
        <w:t xml:space="preserve">  Recent Projects Developed in New England</w:t>
      </w:r>
      <w:r w:rsidRPr="00D63A2C">
        <w:rPr>
          <w:rStyle w:val="FootnoteReference"/>
          <w:b w:val="0"/>
          <w:szCs w:val="22"/>
        </w:rPr>
        <w:footnoteReference w:id="4"/>
      </w:r>
      <w:bookmarkEnd w:id="27"/>
    </w:p>
    <w:tbl>
      <w:tblPr>
        <w:tblStyle w:val="GridTable4-Accent32"/>
        <w:tblW w:w="0" w:type="auto"/>
        <w:tblLook w:val="04A0" w:firstRow="1" w:lastRow="0" w:firstColumn="1" w:lastColumn="0" w:noHBand="0" w:noVBand="1"/>
      </w:tblPr>
      <w:tblGrid>
        <w:gridCol w:w="1662"/>
        <w:gridCol w:w="631"/>
        <w:gridCol w:w="1577"/>
        <w:gridCol w:w="1641"/>
        <w:gridCol w:w="1387"/>
        <w:gridCol w:w="965"/>
        <w:gridCol w:w="1713"/>
      </w:tblGrid>
      <w:tr w:rsidR="00A44117" w:rsidRPr="004461BE" w14:paraId="6C7B1721" w14:textId="77777777" w:rsidTr="003F6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84D645D" w14:textId="77777777" w:rsidR="00A527AF" w:rsidRPr="001436DC" w:rsidRDefault="00A527AF" w:rsidP="008E234D">
            <w:pPr>
              <w:keepNext/>
              <w:keepLines/>
              <w:spacing w:before="100" w:beforeAutospacing="1" w:after="100" w:afterAutospacing="1"/>
              <w:jc w:val="center"/>
              <w:rPr>
                <w:rFonts w:ascii="Century Gothic" w:hAnsi="Century Gothic" w:cstheme="minorHAnsi"/>
                <w:color w:val="000000" w:themeColor="text1"/>
                <w:sz w:val="18"/>
                <w:szCs w:val="20"/>
              </w:rPr>
            </w:pPr>
            <w:r w:rsidRPr="001436DC">
              <w:rPr>
                <w:rFonts w:ascii="Century Gothic" w:hAnsi="Century Gothic" w:cstheme="minorHAnsi"/>
                <w:color w:val="000000" w:themeColor="text1"/>
                <w:sz w:val="18"/>
                <w:szCs w:val="20"/>
              </w:rPr>
              <w:t>Plant Name</w:t>
            </w:r>
          </w:p>
        </w:tc>
        <w:tc>
          <w:tcPr>
            <w:tcW w:w="0" w:type="auto"/>
            <w:vAlign w:val="bottom"/>
          </w:tcPr>
          <w:p w14:paraId="5C10227E" w14:textId="77777777" w:rsidR="00A527AF" w:rsidRPr="001436DC" w:rsidRDefault="00A527AF" w:rsidP="008E234D">
            <w:pPr>
              <w:keepNext/>
              <w:keepLine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18"/>
                <w:szCs w:val="20"/>
              </w:rPr>
            </w:pPr>
            <w:r w:rsidRPr="001436DC">
              <w:rPr>
                <w:rFonts w:ascii="Century Gothic" w:hAnsi="Century Gothic" w:cstheme="minorHAnsi"/>
                <w:color w:val="000000" w:themeColor="text1"/>
                <w:sz w:val="18"/>
                <w:szCs w:val="20"/>
              </w:rPr>
              <w:t>Type</w:t>
            </w:r>
          </w:p>
        </w:tc>
        <w:tc>
          <w:tcPr>
            <w:tcW w:w="0" w:type="auto"/>
            <w:vAlign w:val="bottom"/>
          </w:tcPr>
          <w:p w14:paraId="72082C63" w14:textId="4BA969FD" w:rsidR="00A527AF" w:rsidRPr="001436DC" w:rsidRDefault="00A44117" w:rsidP="008E234D">
            <w:pPr>
              <w:keepNext/>
              <w:keepLine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18"/>
                <w:szCs w:val="20"/>
              </w:rPr>
            </w:pPr>
            <w:r w:rsidRPr="001436DC">
              <w:rPr>
                <w:rFonts w:ascii="Century Gothic" w:hAnsi="Century Gothic" w:cstheme="minorHAnsi"/>
                <w:color w:val="000000" w:themeColor="text1"/>
                <w:sz w:val="18"/>
                <w:szCs w:val="20"/>
              </w:rPr>
              <w:t xml:space="preserve">Estimated </w:t>
            </w:r>
            <w:r w:rsidR="00A527AF" w:rsidRPr="001436DC">
              <w:rPr>
                <w:rFonts w:ascii="Century Gothic" w:hAnsi="Century Gothic" w:cstheme="minorHAnsi"/>
                <w:color w:val="000000" w:themeColor="text1"/>
                <w:sz w:val="18"/>
                <w:szCs w:val="20"/>
              </w:rPr>
              <w:t>In-Service Date</w:t>
            </w:r>
          </w:p>
        </w:tc>
        <w:tc>
          <w:tcPr>
            <w:tcW w:w="0" w:type="auto"/>
            <w:vAlign w:val="bottom"/>
          </w:tcPr>
          <w:p w14:paraId="3E9BD264" w14:textId="77777777" w:rsidR="00A527AF" w:rsidRPr="001436DC" w:rsidRDefault="00A527AF" w:rsidP="008E234D">
            <w:pPr>
              <w:keepNext/>
              <w:keepLine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18"/>
                <w:szCs w:val="20"/>
              </w:rPr>
            </w:pPr>
            <w:r w:rsidRPr="001436DC">
              <w:rPr>
                <w:rFonts w:ascii="Century Gothic" w:hAnsi="Century Gothic" w:cstheme="minorHAnsi"/>
                <w:color w:val="000000" w:themeColor="text1"/>
                <w:sz w:val="18"/>
                <w:szCs w:val="20"/>
              </w:rPr>
              <w:t>Turbine Manufacturer</w:t>
            </w:r>
          </w:p>
        </w:tc>
        <w:tc>
          <w:tcPr>
            <w:tcW w:w="0" w:type="auto"/>
            <w:vAlign w:val="bottom"/>
          </w:tcPr>
          <w:p w14:paraId="7AE32D0D" w14:textId="77777777" w:rsidR="00A527AF" w:rsidRPr="001436DC" w:rsidRDefault="00A527AF" w:rsidP="008E234D">
            <w:pPr>
              <w:keepNext/>
              <w:keepLine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18"/>
                <w:szCs w:val="20"/>
              </w:rPr>
            </w:pPr>
            <w:r w:rsidRPr="001436DC">
              <w:rPr>
                <w:rFonts w:ascii="Century Gothic" w:hAnsi="Century Gothic" w:cstheme="minorHAnsi"/>
                <w:color w:val="000000" w:themeColor="text1"/>
                <w:sz w:val="18"/>
                <w:szCs w:val="20"/>
              </w:rPr>
              <w:t>Turbine Type</w:t>
            </w:r>
          </w:p>
        </w:tc>
        <w:tc>
          <w:tcPr>
            <w:tcW w:w="0" w:type="auto"/>
            <w:vAlign w:val="bottom"/>
          </w:tcPr>
          <w:p w14:paraId="78444D0C" w14:textId="77777777" w:rsidR="00A527AF" w:rsidRPr="001436DC" w:rsidRDefault="00A527AF" w:rsidP="008E234D">
            <w:pPr>
              <w:keepNext/>
              <w:keepLine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18"/>
                <w:szCs w:val="20"/>
              </w:rPr>
            </w:pPr>
            <w:r w:rsidRPr="001436DC">
              <w:rPr>
                <w:rFonts w:ascii="Century Gothic" w:hAnsi="Century Gothic" w:cstheme="minorHAnsi"/>
                <w:color w:val="000000" w:themeColor="text1"/>
                <w:sz w:val="18"/>
                <w:szCs w:val="20"/>
              </w:rPr>
              <w:t>Location</w:t>
            </w:r>
          </w:p>
        </w:tc>
        <w:tc>
          <w:tcPr>
            <w:tcW w:w="0" w:type="auto"/>
            <w:vAlign w:val="bottom"/>
          </w:tcPr>
          <w:p w14:paraId="6F4CB2FA" w14:textId="77777777" w:rsidR="00A527AF" w:rsidRPr="001436DC" w:rsidRDefault="00A527AF" w:rsidP="008E234D">
            <w:pPr>
              <w:keepNext/>
              <w:keepLine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18"/>
                <w:szCs w:val="20"/>
              </w:rPr>
            </w:pPr>
            <w:r w:rsidRPr="001436DC">
              <w:rPr>
                <w:rFonts w:ascii="Century Gothic" w:hAnsi="Century Gothic" w:cstheme="minorHAnsi"/>
                <w:color w:val="000000" w:themeColor="text1"/>
                <w:sz w:val="18"/>
                <w:szCs w:val="20"/>
              </w:rPr>
              <w:t>Nameplate Capacity (MW)</w:t>
            </w:r>
          </w:p>
        </w:tc>
      </w:tr>
      <w:tr w:rsidR="00A44117" w:rsidRPr="004461BE" w14:paraId="76AB88F5" w14:textId="77777777" w:rsidTr="003F67F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3345FF" w14:textId="77777777" w:rsidR="00A527AF" w:rsidRPr="00EE3048" w:rsidRDefault="00A527AF" w:rsidP="008E234D">
            <w:pPr>
              <w:keepNext/>
              <w:keepLines/>
              <w:spacing w:before="100" w:beforeAutospacing="1" w:after="100" w:afterAutospacing="1"/>
              <w:jc w:val="left"/>
              <w:rPr>
                <w:rFonts w:ascii="Century Gothic" w:hAnsi="Century Gothic" w:cstheme="minorHAnsi"/>
                <w:sz w:val="18"/>
                <w:szCs w:val="20"/>
              </w:rPr>
            </w:pPr>
            <w:r w:rsidRPr="00EE3048">
              <w:rPr>
                <w:rFonts w:ascii="Century Gothic" w:hAnsi="Century Gothic" w:cstheme="minorHAnsi"/>
                <w:sz w:val="18"/>
                <w:szCs w:val="20"/>
              </w:rPr>
              <w:t>Salem Harbor</w:t>
            </w:r>
          </w:p>
        </w:tc>
        <w:tc>
          <w:tcPr>
            <w:tcW w:w="0" w:type="auto"/>
            <w:vAlign w:val="center"/>
          </w:tcPr>
          <w:p w14:paraId="4F112EF6"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CC</w:t>
            </w:r>
          </w:p>
        </w:tc>
        <w:tc>
          <w:tcPr>
            <w:tcW w:w="0" w:type="auto"/>
            <w:vAlign w:val="center"/>
          </w:tcPr>
          <w:p w14:paraId="61437FB6"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2017</w:t>
            </w:r>
          </w:p>
        </w:tc>
        <w:tc>
          <w:tcPr>
            <w:tcW w:w="0" w:type="auto"/>
            <w:vAlign w:val="center"/>
          </w:tcPr>
          <w:p w14:paraId="75875BFB"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GE</w:t>
            </w:r>
          </w:p>
        </w:tc>
        <w:tc>
          <w:tcPr>
            <w:tcW w:w="0" w:type="auto"/>
            <w:vAlign w:val="center"/>
          </w:tcPr>
          <w:p w14:paraId="64E0977B"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7F 5-series</w:t>
            </w:r>
          </w:p>
        </w:tc>
        <w:tc>
          <w:tcPr>
            <w:tcW w:w="0" w:type="auto"/>
            <w:vAlign w:val="center"/>
          </w:tcPr>
          <w:p w14:paraId="172027B9" w14:textId="2C75A3FC" w:rsidR="00A527AF" w:rsidRPr="00EE3048" w:rsidRDefault="00A44117"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Pr>
                <w:rFonts w:ascii="Century Gothic" w:hAnsi="Century Gothic" w:cstheme="minorHAnsi"/>
                <w:sz w:val="18"/>
                <w:szCs w:val="20"/>
              </w:rPr>
              <w:t>MA</w:t>
            </w:r>
          </w:p>
        </w:tc>
        <w:tc>
          <w:tcPr>
            <w:tcW w:w="0" w:type="auto"/>
            <w:vAlign w:val="center"/>
          </w:tcPr>
          <w:p w14:paraId="47A0961C"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674</w:t>
            </w:r>
          </w:p>
        </w:tc>
      </w:tr>
      <w:tr w:rsidR="00A44117" w:rsidRPr="004461BE" w14:paraId="4F55874A" w14:textId="77777777" w:rsidTr="003F67F7">
        <w:trPr>
          <w:trHeight w:val="4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B22893" w14:textId="77777777" w:rsidR="00A527AF" w:rsidRPr="00EE3048" w:rsidRDefault="00A527AF" w:rsidP="008E234D">
            <w:pPr>
              <w:keepNext/>
              <w:keepLines/>
              <w:spacing w:before="100" w:beforeAutospacing="1" w:after="100" w:afterAutospacing="1"/>
              <w:jc w:val="left"/>
              <w:rPr>
                <w:rFonts w:ascii="Century Gothic" w:hAnsi="Century Gothic" w:cstheme="minorHAnsi"/>
                <w:sz w:val="18"/>
                <w:szCs w:val="20"/>
              </w:rPr>
            </w:pPr>
            <w:r w:rsidRPr="00EE3048">
              <w:rPr>
                <w:rFonts w:ascii="Century Gothic" w:hAnsi="Century Gothic" w:cstheme="minorHAnsi"/>
                <w:sz w:val="18"/>
                <w:szCs w:val="20"/>
              </w:rPr>
              <w:t>West Medway II</w:t>
            </w:r>
          </w:p>
        </w:tc>
        <w:tc>
          <w:tcPr>
            <w:tcW w:w="0" w:type="auto"/>
            <w:vAlign w:val="center"/>
          </w:tcPr>
          <w:p w14:paraId="26CB55C3"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GT</w:t>
            </w:r>
          </w:p>
        </w:tc>
        <w:tc>
          <w:tcPr>
            <w:tcW w:w="0" w:type="auto"/>
            <w:vAlign w:val="center"/>
          </w:tcPr>
          <w:p w14:paraId="61A5E2D1"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2018</w:t>
            </w:r>
          </w:p>
        </w:tc>
        <w:tc>
          <w:tcPr>
            <w:tcW w:w="0" w:type="auto"/>
            <w:vAlign w:val="center"/>
          </w:tcPr>
          <w:p w14:paraId="33FB68FB"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GE</w:t>
            </w:r>
          </w:p>
        </w:tc>
        <w:tc>
          <w:tcPr>
            <w:tcW w:w="0" w:type="auto"/>
            <w:vAlign w:val="center"/>
          </w:tcPr>
          <w:p w14:paraId="4EF74517"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LMS100 PA+</w:t>
            </w:r>
          </w:p>
        </w:tc>
        <w:tc>
          <w:tcPr>
            <w:tcW w:w="0" w:type="auto"/>
            <w:vAlign w:val="center"/>
          </w:tcPr>
          <w:p w14:paraId="7F22705F" w14:textId="3820BA03" w:rsidR="00A527AF" w:rsidRPr="00EE3048" w:rsidRDefault="00A44117"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Pr>
                <w:rFonts w:ascii="Century Gothic" w:hAnsi="Century Gothic" w:cstheme="minorHAnsi"/>
                <w:sz w:val="18"/>
                <w:szCs w:val="20"/>
              </w:rPr>
              <w:t>MA</w:t>
            </w:r>
          </w:p>
        </w:tc>
        <w:tc>
          <w:tcPr>
            <w:tcW w:w="0" w:type="auto"/>
            <w:vAlign w:val="center"/>
          </w:tcPr>
          <w:p w14:paraId="673DF7BA"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200</w:t>
            </w:r>
          </w:p>
        </w:tc>
      </w:tr>
      <w:tr w:rsidR="00A44117" w:rsidRPr="004461BE" w14:paraId="17F4C784" w14:textId="77777777" w:rsidTr="003F67F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34113B" w14:textId="77777777" w:rsidR="00A527AF" w:rsidRPr="00EE3048" w:rsidRDefault="00A527AF" w:rsidP="008E234D">
            <w:pPr>
              <w:keepNext/>
              <w:keepLines/>
              <w:spacing w:before="100" w:beforeAutospacing="1" w:after="100" w:afterAutospacing="1"/>
              <w:jc w:val="left"/>
              <w:rPr>
                <w:rFonts w:ascii="Century Gothic" w:hAnsi="Century Gothic" w:cstheme="minorHAnsi"/>
                <w:sz w:val="18"/>
                <w:szCs w:val="20"/>
              </w:rPr>
            </w:pPr>
            <w:proofErr w:type="spellStart"/>
            <w:r w:rsidRPr="00EE3048">
              <w:rPr>
                <w:rFonts w:ascii="Century Gothic" w:hAnsi="Century Gothic" w:cstheme="minorHAnsi"/>
                <w:sz w:val="18"/>
                <w:szCs w:val="20"/>
              </w:rPr>
              <w:t>Towantic</w:t>
            </w:r>
            <w:proofErr w:type="spellEnd"/>
            <w:r w:rsidRPr="00EE3048">
              <w:rPr>
                <w:rFonts w:ascii="Century Gothic" w:hAnsi="Century Gothic" w:cstheme="minorHAnsi"/>
                <w:sz w:val="18"/>
                <w:szCs w:val="20"/>
              </w:rPr>
              <w:t xml:space="preserve"> Energy Center</w:t>
            </w:r>
          </w:p>
        </w:tc>
        <w:tc>
          <w:tcPr>
            <w:tcW w:w="0" w:type="auto"/>
            <w:vAlign w:val="center"/>
          </w:tcPr>
          <w:p w14:paraId="2B85B4C4"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CC</w:t>
            </w:r>
          </w:p>
        </w:tc>
        <w:tc>
          <w:tcPr>
            <w:tcW w:w="0" w:type="auto"/>
            <w:vAlign w:val="center"/>
          </w:tcPr>
          <w:p w14:paraId="43747CC0"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2018</w:t>
            </w:r>
          </w:p>
        </w:tc>
        <w:tc>
          <w:tcPr>
            <w:tcW w:w="0" w:type="auto"/>
            <w:vAlign w:val="center"/>
          </w:tcPr>
          <w:p w14:paraId="66E29868"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GE</w:t>
            </w:r>
          </w:p>
        </w:tc>
        <w:tc>
          <w:tcPr>
            <w:tcW w:w="0" w:type="auto"/>
            <w:vAlign w:val="center"/>
          </w:tcPr>
          <w:p w14:paraId="1DFDB2A3"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7HA.01</w:t>
            </w:r>
          </w:p>
        </w:tc>
        <w:tc>
          <w:tcPr>
            <w:tcW w:w="0" w:type="auto"/>
            <w:vAlign w:val="center"/>
          </w:tcPr>
          <w:p w14:paraId="28BADD6D"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CT</w:t>
            </w:r>
          </w:p>
        </w:tc>
        <w:tc>
          <w:tcPr>
            <w:tcW w:w="0" w:type="auto"/>
            <w:vAlign w:val="center"/>
          </w:tcPr>
          <w:p w14:paraId="23CD59A5"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785</w:t>
            </w:r>
          </w:p>
        </w:tc>
      </w:tr>
      <w:tr w:rsidR="00A44117" w:rsidRPr="004461BE" w14:paraId="64702FC0" w14:textId="77777777" w:rsidTr="003F67F7">
        <w:trPr>
          <w:trHeight w:val="4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96CBC0" w14:textId="77777777" w:rsidR="00A527AF" w:rsidRPr="00EE3048" w:rsidRDefault="00A527AF" w:rsidP="008E234D">
            <w:pPr>
              <w:keepNext/>
              <w:keepLines/>
              <w:spacing w:before="100" w:beforeAutospacing="1" w:after="100" w:afterAutospacing="1"/>
              <w:jc w:val="left"/>
              <w:rPr>
                <w:rFonts w:ascii="Century Gothic" w:hAnsi="Century Gothic" w:cstheme="minorHAnsi"/>
                <w:sz w:val="18"/>
                <w:szCs w:val="20"/>
              </w:rPr>
            </w:pPr>
            <w:r w:rsidRPr="00EE3048">
              <w:rPr>
                <w:rFonts w:ascii="Century Gothic" w:hAnsi="Century Gothic" w:cstheme="minorHAnsi"/>
                <w:sz w:val="18"/>
                <w:szCs w:val="20"/>
              </w:rPr>
              <w:t>Wallingford Energy</w:t>
            </w:r>
          </w:p>
        </w:tc>
        <w:tc>
          <w:tcPr>
            <w:tcW w:w="0" w:type="auto"/>
            <w:vAlign w:val="center"/>
          </w:tcPr>
          <w:p w14:paraId="48135273"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GT</w:t>
            </w:r>
          </w:p>
        </w:tc>
        <w:tc>
          <w:tcPr>
            <w:tcW w:w="0" w:type="auto"/>
            <w:vAlign w:val="center"/>
          </w:tcPr>
          <w:p w14:paraId="284EED7B"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2018</w:t>
            </w:r>
          </w:p>
        </w:tc>
        <w:tc>
          <w:tcPr>
            <w:tcW w:w="0" w:type="auto"/>
            <w:vAlign w:val="center"/>
          </w:tcPr>
          <w:p w14:paraId="76F94A24"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GE</w:t>
            </w:r>
          </w:p>
        </w:tc>
        <w:tc>
          <w:tcPr>
            <w:tcW w:w="0" w:type="auto"/>
            <w:vAlign w:val="center"/>
          </w:tcPr>
          <w:p w14:paraId="549E4BB3"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LM6000</w:t>
            </w:r>
          </w:p>
        </w:tc>
        <w:tc>
          <w:tcPr>
            <w:tcW w:w="0" w:type="auto"/>
            <w:vAlign w:val="center"/>
          </w:tcPr>
          <w:p w14:paraId="57CAFF59"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CT</w:t>
            </w:r>
          </w:p>
        </w:tc>
        <w:tc>
          <w:tcPr>
            <w:tcW w:w="0" w:type="auto"/>
            <w:vAlign w:val="center"/>
          </w:tcPr>
          <w:p w14:paraId="21B2D3B3"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90</w:t>
            </w:r>
          </w:p>
        </w:tc>
      </w:tr>
      <w:tr w:rsidR="00A44117" w:rsidRPr="004461BE" w14:paraId="0AB828A4" w14:textId="77777777" w:rsidTr="003F67F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E4BBA8" w14:textId="77777777" w:rsidR="00A527AF" w:rsidRPr="00EE3048" w:rsidRDefault="00A527AF" w:rsidP="008E234D">
            <w:pPr>
              <w:keepNext/>
              <w:keepLines/>
              <w:spacing w:before="100" w:beforeAutospacing="1" w:after="100" w:afterAutospacing="1"/>
              <w:jc w:val="left"/>
              <w:rPr>
                <w:rFonts w:ascii="Century Gothic" w:hAnsi="Century Gothic" w:cstheme="minorHAnsi"/>
                <w:sz w:val="18"/>
                <w:szCs w:val="20"/>
              </w:rPr>
            </w:pPr>
            <w:r w:rsidRPr="00EE3048">
              <w:rPr>
                <w:rFonts w:ascii="Century Gothic" w:hAnsi="Century Gothic" w:cstheme="minorHAnsi"/>
                <w:sz w:val="18"/>
                <w:szCs w:val="20"/>
              </w:rPr>
              <w:t>Bridgeport Harbor</w:t>
            </w:r>
          </w:p>
        </w:tc>
        <w:tc>
          <w:tcPr>
            <w:tcW w:w="0" w:type="auto"/>
            <w:vAlign w:val="center"/>
          </w:tcPr>
          <w:p w14:paraId="67FFECE0"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CC</w:t>
            </w:r>
          </w:p>
        </w:tc>
        <w:tc>
          <w:tcPr>
            <w:tcW w:w="0" w:type="auto"/>
            <w:vAlign w:val="center"/>
          </w:tcPr>
          <w:p w14:paraId="602F4D33"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2019</w:t>
            </w:r>
          </w:p>
        </w:tc>
        <w:tc>
          <w:tcPr>
            <w:tcW w:w="0" w:type="auto"/>
            <w:vAlign w:val="center"/>
          </w:tcPr>
          <w:p w14:paraId="11B19916" w14:textId="323028A9" w:rsidR="00A527AF" w:rsidRPr="00EE3048" w:rsidRDefault="0045241A"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Not announced</w:t>
            </w:r>
          </w:p>
        </w:tc>
        <w:tc>
          <w:tcPr>
            <w:tcW w:w="0" w:type="auto"/>
            <w:vAlign w:val="center"/>
          </w:tcPr>
          <w:p w14:paraId="654AA89F" w14:textId="7C94BB73" w:rsidR="00A527AF" w:rsidRPr="00EE3048" w:rsidRDefault="0045241A"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Not announced</w:t>
            </w:r>
            <w:r w:rsidRPr="00EE3048" w:rsidDel="000E1CEA">
              <w:rPr>
                <w:rFonts w:ascii="Century Gothic" w:hAnsi="Century Gothic" w:cstheme="minorHAnsi"/>
                <w:sz w:val="18"/>
                <w:szCs w:val="20"/>
                <w:highlight w:val="yellow"/>
              </w:rPr>
              <w:t xml:space="preserve"> </w:t>
            </w:r>
          </w:p>
        </w:tc>
        <w:tc>
          <w:tcPr>
            <w:tcW w:w="0" w:type="auto"/>
            <w:vAlign w:val="center"/>
          </w:tcPr>
          <w:p w14:paraId="7C33CE79"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CT</w:t>
            </w:r>
          </w:p>
        </w:tc>
        <w:tc>
          <w:tcPr>
            <w:tcW w:w="0" w:type="auto"/>
            <w:vAlign w:val="center"/>
          </w:tcPr>
          <w:p w14:paraId="6A84FBAE"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485</w:t>
            </w:r>
          </w:p>
        </w:tc>
      </w:tr>
      <w:tr w:rsidR="00A44117" w:rsidRPr="004461BE" w14:paraId="53FB2EA3" w14:textId="77777777" w:rsidTr="003F67F7">
        <w:trPr>
          <w:trHeight w:val="4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FBDAAB" w14:textId="77777777" w:rsidR="00A527AF" w:rsidRPr="00EE3048" w:rsidRDefault="00A527AF" w:rsidP="008E234D">
            <w:pPr>
              <w:keepNext/>
              <w:keepLines/>
              <w:spacing w:before="100" w:beforeAutospacing="1" w:after="100" w:afterAutospacing="1"/>
              <w:jc w:val="left"/>
              <w:rPr>
                <w:rFonts w:ascii="Century Gothic" w:hAnsi="Century Gothic" w:cstheme="minorHAnsi"/>
                <w:sz w:val="18"/>
                <w:szCs w:val="20"/>
              </w:rPr>
            </w:pPr>
            <w:r w:rsidRPr="00EE3048">
              <w:rPr>
                <w:rFonts w:ascii="Century Gothic" w:hAnsi="Century Gothic" w:cstheme="minorHAnsi"/>
                <w:sz w:val="18"/>
                <w:szCs w:val="20"/>
              </w:rPr>
              <w:t>Canal 3</w:t>
            </w:r>
          </w:p>
        </w:tc>
        <w:tc>
          <w:tcPr>
            <w:tcW w:w="0" w:type="auto"/>
            <w:vAlign w:val="center"/>
          </w:tcPr>
          <w:p w14:paraId="3A00A9B7"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GT</w:t>
            </w:r>
          </w:p>
        </w:tc>
        <w:tc>
          <w:tcPr>
            <w:tcW w:w="0" w:type="auto"/>
            <w:vAlign w:val="center"/>
          </w:tcPr>
          <w:p w14:paraId="467B91EB"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2019</w:t>
            </w:r>
          </w:p>
        </w:tc>
        <w:tc>
          <w:tcPr>
            <w:tcW w:w="0" w:type="auto"/>
            <w:vAlign w:val="center"/>
          </w:tcPr>
          <w:p w14:paraId="0D99C64E"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GE</w:t>
            </w:r>
          </w:p>
        </w:tc>
        <w:tc>
          <w:tcPr>
            <w:tcW w:w="0" w:type="auto"/>
            <w:vAlign w:val="center"/>
          </w:tcPr>
          <w:p w14:paraId="5F596152"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7HA.02</w:t>
            </w:r>
          </w:p>
        </w:tc>
        <w:tc>
          <w:tcPr>
            <w:tcW w:w="0" w:type="auto"/>
            <w:vAlign w:val="center"/>
          </w:tcPr>
          <w:p w14:paraId="02F76F78" w14:textId="5A8CD928"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MA</w:t>
            </w:r>
          </w:p>
        </w:tc>
        <w:tc>
          <w:tcPr>
            <w:tcW w:w="0" w:type="auto"/>
            <w:vAlign w:val="center"/>
          </w:tcPr>
          <w:p w14:paraId="697BF88D" w14:textId="77777777" w:rsidR="00A527AF" w:rsidRPr="00EE3048" w:rsidRDefault="00A527AF" w:rsidP="008E234D">
            <w:pPr>
              <w:keepNext/>
              <w:keepLine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333</w:t>
            </w:r>
          </w:p>
        </w:tc>
      </w:tr>
      <w:tr w:rsidR="00A44117" w:rsidRPr="004461BE" w14:paraId="30EDF67B" w14:textId="77777777" w:rsidTr="003F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3905E5" w14:textId="77777777" w:rsidR="00A527AF" w:rsidRPr="00EE3048" w:rsidRDefault="00A527AF" w:rsidP="008E234D">
            <w:pPr>
              <w:keepNext/>
              <w:keepLines/>
              <w:spacing w:before="100" w:beforeAutospacing="1" w:after="100" w:afterAutospacing="1"/>
              <w:jc w:val="left"/>
              <w:rPr>
                <w:rFonts w:ascii="Century Gothic" w:hAnsi="Century Gothic" w:cstheme="minorHAnsi"/>
                <w:sz w:val="18"/>
                <w:szCs w:val="20"/>
              </w:rPr>
            </w:pPr>
            <w:r w:rsidRPr="00EE3048">
              <w:rPr>
                <w:rFonts w:ascii="Century Gothic" w:hAnsi="Century Gothic" w:cstheme="minorHAnsi"/>
                <w:sz w:val="18"/>
                <w:szCs w:val="20"/>
              </w:rPr>
              <w:t>Clear River Energy Center</w:t>
            </w:r>
          </w:p>
        </w:tc>
        <w:tc>
          <w:tcPr>
            <w:tcW w:w="0" w:type="auto"/>
            <w:vAlign w:val="center"/>
          </w:tcPr>
          <w:p w14:paraId="34A40480"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CC</w:t>
            </w:r>
          </w:p>
        </w:tc>
        <w:tc>
          <w:tcPr>
            <w:tcW w:w="0" w:type="auto"/>
            <w:vAlign w:val="center"/>
          </w:tcPr>
          <w:p w14:paraId="134D61F8"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2019</w:t>
            </w:r>
          </w:p>
        </w:tc>
        <w:tc>
          <w:tcPr>
            <w:tcW w:w="0" w:type="auto"/>
            <w:vAlign w:val="center"/>
          </w:tcPr>
          <w:p w14:paraId="1AB414CD"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Not announced</w:t>
            </w:r>
          </w:p>
        </w:tc>
        <w:tc>
          <w:tcPr>
            <w:tcW w:w="0" w:type="auto"/>
            <w:vAlign w:val="center"/>
          </w:tcPr>
          <w:p w14:paraId="098ECEAC"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Not announced</w:t>
            </w:r>
          </w:p>
        </w:tc>
        <w:tc>
          <w:tcPr>
            <w:tcW w:w="0" w:type="auto"/>
            <w:vAlign w:val="center"/>
          </w:tcPr>
          <w:p w14:paraId="469B59ED"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RI</w:t>
            </w:r>
          </w:p>
        </w:tc>
        <w:tc>
          <w:tcPr>
            <w:tcW w:w="0" w:type="auto"/>
            <w:vAlign w:val="center"/>
          </w:tcPr>
          <w:p w14:paraId="50D5B0D7" w14:textId="77777777" w:rsidR="00A527AF" w:rsidRPr="00EE3048" w:rsidRDefault="00A527AF" w:rsidP="008E234D">
            <w:pPr>
              <w:keepNext/>
              <w:keepLine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20"/>
              </w:rPr>
            </w:pPr>
            <w:r w:rsidRPr="00EE3048">
              <w:rPr>
                <w:rFonts w:ascii="Century Gothic" w:hAnsi="Century Gothic" w:cstheme="minorHAnsi"/>
                <w:sz w:val="18"/>
                <w:szCs w:val="20"/>
              </w:rPr>
              <w:t>1,000</w:t>
            </w:r>
          </w:p>
        </w:tc>
      </w:tr>
    </w:tbl>
    <w:p w14:paraId="3D9C749C" w14:textId="77777777" w:rsidR="00A527AF" w:rsidRPr="001471D0" w:rsidRDefault="00A527AF" w:rsidP="00A12D4D">
      <w:pPr>
        <w:pStyle w:val="Heading3"/>
      </w:pPr>
      <w:r w:rsidRPr="001471D0">
        <w:t>Interconnection Assumptions</w:t>
      </w:r>
    </w:p>
    <w:p w14:paraId="4BFBF6BA" w14:textId="61674997" w:rsidR="0053355E" w:rsidRDefault="00A527AF" w:rsidP="00867C2A">
      <w:r w:rsidRPr="00BF64E4">
        <w:t xml:space="preserve">Based on a review of </w:t>
      </w:r>
      <w:r w:rsidR="00A44117">
        <w:t xml:space="preserve">generating </w:t>
      </w:r>
      <w:r w:rsidRPr="00BF64E4">
        <w:t>plants currently in development and also the availability of gas and electric infrastructure in Br</w:t>
      </w:r>
      <w:r>
        <w:t>istol County, a 2-</w:t>
      </w:r>
      <w:r w:rsidRPr="00BF64E4">
        <w:t xml:space="preserve">mile interconnection to both the gas and electric grids </w:t>
      </w:r>
      <w:r w:rsidR="00A44117">
        <w:t>was</w:t>
      </w:r>
      <w:r w:rsidR="00A44117" w:rsidRPr="00BF64E4">
        <w:t xml:space="preserve"> </w:t>
      </w:r>
      <w:r w:rsidRPr="00BF64E4">
        <w:t xml:space="preserve">assumed.  The electrical interconnection </w:t>
      </w:r>
      <w:r w:rsidR="00A44117">
        <w:t>was</w:t>
      </w:r>
      <w:r w:rsidR="00A44117" w:rsidRPr="00BF64E4">
        <w:t xml:space="preserve"> </w:t>
      </w:r>
      <w:r w:rsidRPr="00BF64E4">
        <w:t xml:space="preserve">assumed to connect to the 345kV system.  </w:t>
      </w:r>
      <w:r w:rsidR="0053355E" w:rsidRPr="00BF64E4">
        <w:t xml:space="preserve">Required network upgrades </w:t>
      </w:r>
      <w:r w:rsidR="0053355E">
        <w:t xml:space="preserve">were also evaluated based on data provided by ISO-NE on technical </w:t>
      </w:r>
      <w:r w:rsidR="0053355E">
        <w:lastRenderedPageBreak/>
        <w:t>upgrade specifications associated with recently developed projects in New England</w:t>
      </w:r>
      <w:r w:rsidR="00A44117">
        <w:t>.</w:t>
      </w:r>
      <w:r w:rsidR="0053355E">
        <w:t xml:space="preserve"> </w:t>
      </w:r>
      <w:r w:rsidR="00A44117">
        <w:t>B</w:t>
      </w:r>
      <w:r w:rsidR="0053355E">
        <w:t>ased on this information, network upgrade costs were calculated for each reference technology.</w:t>
      </w:r>
    </w:p>
    <w:p w14:paraId="727F7D5B" w14:textId="09336557" w:rsidR="00A527AF" w:rsidRPr="001471D0" w:rsidRDefault="00A527AF" w:rsidP="00A12D4D">
      <w:pPr>
        <w:pStyle w:val="Heading3"/>
      </w:pPr>
      <w:r w:rsidRPr="003100CE">
        <w:rPr>
          <w:rFonts w:ascii="Times New Roman" w:hAnsi="Times New Roman"/>
        </w:rPr>
        <w:t xml:space="preserve"> </w:t>
      </w:r>
      <w:r w:rsidRPr="001471D0">
        <w:t>Dual Fuel Assumptions</w:t>
      </w:r>
    </w:p>
    <w:p w14:paraId="1FF90140" w14:textId="3ACA5320" w:rsidR="00A527AF" w:rsidRDefault="00A527AF" w:rsidP="00A34EE4">
      <w:r w:rsidRPr="00BF64E4">
        <w:t>The</w:t>
      </w:r>
      <w:r w:rsidR="00247A10">
        <w:t xml:space="preserve"> candidate</w:t>
      </w:r>
      <w:r w:rsidRPr="00BF64E4">
        <w:t xml:space="preserve"> </w:t>
      </w:r>
      <w:r>
        <w:t>reference units were</w:t>
      </w:r>
      <w:r w:rsidRPr="00BF64E4">
        <w:t xml:space="preserve"> assumed to have backup fuel in the fo</w:t>
      </w:r>
      <w:r w:rsidR="007A5FD8">
        <w:t xml:space="preserve">rm of No. 2 oil.  No. 2 oil is </w:t>
      </w:r>
      <w:r w:rsidRPr="00BF64E4">
        <w:t xml:space="preserve">the most commonly installed backup fuel in New England, and </w:t>
      </w:r>
      <w:r w:rsidR="00FE7D5C" w:rsidRPr="00BF64E4">
        <w:t>public</w:t>
      </w:r>
      <w:r w:rsidR="00FE7D5C">
        <w:t>ly</w:t>
      </w:r>
      <w:r w:rsidR="000E1CEA">
        <w:t xml:space="preserve"> available</w:t>
      </w:r>
      <w:r w:rsidRPr="00BF64E4">
        <w:t xml:space="preserve"> data on the cost to install backup capability and to operate the plant on oil are available.   Fuel security consistent with the existence of backup fuel is a prerequisite of this assumption. </w:t>
      </w:r>
    </w:p>
    <w:p w14:paraId="2EB1AB06" w14:textId="3DA238E1" w:rsidR="00A527AF" w:rsidRDefault="00A527AF" w:rsidP="00A12D4D">
      <w:pPr>
        <w:pStyle w:val="Heading3"/>
      </w:pPr>
      <w:r w:rsidRPr="003100CE">
        <w:t>Environmental</w:t>
      </w:r>
      <w:r w:rsidRPr="001471D0">
        <w:t xml:space="preserve"> Assumptions</w:t>
      </w:r>
    </w:p>
    <w:p w14:paraId="4C1AE6CD" w14:textId="3A32F203" w:rsidR="0045241A" w:rsidRPr="00867C2A" w:rsidRDefault="0045241A" w:rsidP="008E234D">
      <w:r w:rsidRPr="00F020A1">
        <w:rPr>
          <w:rFonts w:cs="Times New Roman"/>
        </w:rPr>
        <w:t xml:space="preserve">All plants are designed to be in compliance with </w:t>
      </w:r>
      <w:r>
        <w:rPr>
          <w:rFonts w:cs="Times New Roman"/>
        </w:rPr>
        <w:t xml:space="preserve">federal </w:t>
      </w:r>
      <w:r w:rsidRPr="00F020A1">
        <w:rPr>
          <w:rFonts w:cs="Times New Roman"/>
        </w:rPr>
        <w:t>requir</w:t>
      </w:r>
      <w:r>
        <w:rPr>
          <w:rFonts w:cs="Times New Roman"/>
        </w:rPr>
        <w:t xml:space="preserve">ements and </w:t>
      </w:r>
      <w:r w:rsidRPr="00F020A1">
        <w:rPr>
          <w:rFonts w:cs="Times New Roman"/>
        </w:rPr>
        <w:t>regional requirements.</w:t>
      </w:r>
      <w:r>
        <w:rPr>
          <w:rFonts w:cs="Times New Roman"/>
        </w:rPr>
        <w:t xml:space="preserve">  This includes Carbon Monoxide (“CO”) Catalysts and Selective Catalytic Reduction (“SCR”) equipment for all simple cycle and combined cycle designs.  Dry cooling is also utilized for ease of environmental permitting.</w:t>
      </w:r>
    </w:p>
    <w:p w14:paraId="58D9341E" w14:textId="4A940232" w:rsidR="0045241A" w:rsidRDefault="00A527AF" w:rsidP="00A12D4D">
      <w:pPr>
        <w:pStyle w:val="Heading3"/>
      </w:pPr>
      <w:r w:rsidRPr="001471D0">
        <w:t>Cooling System</w:t>
      </w:r>
    </w:p>
    <w:p w14:paraId="2B2509C4" w14:textId="66E50025" w:rsidR="0045241A" w:rsidRPr="00867C2A" w:rsidRDefault="0045241A" w:rsidP="008E234D">
      <w:r w:rsidRPr="00F020A1">
        <w:rPr>
          <w:rFonts w:cs="Times New Roman"/>
        </w:rPr>
        <w:t>The plants were designed with dry cooling for primary heat sinks.  This was done to maximize potential installation sites and to ease permitting.  The simple cycle pla</w:t>
      </w:r>
      <w:r>
        <w:rPr>
          <w:rFonts w:cs="Times New Roman"/>
        </w:rPr>
        <w:t xml:space="preserve">nts utilize dry fin fan coolers, with the </w:t>
      </w:r>
      <w:r w:rsidRPr="00F020A1">
        <w:rPr>
          <w:rFonts w:cs="Times New Roman"/>
        </w:rPr>
        <w:t xml:space="preserve">exception </w:t>
      </w:r>
      <w:r>
        <w:rPr>
          <w:rFonts w:cs="Times New Roman"/>
        </w:rPr>
        <w:t xml:space="preserve">of the </w:t>
      </w:r>
      <w:r w:rsidRPr="00F020A1">
        <w:rPr>
          <w:rFonts w:cs="Times New Roman"/>
        </w:rPr>
        <w:t>LMS100PA</w:t>
      </w:r>
      <w:r>
        <w:rPr>
          <w:rFonts w:cs="Times New Roman"/>
        </w:rPr>
        <w:t xml:space="preserve"> machine</w:t>
      </w:r>
      <w:r w:rsidRPr="00F020A1">
        <w:rPr>
          <w:rFonts w:cs="Times New Roman"/>
        </w:rPr>
        <w:t>, which utilize</w:t>
      </w:r>
      <w:r>
        <w:rPr>
          <w:rFonts w:cs="Times New Roman"/>
        </w:rPr>
        <w:t>s</w:t>
      </w:r>
      <w:r w:rsidRPr="00F020A1">
        <w:rPr>
          <w:rFonts w:cs="Times New Roman"/>
        </w:rPr>
        <w:t xml:space="preserve"> a wet cooled intercooler.  </w:t>
      </w:r>
      <w:r>
        <w:rPr>
          <w:rFonts w:cs="Times New Roman"/>
        </w:rPr>
        <w:t xml:space="preserve">The combined cycle plant is designed with an air cooled condenser.  While there </w:t>
      </w:r>
      <w:proofErr w:type="gramStart"/>
      <w:r>
        <w:rPr>
          <w:rFonts w:cs="Times New Roman"/>
        </w:rPr>
        <w:t>are</w:t>
      </w:r>
      <w:proofErr w:type="gramEnd"/>
      <w:r>
        <w:rPr>
          <w:rFonts w:cs="Times New Roman"/>
        </w:rPr>
        <w:t xml:space="preserve"> more thermally efficient designs available, air cooled condensers are the easiest to permit, do not require significant makeup water, and can be utilized on most sites where reasonable space is available.</w:t>
      </w:r>
    </w:p>
    <w:p w14:paraId="3D5E25D2" w14:textId="77777777" w:rsidR="0045241A" w:rsidRDefault="00A527AF" w:rsidP="00A12D4D">
      <w:pPr>
        <w:pStyle w:val="Heading3"/>
      </w:pPr>
      <w:r w:rsidRPr="001471D0">
        <w:t>Supplemental Firing</w:t>
      </w:r>
    </w:p>
    <w:p w14:paraId="17F679E3" w14:textId="6D1E6198" w:rsidR="0045241A" w:rsidRPr="008E234D" w:rsidRDefault="0045241A" w:rsidP="008E234D">
      <w:pPr>
        <w:contextualSpacing/>
        <w:rPr>
          <w:rFonts w:cs="Times New Roman"/>
        </w:rPr>
      </w:pPr>
      <w:r w:rsidRPr="00867C2A">
        <w:rPr>
          <w:rFonts w:cs="Times New Roman"/>
        </w:rPr>
        <w:t xml:space="preserve">Supplementary firing was provided for the combined cycle design.  The duct burners were fired to </w:t>
      </w:r>
      <w:r w:rsidR="00A44117">
        <w:rPr>
          <w:rFonts w:cs="Times New Roman"/>
        </w:rPr>
        <w:t xml:space="preserve">a </w:t>
      </w:r>
      <w:r w:rsidRPr="00867C2A">
        <w:rPr>
          <w:rFonts w:cs="Times New Roman"/>
        </w:rPr>
        <w:t>1250° F burner exit gas temperature.  This firing rate provide</w:t>
      </w:r>
      <w:r w:rsidR="00A44117">
        <w:rPr>
          <w:rFonts w:cs="Times New Roman"/>
        </w:rPr>
        <w:t>s</w:t>
      </w:r>
      <w:r w:rsidRPr="00867C2A">
        <w:rPr>
          <w:rFonts w:cs="Times New Roman"/>
        </w:rPr>
        <w:t xml:space="preserve"> additional peaking capacity while not increasing the cost of the </w:t>
      </w:r>
      <w:r w:rsidR="00A44117">
        <w:rPr>
          <w:rFonts w:cs="Times New Roman"/>
        </w:rPr>
        <w:t xml:space="preserve">heat recovery steam generator </w:t>
      </w:r>
      <w:r w:rsidRPr="00867C2A">
        <w:rPr>
          <w:rFonts w:cs="Times New Roman"/>
        </w:rPr>
        <w:t xml:space="preserve">and the steam turbine, or negatively impacting the base combined cycle heat rate significantly.  </w:t>
      </w:r>
    </w:p>
    <w:p w14:paraId="2BB29C13" w14:textId="77777777" w:rsidR="0045241A" w:rsidRDefault="00A527AF" w:rsidP="00A12D4D">
      <w:pPr>
        <w:pStyle w:val="Heading3"/>
      </w:pPr>
      <w:r w:rsidRPr="001471D0">
        <w:t>Evaporative Cooling</w:t>
      </w:r>
    </w:p>
    <w:p w14:paraId="04AA97F7" w14:textId="4192E5DA" w:rsidR="0045241A" w:rsidRDefault="0045241A" w:rsidP="008E234D">
      <w:r w:rsidRPr="0045241A">
        <w:t xml:space="preserve">Evaporative coolers </w:t>
      </w:r>
      <w:r w:rsidR="00A44117">
        <w:t>were</w:t>
      </w:r>
      <w:r w:rsidR="00A44117" w:rsidRPr="0045241A">
        <w:t xml:space="preserve"> </w:t>
      </w:r>
      <w:r w:rsidRPr="0045241A">
        <w:t>included to provide improved performance on warm low humidity days.  Evaporative cooler effectiveness was set at 85%</w:t>
      </w:r>
      <w:r w:rsidR="00A44117">
        <w:t>,</w:t>
      </w:r>
      <w:r w:rsidRPr="0045241A">
        <w:t xml:space="preserve"> which is considered reasonable for standard evaporative cooler technology.  </w:t>
      </w:r>
    </w:p>
    <w:p w14:paraId="7B572F6D" w14:textId="1BBCBA29" w:rsidR="009E2921" w:rsidRDefault="009E2921" w:rsidP="00A12D4D">
      <w:pPr>
        <w:pStyle w:val="Heading3"/>
      </w:pPr>
      <w:r>
        <w:t>Operating and Maintenance Costs</w:t>
      </w:r>
    </w:p>
    <w:p w14:paraId="5FD74A3F" w14:textId="2038C166" w:rsidR="009E2921" w:rsidRDefault="009E2921" w:rsidP="008E234D">
      <w:pPr>
        <w:pStyle w:val="Heading4"/>
      </w:pPr>
      <w:r w:rsidRPr="009E2921">
        <w:t>Land Lease</w:t>
      </w:r>
    </w:p>
    <w:p w14:paraId="21A80ADB" w14:textId="5B2B48DF" w:rsidR="009E2921" w:rsidRPr="00B36972" w:rsidRDefault="009E2921" w:rsidP="008E234D">
      <w:r w:rsidRPr="00B36972">
        <w:t xml:space="preserve">Land </w:t>
      </w:r>
      <w:r w:rsidR="00A44117">
        <w:t>was</w:t>
      </w:r>
      <w:r w:rsidR="00A44117" w:rsidRPr="00B36972">
        <w:t xml:space="preserve"> </w:t>
      </w:r>
      <w:r w:rsidRPr="00B36972">
        <w:t xml:space="preserve">assumed to be leased and recorded as a fixed </w:t>
      </w:r>
      <w:r w:rsidR="00415328">
        <w:t>operation and maintenance (“O</w:t>
      </w:r>
      <w:r w:rsidRPr="00B36972">
        <w:t>&amp;M</w:t>
      </w:r>
      <w:r w:rsidR="00415328">
        <w:t>”)</w:t>
      </w:r>
      <w:r w:rsidRPr="00B36972">
        <w:t xml:space="preserve"> expense.  Based on a review of industrial leasing costs we assumed $25,000/acre based on the need to be close to gas and transmission interconnection.  This lease rate was multiplied by the estimated land</w:t>
      </w:r>
      <w:r w:rsidR="00456566">
        <w:t>.</w:t>
      </w:r>
    </w:p>
    <w:p w14:paraId="24D682CA" w14:textId="3C601735" w:rsidR="009E2921" w:rsidRDefault="009E2921" w:rsidP="008E234D">
      <w:pPr>
        <w:pStyle w:val="Heading4"/>
      </w:pPr>
      <w:r w:rsidRPr="009E2921">
        <w:lastRenderedPageBreak/>
        <w:t>Property Taxes</w:t>
      </w:r>
    </w:p>
    <w:p w14:paraId="46B52D54" w14:textId="26977086" w:rsidR="009E2921" w:rsidRPr="00B36972" w:rsidRDefault="009E2921" w:rsidP="008E234D">
      <w:r w:rsidRPr="00B36972">
        <w:t xml:space="preserve">Property taxes were assumed to be 3% as more fully described in Section </w:t>
      </w:r>
      <w:r w:rsidR="004461BE" w:rsidRPr="001436DC">
        <w:t>3</w:t>
      </w:r>
      <w:r w:rsidR="004461BE">
        <w:t>.</w:t>
      </w:r>
      <w:r w:rsidR="00077911">
        <w:t>C</w:t>
      </w:r>
      <w:r w:rsidRPr="003F3584">
        <w:t>.</w:t>
      </w:r>
    </w:p>
    <w:p w14:paraId="5B9776D9" w14:textId="4D672C16" w:rsidR="009E2921" w:rsidRDefault="009E2921" w:rsidP="008E234D">
      <w:pPr>
        <w:pStyle w:val="Heading4"/>
      </w:pPr>
      <w:r w:rsidRPr="009E2921">
        <w:t>Insurance</w:t>
      </w:r>
    </w:p>
    <w:p w14:paraId="2F98CB14" w14:textId="02363AAF" w:rsidR="009E2921" w:rsidRPr="00B36972" w:rsidRDefault="009E2921" w:rsidP="008E234D">
      <w:r w:rsidRPr="00B36972">
        <w:t>Insurance costs were assumed to be 0.6% of the overnight capital costs per year</w:t>
      </w:r>
      <w:r w:rsidR="00077911">
        <w:t>,</w:t>
      </w:r>
      <w:r w:rsidRPr="00B36972">
        <w:t xml:space="preserve"> consistent with the assumptions in the 2013 CONE study, </w:t>
      </w:r>
      <w:r w:rsidR="00077911">
        <w:t xml:space="preserve">which </w:t>
      </w:r>
      <w:r w:rsidRPr="00B36972">
        <w:t>we continue to believe is reasonable.</w:t>
      </w:r>
    </w:p>
    <w:p w14:paraId="7F51F269" w14:textId="08BA9319" w:rsidR="00A527AF" w:rsidRDefault="00A527AF" w:rsidP="00A527AF">
      <w:pPr>
        <w:rPr>
          <w:rFonts w:cs="Times New Roman"/>
        </w:rPr>
      </w:pPr>
      <w:r>
        <w:rPr>
          <w:rFonts w:cs="Times New Roman"/>
        </w:rPr>
        <w:t xml:space="preserve">A summary of assumptions applicable to all </w:t>
      </w:r>
      <w:r w:rsidRPr="003F3584">
        <w:rPr>
          <w:rFonts w:cs="Times New Roman"/>
        </w:rPr>
        <w:t xml:space="preserve">reference technologies </w:t>
      </w:r>
      <w:r w:rsidR="00BF014D" w:rsidRPr="003F3584">
        <w:rPr>
          <w:rFonts w:cs="Times New Roman"/>
        </w:rPr>
        <w:t>is</w:t>
      </w:r>
      <w:r w:rsidR="00BF014D">
        <w:rPr>
          <w:rFonts w:cs="Times New Roman"/>
        </w:rPr>
        <w:t xml:space="preserve"> </w:t>
      </w:r>
      <w:r>
        <w:rPr>
          <w:rFonts w:cs="Times New Roman"/>
        </w:rPr>
        <w:t xml:space="preserve">shown in </w:t>
      </w:r>
      <w:r w:rsidR="00AE797A" w:rsidRPr="00AE797A">
        <w:rPr>
          <w:rFonts w:cs="Times New Roman"/>
        </w:rPr>
        <w:fldChar w:fldCharType="begin"/>
      </w:r>
      <w:r w:rsidR="00AE797A" w:rsidRPr="00AE797A">
        <w:rPr>
          <w:rFonts w:cs="Times New Roman"/>
        </w:rPr>
        <w:instrText xml:space="preserve"> REF _Ref462597127 \h </w:instrText>
      </w:r>
      <w:r w:rsidR="00AE797A">
        <w:rPr>
          <w:rFonts w:cs="Times New Roman"/>
        </w:rPr>
        <w:instrText xml:space="preserve"> \* MERGEFORMAT </w:instrText>
      </w:r>
      <w:r w:rsidR="00AE797A" w:rsidRPr="00AE797A">
        <w:rPr>
          <w:rFonts w:cs="Times New Roman"/>
        </w:rPr>
      </w:r>
      <w:r w:rsidR="00AE797A" w:rsidRPr="00AE797A">
        <w:rPr>
          <w:rFonts w:cs="Times New Roman"/>
        </w:rPr>
        <w:fldChar w:fldCharType="separate"/>
      </w:r>
      <w:r w:rsidR="006E2301" w:rsidRPr="0073024E">
        <w:rPr>
          <w:rFonts w:cs="Times New Roman"/>
        </w:rPr>
        <w:t xml:space="preserve">Table </w:t>
      </w:r>
      <w:r w:rsidR="006E2301" w:rsidRPr="0073024E">
        <w:rPr>
          <w:rFonts w:cs="Times New Roman"/>
          <w:noProof/>
        </w:rPr>
        <w:t>9</w:t>
      </w:r>
      <w:r w:rsidR="00AE797A" w:rsidRPr="00AE797A">
        <w:rPr>
          <w:rFonts w:cs="Times New Roman"/>
        </w:rPr>
        <w:fldChar w:fldCharType="end"/>
      </w:r>
      <w:r w:rsidR="00AE797A">
        <w:rPr>
          <w:rFonts w:cs="Times New Roman"/>
        </w:rPr>
        <w:t xml:space="preserve"> </w:t>
      </w:r>
      <w:r>
        <w:rPr>
          <w:rFonts w:cs="Times New Roman"/>
        </w:rPr>
        <w:t>below.</w:t>
      </w:r>
    </w:p>
    <w:p w14:paraId="05CD8F93" w14:textId="05AE4EBC" w:rsidR="00A527AF" w:rsidRDefault="00A527AF" w:rsidP="00D2628D">
      <w:pPr>
        <w:pStyle w:val="Caption"/>
      </w:pPr>
      <w:bookmarkStart w:id="28" w:name="_Ref462597127"/>
      <w:bookmarkStart w:id="29" w:name="_Toc465433434"/>
      <w:r>
        <w:t xml:space="preserve">Table </w:t>
      </w:r>
      <w:r w:rsidR="00FA6573">
        <w:fldChar w:fldCharType="begin"/>
      </w:r>
      <w:r w:rsidR="00FA6573">
        <w:instrText xml:space="preserve"> SEQ Table \* ARABIC </w:instrText>
      </w:r>
      <w:r w:rsidR="00FA6573">
        <w:fldChar w:fldCharType="separate"/>
      </w:r>
      <w:r w:rsidR="000637A3">
        <w:rPr>
          <w:noProof/>
        </w:rPr>
        <w:t>9</w:t>
      </w:r>
      <w:r w:rsidR="00FA6573">
        <w:rPr>
          <w:noProof/>
        </w:rPr>
        <w:fldChar w:fldCharType="end"/>
      </w:r>
      <w:bookmarkEnd w:id="28"/>
      <w:r>
        <w:t xml:space="preserve">: </w:t>
      </w:r>
      <w:r w:rsidRPr="0040169C">
        <w:rPr>
          <w:color w:val="000000"/>
        </w:rPr>
        <w:t>Key Assumptions</w:t>
      </w:r>
      <w:bookmarkEnd w:id="29"/>
    </w:p>
    <w:tbl>
      <w:tblPr>
        <w:tblStyle w:val="GridTable4-Accent36"/>
        <w:tblW w:w="0" w:type="auto"/>
        <w:jc w:val="center"/>
        <w:tblLook w:val="0420" w:firstRow="1" w:lastRow="0" w:firstColumn="0" w:lastColumn="0" w:noHBand="0" w:noVBand="1"/>
      </w:tblPr>
      <w:tblGrid>
        <w:gridCol w:w="2056"/>
        <w:gridCol w:w="4106"/>
      </w:tblGrid>
      <w:tr w:rsidR="00297A69" w:rsidRPr="004461BE" w14:paraId="7B5FCC60" w14:textId="77777777" w:rsidTr="001436DC">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gridSpan w:val="2"/>
            <w:vAlign w:val="center"/>
            <w:hideMark/>
          </w:tcPr>
          <w:p w14:paraId="6F4313E9" w14:textId="77777777" w:rsidR="00297A69" w:rsidRPr="009057C2" w:rsidRDefault="00297A69">
            <w:pPr>
              <w:keepNext/>
              <w:keepLines/>
              <w:spacing w:line="240" w:lineRule="auto"/>
              <w:contextualSpacing/>
              <w:jc w:val="center"/>
              <w:rPr>
                <w:rFonts w:ascii="Century Gothic" w:eastAsia="Calibri" w:hAnsi="Century Gothic" w:cs="Calibri"/>
                <w:smallCaps w:val="0"/>
              </w:rPr>
            </w:pPr>
            <w:r w:rsidRPr="009057C2">
              <w:rPr>
                <w:rFonts w:ascii="Century Gothic" w:eastAsia="Calibri" w:hAnsi="Century Gothic" w:cs="Calibri"/>
                <w:smallCaps w:val="0"/>
                <w:color w:val="000000" w:themeColor="text1"/>
                <w:sz w:val="18"/>
              </w:rPr>
              <w:t>Key Assumptions</w:t>
            </w:r>
          </w:p>
        </w:tc>
      </w:tr>
      <w:tr w:rsidR="00297A69" w:rsidRPr="004461BE" w14:paraId="28A5B1B1" w14:textId="77777777" w:rsidTr="00FE4C1F">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25306D19" w14:textId="2BEEEC28" w:rsidR="00297A69" w:rsidRPr="001436DC" w:rsidRDefault="00FE4C1F" w:rsidP="00297A69">
            <w:pPr>
              <w:keepNext/>
              <w:keepLines/>
              <w:spacing w:line="240" w:lineRule="auto"/>
              <w:contextualSpacing/>
              <w:jc w:val="left"/>
              <w:rPr>
                <w:rFonts w:ascii="Century Gothic" w:eastAsia="Calibri" w:hAnsi="Century Gothic" w:cs="Calibri"/>
                <w:b/>
                <w:sz w:val="16"/>
              </w:rPr>
            </w:pPr>
            <w:r w:rsidRPr="001436DC">
              <w:rPr>
                <w:rFonts w:ascii="Century Gothic" w:eastAsia="Calibri" w:hAnsi="Century Gothic" w:cs="Calibri"/>
                <w:b/>
                <w:sz w:val="16"/>
              </w:rPr>
              <w:t>Location</w:t>
            </w:r>
          </w:p>
        </w:tc>
        <w:tc>
          <w:tcPr>
            <w:tcW w:w="0" w:type="auto"/>
            <w:vAlign w:val="center"/>
            <w:hideMark/>
          </w:tcPr>
          <w:p w14:paraId="4DD6130D"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Bristol County, MA</w:t>
            </w:r>
          </w:p>
        </w:tc>
      </w:tr>
      <w:tr w:rsidR="00297A69" w:rsidRPr="004461BE" w14:paraId="0F25CF0A" w14:textId="77777777" w:rsidTr="00FE4C1F">
        <w:trPr>
          <w:trHeight w:val="432"/>
          <w:jc w:val="center"/>
        </w:trPr>
        <w:tc>
          <w:tcPr>
            <w:tcW w:w="0" w:type="auto"/>
            <w:vAlign w:val="center"/>
            <w:hideMark/>
          </w:tcPr>
          <w:p w14:paraId="779E9037" w14:textId="77777777" w:rsidR="00297A69" w:rsidRPr="001436DC" w:rsidRDefault="00297A69" w:rsidP="00297A69">
            <w:pPr>
              <w:keepNext/>
              <w:keepLines/>
              <w:spacing w:line="240" w:lineRule="auto"/>
              <w:contextualSpacing/>
              <w:jc w:val="left"/>
              <w:rPr>
                <w:rFonts w:ascii="Century Gothic" w:eastAsia="Calibri" w:hAnsi="Century Gothic" w:cs="Calibri"/>
                <w:b/>
                <w:sz w:val="16"/>
              </w:rPr>
            </w:pPr>
            <w:r w:rsidRPr="001436DC">
              <w:rPr>
                <w:rFonts w:ascii="Century Gothic" w:eastAsia="Calibri" w:hAnsi="Century Gothic" w:cs="Calibri"/>
                <w:b/>
                <w:sz w:val="16"/>
              </w:rPr>
              <w:t>Electric Interconnection</w:t>
            </w:r>
          </w:p>
        </w:tc>
        <w:tc>
          <w:tcPr>
            <w:tcW w:w="0" w:type="auto"/>
            <w:vAlign w:val="center"/>
            <w:hideMark/>
          </w:tcPr>
          <w:p w14:paraId="190F81AC"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 xml:space="preserve">2-mile electrical interconnection </w:t>
            </w:r>
          </w:p>
          <w:p w14:paraId="02EE6859"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(to 345 kV system) plus network upgrades</w:t>
            </w:r>
          </w:p>
        </w:tc>
      </w:tr>
      <w:tr w:rsidR="00297A69" w:rsidRPr="004461BE" w14:paraId="58DBED70" w14:textId="77777777" w:rsidTr="00FE4C1F">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388468A9" w14:textId="77777777" w:rsidR="00297A69" w:rsidRPr="001436DC" w:rsidRDefault="00297A69" w:rsidP="00297A69">
            <w:pPr>
              <w:keepNext/>
              <w:keepLines/>
              <w:spacing w:line="240" w:lineRule="auto"/>
              <w:contextualSpacing/>
              <w:jc w:val="left"/>
              <w:rPr>
                <w:rFonts w:ascii="Century Gothic" w:eastAsia="Calibri" w:hAnsi="Century Gothic" w:cs="Calibri"/>
                <w:b/>
                <w:sz w:val="16"/>
              </w:rPr>
            </w:pPr>
            <w:r w:rsidRPr="001436DC">
              <w:rPr>
                <w:rFonts w:ascii="Century Gothic" w:eastAsia="Calibri" w:hAnsi="Century Gothic" w:cs="Calibri"/>
                <w:b/>
                <w:sz w:val="16"/>
              </w:rPr>
              <w:t>Gas Interconnection</w:t>
            </w:r>
          </w:p>
        </w:tc>
        <w:tc>
          <w:tcPr>
            <w:tcW w:w="0" w:type="auto"/>
            <w:vAlign w:val="center"/>
            <w:hideMark/>
          </w:tcPr>
          <w:p w14:paraId="4AAFE473"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2-mile gas lateral plus metering station</w:t>
            </w:r>
          </w:p>
        </w:tc>
      </w:tr>
      <w:tr w:rsidR="00297A69" w:rsidRPr="004461BE" w14:paraId="7E6A3606" w14:textId="77777777" w:rsidTr="00FE4C1F">
        <w:trPr>
          <w:trHeight w:val="432"/>
          <w:jc w:val="center"/>
        </w:trPr>
        <w:tc>
          <w:tcPr>
            <w:tcW w:w="0" w:type="auto"/>
            <w:vAlign w:val="center"/>
            <w:hideMark/>
          </w:tcPr>
          <w:p w14:paraId="0830BD7A" w14:textId="77777777" w:rsidR="00297A69" w:rsidRPr="001436DC" w:rsidRDefault="00297A69" w:rsidP="00297A69">
            <w:pPr>
              <w:keepNext/>
              <w:keepLines/>
              <w:spacing w:line="240" w:lineRule="auto"/>
              <w:contextualSpacing/>
              <w:jc w:val="left"/>
              <w:rPr>
                <w:rFonts w:ascii="Century Gothic" w:eastAsia="Calibri" w:hAnsi="Century Gothic" w:cs="Calibri"/>
                <w:b/>
                <w:sz w:val="16"/>
              </w:rPr>
            </w:pPr>
            <w:r w:rsidRPr="001436DC">
              <w:rPr>
                <w:rFonts w:ascii="Century Gothic" w:eastAsia="Calibri" w:hAnsi="Century Gothic" w:cs="Calibri"/>
                <w:b/>
                <w:sz w:val="16"/>
              </w:rPr>
              <w:t>Dual Fuel</w:t>
            </w:r>
          </w:p>
        </w:tc>
        <w:tc>
          <w:tcPr>
            <w:tcW w:w="0" w:type="auto"/>
            <w:vAlign w:val="center"/>
            <w:hideMark/>
          </w:tcPr>
          <w:p w14:paraId="50E1B85A"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No. 2 oil for backup</w:t>
            </w:r>
          </w:p>
        </w:tc>
      </w:tr>
      <w:tr w:rsidR="00297A69" w:rsidRPr="004461BE" w14:paraId="6EBE6060" w14:textId="77777777" w:rsidTr="00FE4C1F">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4BA78282" w14:textId="77777777" w:rsidR="00297A69" w:rsidRPr="001436DC" w:rsidRDefault="00297A69" w:rsidP="00297A69">
            <w:pPr>
              <w:keepNext/>
              <w:keepLines/>
              <w:spacing w:line="240" w:lineRule="auto"/>
              <w:contextualSpacing/>
              <w:jc w:val="left"/>
              <w:rPr>
                <w:rFonts w:ascii="Century Gothic" w:eastAsia="Calibri" w:hAnsi="Century Gothic" w:cs="Calibri"/>
                <w:b/>
                <w:sz w:val="16"/>
              </w:rPr>
            </w:pPr>
            <w:r w:rsidRPr="001436DC">
              <w:rPr>
                <w:rFonts w:ascii="Century Gothic" w:eastAsia="Calibri" w:hAnsi="Century Gothic" w:cs="Calibri"/>
                <w:b/>
                <w:sz w:val="16"/>
              </w:rPr>
              <w:t>Environmental Controls</w:t>
            </w:r>
          </w:p>
        </w:tc>
        <w:tc>
          <w:tcPr>
            <w:tcW w:w="0" w:type="auto"/>
            <w:vAlign w:val="center"/>
            <w:hideMark/>
          </w:tcPr>
          <w:p w14:paraId="744698A7"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Selective Catalytic Reduction</w:t>
            </w:r>
          </w:p>
          <w:p w14:paraId="535B404B"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CO catalyst</w:t>
            </w:r>
          </w:p>
        </w:tc>
      </w:tr>
      <w:tr w:rsidR="00297A69" w:rsidRPr="004461BE" w14:paraId="2EF86732" w14:textId="77777777" w:rsidTr="00FE4C1F">
        <w:trPr>
          <w:trHeight w:val="432"/>
          <w:jc w:val="center"/>
        </w:trPr>
        <w:tc>
          <w:tcPr>
            <w:tcW w:w="0" w:type="auto"/>
            <w:vAlign w:val="center"/>
            <w:hideMark/>
          </w:tcPr>
          <w:p w14:paraId="188428A1" w14:textId="77777777" w:rsidR="00297A69" w:rsidRPr="001436DC" w:rsidRDefault="00297A69" w:rsidP="00297A69">
            <w:pPr>
              <w:keepNext/>
              <w:keepLines/>
              <w:spacing w:line="240" w:lineRule="auto"/>
              <w:contextualSpacing/>
              <w:jc w:val="left"/>
              <w:rPr>
                <w:rFonts w:ascii="Century Gothic" w:eastAsia="Calibri" w:hAnsi="Century Gothic" w:cs="Calibri"/>
                <w:b/>
                <w:sz w:val="16"/>
              </w:rPr>
            </w:pPr>
            <w:r w:rsidRPr="001436DC">
              <w:rPr>
                <w:rFonts w:ascii="Century Gothic" w:eastAsia="Calibri" w:hAnsi="Century Gothic" w:cs="Calibri"/>
                <w:b/>
                <w:sz w:val="16"/>
              </w:rPr>
              <w:t>Cooling</w:t>
            </w:r>
          </w:p>
        </w:tc>
        <w:tc>
          <w:tcPr>
            <w:tcW w:w="0" w:type="auto"/>
            <w:vAlign w:val="center"/>
            <w:hideMark/>
          </w:tcPr>
          <w:p w14:paraId="211775BE"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 xml:space="preserve">Dry Cooling for the frame units and </w:t>
            </w:r>
            <w:proofErr w:type="spellStart"/>
            <w:r w:rsidRPr="001436DC">
              <w:rPr>
                <w:rFonts w:ascii="Century Gothic" w:eastAsia="Calibri" w:hAnsi="Century Gothic" w:cs="Calibri"/>
                <w:sz w:val="16"/>
              </w:rPr>
              <w:t>aeroderivative</w:t>
            </w:r>
            <w:proofErr w:type="spellEnd"/>
          </w:p>
          <w:p w14:paraId="1C0CB7EB" w14:textId="77777777" w:rsidR="00297A69" w:rsidRPr="001436DC" w:rsidRDefault="00297A69" w:rsidP="00FE4C1F">
            <w:pPr>
              <w:keepNext/>
              <w:keepLines/>
              <w:spacing w:line="240" w:lineRule="auto"/>
              <w:contextualSpacing/>
              <w:jc w:val="left"/>
              <w:rPr>
                <w:rFonts w:ascii="Century Gothic" w:eastAsia="Calibri" w:hAnsi="Century Gothic" w:cs="Calibri"/>
                <w:sz w:val="16"/>
              </w:rPr>
            </w:pPr>
            <w:r w:rsidRPr="001436DC">
              <w:rPr>
                <w:rFonts w:ascii="Century Gothic" w:eastAsia="Calibri" w:hAnsi="Century Gothic" w:cs="Calibri"/>
                <w:sz w:val="16"/>
              </w:rPr>
              <w:t xml:space="preserve">Wet Cooling for the advanced </w:t>
            </w:r>
            <w:proofErr w:type="spellStart"/>
            <w:r w:rsidRPr="001436DC">
              <w:rPr>
                <w:rFonts w:ascii="Century Gothic" w:eastAsia="Calibri" w:hAnsi="Century Gothic" w:cs="Calibri"/>
                <w:sz w:val="16"/>
              </w:rPr>
              <w:t>aeroderivative</w:t>
            </w:r>
            <w:proofErr w:type="spellEnd"/>
          </w:p>
        </w:tc>
      </w:tr>
    </w:tbl>
    <w:p w14:paraId="7997B535" w14:textId="09260368" w:rsidR="00A527AF" w:rsidRDefault="00A527AF" w:rsidP="00456566">
      <w:pPr>
        <w:pStyle w:val="Heading2"/>
      </w:pPr>
      <w:bookmarkStart w:id="30" w:name="_Toc468288312"/>
      <w:r>
        <w:t xml:space="preserve">Approach </w:t>
      </w:r>
      <w:r w:rsidR="009E2921">
        <w:t xml:space="preserve">to </w:t>
      </w:r>
      <w:r>
        <w:t xml:space="preserve">Determination of Capital </w:t>
      </w:r>
      <w:r w:rsidR="00952AAC">
        <w:t>Costs</w:t>
      </w:r>
      <w:bookmarkEnd w:id="30"/>
    </w:p>
    <w:p w14:paraId="4C0FAAE3" w14:textId="62DA6BCB" w:rsidR="00A527AF" w:rsidRPr="00BC4CCB" w:rsidRDefault="00A527AF" w:rsidP="00867C2A">
      <w:r w:rsidRPr="007B5D76">
        <w:t>M</w:t>
      </w:r>
      <w:r>
        <w:t>M,</w:t>
      </w:r>
      <w:r w:rsidRPr="007B5D76">
        <w:t xml:space="preserve"> in partnership with </w:t>
      </w:r>
      <w:r>
        <w:t>Concentric, prepared</w:t>
      </w:r>
      <w:r w:rsidRPr="007B5D76">
        <w:t xml:space="preserve"> capital cost estimates for </w:t>
      </w:r>
      <w:r>
        <w:t xml:space="preserve">the four candidate reference technologies </w:t>
      </w:r>
      <w:r w:rsidRPr="007B5D76">
        <w:t>based on modern construction techniques and materials for electricity generating stations and related facilities</w:t>
      </w:r>
      <w:r>
        <w:t xml:space="preserve">. </w:t>
      </w:r>
      <w:r w:rsidRPr="007B5D76">
        <w:t xml:space="preserve"> MM developed the major equipment costs, field construction labor hours and quantities to be used for the creation of the cost estimates from the comprehensive MM power plant cost estimating database along with information contained in the GT PRO cost system for power plants of the size and </w:t>
      </w:r>
      <w:r w:rsidRPr="00BC4CCB">
        <w:t>configuration selected for this project.  The MM cost estimating database consists of actual cost estimates for several hundred power projects including simple</w:t>
      </w:r>
      <w:r w:rsidR="00077911">
        <w:t xml:space="preserve"> cycle</w:t>
      </w:r>
      <w:r w:rsidR="00A8333B">
        <w:t xml:space="preserve">, </w:t>
      </w:r>
      <w:r w:rsidRPr="00BC4CCB">
        <w:t>combined cycle</w:t>
      </w:r>
      <w:r w:rsidR="00A8333B">
        <w:t xml:space="preserve">, and </w:t>
      </w:r>
      <w:proofErr w:type="spellStart"/>
      <w:r w:rsidR="00A8333B">
        <w:t>aeroderivative</w:t>
      </w:r>
      <w:proofErr w:type="spellEnd"/>
      <w:r w:rsidR="00A8333B">
        <w:t xml:space="preserve"> </w:t>
      </w:r>
      <w:r w:rsidRPr="00BC4CCB">
        <w:t xml:space="preserve">projects.   </w:t>
      </w:r>
    </w:p>
    <w:p w14:paraId="101BB164" w14:textId="7BB96CBD" w:rsidR="00A527AF" w:rsidRPr="00BC4CCB" w:rsidRDefault="00A527AF" w:rsidP="00867C2A">
      <w:r w:rsidRPr="00BC4CCB">
        <w:t>The MM cost estimating database was utilized for contractors submitting quotes “at-risk</w:t>
      </w:r>
      <w:r w:rsidR="00F02AC3">
        <w:t>,</w:t>
      </w:r>
      <w:r w:rsidRPr="00BC4CCB">
        <w:t xml:space="preserve">” either for the proposal itself or to crosscheck the bid the contractor had developed itself, and for developers and owners to check bids they receive.  Many of the projects also include as-built cost details.  The database also includes work specific information which generally addresses the civil work associated with a </w:t>
      </w:r>
      <w:r w:rsidR="00A8333B">
        <w:t xml:space="preserve">generation </w:t>
      </w:r>
      <w:r w:rsidRPr="00BC4CCB">
        <w:t xml:space="preserve">project, such as crew and construction equipment required for concrete work.  The database is maintained and updated on a regular basis as new project cost estimates </w:t>
      </w:r>
      <w:r w:rsidR="00A8333B">
        <w:t xml:space="preserve">are prepared </w:t>
      </w:r>
      <w:r w:rsidRPr="00BC4CCB">
        <w:t xml:space="preserve">and information and data </w:t>
      </w:r>
      <w:r w:rsidR="00A8333B">
        <w:t xml:space="preserve">is received </w:t>
      </w:r>
      <w:r w:rsidRPr="00BC4CCB">
        <w:t xml:space="preserve">from our clients indicating the results of our work.  </w:t>
      </w:r>
    </w:p>
    <w:p w14:paraId="11710486" w14:textId="64E24FD8" w:rsidR="00A527AF" w:rsidRPr="00BC4CCB" w:rsidRDefault="00A527AF" w:rsidP="00867C2A">
      <w:r w:rsidRPr="00BC4CCB">
        <w:t xml:space="preserve">As a result of the selected geographic location for all of these projects just South of Boston in Bristol County, and possible competition from other projects for labor, the cost estimates include </w:t>
      </w:r>
      <w:r w:rsidRPr="004F05A4">
        <w:lastRenderedPageBreak/>
        <w:t>scheduled overtime in order to attract the most productive craft labor staff.  All four cost estimates were based on a fifty-hour per week schedule for the journeymen.  This is also based on past experience throughout the country</w:t>
      </w:r>
      <w:r w:rsidR="00077911">
        <w:t>,</w:t>
      </w:r>
      <w:r w:rsidRPr="004F05A4">
        <w:t xml:space="preserve"> where many projects start as a forty-hour work week and eventually become sixty-hour week work schedules with the construction crews working six ten-hour days per week.  It is common practice to always include overtime costs on major projects in order to avoid </w:t>
      </w:r>
      <w:r w:rsidR="00077911">
        <w:t>issues</w:t>
      </w:r>
      <w:r w:rsidR="00077911" w:rsidRPr="004F05A4">
        <w:t xml:space="preserve"> </w:t>
      </w:r>
      <w:r w:rsidRPr="004F05A4">
        <w:t>during construction.  In addition to the fifty-hour workweek, we also included some casual overtime in each of the estimates to cover such items as unloading deliveries late in the day to avoid extra charges for the delivery vehicle, pulling electrical cable at night and the potential need to make some installations or modifications on a fast turnaround basis so that other crews can get into an area to complete their work.</w:t>
      </w:r>
    </w:p>
    <w:p w14:paraId="7435BB5A" w14:textId="2E912DD5" w:rsidR="00A527AF" w:rsidRPr="00BC4CCB" w:rsidRDefault="00A527AF" w:rsidP="00A12D4D">
      <w:pPr>
        <w:pStyle w:val="Heading3"/>
        <w:numPr>
          <w:ilvl w:val="0"/>
          <w:numId w:val="38"/>
        </w:numPr>
      </w:pPr>
      <w:r w:rsidRPr="00BC4CCB">
        <w:t>DIRECT COSTS</w:t>
      </w:r>
    </w:p>
    <w:p w14:paraId="4C616082" w14:textId="0FAAC65C" w:rsidR="00A527AF" w:rsidRPr="00BC4CCB" w:rsidRDefault="00A527AF" w:rsidP="00EB6754">
      <w:pPr>
        <w:pStyle w:val="Heading4"/>
      </w:pPr>
      <w:r w:rsidRPr="00BC4CCB">
        <w:t>MAJOR EQUIPMENT</w:t>
      </w:r>
    </w:p>
    <w:p w14:paraId="3FC912F3" w14:textId="6D969353" w:rsidR="00A527AF" w:rsidRPr="00BC4CCB" w:rsidRDefault="00A527AF" w:rsidP="00867C2A">
      <w:r w:rsidRPr="00BC4CCB">
        <w:t>Major equipment was priced based on the MM cost database documentation along with information obtained from our clients that have constructed a large number of electric generating plants.  Our database is kept current and is checked against market conditions for the time frame basis of the cost estimates.  For any specialized major equipment that is not contained in our cost estimate database, we consult</w:t>
      </w:r>
      <w:r w:rsidR="00077911">
        <w:t>ed</w:t>
      </w:r>
      <w:r w:rsidRPr="00BC4CCB">
        <w:t xml:space="preserve"> with some of our clients and/or the specialty manufacturers involved in that type of major equipment supply.  The MM cost estimates contain detailed information where each piece of major equipment is identified and priced accordingly.  </w:t>
      </w:r>
    </w:p>
    <w:p w14:paraId="41D35F96" w14:textId="449EBDF4" w:rsidR="00A527AF" w:rsidRPr="00BC4CCB" w:rsidRDefault="00A527AF" w:rsidP="00867C2A">
      <w:r w:rsidRPr="00BC4CCB">
        <w:t>Freight costs for the Major Equipment are generally included within the unit Major Equipment costs for the equipment in the direct cost section of the cost estimates.  We include</w:t>
      </w:r>
      <w:r w:rsidR="00077911">
        <w:t>d</w:t>
      </w:r>
      <w:r w:rsidRPr="00BC4CCB">
        <w:t xml:space="preserve"> freight costs in the indirect cost section of the cost estimates for a small amount of Major Equipment and bulk materials where we were unable to obtain shipping costs from a supplier.  In those instances</w:t>
      </w:r>
      <w:r w:rsidR="00FE5C20">
        <w:t>,</w:t>
      </w:r>
      <w:r w:rsidRPr="00BC4CCB">
        <w:t xml:space="preserve"> freight costs were based on </w:t>
      </w:r>
      <w:r w:rsidR="00FE5C20">
        <w:t xml:space="preserve">our own estimating experience. </w:t>
      </w:r>
      <w:r w:rsidRPr="00BC4CCB">
        <w:t xml:space="preserve">Vendor representative costs </w:t>
      </w:r>
      <w:r w:rsidR="00077911">
        <w:t>were</w:t>
      </w:r>
      <w:r w:rsidR="00077911" w:rsidRPr="00BC4CCB">
        <w:t xml:space="preserve"> </w:t>
      </w:r>
      <w:r w:rsidRPr="00BC4CCB">
        <w:t xml:space="preserve">included either with the value of the Major Equipment or listed separately in the indirect cost portion of the cost estimates as noted.   </w:t>
      </w:r>
    </w:p>
    <w:p w14:paraId="53939D22" w14:textId="53EADA64" w:rsidR="00A527AF" w:rsidRPr="00BC4CCB" w:rsidRDefault="00A527AF" w:rsidP="00E117CB">
      <w:pPr>
        <w:pStyle w:val="Heading4"/>
      </w:pPr>
      <w:r w:rsidRPr="00BC4CCB">
        <w:t>BALANCE OF PLANT MATERIALS</w:t>
      </w:r>
    </w:p>
    <w:p w14:paraId="5B36EBB9" w14:textId="2B7953A4" w:rsidR="00A527AF" w:rsidRPr="00BC4CCB" w:rsidRDefault="00A527AF" w:rsidP="004F05A4">
      <w:r w:rsidRPr="00BC4CCB">
        <w:t>Balance of Plant bulk material quantities were developed from the MM selected cost estimate model</w:t>
      </w:r>
      <w:r w:rsidRPr="00BC4CCB">
        <w:rPr>
          <w:rStyle w:val="FootnoteReference"/>
          <w:rFonts w:cs="Times New Roman"/>
        </w:rPr>
        <w:footnoteReference w:id="5"/>
      </w:r>
      <w:r w:rsidRPr="00BC4CCB">
        <w:t xml:space="preserve"> for this project as well as information from other MM </w:t>
      </w:r>
      <w:r w:rsidR="00077911">
        <w:t>p</w:t>
      </w:r>
      <w:r w:rsidRPr="00BC4CCB">
        <w:t xml:space="preserve">ower </w:t>
      </w:r>
      <w:r w:rsidR="00077911">
        <w:t>p</w:t>
      </w:r>
      <w:r w:rsidRPr="00BC4CCB">
        <w:t xml:space="preserve">rojects.  Bulk quantities and sizes were adjusted to suit the major equipment locations displayed on the site plan. Sizes of the various components were also adjusted to suit the varying sizes of the plant capacities as necessary, based on our experience and as indicated on the information developed for this </w:t>
      </w:r>
      <w:r w:rsidR="00077911">
        <w:t>analysis</w:t>
      </w:r>
      <w:r w:rsidRPr="00BC4CCB">
        <w:t xml:space="preserve">.   </w:t>
      </w:r>
    </w:p>
    <w:p w14:paraId="64FE1184" w14:textId="77777777" w:rsidR="00A527AF" w:rsidRPr="00BC4CCB" w:rsidRDefault="00A527AF" w:rsidP="004F05A4">
      <w:pPr>
        <w:rPr>
          <w:bCs/>
        </w:rPr>
      </w:pPr>
      <w:r w:rsidRPr="00BC4CCB">
        <w:rPr>
          <w:bCs/>
        </w:rPr>
        <w:t xml:space="preserve">The Balance of Plant materials were priced based on market conditions and prices in effect in the U.S. with adjustments to suit any special conditions that may apply in the Bristol County, Massachusetts area. Concrete supply is the one item that is particularly influenced by local costs.  </w:t>
      </w:r>
    </w:p>
    <w:p w14:paraId="01F2D1B8" w14:textId="4A3E2314" w:rsidR="00A527AF" w:rsidRPr="00BC4CCB" w:rsidRDefault="00A527AF" w:rsidP="004F05A4">
      <w:pPr>
        <w:rPr>
          <w:bCs/>
        </w:rPr>
      </w:pPr>
      <w:r w:rsidRPr="00BC4CCB">
        <w:rPr>
          <w:bCs/>
        </w:rPr>
        <w:lastRenderedPageBreak/>
        <w:t xml:space="preserve">Freight costs for the </w:t>
      </w:r>
      <w:r w:rsidR="00077911">
        <w:rPr>
          <w:bCs/>
        </w:rPr>
        <w:t>b</w:t>
      </w:r>
      <w:r w:rsidRPr="00BC4CCB">
        <w:rPr>
          <w:bCs/>
        </w:rPr>
        <w:t xml:space="preserve">alance of </w:t>
      </w:r>
      <w:r w:rsidR="00077911">
        <w:rPr>
          <w:bCs/>
        </w:rPr>
        <w:t>p</w:t>
      </w:r>
      <w:r w:rsidRPr="00BC4CCB">
        <w:rPr>
          <w:bCs/>
        </w:rPr>
        <w:t xml:space="preserve">lant </w:t>
      </w:r>
      <w:r w:rsidR="00077911">
        <w:rPr>
          <w:bCs/>
        </w:rPr>
        <w:t>m</w:t>
      </w:r>
      <w:r w:rsidRPr="00BC4CCB">
        <w:rPr>
          <w:bCs/>
        </w:rPr>
        <w:t xml:space="preserve">aterials </w:t>
      </w:r>
      <w:r w:rsidR="00077911">
        <w:rPr>
          <w:bCs/>
        </w:rPr>
        <w:t>were</w:t>
      </w:r>
      <w:r w:rsidR="00077911" w:rsidRPr="00BC4CCB">
        <w:rPr>
          <w:bCs/>
        </w:rPr>
        <w:t xml:space="preserve"> </w:t>
      </w:r>
      <w:r w:rsidRPr="00BC4CCB">
        <w:rPr>
          <w:bCs/>
        </w:rPr>
        <w:t xml:space="preserve">included within the unit material costs for the material in the direct cost section of the cost estimates. </w:t>
      </w:r>
      <w:proofErr w:type="gramStart"/>
      <w:r w:rsidRPr="00BC4CCB">
        <w:rPr>
          <w:bCs/>
        </w:rPr>
        <w:t>Whe</w:t>
      </w:r>
      <w:r w:rsidR="00077911">
        <w:rPr>
          <w:bCs/>
        </w:rPr>
        <w:t>re</w:t>
      </w:r>
      <w:r w:rsidRPr="00BC4CCB">
        <w:rPr>
          <w:bCs/>
        </w:rPr>
        <w:t xml:space="preserve"> the pricing developed excluded freight costs, these costs </w:t>
      </w:r>
      <w:r w:rsidR="00077911">
        <w:rPr>
          <w:bCs/>
        </w:rPr>
        <w:t>were</w:t>
      </w:r>
      <w:r w:rsidR="00077911" w:rsidRPr="00BC4CCB">
        <w:rPr>
          <w:bCs/>
        </w:rPr>
        <w:t xml:space="preserve"> </w:t>
      </w:r>
      <w:r w:rsidRPr="00BC4CCB">
        <w:rPr>
          <w:bCs/>
        </w:rPr>
        <w:t>included in the indirect cost section of the estimates.</w:t>
      </w:r>
      <w:proofErr w:type="gramEnd"/>
      <w:r w:rsidRPr="00BC4CCB">
        <w:rPr>
          <w:bCs/>
        </w:rPr>
        <w:t xml:space="preserve">   </w:t>
      </w:r>
    </w:p>
    <w:p w14:paraId="5B642E5F" w14:textId="31B6EE79" w:rsidR="00A527AF" w:rsidRPr="00BC4CCB" w:rsidRDefault="00A527AF" w:rsidP="00E117CB">
      <w:pPr>
        <w:pStyle w:val="Heading4"/>
      </w:pPr>
      <w:r w:rsidRPr="00BC4CCB">
        <w:t>CONSTRUCTION LABOR</w:t>
      </w:r>
    </w:p>
    <w:p w14:paraId="2D53EB00" w14:textId="747B94C6" w:rsidR="00A527AF" w:rsidRPr="00BC4CCB" w:rsidRDefault="00A527AF" w:rsidP="00867C2A">
      <w:pPr>
        <w:rPr>
          <w:rFonts w:cs="Times New Roman"/>
          <w:bCs/>
        </w:rPr>
      </w:pPr>
      <w:r w:rsidRPr="00BC4CCB">
        <w:rPr>
          <w:rFonts w:cs="Times New Roman"/>
          <w:bCs/>
        </w:rPr>
        <w:t xml:space="preserve">Labor rates </w:t>
      </w:r>
      <w:r w:rsidR="00077911">
        <w:rPr>
          <w:rFonts w:cs="Times New Roman"/>
          <w:bCs/>
        </w:rPr>
        <w:t xml:space="preserve">were </w:t>
      </w:r>
      <w:r w:rsidRPr="00BC4CCB">
        <w:rPr>
          <w:rFonts w:cs="Times New Roman"/>
          <w:bCs/>
        </w:rPr>
        <w:t xml:space="preserve">based on union labor rates for the Bristol County, Massachusetts area.  The construction labor rates used in the cost estimate </w:t>
      </w:r>
      <w:r w:rsidR="00077911">
        <w:rPr>
          <w:rFonts w:cs="Times New Roman"/>
          <w:bCs/>
        </w:rPr>
        <w:t>were</w:t>
      </w:r>
      <w:r w:rsidR="00077911" w:rsidRPr="00BC4CCB">
        <w:rPr>
          <w:rFonts w:cs="Times New Roman"/>
          <w:bCs/>
        </w:rPr>
        <w:t xml:space="preserve"> </w:t>
      </w:r>
      <w:r w:rsidRPr="00BC4CCB">
        <w:rPr>
          <w:rFonts w:cs="Times New Roman"/>
          <w:bCs/>
        </w:rPr>
        <w:t>composite craft labor rates for approximately 35 various craft</w:t>
      </w:r>
      <w:r w:rsidR="00456566">
        <w:rPr>
          <w:rFonts w:cs="Times New Roman"/>
          <w:bCs/>
        </w:rPr>
        <w:t>s</w:t>
      </w:r>
      <w:r w:rsidRPr="00BC4CCB">
        <w:rPr>
          <w:rFonts w:cs="Times New Roman"/>
          <w:bCs/>
        </w:rPr>
        <w:t xml:space="preserve"> and include</w:t>
      </w:r>
      <w:r w:rsidR="00077911">
        <w:rPr>
          <w:rFonts w:cs="Times New Roman"/>
          <w:bCs/>
        </w:rPr>
        <w:t>d</w:t>
      </w:r>
      <w:r w:rsidRPr="00BC4CCB">
        <w:rPr>
          <w:rFonts w:cs="Times New Roman"/>
          <w:bCs/>
        </w:rPr>
        <w:t xml:space="preserve"> all fringe benefits, workers’ compensation costs and all other required insurances and taxes.  Working foreman costs </w:t>
      </w:r>
      <w:r w:rsidR="00077911">
        <w:rPr>
          <w:rFonts w:cs="Times New Roman"/>
          <w:bCs/>
        </w:rPr>
        <w:t>were</w:t>
      </w:r>
      <w:r w:rsidR="00077911" w:rsidRPr="00BC4CCB">
        <w:rPr>
          <w:rFonts w:cs="Times New Roman"/>
          <w:bCs/>
        </w:rPr>
        <w:t xml:space="preserve"> </w:t>
      </w:r>
      <w:r w:rsidRPr="00BC4CCB">
        <w:rPr>
          <w:rFonts w:cs="Times New Roman"/>
          <w:bCs/>
        </w:rPr>
        <w:t xml:space="preserve">built into the labor rates while non- working General Foreman costs </w:t>
      </w:r>
      <w:r w:rsidR="00CA488C">
        <w:rPr>
          <w:rFonts w:cs="Times New Roman"/>
          <w:bCs/>
        </w:rPr>
        <w:t>were</w:t>
      </w:r>
      <w:r w:rsidR="00CA488C" w:rsidRPr="00BC4CCB">
        <w:rPr>
          <w:rFonts w:cs="Times New Roman"/>
          <w:bCs/>
        </w:rPr>
        <w:t xml:space="preserve"> </w:t>
      </w:r>
      <w:r w:rsidRPr="00BC4CCB">
        <w:rPr>
          <w:rFonts w:cs="Times New Roman"/>
          <w:bCs/>
        </w:rPr>
        <w:t xml:space="preserve">included separately in the Construction Management Indirect Cost section of the cost estimates.  The construction labor rates used for the various crafts </w:t>
      </w:r>
      <w:r w:rsidR="00CA488C">
        <w:rPr>
          <w:rFonts w:cs="Times New Roman"/>
          <w:bCs/>
        </w:rPr>
        <w:t>were</w:t>
      </w:r>
      <w:r w:rsidR="00CA488C" w:rsidRPr="00BC4CCB">
        <w:rPr>
          <w:rFonts w:cs="Times New Roman"/>
          <w:bCs/>
        </w:rPr>
        <w:t xml:space="preserve"> </w:t>
      </w:r>
      <w:r w:rsidRPr="00BC4CCB">
        <w:rPr>
          <w:rFonts w:cs="Times New Roman"/>
          <w:bCs/>
        </w:rPr>
        <w:t>included in a separate section as part of this estimate package.</w:t>
      </w:r>
    </w:p>
    <w:p w14:paraId="3596171E" w14:textId="5596CB99" w:rsidR="00A527AF" w:rsidRPr="00BC4CCB" w:rsidRDefault="00A527AF" w:rsidP="00867C2A">
      <w:r w:rsidRPr="00BC4CCB">
        <w:t>Field labor productivity was calculated based on field construction labor conditions for the Bristol County, Massachusetts area.  These productivity values are supported by previously completed projects in the general area in which the plant would be located and for which MM has experience, as well as from previously prepared construction site surveys in the Northeast</w:t>
      </w:r>
      <w:r w:rsidR="00CA488C">
        <w:t>.</w:t>
      </w:r>
      <w:r w:rsidRPr="00BC4CCB">
        <w:t xml:space="preserve"> </w:t>
      </w:r>
    </w:p>
    <w:p w14:paraId="0ACD6BC3" w14:textId="77777777" w:rsidR="00A527AF" w:rsidRPr="00BC4CCB" w:rsidRDefault="00A527AF" w:rsidP="00A12D4D">
      <w:pPr>
        <w:pStyle w:val="Heading3"/>
      </w:pPr>
      <w:r w:rsidRPr="00BC4CCB">
        <w:t>ESTIMATE DETAILS BY MAJOR CATEGORY</w:t>
      </w:r>
    </w:p>
    <w:p w14:paraId="284DCF00" w14:textId="2E010DDA" w:rsidR="00A527AF" w:rsidRPr="00BC4CCB" w:rsidRDefault="00A527AF" w:rsidP="00E117CB">
      <w:pPr>
        <w:pStyle w:val="Heading4"/>
      </w:pPr>
      <w:r w:rsidRPr="00BC4CCB">
        <w:t>MAJOR EQUIPMENT FIELD INSTALLATION LABOR</w:t>
      </w:r>
    </w:p>
    <w:p w14:paraId="4C0AF337" w14:textId="77777777" w:rsidR="00A527AF" w:rsidRPr="00BC4CCB" w:rsidRDefault="00A527AF" w:rsidP="00867C2A">
      <w:r w:rsidRPr="00BC4CCB">
        <w:t>Field construction installation labor hours for major equipment installation were developed from MM’s experience in estimating other projects.  MM’s cost estimate model information and discussions with major equipment manufacturers as to installation conditions and component pieces associated with their equipment were also considered.  All labor hours were adjusted to suit anticipated productivity levels associated with working in the Bristol County, Massachusetts area.  As noted above, productivity values used in the study are consistent with MM’s experience with similar types of construction projects in the general area.</w:t>
      </w:r>
    </w:p>
    <w:p w14:paraId="5B215201" w14:textId="785A2B93" w:rsidR="00A527AF" w:rsidRPr="00BC4CCB" w:rsidRDefault="00A527AF" w:rsidP="00E117CB">
      <w:pPr>
        <w:pStyle w:val="Heading4"/>
      </w:pPr>
      <w:r w:rsidRPr="00BC4CCB">
        <w:t>SITE WORK</w:t>
      </w:r>
    </w:p>
    <w:p w14:paraId="2853E614" w14:textId="43046C60" w:rsidR="00A527AF" w:rsidRPr="00BC4CCB" w:rsidRDefault="00A527AF" w:rsidP="004F05A4">
      <w:r w:rsidRPr="00BC4CCB">
        <w:t xml:space="preserve">The Bristol County site location is anticipated to require only a minimal amount of additional fill since a specific location within the county </w:t>
      </w:r>
      <w:r w:rsidR="007E746A">
        <w:t>was</w:t>
      </w:r>
      <w:r w:rsidR="007E746A" w:rsidRPr="00BC4CCB">
        <w:t xml:space="preserve"> </w:t>
      </w:r>
      <w:r w:rsidRPr="00BC4CCB">
        <w:t xml:space="preserve">not </w:t>
      </w:r>
      <w:r w:rsidR="007E746A">
        <w:t xml:space="preserve">identified </w:t>
      </w:r>
      <w:r w:rsidRPr="00BC4CCB">
        <w:t>and cut and fill measurements, therefore, could not be quantified.  As noted above</w:t>
      </w:r>
      <w:r w:rsidR="007E746A">
        <w:t>,</w:t>
      </w:r>
      <w:r w:rsidRPr="00BC4CCB">
        <w:t xml:space="preserve"> it was determined that we would not consider piling for foundations for the same reason as explained for minimal cut and fill operations. </w:t>
      </w:r>
    </w:p>
    <w:p w14:paraId="7B049306" w14:textId="61FC2754" w:rsidR="00A527AF" w:rsidRPr="00BC4CCB" w:rsidRDefault="00A527AF" w:rsidP="004F05A4">
      <w:r w:rsidRPr="00BC4CCB">
        <w:t xml:space="preserve">The cost estimates include site drainage, a firewater loop system, the installation of new underground piping, new electrical </w:t>
      </w:r>
      <w:r w:rsidR="001F7171" w:rsidRPr="00BC4CCB">
        <w:t>duct banks</w:t>
      </w:r>
      <w:r w:rsidRPr="00BC4CCB">
        <w:t xml:space="preserve"> and manholes, sanitary sewer piping, miscellaneous light site demolition, erosion control, excavation and backfill for the new foundations, site fencing, roadwork, site restoration and landscaping.  </w:t>
      </w:r>
    </w:p>
    <w:p w14:paraId="2550446B" w14:textId="1BBE696E" w:rsidR="00A527AF" w:rsidRPr="00BC4CCB" w:rsidRDefault="00A527AF" w:rsidP="004F05A4">
      <w:r w:rsidRPr="00BC4CCB">
        <w:t xml:space="preserve">The cost estimates include utility tie-ins at the fence.  The final paving of roads </w:t>
      </w:r>
      <w:r w:rsidR="008F10A4">
        <w:t>was assumed to</w:t>
      </w:r>
      <w:r w:rsidR="008F10A4" w:rsidRPr="00BC4CCB">
        <w:t xml:space="preserve"> </w:t>
      </w:r>
      <w:r w:rsidRPr="00BC4CCB">
        <w:t xml:space="preserve">be accomplished at the conclusion of construction activities.  </w:t>
      </w:r>
    </w:p>
    <w:p w14:paraId="077A20A8" w14:textId="339D9E96" w:rsidR="00A527AF" w:rsidRPr="00BC4CCB" w:rsidRDefault="00A527AF" w:rsidP="00E117CB">
      <w:pPr>
        <w:pStyle w:val="Heading4"/>
      </w:pPr>
      <w:r w:rsidRPr="00BC4CCB">
        <w:lastRenderedPageBreak/>
        <w:t>CONCRETE</w:t>
      </w:r>
    </w:p>
    <w:p w14:paraId="734380F4" w14:textId="77777777" w:rsidR="00A527AF" w:rsidRPr="00BC4CCB" w:rsidRDefault="00A527AF" w:rsidP="00867C2A">
      <w:r w:rsidRPr="00BC4CCB">
        <w:t xml:space="preserve">Concrete quantities were developed from information contained in the MM cost estimate model adjusted to the exact conditions for each of the four projects considering the major equipment required and the proposed plant layout drawing. Field construction labor hours for concrete installation were calculated and adjusted based on anticipated construction labor productivity derived from MM’s experience with other construction projects in the general area.         </w:t>
      </w:r>
    </w:p>
    <w:p w14:paraId="2C58E84A" w14:textId="2139A5E3" w:rsidR="00A527AF" w:rsidRPr="00BC4CCB" w:rsidRDefault="00A527AF" w:rsidP="00867C2A">
      <w:r w:rsidRPr="00BC4CCB">
        <w:t xml:space="preserve">Major concrete work in this section of the cost estimate includes the </w:t>
      </w:r>
      <w:r w:rsidR="008F10A4">
        <w:t>g</w:t>
      </w:r>
      <w:r w:rsidRPr="00BC4CCB">
        <w:t xml:space="preserve">as </w:t>
      </w:r>
      <w:r w:rsidR="008F10A4">
        <w:t>t</w:t>
      </w:r>
      <w:r w:rsidRPr="00BC4CCB">
        <w:t>urbine foundation, the SCR foundation, a firewall for the main transformers, a stack foundation, building foundations, pump foundations and the switchyard area.</w:t>
      </w:r>
    </w:p>
    <w:p w14:paraId="07270613" w14:textId="28A6B2A4" w:rsidR="00A527AF" w:rsidRPr="00BC4CCB" w:rsidRDefault="00A527AF" w:rsidP="00DB3592">
      <w:pPr>
        <w:pStyle w:val="Heading4"/>
      </w:pPr>
      <w:r w:rsidRPr="00BC4CCB">
        <w:t>MASONRY</w:t>
      </w:r>
    </w:p>
    <w:p w14:paraId="25B1EBE1" w14:textId="77777777" w:rsidR="00A527AF" w:rsidRPr="00BC4CCB" w:rsidRDefault="00A527AF" w:rsidP="00867C2A">
      <w:r w:rsidRPr="00BC4CCB">
        <w:t>Masonry quantities were developed from information available from the MM cost estimate model and specified building sizes for the project. The major elements of work contained in this section include both interior and exterior CMU walls where needed for the buildings on the project, scaffolding, and all grouting costs for major equipment and structural steel base plates.</w:t>
      </w:r>
    </w:p>
    <w:p w14:paraId="27C7E8DC" w14:textId="77777777" w:rsidR="00A527AF" w:rsidRPr="00BC4CCB" w:rsidRDefault="00A527AF" w:rsidP="00867C2A">
      <w:r w:rsidRPr="00BC4CCB">
        <w:t>Field construction labor hours for masonry work were calculated and adjusted based on anticipated construction labor productivity derived from MM’s experience with other construction projects in the general area.</w:t>
      </w:r>
    </w:p>
    <w:p w14:paraId="30407477" w14:textId="4613EB6E" w:rsidR="00A527AF" w:rsidRPr="00BC4CCB" w:rsidRDefault="00A527AF" w:rsidP="00DB3592">
      <w:pPr>
        <w:pStyle w:val="Heading4"/>
      </w:pPr>
      <w:r w:rsidRPr="00BC4CCB">
        <w:t>STRUCTURAL STEEL/METALS</w:t>
      </w:r>
    </w:p>
    <w:p w14:paraId="03ED5391" w14:textId="3B9DBDB3" w:rsidR="00A527AF" w:rsidRPr="00BC4CCB" w:rsidRDefault="00A527AF" w:rsidP="00867C2A">
      <w:r w:rsidRPr="00BC4CCB">
        <w:t xml:space="preserve">Structural </w:t>
      </w:r>
      <w:r w:rsidR="008F10A4">
        <w:t>s</w:t>
      </w:r>
      <w:r w:rsidRPr="00BC4CCB">
        <w:t xml:space="preserve">teel quantities were developed from information available from other MM projects of similar size, as well as the MM cost estimate model used for this project.  Field construction labor hours for steel installation were calculated and adjusted based on anticipated construction labor productivity derived from MM’s experience with other construction projects in the general area.  </w:t>
      </w:r>
    </w:p>
    <w:p w14:paraId="48ABABB0" w14:textId="77777777" w:rsidR="00A527AF" w:rsidRPr="00BC4CCB" w:rsidRDefault="00A527AF" w:rsidP="00867C2A">
      <w:r w:rsidRPr="00BC4CCB">
        <w:t xml:space="preserve">Major structural steel work in this section of the cost estimate includes structural and supplementary steel for the Administration building.  Platforms, grating, handrails, ladders, anchor bolts, and prime coat painting of the steel are also included unless any of these items are supplied by the manufacturer of the major equipment.   </w:t>
      </w:r>
    </w:p>
    <w:p w14:paraId="2D7B09DC" w14:textId="66C8B755" w:rsidR="00A527AF" w:rsidRPr="00BC4CCB" w:rsidRDefault="00A527AF" w:rsidP="00DB3592">
      <w:pPr>
        <w:pStyle w:val="Heading4"/>
      </w:pPr>
      <w:r w:rsidRPr="00BC4CCB">
        <w:t>BUILDINGS</w:t>
      </w:r>
    </w:p>
    <w:p w14:paraId="09CF0B9E" w14:textId="67AD86A0" w:rsidR="00A527AF" w:rsidRPr="00BC4CCB" w:rsidRDefault="00A527AF" w:rsidP="00867C2A">
      <w:r w:rsidRPr="00BC4CCB">
        <w:t xml:space="preserve">Material quantities for buildings were developed from building information developed by MM as well as the MM cost estimate model used for this project. As noted, structural steel for buildings is included in the </w:t>
      </w:r>
      <w:r w:rsidR="008F10A4">
        <w:t>s</w:t>
      </w:r>
      <w:r w:rsidRPr="00BC4CCB">
        <w:t xml:space="preserve">tructural </w:t>
      </w:r>
      <w:r w:rsidR="008F10A4">
        <w:t>s</w:t>
      </w:r>
      <w:r w:rsidRPr="00BC4CCB">
        <w:t>teel/</w:t>
      </w:r>
      <w:r w:rsidR="008F10A4">
        <w:t>m</w:t>
      </w:r>
      <w:r w:rsidRPr="00BC4CCB">
        <w:t>etals section of the cost estimate unless the building is a pre-engineered structure.  This section consists of the siding, roofing, doors, carpentry, wallboard, acoustical treatment, resilient flooring, fire protection, plumbing and HVAC requirements for the buildings on the project.</w:t>
      </w:r>
    </w:p>
    <w:p w14:paraId="2495808B" w14:textId="0E79BDEC" w:rsidR="00A527AF" w:rsidRPr="00BC4CCB" w:rsidRDefault="00A527AF" w:rsidP="00867C2A">
      <w:r w:rsidRPr="00BC4CCB">
        <w:t xml:space="preserve">The buildings required on this project that are included in this section are the </w:t>
      </w:r>
      <w:r w:rsidR="008F10A4">
        <w:t>a</w:t>
      </w:r>
      <w:r w:rsidRPr="00BC4CCB">
        <w:t>dministration/</w:t>
      </w:r>
      <w:r w:rsidR="008F10A4">
        <w:t>c</w:t>
      </w:r>
      <w:r w:rsidRPr="00BC4CCB">
        <w:t>ontrol/</w:t>
      </w:r>
      <w:r w:rsidR="008F10A4">
        <w:t>m</w:t>
      </w:r>
      <w:r w:rsidRPr="00BC4CCB">
        <w:t xml:space="preserve">achine </w:t>
      </w:r>
      <w:r w:rsidR="008F10A4">
        <w:t>s</w:t>
      </w:r>
      <w:r w:rsidRPr="00BC4CCB">
        <w:t>hop/</w:t>
      </w:r>
      <w:r w:rsidR="008F10A4">
        <w:t>w</w:t>
      </w:r>
      <w:r w:rsidRPr="00BC4CCB">
        <w:t xml:space="preserve">arehouse </w:t>
      </w:r>
      <w:r w:rsidR="008F10A4">
        <w:t>b</w:t>
      </w:r>
      <w:r w:rsidRPr="00BC4CCB">
        <w:t xml:space="preserve">uilding and a </w:t>
      </w:r>
      <w:r w:rsidR="008F10A4">
        <w:t>g</w:t>
      </w:r>
      <w:r w:rsidRPr="00BC4CCB">
        <w:t xml:space="preserve">uard </w:t>
      </w:r>
      <w:r w:rsidR="008F10A4">
        <w:t>h</w:t>
      </w:r>
      <w:r w:rsidRPr="00BC4CCB">
        <w:t xml:space="preserve">ouse.  </w:t>
      </w:r>
    </w:p>
    <w:p w14:paraId="0E19F5C8" w14:textId="77777777" w:rsidR="00A527AF" w:rsidRPr="00BC4CCB" w:rsidRDefault="00A527AF" w:rsidP="00867C2A">
      <w:r w:rsidRPr="00BC4CCB">
        <w:lastRenderedPageBreak/>
        <w:t>Field construction labor hours for the building work were calculated and adjusted based on anticipated construction labor productivity derived from MM’s experience with other construction projects in the general area.</w:t>
      </w:r>
    </w:p>
    <w:p w14:paraId="0A6561AC" w14:textId="04533820" w:rsidR="00A527AF" w:rsidRPr="00BC4CCB" w:rsidRDefault="00A527AF" w:rsidP="00DB3592">
      <w:pPr>
        <w:pStyle w:val="Heading4"/>
      </w:pPr>
      <w:r w:rsidRPr="00BC4CCB">
        <w:t>PIPING</w:t>
      </w:r>
    </w:p>
    <w:p w14:paraId="11BC117F" w14:textId="77777777" w:rsidR="00A527AF" w:rsidRPr="00BC4CCB" w:rsidRDefault="00A527AF" w:rsidP="00867C2A">
      <w:r w:rsidRPr="00BC4CCB">
        <w:t xml:space="preserve">Piping quantities contained in the MM cost estimate model were adjusted from the locations of the buildings and major equipment components shown on the general arrangement drawing. </w:t>
      </w:r>
    </w:p>
    <w:p w14:paraId="20449978" w14:textId="5C817B35" w:rsidR="00A527AF" w:rsidRPr="00BC4CCB" w:rsidRDefault="00A527AF" w:rsidP="00867C2A">
      <w:r w:rsidRPr="00BC4CCB">
        <w:t xml:space="preserve">Piping systems included in this section of the cost estimate include </w:t>
      </w:r>
      <w:r w:rsidR="008F10A4">
        <w:t>a</w:t>
      </w:r>
      <w:r w:rsidRPr="00BC4CCB">
        <w:t xml:space="preserve">uxiliary </w:t>
      </w:r>
      <w:r w:rsidR="008F10A4">
        <w:t>c</w:t>
      </w:r>
      <w:r w:rsidRPr="00BC4CCB">
        <w:t xml:space="preserve">ooling </w:t>
      </w:r>
      <w:r w:rsidR="008F10A4">
        <w:t>w</w:t>
      </w:r>
      <w:r w:rsidRPr="00BC4CCB">
        <w:t xml:space="preserve">ater, </w:t>
      </w:r>
      <w:proofErr w:type="spellStart"/>
      <w:r w:rsidR="008F10A4">
        <w:t>f</w:t>
      </w:r>
      <w:r w:rsidRPr="00BC4CCB">
        <w:t>eedwater</w:t>
      </w:r>
      <w:proofErr w:type="spellEnd"/>
      <w:r w:rsidRPr="00BC4CCB">
        <w:t xml:space="preserve">, </w:t>
      </w:r>
      <w:r w:rsidR="008F10A4">
        <w:t>f</w:t>
      </w:r>
      <w:r w:rsidRPr="00BC4CCB">
        <w:t xml:space="preserve">uel </w:t>
      </w:r>
      <w:r w:rsidR="008F10A4">
        <w:t>g</w:t>
      </w:r>
      <w:r w:rsidRPr="00BC4CCB">
        <w:t xml:space="preserve">as, </w:t>
      </w:r>
      <w:r w:rsidR="008F10A4">
        <w:t>l</w:t>
      </w:r>
      <w:r w:rsidRPr="00BC4CCB">
        <w:t xml:space="preserve">ube </w:t>
      </w:r>
      <w:r w:rsidR="008F10A4">
        <w:t>o</w:t>
      </w:r>
      <w:r w:rsidRPr="00BC4CCB">
        <w:t xml:space="preserve">il, </w:t>
      </w:r>
      <w:r w:rsidR="008F10A4">
        <w:t>f</w:t>
      </w:r>
      <w:r w:rsidRPr="00BC4CCB">
        <w:t xml:space="preserve">uel </w:t>
      </w:r>
      <w:r w:rsidR="008F10A4">
        <w:t>o</w:t>
      </w:r>
      <w:r w:rsidRPr="00BC4CCB">
        <w:t xml:space="preserve">il, </w:t>
      </w:r>
      <w:r w:rsidR="008F10A4">
        <w:t>w</w:t>
      </w:r>
      <w:r w:rsidRPr="00BC4CCB">
        <w:t xml:space="preserve">astewater, </w:t>
      </w:r>
      <w:r w:rsidR="008F10A4">
        <w:t>s</w:t>
      </w:r>
      <w:r w:rsidRPr="00BC4CCB">
        <w:t xml:space="preserve">ervice </w:t>
      </w:r>
      <w:r w:rsidR="008F10A4">
        <w:t>w</w:t>
      </w:r>
      <w:r w:rsidRPr="00BC4CCB">
        <w:t xml:space="preserve">ater, </w:t>
      </w:r>
      <w:r w:rsidR="008F10A4">
        <w:t>r</w:t>
      </w:r>
      <w:r w:rsidRPr="00BC4CCB">
        <w:t xml:space="preserve">aw </w:t>
      </w:r>
      <w:r w:rsidR="008F10A4">
        <w:t>w</w:t>
      </w:r>
      <w:r w:rsidRPr="00BC4CCB">
        <w:t xml:space="preserve">ater, </w:t>
      </w:r>
      <w:r w:rsidR="008F10A4">
        <w:t>d</w:t>
      </w:r>
      <w:r w:rsidRPr="00BC4CCB">
        <w:t xml:space="preserve">emineralized </w:t>
      </w:r>
      <w:r w:rsidR="008F10A4">
        <w:t>w</w:t>
      </w:r>
      <w:r w:rsidRPr="00BC4CCB">
        <w:t xml:space="preserve">ater, </w:t>
      </w:r>
      <w:r w:rsidR="008F10A4">
        <w:t>s</w:t>
      </w:r>
      <w:r w:rsidRPr="00BC4CCB">
        <w:t xml:space="preserve">ampling, </w:t>
      </w:r>
      <w:r w:rsidR="008F10A4">
        <w:t>p</w:t>
      </w:r>
      <w:r w:rsidRPr="00BC4CCB">
        <w:t xml:space="preserve">rocess and </w:t>
      </w:r>
      <w:r w:rsidR="008F10A4">
        <w:t>i</w:t>
      </w:r>
      <w:r w:rsidRPr="00BC4CCB">
        <w:t xml:space="preserve">nstrument </w:t>
      </w:r>
      <w:r w:rsidR="008F10A4">
        <w:t>air</w:t>
      </w:r>
      <w:r w:rsidRPr="00BC4CCB">
        <w:t xml:space="preserve"> and </w:t>
      </w:r>
      <w:r w:rsidR="008F10A4">
        <w:t>m</w:t>
      </w:r>
      <w:r w:rsidRPr="00BC4CCB">
        <w:t xml:space="preserve">ixed </w:t>
      </w:r>
      <w:r w:rsidR="008F10A4">
        <w:t>c</w:t>
      </w:r>
      <w:r w:rsidRPr="00BC4CCB">
        <w:t xml:space="preserve">hemical.   </w:t>
      </w:r>
    </w:p>
    <w:p w14:paraId="24DDB9C4" w14:textId="77777777" w:rsidR="00A527AF" w:rsidRPr="00BC4CCB" w:rsidRDefault="00A527AF" w:rsidP="00867C2A">
      <w:r w:rsidRPr="00BC4CCB">
        <w:t xml:space="preserve">Field construction labor hours for the piping systems were calculated and adjusted based on anticipated construction labor productivity derived from MM’s experience with other construction projects in the general area.  </w:t>
      </w:r>
    </w:p>
    <w:p w14:paraId="645EF485" w14:textId="1B95DEA9" w:rsidR="00A527AF" w:rsidRPr="00BC4CCB" w:rsidRDefault="00921BEA" w:rsidP="00DB3592">
      <w:pPr>
        <w:pStyle w:val="Heading4"/>
      </w:pPr>
      <w:r>
        <w:t>E</w:t>
      </w:r>
      <w:r w:rsidR="00A527AF" w:rsidRPr="00BC4CCB">
        <w:t>LECTRICAL</w:t>
      </w:r>
    </w:p>
    <w:p w14:paraId="4B3A0B3A" w14:textId="77777777" w:rsidR="00A527AF" w:rsidRPr="00BC4CCB" w:rsidRDefault="00A527AF" w:rsidP="00061D8D">
      <w:r w:rsidRPr="00BC4CCB">
        <w:t xml:space="preserve">Electrical quantities were developed from the locations of the buildings and major equipment components shown on the general arrangement drawing.  In addition, the MM cost estimate model was utilized to determine cable, conduit and cable tray sizes and lengths of a number of required electrical services.  </w:t>
      </w:r>
    </w:p>
    <w:p w14:paraId="41DD7C16" w14:textId="77777777" w:rsidR="00A527AF" w:rsidRPr="00BC4CCB" w:rsidRDefault="00A527AF" w:rsidP="00061D8D">
      <w:r w:rsidRPr="00BC4CCB">
        <w:t xml:space="preserve">Electrical categories included with this section are site electrical work, power/control and instrumentation for cable and conduit requirements, controls needed for interconnection to the system, area lighting and service requirements, building area lighting and services, public address system, building fire alarms, and a grounding system.  </w:t>
      </w:r>
    </w:p>
    <w:p w14:paraId="16451B2E" w14:textId="77777777" w:rsidR="00A527AF" w:rsidRPr="00BC4CCB" w:rsidRDefault="00A527AF" w:rsidP="00061D8D">
      <w:r w:rsidRPr="00BC4CCB">
        <w:t>The site electrical section includes site lighting, surveillance equipment, lightning protection, cathodic protection, heat tracing and aviation lighting for the stack.</w:t>
      </w:r>
    </w:p>
    <w:p w14:paraId="0399A415" w14:textId="77777777" w:rsidR="00A527AF" w:rsidRPr="00BC4CCB" w:rsidRDefault="00A527AF" w:rsidP="00061D8D">
      <w:pPr>
        <w:rPr>
          <w:u w:val="single"/>
        </w:rPr>
      </w:pPr>
      <w:r w:rsidRPr="00BC4CCB">
        <w:t xml:space="preserve">Field construction labor hours for the electrical systems were calculated and adjusted based on anticipated construction labor productivity derived from MM’s experience with other construction projects in the general area.  </w:t>
      </w:r>
    </w:p>
    <w:p w14:paraId="6831714E" w14:textId="5DC87342" w:rsidR="00A527AF" w:rsidRPr="00BC4CCB" w:rsidRDefault="00A527AF" w:rsidP="00DB3592">
      <w:pPr>
        <w:pStyle w:val="Heading4"/>
      </w:pPr>
      <w:r w:rsidRPr="00BC4CCB">
        <w:t>INSTRUMENTATION</w:t>
      </w:r>
    </w:p>
    <w:p w14:paraId="39B1FD3D" w14:textId="77777777" w:rsidR="00A527AF" w:rsidRPr="00BC4CCB" w:rsidRDefault="00A527AF" w:rsidP="00061D8D">
      <w:r w:rsidRPr="00BC4CCB">
        <w:t xml:space="preserve">Instrumentation quantities were developed from reviewing MM’s experience with other projects and the MM cost estimate model utilized for this cost estimating effort. </w:t>
      </w:r>
    </w:p>
    <w:p w14:paraId="2D0D3F43" w14:textId="77777777" w:rsidR="00A527AF" w:rsidRPr="00BC4CCB" w:rsidRDefault="00A527AF" w:rsidP="00061D8D">
      <w:r w:rsidRPr="00BC4CCB">
        <w:t>The categories contained within this section include the installation and supply of contractor furnished instruments, loop checks and functional check out, instrument stands and material handling and calibration.  All instrumentation and control cable, conduit and cable tray associated with the instruments are included in the electrical section of the cost estimate.</w:t>
      </w:r>
    </w:p>
    <w:p w14:paraId="7040A635" w14:textId="77777777" w:rsidR="00A527AF" w:rsidRPr="00BC4CCB" w:rsidRDefault="00A527AF" w:rsidP="00061D8D">
      <w:r w:rsidRPr="00BC4CCB">
        <w:t>Field construction labor hours for the instrumentation systems were calculated and adjusted based on anticipated construction labor productivity derived from MM’s experience with other construction projects in the general area.</w:t>
      </w:r>
    </w:p>
    <w:p w14:paraId="4409E640" w14:textId="1CE1FD71" w:rsidR="00A527AF" w:rsidRPr="00BC4CCB" w:rsidRDefault="00A527AF" w:rsidP="00DB3592">
      <w:pPr>
        <w:pStyle w:val="Heading4"/>
      </w:pPr>
      <w:r w:rsidRPr="00BC4CCB">
        <w:lastRenderedPageBreak/>
        <w:t>INSULATION</w:t>
      </w:r>
    </w:p>
    <w:p w14:paraId="1A37F68D" w14:textId="7E8BE27D" w:rsidR="00A527AF" w:rsidRPr="00BC4CCB" w:rsidRDefault="008F10A4" w:rsidP="00061D8D">
      <w:r>
        <w:t>Estimates for insulation</w:t>
      </w:r>
      <w:r w:rsidR="00A527AF" w:rsidRPr="00BC4CCB">
        <w:t xml:space="preserve"> include allowances for both piping and major equipment insulation.  MM relied on experience with other projects to develop expected quantities for this project.  Information contained in the MM cost estimate model was also utilized in arriving at the allowances selected for use in the cost estimates.  </w:t>
      </w:r>
      <w:r>
        <w:t>I</w:t>
      </w:r>
      <w:r w:rsidR="00A527AF" w:rsidRPr="00BC4CCB">
        <w:t xml:space="preserve">nsulation and electrical heat trace required for a cold climate condition </w:t>
      </w:r>
      <w:r>
        <w:t>were</w:t>
      </w:r>
      <w:r w:rsidRPr="00BC4CCB">
        <w:t xml:space="preserve"> </w:t>
      </w:r>
      <w:r w:rsidR="00A527AF" w:rsidRPr="00BC4CCB">
        <w:t xml:space="preserve">included from the cost estimate model utilized for this project. </w:t>
      </w:r>
    </w:p>
    <w:p w14:paraId="6BC596B7" w14:textId="533DBE25" w:rsidR="00A527AF" w:rsidRPr="00BC4CCB" w:rsidRDefault="00A527AF" w:rsidP="00DB3592">
      <w:pPr>
        <w:pStyle w:val="Heading4"/>
      </w:pPr>
      <w:r w:rsidRPr="00BC4CCB">
        <w:t>PAINTING</w:t>
      </w:r>
    </w:p>
    <w:p w14:paraId="5EB9A499" w14:textId="7C9A8D1F" w:rsidR="00A527AF" w:rsidRPr="00BC4CCB" w:rsidRDefault="00A527AF" w:rsidP="00061D8D">
      <w:r w:rsidRPr="00BC4CCB">
        <w:t xml:space="preserve">This section contains all of the painting, sealer and epoxy requirements for the project.  Included </w:t>
      </w:r>
      <w:r w:rsidR="008F10A4">
        <w:t xml:space="preserve">in this estimate </w:t>
      </w:r>
      <w:r w:rsidRPr="00BC4CCB">
        <w:t>is painting of the masonry walls, painting of wallboard, floor sealer, epoxy coating, finish painting of all steel with two coats over shop-applied primer coat, touch up painting of major equipment, and painting of all uninsulated steel piping.</w:t>
      </w:r>
    </w:p>
    <w:p w14:paraId="13B8325B" w14:textId="77777777" w:rsidR="00A527AF" w:rsidRPr="00BC4CCB" w:rsidRDefault="00A527AF" w:rsidP="00A12D4D">
      <w:pPr>
        <w:pStyle w:val="Heading3"/>
      </w:pPr>
      <w:r w:rsidRPr="00BC4CCB">
        <w:t>INDIRECT COSTS</w:t>
      </w:r>
    </w:p>
    <w:p w14:paraId="244D4A71" w14:textId="6EC5484F" w:rsidR="00A527AF" w:rsidRPr="00BC4CCB" w:rsidRDefault="00A527AF" w:rsidP="00A03BB7">
      <w:pPr>
        <w:pStyle w:val="Heading4"/>
      </w:pPr>
      <w:r w:rsidRPr="00BC4CCB">
        <w:t>CONSTRUCTION MANAGEMENT</w:t>
      </w:r>
    </w:p>
    <w:p w14:paraId="244A1DCD" w14:textId="577CDF0D" w:rsidR="00A527AF" w:rsidRPr="00BC4CCB" w:rsidRDefault="00A527AF" w:rsidP="00A62578">
      <w:r w:rsidRPr="00BC4CCB">
        <w:t>This section of the cost estimate includes a detailed listing of the planned construction management team for the E</w:t>
      </w:r>
      <w:r w:rsidR="008F10A4">
        <w:t>ngineering, Procurement and Construction (“E</w:t>
      </w:r>
      <w:r w:rsidRPr="00BC4CCB">
        <w:t>PC</w:t>
      </w:r>
      <w:r w:rsidR="008F10A4">
        <w:t>”)</w:t>
      </w:r>
      <w:r w:rsidRPr="00BC4CCB">
        <w:t xml:space="preserve"> Contractor.  All owner construction management costs as well as other categories of owner’s costs are included in this cost estimate as noted below in Section </w:t>
      </w:r>
      <w:r w:rsidR="008F10A4">
        <w:t>III.B.4</w:t>
      </w:r>
      <w:r w:rsidRPr="00BC4CCB">
        <w:t xml:space="preserve">.  Items that are excluded are also so noted.   </w:t>
      </w:r>
    </w:p>
    <w:p w14:paraId="445BE0FC" w14:textId="2579CA88" w:rsidR="00A527AF" w:rsidRPr="00BC4CCB" w:rsidRDefault="00A527AF" w:rsidP="00A62578">
      <w:pPr>
        <w:rPr>
          <w:bCs/>
        </w:rPr>
      </w:pPr>
      <w:r w:rsidRPr="00BC4CCB">
        <w:rPr>
          <w:bCs/>
        </w:rPr>
        <w:t xml:space="preserve">Costs that </w:t>
      </w:r>
      <w:r w:rsidR="008F10A4">
        <w:rPr>
          <w:bCs/>
        </w:rPr>
        <w:t>are</w:t>
      </w:r>
      <w:r w:rsidRPr="00BC4CCB">
        <w:rPr>
          <w:bCs/>
        </w:rPr>
        <w:t xml:space="preserve"> included in this section include a Construction Manager; an </w:t>
      </w:r>
      <w:r w:rsidR="008F10A4">
        <w:rPr>
          <w:bCs/>
        </w:rPr>
        <w:t>a</w:t>
      </w:r>
      <w:r w:rsidRPr="00BC4CCB">
        <w:rPr>
          <w:bCs/>
        </w:rPr>
        <w:t xml:space="preserve">ssistant </w:t>
      </w:r>
      <w:r w:rsidR="008F10A4">
        <w:rPr>
          <w:bCs/>
        </w:rPr>
        <w:t>c</w:t>
      </w:r>
      <w:r w:rsidRPr="00BC4CCB">
        <w:rPr>
          <w:bCs/>
        </w:rPr>
        <w:t xml:space="preserve">onstruction </w:t>
      </w:r>
      <w:r w:rsidR="008F10A4">
        <w:rPr>
          <w:bCs/>
        </w:rPr>
        <w:t>m</w:t>
      </w:r>
      <w:r w:rsidRPr="00BC4CCB">
        <w:rPr>
          <w:bCs/>
        </w:rPr>
        <w:t xml:space="preserve">anager; </w:t>
      </w:r>
      <w:r w:rsidR="008F10A4">
        <w:rPr>
          <w:bCs/>
        </w:rPr>
        <w:t>c</w:t>
      </w:r>
      <w:r w:rsidRPr="00BC4CCB">
        <w:rPr>
          <w:bCs/>
        </w:rPr>
        <w:t xml:space="preserve">ivil, </w:t>
      </w:r>
      <w:r w:rsidR="008F10A4">
        <w:rPr>
          <w:bCs/>
        </w:rPr>
        <w:t>m</w:t>
      </w:r>
      <w:r w:rsidRPr="00BC4CCB">
        <w:rPr>
          <w:bCs/>
        </w:rPr>
        <w:t xml:space="preserve">echanical, </w:t>
      </w:r>
      <w:r w:rsidR="008F10A4">
        <w:rPr>
          <w:bCs/>
        </w:rPr>
        <w:t>s</w:t>
      </w:r>
      <w:r w:rsidRPr="00BC4CCB">
        <w:rPr>
          <w:bCs/>
        </w:rPr>
        <w:t xml:space="preserve">tructural, </w:t>
      </w:r>
      <w:r w:rsidR="008F10A4">
        <w:rPr>
          <w:bCs/>
        </w:rPr>
        <w:t>e</w:t>
      </w:r>
      <w:r w:rsidRPr="00BC4CCB">
        <w:rPr>
          <w:bCs/>
        </w:rPr>
        <w:t>lectrical and I</w:t>
      </w:r>
      <w:r w:rsidR="008F10A4">
        <w:rPr>
          <w:bCs/>
        </w:rPr>
        <w:t>nstrument and Controls (“I</w:t>
      </w:r>
      <w:r w:rsidRPr="00BC4CCB">
        <w:rPr>
          <w:bCs/>
        </w:rPr>
        <w:t>&amp;C</w:t>
      </w:r>
      <w:r w:rsidR="008F10A4">
        <w:rPr>
          <w:bCs/>
        </w:rPr>
        <w:t>”)</w:t>
      </w:r>
      <w:r w:rsidRPr="00BC4CCB">
        <w:rPr>
          <w:bCs/>
        </w:rPr>
        <w:t xml:space="preserve"> </w:t>
      </w:r>
      <w:r w:rsidR="008F10A4">
        <w:rPr>
          <w:bCs/>
        </w:rPr>
        <w:t>s</w:t>
      </w:r>
      <w:r w:rsidRPr="00BC4CCB">
        <w:rPr>
          <w:bCs/>
        </w:rPr>
        <w:t xml:space="preserve">uperintendents; a </w:t>
      </w:r>
      <w:r w:rsidR="008F10A4">
        <w:rPr>
          <w:bCs/>
        </w:rPr>
        <w:t>f</w:t>
      </w:r>
      <w:r w:rsidRPr="00BC4CCB">
        <w:rPr>
          <w:bCs/>
        </w:rPr>
        <w:t xml:space="preserve">ield </w:t>
      </w:r>
      <w:r w:rsidR="008F10A4">
        <w:rPr>
          <w:bCs/>
        </w:rPr>
        <w:t>o</w:t>
      </w:r>
      <w:r w:rsidRPr="00BC4CCB">
        <w:rPr>
          <w:bCs/>
        </w:rPr>
        <w:t xml:space="preserve">ffice </w:t>
      </w:r>
      <w:r w:rsidR="008F10A4">
        <w:rPr>
          <w:bCs/>
        </w:rPr>
        <w:t>m</w:t>
      </w:r>
      <w:r w:rsidRPr="00BC4CCB">
        <w:rPr>
          <w:bCs/>
        </w:rPr>
        <w:t xml:space="preserve">anager; </w:t>
      </w:r>
      <w:r w:rsidR="008F10A4">
        <w:rPr>
          <w:bCs/>
        </w:rPr>
        <w:t>e</w:t>
      </w:r>
      <w:r w:rsidRPr="00BC4CCB">
        <w:rPr>
          <w:bCs/>
        </w:rPr>
        <w:t xml:space="preserve">ngineering </w:t>
      </w:r>
      <w:r w:rsidR="008F10A4">
        <w:rPr>
          <w:bCs/>
        </w:rPr>
        <w:t>s</w:t>
      </w:r>
      <w:r w:rsidRPr="00BC4CCB">
        <w:rPr>
          <w:bCs/>
        </w:rPr>
        <w:t xml:space="preserve">upport; </w:t>
      </w:r>
      <w:r w:rsidR="008F10A4">
        <w:rPr>
          <w:bCs/>
        </w:rPr>
        <w:t>c</w:t>
      </w:r>
      <w:r w:rsidRPr="00BC4CCB">
        <w:rPr>
          <w:bCs/>
        </w:rPr>
        <w:t xml:space="preserve">ost </w:t>
      </w:r>
      <w:r w:rsidR="008F10A4">
        <w:rPr>
          <w:bCs/>
        </w:rPr>
        <w:t>e</w:t>
      </w:r>
      <w:r w:rsidRPr="00BC4CCB">
        <w:rPr>
          <w:bCs/>
        </w:rPr>
        <w:t xml:space="preserve">ngineering; </w:t>
      </w:r>
      <w:r w:rsidR="008F10A4">
        <w:rPr>
          <w:bCs/>
        </w:rPr>
        <w:t>p</w:t>
      </w:r>
      <w:r w:rsidRPr="00BC4CCB">
        <w:rPr>
          <w:bCs/>
        </w:rPr>
        <w:t xml:space="preserve">lanning and </w:t>
      </w:r>
      <w:r w:rsidR="008F10A4">
        <w:rPr>
          <w:bCs/>
        </w:rPr>
        <w:t>s</w:t>
      </w:r>
      <w:r w:rsidRPr="00BC4CCB">
        <w:rPr>
          <w:bCs/>
        </w:rPr>
        <w:t xml:space="preserve">cheduling; </w:t>
      </w:r>
      <w:r w:rsidR="008F10A4">
        <w:rPr>
          <w:bCs/>
        </w:rPr>
        <w:t>s</w:t>
      </w:r>
      <w:r w:rsidRPr="00BC4CCB">
        <w:rPr>
          <w:bCs/>
        </w:rPr>
        <w:t xml:space="preserve">afety; </w:t>
      </w:r>
      <w:r w:rsidR="008F10A4">
        <w:rPr>
          <w:bCs/>
        </w:rPr>
        <w:t>quality assurance and control</w:t>
      </w:r>
      <w:r w:rsidRPr="00BC4CCB">
        <w:rPr>
          <w:bCs/>
        </w:rPr>
        <w:t xml:space="preserve">; </w:t>
      </w:r>
      <w:r w:rsidR="008F10A4">
        <w:rPr>
          <w:bCs/>
        </w:rPr>
        <w:t>f</w:t>
      </w:r>
      <w:r w:rsidRPr="00BC4CCB">
        <w:rPr>
          <w:bCs/>
        </w:rPr>
        <w:t xml:space="preserve">ield </w:t>
      </w:r>
      <w:r w:rsidR="008F10A4">
        <w:rPr>
          <w:bCs/>
        </w:rPr>
        <w:t>p</w:t>
      </w:r>
      <w:r w:rsidRPr="00BC4CCB">
        <w:rPr>
          <w:bCs/>
        </w:rPr>
        <w:t xml:space="preserve">urchasing and </w:t>
      </w:r>
      <w:r w:rsidR="008F10A4">
        <w:rPr>
          <w:bCs/>
        </w:rPr>
        <w:t>g</w:t>
      </w:r>
      <w:r w:rsidRPr="00BC4CCB">
        <w:rPr>
          <w:bCs/>
        </w:rPr>
        <w:t xml:space="preserve">eneral </w:t>
      </w:r>
      <w:r w:rsidR="008F10A4">
        <w:rPr>
          <w:bCs/>
        </w:rPr>
        <w:t>f</w:t>
      </w:r>
      <w:r w:rsidRPr="00BC4CCB">
        <w:rPr>
          <w:bCs/>
        </w:rPr>
        <w:t xml:space="preserve">oremen.  The costs are calculated based on the estimated project schedule.  The </w:t>
      </w:r>
      <w:r w:rsidR="008F10A4">
        <w:rPr>
          <w:bCs/>
        </w:rPr>
        <w:t>c</w:t>
      </w:r>
      <w:r w:rsidRPr="00BC4CCB">
        <w:rPr>
          <w:bCs/>
        </w:rPr>
        <w:t xml:space="preserve">onstruction </w:t>
      </w:r>
      <w:r w:rsidR="008F10A4">
        <w:rPr>
          <w:bCs/>
        </w:rPr>
        <w:t>m</w:t>
      </w:r>
      <w:r w:rsidRPr="00BC4CCB">
        <w:rPr>
          <w:bCs/>
        </w:rPr>
        <w:t>anager’s duration on the project includes one month in advance of beginning field operations and one month to close out the project, for a total of two additional months beyond the normal construction duration.</w:t>
      </w:r>
    </w:p>
    <w:p w14:paraId="1F6F5ABA" w14:textId="2B7D7173" w:rsidR="00A527AF" w:rsidRPr="00BC4CCB" w:rsidRDefault="00A527AF" w:rsidP="00A03BB7">
      <w:pPr>
        <w:pStyle w:val="Heading4"/>
      </w:pPr>
      <w:r w:rsidRPr="00BC4CCB">
        <w:t>TEMPORARY FACILITIES and UTILITIES</w:t>
      </w:r>
    </w:p>
    <w:p w14:paraId="55D6D5A0" w14:textId="3BC0945C" w:rsidR="00120E95" w:rsidRDefault="00A527AF" w:rsidP="00A62578">
      <w:r w:rsidRPr="00BC4CCB">
        <w:t>This section of the cost estimate includes a detailed listing of the elements needed in order to support the construction management staff and construction of the project.  Items that are normally included in this section are site trailers, clean up of trailer area, water, sanitary facilities, field office supplies, site security, fire protection, medical supplies, temporary electrical power distribution system, telephones, copy machines and computer hardware and software.</w:t>
      </w:r>
    </w:p>
    <w:p w14:paraId="76E6DAF4" w14:textId="1815B747" w:rsidR="00A527AF" w:rsidRPr="00120E95" w:rsidRDefault="00A527AF" w:rsidP="00A03BB7">
      <w:pPr>
        <w:pStyle w:val="Heading4"/>
        <w:rPr>
          <w:color w:val="auto"/>
        </w:rPr>
      </w:pPr>
      <w:r w:rsidRPr="00BC4CCB">
        <w:t>CONSTRUCTION EQUIPMENT and OPERATORS</w:t>
      </w:r>
    </w:p>
    <w:p w14:paraId="4429D39A" w14:textId="69D4E9E6" w:rsidR="00A527AF" w:rsidRPr="00BC4CCB" w:rsidRDefault="00A527AF" w:rsidP="00A62578">
      <w:r w:rsidRPr="00BC4CCB">
        <w:t xml:space="preserve">This section of the cost estimate includes a detailed listing of the construction equipment and operating engineers required in order to construct the mechanical and electrical portion of the project.  Civil construction equipment and operating engineer costs are included in the detailed estimate civil section and not in this section.  The reason for this is that civil work requires a high amount of construction equipment and historically those costs are included with the construction </w:t>
      </w:r>
      <w:r w:rsidRPr="00BC4CCB">
        <w:lastRenderedPageBreak/>
        <w:t xml:space="preserve">item to provide the estimate reviewer with a better understanding of the value of that component of the cost estimate.  In addition to the construction equipment and operating engineer cost, this section includes the cost of a </w:t>
      </w:r>
      <w:r w:rsidR="008F10A4">
        <w:t>m</w:t>
      </w:r>
      <w:r w:rsidRPr="00BC4CCB">
        <w:t xml:space="preserve">aster </w:t>
      </w:r>
      <w:r w:rsidR="008F10A4">
        <w:t>m</w:t>
      </w:r>
      <w:r w:rsidRPr="00BC4CCB">
        <w:t xml:space="preserve">echanic, </w:t>
      </w:r>
      <w:r w:rsidR="008F10A4">
        <w:t>t</w:t>
      </w:r>
      <w:r w:rsidRPr="00BC4CCB">
        <w:t xml:space="preserve">eamsters, </w:t>
      </w:r>
      <w:r w:rsidR="008F10A4">
        <w:t>m</w:t>
      </w:r>
      <w:r w:rsidRPr="00BC4CCB">
        <w:t xml:space="preserve">aintenance </w:t>
      </w:r>
      <w:r w:rsidR="008F10A4">
        <w:t>e</w:t>
      </w:r>
      <w:r w:rsidRPr="00BC4CCB">
        <w:t xml:space="preserve">ngineers, </w:t>
      </w:r>
      <w:r w:rsidR="008F10A4">
        <w:t>f</w:t>
      </w:r>
      <w:r w:rsidRPr="00BC4CCB">
        <w:t xml:space="preserve">uel, </w:t>
      </w:r>
      <w:r w:rsidR="008F10A4">
        <w:t>o</w:t>
      </w:r>
      <w:r w:rsidRPr="00BC4CCB">
        <w:t xml:space="preserve">il and </w:t>
      </w:r>
      <w:r w:rsidR="008F10A4">
        <w:t>g</w:t>
      </w:r>
      <w:r w:rsidRPr="00BC4CCB">
        <w:t xml:space="preserve">rease, </w:t>
      </w:r>
      <w:r w:rsidR="008F10A4">
        <w:t>s</w:t>
      </w:r>
      <w:r w:rsidRPr="00BC4CCB">
        <w:t xml:space="preserve">mall </w:t>
      </w:r>
      <w:r w:rsidR="008F10A4">
        <w:t>t</w:t>
      </w:r>
      <w:r w:rsidRPr="00BC4CCB">
        <w:t xml:space="preserve">ools, </w:t>
      </w:r>
      <w:r w:rsidR="008F10A4">
        <w:t>c</w:t>
      </w:r>
      <w:r w:rsidRPr="00BC4CCB">
        <w:t xml:space="preserve">onsumables, and </w:t>
      </w:r>
      <w:r w:rsidR="008F10A4">
        <w:t>s</w:t>
      </w:r>
      <w:r w:rsidRPr="00BC4CCB">
        <w:t>caffolding.</w:t>
      </w:r>
    </w:p>
    <w:p w14:paraId="31E62C48" w14:textId="50AD4375" w:rsidR="00A527AF" w:rsidRPr="00BC4CCB" w:rsidRDefault="00A527AF" w:rsidP="00A03BB7">
      <w:pPr>
        <w:pStyle w:val="Heading4"/>
      </w:pPr>
      <w:r w:rsidRPr="00BC4CCB">
        <w:t>INDIRECT CONSTRUCTION SERVICES and SUPPORT</w:t>
      </w:r>
    </w:p>
    <w:p w14:paraId="654F69E2" w14:textId="65C7EA5A" w:rsidR="00A527AF" w:rsidRPr="00BC4CCB" w:rsidRDefault="00A527AF" w:rsidP="00867C2A">
      <w:r w:rsidRPr="00BC4CCB">
        <w:t xml:space="preserve">This section of the cost estimate includes a detailed listing of the services needed in order to support the construction management staff and field forces.  Items contained in this section of the cost estimate include </w:t>
      </w:r>
      <w:r w:rsidR="008F10A4">
        <w:t>c</w:t>
      </w:r>
      <w:r w:rsidRPr="00BC4CCB">
        <w:t xml:space="preserve">ontinuous and </w:t>
      </w:r>
      <w:r w:rsidR="008F10A4">
        <w:t>f</w:t>
      </w:r>
      <w:r w:rsidRPr="00BC4CCB">
        <w:t xml:space="preserve">inal </w:t>
      </w:r>
      <w:r w:rsidR="008F10A4">
        <w:t>s</w:t>
      </w:r>
      <w:r w:rsidRPr="00BC4CCB">
        <w:t xml:space="preserve">ite </w:t>
      </w:r>
      <w:r w:rsidR="008F10A4">
        <w:t>c</w:t>
      </w:r>
      <w:r w:rsidRPr="00BC4CCB">
        <w:t xml:space="preserve">lean-up, </w:t>
      </w:r>
      <w:r w:rsidR="008F10A4">
        <w:t>r</w:t>
      </w:r>
      <w:r w:rsidRPr="00BC4CCB">
        <w:t xml:space="preserve">ubbish </w:t>
      </w:r>
      <w:r w:rsidR="008F10A4">
        <w:t>r</w:t>
      </w:r>
      <w:r w:rsidRPr="00BC4CCB">
        <w:t xml:space="preserve">emoval, </w:t>
      </w:r>
      <w:r w:rsidR="008F10A4">
        <w:t>s</w:t>
      </w:r>
      <w:r w:rsidRPr="00BC4CCB">
        <w:t xml:space="preserve">afety </w:t>
      </w:r>
      <w:r w:rsidR="008F10A4">
        <w:t>e</w:t>
      </w:r>
      <w:r w:rsidRPr="00BC4CCB">
        <w:t xml:space="preserve">quipment and </w:t>
      </w:r>
      <w:r w:rsidR="008F10A4">
        <w:t>s</w:t>
      </w:r>
      <w:r w:rsidRPr="00BC4CCB">
        <w:t xml:space="preserve">upplies, various testing including soils and concrete, </w:t>
      </w:r>
      <w:r w:rsidR="008F10A4">
        <w:t>s</w:t>
      </w:r>
      <w:r w:rsidRPr="00BC4CCB">
        <w:t xml:space="preserve">urvey costs, </w:t>
      </w:r>
      <w:r w:rsidR="008F10A4">
        <w:t>w</w:t>
      </w:r>
      <w:r w:rsidRPr="00BC4CCB">
        <w:t xml:space="preserve">eather </w:t>
      </w:r>
      <w:r w:rsidR="008F10A4">
        <w:t>p</w:t>
      </w:r>
      <w:r w:rsidRPr="00BC4CCB">
        <w:t xml:space="preserve">rotection, </w:t>
      </w:r>
      <w:r w:rsidR="008F10A4">
        <w:t>d</w:t>
      </w:r>
      <w:r w:rsidRPr="00BC4CCB">
        <w:t xml:space="preserve">ust </w:t>
      </w:r>
      <w:r w:rsidR="008F10A4">
        <w:t>c</w:t>
      </w:r>
      <w:r w:rsidRPr="00BC4CCB">
        <w:t xml:space="preserve">ontrol, </w:t>
      </w:r>
      <w:r w:rsidR="008F10A4">
        <w:t>s</w:t>
      </w:r>
      <w:r w:rsidRPr="00BC4CCB">
        <w:t xml:space="preserve">now </w:t>
      </w:r>
      <w:r w:rsidR="008F10A4">
        <w:t>r</w:t>
      </w:r>
      <w:r w:rsidRPr="00BC4CCB">
        <w:t xml:space="preserve">emoval, </w:t>
      </w:r>
      <w:r w:rsidR="008F10A4">
        <w:t>p</w:t>
      </w:r>
      <w:r w:rsidRPr="00BC4CCB">
        <w:t xml:space="preserve">iping </w:t>
      </w:r>
      <w:r w:rsidR="008F10A4">
        <w:t>r</w:t>
      </w:r>
      <w:r w:rsidRPr="00BC4CCB">
        <w:t xml:space="preserve">adiography and other testing, </w:t>
      </w:r>
      <w:r w:rsidR="008F10A4">
        <w:t>t</w:t>
      </w:r>
      <w:r w:rsidRPr="00BC4CCB">
        <w:t xml:space="preserve">esting of the </w:t>
      </w:r>
      <w:r w:rsidR="008F10A4">
        <w:t>g</w:t>
      </w:r>
      <w:r w:rsidRPr="00BC4CCB">
        <w:t xml:space="preserve">rounding </w:t>
      </w:r>
      <w:r w:rsidR="008F10A4">
        <w:t>s</w:t>
      </w:r>
      <w:r w:rsidRPr="00BC4CCB">
        <w:t xml:space="preserve">ystem and </w:t>
      </w:r>
      <w:r w:rsidR="008F10A4">
        <w:t>m</w:t>
      </w:r>
      <w:r w:rsidRPr="00BC4CCB">
        <w:t xml:space="preserve">echanical, </w:t>
      </w:r>
      <w:r w:rsidR="008F10A4">
        <w:t>e</w:t>
      </w:r>
      <w:r w:rsidRPr="00BC4CCB">
        <w:t xml:space="preserve">lectrical and I&amp;C </w:t>
      </w:r>
      <w:r w:rsidR="008F10A4">
        <w:t>j</w:t>
      </w:r>
      <w:r w:rsidRPr="00BC4CCB">
        <w:t xml:space="preserve">ourneymen </w:t>
      </w:r>
      <w:r w:rsidR="008F10A4">
        <w:t>s</w:t>
      </w:r>
      <w:r w:rsidRPr="00BC4CCB">
        <w:t xml:space="preserve">upport during </w:t>
      </w:r>
      <w:r w:rsidR="008F10A4">
        <w:t>s</w:t>
      </w:r>
      <w:r w:rsidRPr="00BC4CCB">
        <w:t>tart-</w:t>
      </w:r>
      <w:r w:rsidR="008F10A4">
        <w:t>u</w:t>
      </w:r>
      <w:r w:rsidRPr="00BC4CCB">
        <w:t xml:space="preserve">p. </w:t>
      </w:r>
    </w:p>
    <w:p w14:paraId="71D505CF" w14:textId="16F30BD4" w:rsidR="00A527AF" w:rsidRPr="00BC4CCB" w:rsidRDefault="00A527AF" w:rsidP="00A03BB7">
      <w:pPr>
        <w:pStyle w:val="Heading4"/>
      </w:pPr>
      <w:r w:rsidRPr="00BC4CCB">
        <w:t>INSURANCE/ TAXES/PERMITS/OTHER</w:t>
      </w:r>
    </w:p>
    <w:p w14:paraId="609F3833" w14:textId="41766280" w:rsidR="00A527AF" w:rsidRPr="00BC4CCB" w:rsidRDefault="00A527AF" w:rsidP="008E234D">
      <w:r w:rsidRPr="00BC4CCB">
        <w:t xml:space="preserve">This section of the cost estimate includes a detailed listing of a variety of components required in the cost estimate that are not </w:t>
      </w:r>
      <w:r w:rsidR="00415328">
        <w:t xml:space="preserve">appropriate for inclusion </w:t>
      </w:r>
      <w:r w:rsidRPr="00BC4CCB">
        <w:t>in other sections of the estimate.  Items normally included here are Freight Costs for major equipment and bulk materials that are not included in the cost of the Major Equipment as supplied by the manufacturer or in the bulk material unit cost, Travel Costs, Off</w:t>
      </w:r>
      <w:r w:rsidR="00542DAD">
        <w:t>-</w:t>
      </w:r>
      <w:r w:rsidRPr="00BC4CCB">
        <w:t>loading of major equipment and materials, Heavy Hauling of major equipment components not delivered directly to the site, General Liability and Umbrella Insurance costs, Start-Up Spare Parts, Permits, and Payment and Performance Bonds.   Payment and Performance Bonds for the EPC Contractor as well as any subcontractors are part of this EPC cost estimate.</w:t>
      </w:r>
    </w:p>
    <w:p w14:paraId="2E174043" w14:textId="233895C7" w:rsidR="00A527AF" w:rsidRPr="00BC4CCB" w:rsidRDefault="00A527AF" w:rsidP="00A03BB7">
      <w:pPr>
        <w:pStyle w:val="Heading4"/>
      </w:pPr>
      <w:r w:rsidRPr="00BC4CCB">
        <w:t>A/E ENGINEERING</w:t>
      </w:r>
    </w:p>
    <w:p w14:paraId="6F1D5427" w14:textId="75ADA03D" w:rsidR="00A527AF" w:rsidRPr="00BC4CCB" w:rsidRDefault="00A527AF" w:rsidP="008E234D">
      <w:r w:rsidRPr="00BC4CCB">
        <w:t xml:space="preserve">A/E Engineering costs were calculated based on current information contained in the EPC cost estimate model used for this project and modified as required to support each of the four </w:t>
      </w:r>
      <w:r w:rsidR="00415328">
        <w:t>candidate technologies.</w:t>
      </w:r>
    </w:p>
    <w:p w14:paraId="4C3FAF28" w14:textId="08997D5A" w:rsidR="00A527AF" w:rsidRPr="00BC4CCB" w:rsidRDefault="00A527AF" w:rsidP="00A03BB7">
      <w:pPr>
        <w:pStyle w:val="Heading4"/>
      </w:pPr>
      <w:r w:rsidRPr="00BC4CCB">
        <w:t>START-UP AND TESTING</w:t>
      </w:r>
    </w:p>
    <w:p w14:paraId="2E2EA498" w14:textId="77777777" w:rsidR="00A527AF" w:rsidRPr="00BC4CCB" w:rsidRDefault="00A527AF" w:rsidP="008E234D">
      <w:r w:rsidRPr="00BC4CCB">
        <w:t>The costs associated with the start-up and testing of the facility are included in the EPC cost estimates developed for this program.  Journeyman stand-by time for mechanical, electrical and instrumentation and control support is included in the Indirect Services and Support Section of each cost estimate.</w:t>
      </w:r>
    </w:p>
    <w:p w14:paraId="4B54D7C1" w14:textId="5570B302" w:rsidR="00A527AF" w:rsidRPr="00BC4CCB" w:rsidRDefault="00A527AF" w:rsidP="00A03BB7">
      <w:pPr>
        <w:pStyle w:val="Heading4"/>
      </w:pPr>
      <w:r w:rsidRPr="00BC4CCB">
        <w:t>EPC CONTRACTOR CONTINGENCY</w:t>
      </w:r>
    </w:p>
    <w:p w14:paraId="5F60D1E3" w14:textId="2E38A965" w:rsidR="00A527AF" w:rsidRPr="00BC4CCB" w:rsidRDefault="00A527AF" w:rsidP="008E234D">
      <w:r w:rsidRPr="00BC4CCB">
        <w:t xml:space="preserve">The MM EPC cost estimates include the anticipated contingency that will be applied by the EPC contractor based on the conceptual level of the information that is normally available at the time a Request for Proposal is issued for an EPC contractor’s proposal.  The contingency percentages used in the cost estimates by MM </w:t>
      </w:r>
      <w:r w:rsidR="00415328">
        <w:t>were</w:t>
      </w:r>
      <w:r w:rsidRPr="00BC4CCB">
        <w:t xml:space="preserve"> based on our past experience of proposing on firm lump sum projects at the conceptual stage where detailed engineering is not available. </w:t>
      </w:r>
    </w:p>
    <w:p w14:paraId="2060D892" w14:textId="655B8CEB" w:rsidR="00A527AF" w:rsidRPr="00BC4CCB" w:rsidRDefault="00A527AF" w:rsidP="00A03BB7">
      <w:pPr>
        <w:pStyle w:val="Heading4"/>
      </w:pPr>
      <w:r w:rsidRPr="00BC4CCB">
        <w:lastRenderedPageBreak/>
        <w:t>EPC CONTRACTOR PROFIT</w:t>
      </w:r>
    </w:p>
    <w:p w14:paraId="2BCDF9C4" w14:textId="4EC7595D" w:rsidR="00A527AF" w:rsidRPr="00BC4CCB" w:rsidRDefault="00A527AF" w:rsidP="008E234D">
      <w:pPr>
        <w:rPr>
          <w:rFonts w:cs="Times New Roman"/>
        </w:rPr>
      </w:pPr>
      <w:r w:rsidRPr="00867C2A">
        <w:t xml:space="preserve">MM evaluated current profit margins of constructors of a suitable size that could adequately perform on a project of this size.  MM used 10% for profit and 5% for contractor overhead for the civil, mechanical and electrical and I&amp;C subcontractors for a total of 15% to cover these costs.  MM also used a 7% mark-up on the total value of the project for the EPC contractor.  It </w:t>
      </w:r>
      <w:r w:rsidR="00415328">
        <w:t>was</w:t>
      </w:r>
      <w:r w:rsidR="00415328" w:rsidRPr="00867C2A">
        <w:t xml:space="preserve"> </w:t>
      </w:r>
      <w:r w:rsidRPr="00867C2A">
        <w:t xml:space="preserve">assumed that, as is typically the case today, the EPC contractor would subcontract all civil, mechanical and electrical and I&amp;C work and function as the general contractor.  Therefore, in addition to the 15% mark-up for all of the subcontractors, the EPC contractor includes a 7% mark-up </w:t>
      </w:r>
      <w:r w:rsidRPr="009E2921">
        <w:t>on top of the all the subcontractors as his fee for monitoring their work under the total EPC contract</w:t>
      </w:r>
      <w:r w:rsidRPr="00BC4CCB">
        <w:rPr>
          <w:rFonts w:cs="Times New Roman"/>
        </w:rPr>
        <w:t>.</w:t>
      </w:r>
    </w:p>
    <w:p w14:paraId="17F39804" w14:textId="77777777" w:rsidR="00A527AF" w:rsidRPr="00BC4CCB" w:rsidRDefault="00A527AF" w:rsidP="00A12D4D">
      <w:pPr>
        <w:pStyle w:val="Heading3"/>
      </w:pPr>
      <w:r w:rsidRPr="00BC4CCB">
        <w:t>OWNER’S COSTS</w:t>
      </w:r>
    </w:p>
    <w:p w14:paraId="77FDB6A7" w14:textId="77777777" w:rsidR="00A527AF" w:rsidRPr="00BC4CCB" w:rsidRDefault="00A527AF" w:rsidP="00A03BB7">
      <w:pPr>
        <w:pStyle w:val="Heading4"/>
      </w:pPr>
      <w:r w:rsidRPr="00BC4CCB">
        <w:t>OWNER’S PROJECT COSTS</w:t>
      </w:r>
    </w:p>
    <w:p w14:paraId="6B775C23" w14:textId="5BDE7292" w:rsidR="00A527AF" w:rsidRPr="00BC4CCB" w:rsidRDefault="00A527AF" w:rsidP="00867C2A">
      <w:r w:rsidRPr="00BC4CCB">
        <w:t xml:space="preserve">These costs </w:t>
      </w:r>
      <w:r w:rsidR="00456566">
        <w:t>typically</w:t>
      </w:r>
      <w:r w:rsidR="00456566" w:rsidRPr="00BC4CCB">
        <w:t xml:space="preserve"> </w:t>
      </w:r>
      <w:r w:rsidRPr="00BC4CCB">
        <w:t xml:space="preserve">include the owner’s cost for all the services required in order to obtain all approvals to construct the project including, but not limited to, legal costs, insurance costs, front-end engineering costs, </w:t>
      </w:r>
      <w:proofErr w:type="gramStart"/>
      <w:r w:rsidRPr="00BC4CCB">
        <w:t>the</w:t>
      </w:r>
      <w:proofErr w:type="gramEnd"/>
      <w:r w:rsidRPr="00BC4CCB">
        <w:t xml:space="preserve"> cost of land, project development and permitting costs.  Also included in this section are the owner’s construction management costs as well as the costs associated with the support of an owner’s engineer.  Since the cost estimates are based on the scope of an EPC contract only, these costs </w:t>
      </w:r>
      <w:r w:rsidR="00415328">
        <w:t>were</w:t>
      </w:r>
      <w:r w:rsidR="00415328" w:rsidRPr="00BC4CCB">
        <w:t xml:space="preserve"> </w:t>
      </w:r>
      <w:r w:rsidRPr="00BC4CCB">
        <w:t>excluded from the cost estimates.</w:t>
      </w:r>
    </w:p>
    <w:p w14:paraId="477D0427" w14:textId="77777777" w:rsidR="00A527AF" w:rsidRPr="00BC4CCB" w:rsidRDefault="00A527AF" w:rsidP="00A03BB7">
      <w:pPr>
        <w:pStyle w:val="Heading4"/>
      </w:pPr>
      <w:r w:rsidRPr="00BC4CCB">
        <w:t xml:space="preserve">INTEREST DURING CONSTRUCTION </w:t>
      </w:r>
    </w:p>
    <w:p w14:paraId="20DB86D7" w14:textId="0BDCF383" w:rsidR="00A527AF" w:rsidRPr="00BC4CCB" w:rsidRDefault="00A527AF" w:rsidP="00A527AF">
      <w:pPr>
        <w:rPr>
          <w:rFonts w:cs="Times New Roman"/>
          <w:bCs/>
        </w:rPr>
      </w:pPr>
      <w:r w:rsidRPr="00BC4CCB">
        <w:rPr>
          <w:rFonts w:cs="Times New Roman"/>
          <w:bCs/>
        </w:rPr>
        <w:t xml:space="preserve">This section of the cost estimates would normally include costs for interest charges for money borrowed by the owner.  Since the cost estimates </w:t>
      </w:r>
      <w:r w:rsidR="00415328">
        <w:rPr>
          <w:rFonts w:cs="Times New Roman"/>
          <w:bCs/>
        </w:rPr>
        <w:t>were</w:t>
      </w:r>
      <w:r w:rsidR="00415328" w:rsidRPr="00BC4CCB">
        <w:rPr>
          <w:rFonts w:cs="Times New Roman"/>
          <w:bCs/>
        </w:rPr>
        <w:t xml:space="preserve"> </w:t>
      </w:r>
      <w:r w:rsidRPr="00BC4CCB">
        <w:rPr>
          <w:rFonts w:cs="Times New Roman"/>
          <w:bCs/>
        </w:rPr>
        <w:t xml:space="preserve">based on the scope of an EPC contract only, these costs </w:t>
      </w:r>
      <w:r w:rsidR="00415328">
        <w:rPr>
          <w:rFonts w:cs="Times New Roman"/>
          <w:bCs/>
        </w:rPr>
        <w:t>were</w:t>
      </w:r>
      <w:r w:rsidR="00415328" w:rsidRPr="00BC4CCB">
        <w:rPr>
          <w:rFonts w:cs="Times New Roman"/>
          <w:bCs/>
        </w:rPr>
        <w:t xml:space="preserve"> </w:t>
      </w:r>
      <w:r w:rsidRPr="00BC4CCB">
        <w:rPr>
          <w:rFonts w:cs="Times New Roman"/>
          <w:bCs/>
        </w:rPr>
        <w:t>excluded from the cost estimates.</w:t>
      </w:r>
    </w:p>
    <w:p w14:paraId="7FC0025B" w14:textId="0D8372D5" w:rsidR="00A527AF" w:rsidRPr="00BC4CCB" w:rsidRDefault="00A527AF" w:rsidP="00A03BB7">
      <w:pPr>
        <w:pStyle w:val="Heading4"/>
      </w:pPr>
      <w:r w:rsidRPr="00BC4CCB">
        <w:t>PLANT SPARE PARTS</w:t>
      </w:r>
    </w:p>
    <w:p w14:paraId="7362D9FB" w14:textId="0061FD70" w:rsidR="00A527AF" w:rsidRPr="00BC4CCB" w:rsidRDefault="00A527AF" w:rsidP="00A527AF">
      <w:pPr>
        <w:rPr>
          <w:rFonts w:cs="Times New Roman"/>
          <w:bCs/>
        </w:rPr>
      </w:pPr>
      <w:r w:rsidRPr="00BC4CCB">
        <w:rPr>
          <w:rFonts w:cs="Times New Roman"/>
          <w:bCs/>
        </w:rPr>
        <w:t xml:space="preserve">This section of the cost estimates would normally include costs for operating plant spare parts that an owner would stock to minimize plant downtime should a problem arise.  Since the cost estimates </w:t>
      </w:r>
      <w:r w:rsidR="00415328">
        <w:rPr>
          <w:rFonts w:cs="Times New Roman"/>
          <w:bCs/>
        </w:rPr>
        <w:t>were</w:t>
      </w:r>
      <w:r w:rsidR="00415328" w:rsidRPr="00BC4CCB">
        <w:rPr>
          <w:rFonts w:cs="Times New Roman"/>
          <w:bCs/>
        </w:rPr>
        <w:t xml:space="preserve"> </w:t>
      </w:r>
      <w:r w:rsidRPr="00BC4CCB">
        <w:rPr>
          <w:rFonts w:cs="Times New Roman"/>
          <w:bCs/>
        </w:rPr>
        <w:t xml:space="preserve">based on the scope of an EPC contract only, these costs </w:t>
      </w:r>
      <w:r w:rsidR="00415328">
        <w:rPr>
          <w:rFonts w:cs="Times New Roman"/>
          <w:bCs/>
        </w:rPr>
        <w:t>were</w:t>
      </w:r>
      <w:r w:rsidR="00415328" w:rsidRPr="00BC4CCB">
        <w:rPr>
          <w:rFonts w:cs="Times New Roman"/>
          <w:bCs/>
        </w:rPr>
        <w:t xml:space="preserve"> </w:t>
      </w:r>
      <w:r w:rsidRPr="00BC4CCB">
        <w:rPr>
          <w:rFonts w:cs="Times New Roman"/>
          <w:bCs/>
        </w:rPr>
        <w:t>excluded from the cost estimates.</w:t>
      </w:r>
    </w:p>
    <w:p w14:paraId="7795C931" w14:textId="1BD2915D" w:rsidR="00A527AF" w:rsidRPr="00BC4CCB" w:rsidRDefault="00A527AF" w:rsidP="00A03BB7">
      <w:pPr>
        <w:pStyle w:val="Heading4"/>
      </w:pPr>
      <w:r w:rsidRPr="00BC4CCB">
        <w:t>FURNISHINGS</w:t>
      </w:r>
    </w:p>
    <w:p w14:paraId="6652EEC3" w14:textId="3B0CA366" w:rsidR="00A527AF" w:rsidRPr="00BC4CCB" w:rsidRDefault="006006D7" w:rsidP="00A527AF">
      <w:pPr>
        <w:rPr>
          <w:rFonts w:cs="Times New Roman"/>
          <w:bCs/>
        </w:rPr>
      </w:pPr>
      <w:r>
        <w:rPr>
          <w:rFonts w:cs="Times New Roman"/>
          <w:bCs/>
        </w:rPr>
        <w:t>T</w:t>
      </w:r>
      <w:r w:rsidR="00A527AF" w:rsidRPr="00BC4CCB">
        <w:rPr>
          <w:rFonts w:cs="Times New Roman"/>
          <w:bCs/>
        </w:rPr>
        <w:t xml:space="preserve">his section of the cost estimates would normally include costs for plant furnishings that the owner would need for the staff that would be operating the plant.  Items normally included in this section would be desks, chairs, tables, lunch room equipment, window shades, computers, etc.  Since the cost estimates </w:t>
      </w:r>
      <w:r w:rsidR="00415328">
        <w:rPr>
          <w:rFonts w:cs="Times New Roman"/>
          <w:bCs/>
        </w:rPr>
        <w:t>were</w:t>
      </w:r>
      <w:r w:rsidR="00415328" w:rsidRPr="00BC4CCB">
        <w:rPr>
          <w:rFonts w:cs="Times New Roman"/>
          <w:bCs/>
        </w:rPr>
        <w:t xml:space="preserve"> </w:t>
      </w:r>
      <w:r w:rsidR="00A527AF" w:rsidRPr="00BC4CCB">
        <w:rPr>
          <w:rFonts w:cs="Times New Roman"/>
          <w:bCs/>
        </w:rPr>
        <w:t xml:space="preserve">based on the scope of an EPC contract only, these costs </w:t>
      </w:r>
      <w:r w:rsidR="00415328">
        <w:rPr>
          <w:rFonts w:cs="Times New Roman"/>
          <w:bCs/>
        </w:rPr>
        <w:t>were</w:t>
      </w:r>
      <w:r w:rsidR="00415328" w:rsidRPr="00BC4CCB">
        <w:rPr>
          <w:rFonts w:cs="Times New Roman"/>
          <w:bCs/>
        </w:rPr>
        <w:t xml:space="preserve"> </w:t>
      </w:r>
      <w:r w:rsidR="00A527AF" w:rsidRPr="00BC4CCB">
        <w:rPr>
          <w:rFonts w:cs="Times New Roman"/>
          <w:bCs/>
        </w:rPr>
        <w:t>excluded from the cost estimates.</w:t>
      </w:r>
    </w:p>
    <w:p w14:paraId="5E8EC31C" w14:textId="6747EC7B" w:rsidR="00A527AF" w:rsidRPr="00BC4CCB" w:rsidRDefault="00A527AF" w:rsidP="00A03BB7">
      <w:pPr>
        <w:pStyle w:val="Heading4"/>
      </w:pPr>
      <w:r w:rsidRPr="00BC4CCB">
        <w:t>OWNER’S ESCALATION</w:t>
      </w:r>
    </w:p>
    <w:p w14:paraId="1AC1087F" w14:textId="70D5EAEE" w:rsidR="00A527AF" w:rsidRPr="00BC4CCB" w:rsidRDefault="00A527AF" w:rsidP="00A527AF">
      <w:pPr>
        <w:rPr>
          <w:rFonts w:cs="Times New Roman"/>
          <w:bCs/>
        </w:rPr>
      </w:pPr>
      <w:r w:rsidRPr="00BC4CCB">
        <w:rPr>
          <w:rFonts w:cs="Times New Roman"/>
          <w:bCs/>
        </w:rPr>
        <w:t xml:space="preserve">Since the cost estimates </w:t>
      </w:r>
      <w:r w:rsidR="00415328">
        <w:rPr>
          <w:rFonts w:cs="Times New Roman"/>
          <w:bCs/>
        </w:rPr>
        <w:t>were</w:t>
      </w:r>
      <w:r w:rsidR="00415328" w:rsidRPr="00BC4CCB">
        <w:rPr>
          <w:rFonts w:cs="Times New Roman"/>
          <w:bCs/>
        </w:rPr>
        <w:t xml:space="preserve"> </w:t>
      </w:r>
      <w:r w:rsidRPr="00BC4CCB">
        <w:rPr>
          <w:rFonts w:cs="Times New Roman"/>
          <w:bCs/>
        </w:rPr>
        <w:t xml:space="preserve">based on the scope of an EPC contract only, these costs </w:t>
      </w:r>
      <w:r w:rsidR="00415328">
        <w:rPr>
          <w:rFonts w:cs="Times New Roman"/>
          <w:bCs/>
        </w:rPr>
        <w:t>were</w:t>
      </w:r>
      <w:r w:rsidR="00415328" w:rsidRPr="00BC4CCB">
        <w:rPr>
          <w:rFonts w:cs="Times New Roman"/>
          <w:bCs/>
        </w:rPr>
        <w:t xml:space="preserve"> </w:t>
      </w:r>
      <w:r w:rsidRPr="00BC4CCB">
        <w:rPr>
          <w:rFonts w:cs="Times New Roman"/>
          <w:bCs/>
        </w:rPr>
        <w:t>excluded from the cost estimates.</w:t>
      </w:r>
    </w:p>
    <w:p w14:paraId="25F03334" w14:textId="55714E81" w:rsidR="00A527AF" w:rsidRPr="00BC4CCB" w:rsidRDefault="00A527AF" w:rsidP="00F37F4C">
      <w:pPr>
        <w:pStyle w:val="Heading4"/>
      </w:pPr>
      <w:r w:rsidRPr="00BC4CCB">
        <w:lastRenderedPageBreak/>
        <w:t>OWNER’S CONTINGENCY</w:t>
      </w:r>
    </w:p>
    <w:p w14:paraId="2D0BE472" w14:textId="428B21AF" w:rsidR="00A527AF" w:rsidRPr="00BC4CCB" w:rsidRDefault="00456566" w:rsidP="00A527AF">
      <w:pPr>
        <w:rPr>
          <w:rFonts w:cs="Times New Roman"/>
          <w:bCs/>
        </w:rPr>
      </w:pPr>
      <w:r>
        <w:rPr>
          <w:rFonts w:cs="Times New Roman"/>
          <w:bCs/>
        </w:rPr>
        <w:t xml:space="preserve">An owner’s contingency of </w:t>
      </w:r>
      <w:r w:rsidR="009E312D">
        <w:rPr>
          <w:rFonts w:cs="Times New Roman"/>
          <w:bCs/>
        </w:rPr>
        <w:t>approximately 5% was included in the cost estimate</w:t>
      </w:r>
      <w:r w:rsidR="00A527AF" w:rsidRPr="00BC4CCB">
        <w:rPr>
          <w:rFonts w:cs="Times New Roman"/>
          <w:bCs/>
        </w:rPr>
        <w:t>.</w:t>
      </w:r>
    </w:p>
    <w:p w14:paraId="2520A88F" w14:textId="5933209A" w:rsidR="00A527AF" w:rsidRPr="00BC4CCB" w:rsidRDefault="00A527AF" w:rsidP="00F37F4C">
      <w:pPr>
        <w:pStyle w:val="Heading4"/>
      </w:pPr>
      <w:r w:rsidRPr="00BC4CCB">
        <w:t>ANY OTHER OWNER’S RELATED COSTS</w:t>
      </w:r>
    </w:p>
    <w:p w14:paraId="24B2CE23" w14:textId="5A222B08" w:rsidR="00A527AF" w:rsidRDefault="00A527AF" w:rsidP="00A527AF">
      <w:pPr>
        <w:rPr>
          <w:rFonts w:cs="Times New Roman"/>
          <w:bCs/>
        </w:rPr>
      </w:pPr>
      <w:r w:rsidRPr="00BC4CCB">
        <w:rPr>
          <w:rFonts w:cs="Times New Roman"/>
          <w:bCs/>
        </w:rPr>
        <w:t xml:space="preserve">Since the cost estimates </w:t>
      </w:r>
      <w:r w:rsidR="00415328">
        <w:rPr>
          <w:rFonts w:cs="Times New Roman"/>
          <w:bCs/>
        </w:rPr>
        <w:t>were</w:t>
      </w:r>
      <w:r w:rsidR="00415328" w:rsidRPr="00BC4CCB">
        <w:rPr>
          <w:rFonts w:cs="Times New Roman"/>
          <w:bCs/>
        </w:rPr>
        <w:t xml:space="preserve"> </w:t>
      </w:r>
      <w:r w:rsidRPr="00BC4CCB">
        <w:rPr>
          <w:rFonts w:cs="Times New Roman"/>
          <w:bCs/>
        </w:rPr>
        <w:t xml:space="preserve">based on the scope of an EPC contract only, these costs </w:t>
      </w:r>
      <w:r w:rsidR="00415328">
        <w:rPr>
          <w:rFonts w:cs="Times New Roman"/>
          <w:bCs/>
        </w:rPr>
        <w:t>were</w:t>
      </w:r>
      <w:r w:rsidR="00415328" w:rsidRPr="00BC4CCB">
        <w:rPr>
          <w:rFonts w:cs="Times New Roman"/>
          <w:bCs/>
        </w:rPr>
        <w:t xml:space="preserve"> </w:t>
      </w:r>
      <w:r w:rsidRPr="00BC4CCB">
        <w:rPr>
          <w:rFonts w:cs="Times New Roman"/>
          <w:bCs/>
        </w:rPr>
        <w:t>excluded from the cost estimates.</w:t>
      </w:r>
    </w:p>
    <w:p w14:paraId="248511D9" w14:textId="77777777" w:rsidR="00A527AF" w:rsidRPr="0025706A" w:rsidRDefault="00A527AF" w:rsidP="00456566">
      <w:pPr>
        <w:pStyle w:val="Heading2"/>
      </w:pPr>
      <w:bookmarkStart w:id="31" w:name="_Toc468288313"/>
      <w:r w:rsidRPr="00976030">
        <w:t>CONE Technical Specifications</w:t>
      </w:r>
      <w:r>
        <w:t xml:space="preserve"> and Costs</w:t>
      </w:r>
      <w:bookmarkEnd w:id="31"/>
    </w:p>
    <w:p w14:paraId="200A6AB4" w14:textId="77777777" w:rsidR="00A527AF" w:rsidRPr="000E5185" w:rsidRDefault="00A527AF" w:rsidP="00A12D4D">
      <w:pPr>
        <w:pStyle w:val="Heading3"/>
        <w:numPr>
          <w:ilvl w:val="0"/>
          <w:numId w:val="24"/>
        </w:numPr>
      </w:pPr>
      <w:r w:rsidRPr="000E5185">
        <w:t>7HA.02 Simple Cycle Gas Turbine</w:t>
      </w:r>
    </w:p>
    <w:p w14:paraId="4AAC500F" w14:textId="4ED37299" w:rsidR="00A527AF" w:rsidRPr="00BF64E4" w:rsidRDefault="00A527AF" w:rsidP="00A527AF">
      <w:pPr>
        <w:rPr>
          <w:rFonts w:cs="Times New Roman"/>
        </w:rPr>
      </w:pPr>
      <w:r w:rsidRPr="00BF64E4">
        <w:rPr>
          <w:rFonts w:cs="Times New Roman"/>
        </w:rPr>
        <w:t xml:space="preserve">The GE 7HA.02 is a large frame machine representing the current state-of-the-art regarding materials and combustion technology, giving it the highest efficiency available in the simple cycle </w:t>
      </w:r>
      <w:r w:rsidR="00415328">
        <w:rPr>
          <w:rFonts w:cs="Times New Roman"/>
        </w:rPr>
        <w:t xml:space="preserve">technology  </w:t>
      </w:r>
      <w:r w:rsidR="00415328" w:rsidRPr="00BF64E4">
        <w:rPr>
          <w:rFonts w:cs="Times New Roman"/>
        </w:rPr>
        <w:t xml:space="preserve"> </w:t>
      </w:r>
      <w:r w:rsidRPr="00BF64E4">
        <w:rPr>
          <w:rFonts w:cs="Times New Roman"/>
        </w:rPr>
        <w:t xml:space="preserve">market.  In addition to a low minimum load point and high ramp rates that provide for flexible operation, the plant has relatively low capital costs.  The 7HA.02 is </w:t>
      </w:r>
      <w:r w:rsidR="009E312D">
        <w:rPr>
          <w:rFonts w:cs="Times New Roman"/>
        </w:rPr>
        <w:t>in the process of entering commercial operation in a variety of locations throughout the cou</w:t>
      </w:r>
      <w:r w:rsidR="009057C2">
        <w:rPr>
          <w:rFonts w:cs="Times New Roman"/>
        </w:rPr>
        <w:t>ntry,</w:t>
      </w:r>
      <w:r w:rsidRPr="00BF64E4">
        <w:rPr>
          <w:rFonts w:cs="Times New Roman"/>
        </w:rPr>
        <w:t xml:space="preserve"> including the Canal 3 facility in SEMA, which is scheduled to come online in 2019. </w:t>
      </w:r>
    </w:p>
    <w:p w14:paraId="4F883307" w14:textId="5A4E2E92" w:rsidR="00A527AF" w:rsidRPr="00BF64E4" w:rsidRDefault="00A527AF" w:rsidP="00A527AF">
      <w:pPr>
        <w:rPr>
          <w:rFonts w:cs="Times New Roman"/>
        </w:rPr>
      </w:pPr>
      <w:r w:rsidRPr="00BF64E4">
        <w:rPr>
          <w:rFonts w:cs="Times New Roman"/>
        </w:rPr>
        <w:t xml:space="preserve">The capacity of the 7HA.02 in the simple cycle configuration </w:t>
      </w:r>
      <w:r w:rsidR="00415328">
        <w:rPr>
          <w:rFonts w:cs="Times New Roman"/>
        </w:rPr>
        <w:t xml:space="preserve">is </w:t>
      </w:r>
      <w:r>
        <w:rPr>
          <w:rFonts w:cs="Times New Roman"/>
        </w:rPr>
        <w:t>assumed to be</w:t>
      </w:r>
      <w:r w:rsidRPr="00BF64E4">
        <w:rPr>
          <w:rFonts w:cs="Times New Roman"/>
        </w:rPr>
        <w:t xml:space="preserve"> 338 MW.</w:t>
      </w:r>
      <w:r w:rsidRPr="00BF64E4">
        <w:rPr>
          <w:rStyle w:val="FootnoteReference"/>
          <w:rFonts w:cs="Times New Roman"/>
        </w:rPr>
        <w:footnoteReference w:id="6"/>
      </w:r>
      <w:r w:rsidRPr="00BF64E4">
        <w:rPr>
          <w:rFonts w:cs="Times New Roman"/>
        </w:rPr>
        <w:t xml:space="preserve">  Based on current market trends, it is assumed to be equipped with evaporative coolers for power augmentation as well as a fin fan cooling system.  The plant utilizes SCR to control emissions</w:t>
      </w:r>
      <w:r>
        <w:rPr>
          <w:rFonts w:cs="Times New Roman"/>
        </w:rPr>
        <w:t xml:space="preserve"> and a </w:t>
      </w:r>
      <w:r w:rsidRPr="00BF64E4">
        <w:rPr>
          <w:rFonts w:cs="Times New Roman"/>
        </w:rPr>
        <w:t xml:space="preserve">CO catalyst.  The heat rate of the facility is 9,220 Btu/kWh.  Based on a typical configuration, the facility is assumed to be installed on a plot of 8.1 acres. </w:t>
      </w:r>
    </w:p>
    <w:p w14:paraId="0E305FC4" w14:textId="0F2B1E27" w:rsidR="00A527AF" w:rsidRDefault="00A527AF" w:rsidP="00A527AF">
      <w:pPr>
        <w:rPr>
          <w:rFonts w:cs="Times New Roman"/>
        </w:rPr>
      </w:pPr>
      <w:r>
        <w:rPr>
          <w:rFonts w:cs="Times New Roman"/>
        </w:rPr>
        <w:t xml:space="preserve">A summary of the technical specifications is shown in </w:t>
      </w:r>
      <w:r>
        <w:rPr>
          <w:rFonts w:cs="Times New Roman"/>
        </w:rPr>
        <w:fldChar w:fldCharType="begin"/>
      </w:r>
      <w:r>
        <w:rPr>
          <w:rFonts w:cs="Times New Roman"/>
        </w:rPr>
        <w:instrText xml:space="preserve"> REF _Ref462597364 \h </w:instrText>
      </w:r>
      <w:r>
        <w:rPr>
          <w:rFonts w:cs="Times New Roman"/>
        </w:rPr>
      </w:r>
      <w:r>
        <w:rPr>
          <w:rFonts w:cs="Times New Roman"/>
        </w:rPr>
        <w:fldChar w:fldCharType="separate"/>
      </w:r>
      <w:r w:rsidR="006E2301">
        <w:t xml:space="preserve">Table </w:t>
      </w:r>
      <w:r w:rsidR="006E2301">
        <w:rPr>
          <w:noProof/>
        </w:rPr>
        <w:t>10</w:t>
      </w:r>
      <w:r>
        <w:rPr>
          <w:rFonts w:cs="Times New Roman"/>
        </w:rPr>
        <w:fldChar w:fldCharType="end"/>
      </w:r>
      <w:r>
        <w:rPr>
          <w:rFonts w:cs="Times New Roman"/>
        </w:rPr>
        <w:t xml:space="preserve"> below.</w:t>
      </w:r>
    </w:p>
    <w:p w14:paraId="70D69467" w14:textId="621A3608" w:rsidR="00A527AF" w:rsidRDefault="00A527AF" w:rsidP="00D2628D">
      <w:pPr>
        <w:pStyle w:val="Caption"/>
      </w:pPr>
      <w:bookmarkStart w:id="32" w:name="_Ref462597364"/>
      <w:bookmarkStart w:id="33" w:name="_Toc465433435"/>
      <w:r>
        <w:lastRenderedPageBreak/>
        <w:t xml:space="preserve">Table </w:t>
      </w:r>
      <w:r w:rsidR="00FA6573">
        <w:fldChar w:fldCharType="begin"/>
      </w:r>
      <w:r w:rsidR="00FA6573">
        <w:instrText xml:space="preserve"> SEQ Table \* ARABIC </w:instrText>
      </w:r>
      <w:r w:rsidR="00FA6573">
        <w:fldChar w:fldCharType="separate"/>
      </w:r>
      <w:r w:rsidR="000637A3">
        <w:rPr>
          <w:noProof/>
        </w:rPr>
        <w:t>10</w:t>
      </w:r>
      <w:r w:rsidR="00FA6573">
        <w:rPr>
          <w:noProof/>
        </w:rPr>
        <w:fldChar w:fldCharType="end"/>
      </w:r>
      <w:bookmarkEnd w:id="32"/>
      <w:r>
        <w:t>: GE 7HA.02 GT Technical Specifications</w:t>
      </w:r>
      <w:bookmarkEnd w:id="33"/>
      <w:r>
        <w:t xml:space="preserve"> </w:t>
      </w:r>
    </w:p>
    <w:tbl>
      <w:tblPr>
        <w:tblStyle w:val="GridTable4-Accent37"/>
        <w:tblW w:w="3850" w:type="pct"/>
        <w:jc w:val="center"/>
        <w:tblCellMar>
          <w:left w:w="115" w:type="dxa"/>
          <w:right w:w="115" w:type="dxa"/>
        </w:tblCellMar>
        <w:tblLook w:val="0420" w:firstRow="1" w:lastRow="0" w:firstColumn="0" w:lastColumn="0" w:noHBand="0" w:noVBand="1"/>
      </w:tblPr>
      <w:tblGrid>
        <w:gridCol w:w="3005"/>
        <w:gridCol w:w="4379"/>
      </w:tblGrid>
      <w:tr w:rsidR="00243E02" w:rsidRPr="004461BE" w14:paraId="0E2D7556" w14:textId="77777777" w:rsidTr="000D6436">
        <w:trPr>
          <w:cnfStyle w:val="100000000000" w:firstRow="1" w:lastRow="0" w:firstColumn="0" w:lastColumn="0" w:oddVBand="0" w:evenVBand="0" w:oddHBand="0" w:evenHBand="0" w:firstRowFirstColumn="0" w:firstRowLastColumn="0" w:lastRowFirstColumn="0" w:lastRowLastColumn="0"/>
          <w:trHeight w:val="432"/>
          <w:jc w:val="center"/>
        </w:trPr>
        <w:tc>
          <w:tcPr>
            <w:tcW w:w="2035" w:type="pct"/>
            <w:hideMark/>
          </w:tcPr>
          <w:p w14:paraId="2379F466" w14:textId="77777777" w:rsidR="00243E02" w:rsidRPr="009057C2" w:rsidRDefault="00243E02" w:rsidP="008E234D">
            <w:pPr>
              <w:keepNext/>
              <w:keepLines/>
              <w:spacing w:line="240" w:lineRule="auto"/>
              <w:rPr>
                <w:rFonts w:ascii="Century Gothic" w:eastAsia="Calibri" w:hAnsi="Century Gothic" w:cs="Calibri"/>
                <w:smallCaps w:val="0"/>
                <w:color w:val="000000" w:themeColor="text1"/>
                <w:sz w:val="18"/>
              </w:rPr>
            </w:pPr>
            <w:r w:rsidRPr="009057C2">
              <w:rPr>
                <w:rFonts w:ascii="Century Gothic" w:eastAsia="Calibri" w:hAnsi="Century Gothic" w:cs="Calibri"/>
                <w:smallCaps w:val="0"/>
                <w:color w:val="000000" w:themeColor="text1"/>
                <w:sz w:val="18"/>
              </w:rPr>
              <w:t>Turbine Model</w:t>
            </w:r>
          </w:p>
        </w:tc>
        <w:tc>
          <w:tcPr>
            <w:tcW w:w="2965" w:type="pct"/>
            <w:hideMark/>
          </w:tcPr>
          <w:p w14:paraId="18A1B1C4" w14:textId="77777777" w:rsidR="00243E02" w:rsidRPr="009057C2" w:rsidRDefault="00243E02" w:rsidP="00243E02">
            <w:pPr>
              <w:keepNext/>
              <w:keepLines/>
              <w:spacing w:line="240" w:lineRule="auto"/>
              <w:jc w:val="center"/>
              <w:rPr>
                <w:rFonts w:ascii="Century Gothic" w:eastAsia="Calibri" w:hAnsi="Century Gothic" w:cs="Calibri"/>
                <w:smallCaps w:val="0"/>
                <w:color w:val="000000" w:themeColor="text1"/>
                <w:sz w:val="18"/>
              </w:rPr>
            </w:pPr>
            <w:r w:rsidRPr="009057C2">
              <w:rPr>
                <w:rFonts w:ascii="Century Gothic" w:eastAsia="Calibri" w:hAnsi="Century Gothic" w:cs="Calibri"/>
                <w:smallCaps w:val="0"/>
                <w:color w:val="000000" w:themeColor="text1"/>
                <w:sz w:val="18"/>
              </w:rPr>
              <w:t>7HA.02</w:t>
            </w:r>
          </w:p>
        </w:tc>
      </w:tr>
      <w:tr w:rsidR="00243E02" w:rsidRPr="004461BE" w14:paraId="4D609499" w14:textId="77777777" w:rsidTr="001436DC">
        <w:trPr>
          <w:cnfStyle w:val="000000100000" w:firstRow="0" w:lastRow="0" w:firstColumn="0" w:lastColumn="0" w:oddVBand="0" w:evenVBand="0" w:oddHBand="1" w:evenHBand="0" w:firstRowFirstColumn="0" w:firstRowLastColumn="0" w:lastRowFirstColumn="0" w:lastRowLastColumn="0"/>
          <w:trHeight w:val="368"/>
          <w:jc w:val="center"/>
        </w:trPr>
        <w:tc>
          <w:tcPr>
            <w:tcW w:w="0" w:type="pct"/>
            <w:vAlign w:val="center"/>
            <w:hideMark/>
          </w:tcPr>
          <w:p w14:paraId="00FB2283"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Configuration</w:t>
            </w:r>
          </w:p>
        </w:tc>
        <w:tc>
          <w:tcPr>
            <w:tcW w:w="0" w:type="pct"/>
            <w:vAlign w:val="center"/>
            <w:hideMark/>
          </w:tcPr>
          <w:p w14:paraId="3D67ACE5"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Simple cycle frame machine</w:t>
            </w:r>
          </w:p>
        </w:tc>
      </w:tr>
      <w:tr w:rsidR="00243E02" w:rsidRPr="004461BE" w14:paraId="23E6F626" w14:textId="77777777" w:rsidTr="001436DC">
        <w:trPr>
          <w:trHeight w:val="332"/>
          <w:jc w:val="center"/>
        </w:trPr>
        <w:tc>
          <w:tcPr>
            <w:tcW w:w="0" w:type="pct"/>
            <w:vAlign w:val="center"/>
            <w:hideMark/>
          </w:tcPr>
          <w:p w14:paraId="0D319ADC"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Net plant capacity (MW)</w:t>
            </w:r>
          </w:p>
        </w:tc>
        <w:tc>
          <w:tcPr>
            <w:tcW w:w="0" w:type="pct"/>
            <w:vAlign w:val="center"/>
            <w:hideMark/>
          </w:tcPr>
          <w:p w14:paraId="430EA544"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338</w:t>
            </w:r>
          </w:p>
        </w:tc>
      </w:tr>
      <w:tr w:rsidR="00243E02" w:rsidRPr="004461BE" w14:paraId="684F2ECA" w14:textId="77777777" w:rsidTr="001436DC">
        <w:trPr>
          <w:cnfStyle w:val="000000100000" w:firstRow="0" w:lastRow="0" w:firstColumn="0" w:lastColumn="0" w:oddVBand="0" w:evenVBand="0" w:oddHBand="1" w:evenHBand="0" w:firstRowFirstColumn="0" w:firstRowLastColumn="0" w:lastRowFirstColumn="0" w:lastRowLastColumn="0"/>
          <w:trHeight w:val="350"/>
          <w:jc w:val="center"/>
        </w:trPr>
        <w:tc>
          <w:tcPr>
            <w:tcW w:w="0" w:type="pct"/>
            <w:vAlign w:val="center"/>
            <w:hideMark/>
          </w:tcPr>
          <w:p w14:paraId="6E7DDE7A"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Location</w:t>
            </w:r>
          </w:p>
        </w:tc>
        <w:tc>
          <w:tcPr>
            <w:tcW w:w="0" w:type="pct"/>
            <w:vAlign w:val="center"/>
            <w:hideMark/>
          </w:tcPr>
          <w:p w14:paraId="6DCCE3E1"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Bristol County, Massachusetts</w:t>
            </w:r>
          </w:p>
        </w:tc>
      </w:tr>
      <w:tr w:rsidR="00243E02" w:rsidRPr="004461BE" w14:paraId="20B637CB" w14:textId="77777777" w:rsidTr="001436DC">
        <w:trPr>
          <w:trHeight w:val="260"/>
          <w:jc w:val="center"/>
        </w:trPr>
        <w:tc>
          <w:tcPr>
            <w:tcW w:w="0" w:type="pct"/>
            <w:vAlign w:val="center"/>
            <w:hideMark/>
          </w:tcPr>
          <w:p w14:paraId="40C2E58E"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Cooling system</w:t>
            </w:r>
          </w:p>
        </w:tc>
        <w:tc>
          <w:tcPr>
            <w:tcW w:w="0" w:type="pct"/>
            <w:vAlign w:val="center"/>
            <w:hideMark/>
          </w:tcPr>
          <w:p w14:paraId="0FED6130"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Fin fan coolers</w:t>
            </w:r>
          </w:p>
        </w:tc>
      </w:tr>
      <w:tr w:rsidR="00243E02" w:rsidRPr="004461BE" w14:paraId="73243060" w14:textId="77777777" w:rsidTr="001436DC">
        <w:trPr>
          <w:cnfStyle w:val="000000100000" w:firstRow="0" w:lastRow="0" w:firstColumn="0" w:lastColumn="0" w:oddVBand="0" w:evenVBand="0" w:oddHBand="1" w:evenHBand="0" w:firstRowFirstColumn="0" w:firstRowLastColumn="0" w:lastRowFirstColumn="0" w:lastRowLastColumn="0"/>
          <w:trHeight w:val="368"/>
          <w:jc w:val="center"/>
        </w:trPr>
        <w:tc>
          <w:tcPr>
            <w:tcW w:w="0" w:type="pct"/>
            <w:vAlign w:val="center"/>
            <w:hideMark/>
          </w:tcPr>
          <w:p w14:paraId="098739EC"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Power augmentation</w:t>
            </w:r>
          </w:p>
        </w:tc>
        <w:tc>
          <w:tcPr>
            <w:tcW w:w="0" w:type="pct"/>
            <w:vAlign w:val="center"/>
            <w:hideMark/>
          </w:tcPr>
          <w:p w14:paraId="23C5B7AD"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Evaporative coolers</w:t>
            </w:r>
          </w:p>
        </w:tc>
      </w:tr>
      <w:tr w:rsidR="00243E02" w:rsidRPr="004461BE" w14:paraId="536A8512" w14:textId="77777777" w:rsidTr="001436DC">
        <w:trPr>
          <w:trHeight w:val="332"/>
          <w:jc w:val="center"/>
        </w:trPr>
        <w:tc>
          <w:tcPr>
            <w:tcW w:w="0" w:type="pct"/>
            <w:vAlign w:val="center"/>
            <w:hideMark/>
          </w:tcPr>
          <w:p w14:paraId="4E60CC7C"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Net heat rate (Btu/kWh)</w:t>
            </w:r>
          </w:p>
        </w:tc>
        <w:tc>
          <w:tcPr>
            <w:tcW w:w="0" w:type="pct"/>
            <w:vAlign w:val="center"/>
            <w:hideMark/>
          </w:tcPr>
          <w:p w14:paraId="72918364"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9,220</w:t>
            </w:r>
          </w:p>
        </w:tc>
      </w:tr>
      <w:tr w:rsidR="00243E02" w:rsidRPr="004461BE" w14:paraId="13A0B9E8" w14:textId="77777777" w:rsidTr="001436DC">
        <w:trPr>
          <w:cnfStyle w:val="000000100000" w:firstRow="0" w:lastRow="0" w:firstColumn="0" w:lastColumn="0" w:oddVBand="0" w:evenVBand="0" w:oddHBand="1" w:evenHBand="0" w:firstRowFirstColumn="0" w:firstRowLastColumn="0" w:lastRowFirstColumn="0" w:lastRowLastColumn="0"/>
          <w:trHeight w:val="350"/>
          <w:jc w:val="center"/>
        </w:trPr>
        <w:tc>
          <w:tcPr>
            <w:tcW w:w="0" w:type="pct"/>
            <w:vAlign w:val="center"/>
            <w:hideMark/>
          </w:tcPr>
          <w:p w14:paraId="387FD330"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Environmental controls</w:t>
            </w:r>
          </w:p>
        </w:tc>
        <w:tc>
          <w:tcPr>
            <w:tcW w:w="0" w:type="pct"/>
            <w:vAlign w:val="center"/>
            <w:hideMark/>
          </w:tcPr>
          <w:p w14:paraId="1AD5B580"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Selective catalytic reduction</w:t>
            </w:r>
          </w:p>
        </w:tc>
      </w:tr>
      <w:tr w:rsidR="00243E02" w:rsidRPr="004461BE" w14:paraId="34E99888" w14:textId="77777777" w:rsidTr="001436DC">
        <w:trPr>
          <w:trHeight w:val="350"/>
          <w:jc w:val="center"/>
        </w:trPr>
        <w:tc>
          <w:tcPr>
            <w:tcW w:w="0" w:type="pct"/>
            <w:vAlign w:val="center"/>
            <w:hideMark/>
          </w:tcPr>
          <w:p w14:paraId="1808BAEC"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Duel-fuel capability</w:t>
            </w:r>
          </w:p>
        </w:tc>
        <w:tc>
          <w:tcPr>
            <w:tcW w:w="0" w:type="pct"/>
            <w:vAlign w:val="center"/>
            <w:hideMark/>
          </w:tcPr>
          <w:p w14:paraId="21F7A7B5"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Natural gas w/ No. 2 oil backup</w:t>
            </w:r>
          </w:p>
        </w:tc>
      </w:tr>
      <w:tr w:rsidR="00243E02" w:rsidRPr="004461BE" w14:paraId="1D9DC1ED" w14:textId="77777777" w:rsidTr="001436DC">
        <w:trPr>
          <w:cnfStyle w:val="000000100000" w:firstRow="0" w:lastRow="0" w:firstColumn="0" w:lastColumn="0" w:oddVBand="0" w:evenVBand="0" w:oddHBand="1" w:evenHBand="0" w:firstRowFirstColumn="0" w:firstRowLastColumn="0" w:lastRowFirstColumn="0" w:lastRowLastColumn="0"/>
          <w:trHeight w:val="260"/>
          <w:jc w:val="center"/>
        </w:trPr>
        <w:tc>
          <w:tcPr>
            <w:tcW w:w="0" w:type="pct"/>
            <w:vAlign w:val="center"/>
            <w:hideMark/>
          </w:tcPr>
          <w:p w14:paraId="008D61B7"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Black start?</w:t>
            </w:r>
          </w:p>
        </w:tc>
        <w:tc>
          <w:tcPr>
            <w:tcW w:w="0" w:type="pct"/>
            <w:vAlign w:val="center"/>
            <w:hideMark/>
          </w:tcPr>
          <w:p w14:paraId="4AEA67D2"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No</w:t>
            </w:r>
          </w:p>
        </w:tc>
      </w:tr>
      <w:tr w:rsidR="00243E02" w:rsidRPr="004461BE" w14:paraId="4F600B7E" w14:textId="77777777" w:rsidTr="001436DC">
        <w:trPr>
          <w:trHeight w:val="368"/>
          <w:jc w:val="center"/>
        </w:trPr>
        <w:tc>
          <w:tcPr>
            <w:tcW w:w="0" w:type="pct"/>
            <w:vAlign w:val="center"/>
            <w:hideMark/>
          </w:tcPr>
          <w:p w14:paraId="48256FD9"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On-site gas compression?</w:t>
            </w:r>
          </w:p>
        </w:tc>
        <w:tc>
          <w:tcPr>
            <w:tcW w:w="0" w:type="pct"/>
            <w:vAlign w:val="center"/>
            <w:hideMark/>
          </w:tcPr>
          <w:p w14:paraId="5F40ADFF"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No</w:t>
            </w:r>
          </w:p>
        </w:tc>
      </w:tr>
      <w:tr w:rsidR="00243E02" w:rsidRPr="004461BE" w14:paraId="5258570A" w14:textId="77777777" w:rsidTr="001436DC">
        <w:trPr>
          <w:cnfStyle w:val="000000100000" w:firstRow="0" w:lastRow="0" w:firstColumn="0" w:lastColumn="0" w:oddVBand="0" w:evenVBand="0" w:oddHBand="1" w:evenHBand="0" w:firstRowFirstColumn="0" w:firstRowLastColumn="0" w:lastRowFirstColumn="0" w:lastRowLastColumn="0"/>
          <w:trHeight w:val="242"/>
          <w:jc w:val="center"/>
        </w:trPr>
        <w:tc>
          <w:tcPr>
            <w:tcW w:w="0" w:type="pct"/>
            <w:vAlign w:val="center"/>
            <w:hideMark/>
          </w:tcPr>
          <w:p w14:paraId="32A5C448"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Gas interconnection</w:t>
            </w:r>
          </w:p>
        </w:tc>
        <w:tc>
          <w:tcPr>
            <w:tcW w:w="0" w:type="pct"/>
            <w:vAlign w:val="center"/>
            <w:hideMark/>
          </w:tcPr>
          <w:p w14:paraId="1C67BA07"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Onsite connection</w:t>
            </w:r>
          </w:p>
        </w:tc>
      </w:tr>
      <w:tr w:rsidR="00243E02" w:rsidRPr="004461BE" w14:paraId="2512BB49" w14:textId="77777777" w:rsidTr="001436DC">
        <w:trPr>
          <w:trHeight w:val="350"/>
          <w:jc w:val="center"/>
        </w:trPr>
        <w:tc>
          <w:tcPr>
            <w:tcW w:w="0" w:type="pct"/>
            <w:vAlign w:val="center"/>
            <w:hideMark/>
          </w:tcPr>
          <w:p w14:paraId="220FF2D3"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Electrical interconnection</w:t>
            </w:r>
          </w:p>
        </w:tc>
        <w:tc>
          <w:tcPr>
            <w:tcW w:w="0" w:type="pct"/>
            <w:vAlign w:val="center"/>
            <w:hideMark/>
          </w:tcPr>
          <w:p w14:paraId="58E35A79"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Onsite connection</w:t>
            </w:r>
          </w:p>
        </w:tc>
      </w:tr>
      <w:tr w:rsidR="00243E02" w:rsidRPr="004461BE" w14:paraId="481E6515" w14:textId="77777777" w:rsidTr="001436DC">
        <w:trPr>
          <w:cnfStyle w:val="000000100000" w:firstRow="0" w:lastRow="0" w:firstColumn="0" w:lastColumn="0" w:oddVBand="0" w:evenVBand="0" w:oddHBand="1" w:evenHBand="0" w:firstRowFirstColumn="0" w:firstRowLastColumn="0" w:lastRowFirstColumn="0" w:lastRowLastColumn="0"/>
          <w:trHeight w:val="260"/>
          <w:jc w:val="center"/>
        </w:trPr>
        <w:tc>
          <w:tcPr>
            <w:tcW w:w="0" w:type="pct"/>
            <w:vAlign w:val="center"/>
            <w:hideMark/>
          </w:tcPr>
          <w:p w14:paraId="5AA7A580" w14:textId="77777777" w:rsidR="00243E02" w:rsidRPr="001436DC" w:rsidRDefault="00243E02" w:rsidP="00243E02">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Plot size (acres)</w:t>
            </w:r>
          </w:p>
        </w:tc>
        <w:tc>
          <w:tcPr>
            <w:tcW w:w="0" w:type="pct"/>
            <w:vAlign w:val="center"/>
            <w:hideMark/>
          </w:tcPr>
          <w:p w14:paraId="6C85125D" w14:textId="77777777" w:rsidR="00243E02" w:rsidRPr="001436DC" w:rsidRDefault="00243E02" w:rsidP="00243E02">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8.1</w:t>
            </w:r>
          </w:p>
        </w:tc>
      </w:tr>
    </w:tbl>
    <w:p w14:paraId="73082814" w14:textId="5EA9B9F5" w:rsidR="00A527AF" w:rsidRDefault="00A527AF" w:rsidP="008E234D">
      <w:pPr>
        <w:keepNext/>
        <w:jc w:val="left"/>
        <w:rPr>
          <w:rFonts w:cs="Times New Roman"/>
        </w:rPr>
      </w:pPr>
    </w:p>
    <w:p w14:paraId="1AF6806D" w14:textId="68A7574A" w:rsidR="00A527AF" w:rsidRPr="00197190" w:rsidRDefault="00972442" w:rsidP="00F37F4C">
      <w:pPr>
        <w:pStyle w:val="Heading4"/>
      </w:pPr>
      <w:r>
        <w:t>CAPITAL COSTS</w:t>
      </w:r>
    </w:p>
    <w:p w14:paraId="7DA9A47E" w14:textId="07B27B5E" w:rsidR="00A527AF" w:rsidRPr="00BF64E4" w:rsidRDefault="00A527AF" w:rsidP="00A527AF">
      <w:pPr>
        <w:rPr>
          <w:rFonts w:cs="Times New Roman"/>
        </w:rPr>
      </w:pPr>
      <w:r>
        <w:rPr>
          <w:rFonts w:cs="Times New Roman"/>
        </w:rPr>
        <w:t>The c</w:t>
      </w:r>
      <w:r w:rsidRPr="00BF64E4">
        <w:rPr>
          <w:rFonts w:cs="Times New Roman"/>
        </w:rPr>
        <w:t xml:space="preserve">apital costs for the </w:t>
      </w:r>
      <w:r>
        <w:rPr>
          <w:rFonts w:cs="Times New Roman"/>
        </w:rPr>
        <w:t xml:space="preserve">simple cycle </w:t>
      </w:r>
      <w:r w:rsidRPr="00BF64E4">
        <w:rPr>
          <w:rFonts w:cs="Times New Roman"/>
        </w:rPr>
        <w:t xml:space="preserve">GT </w:t>
      </w:r>
      <w:r>
        <w:rPr>
          <w:rFonts w:cs="Times New Roman"/>
        </w:rPr>
        <w:t xml:space="preserve">were developed by </w:t>
      </w:r>
      <w:r w:rsidR="003A0E05">
        <w:rPr>
          <w:rFonts w:cs="Times New Roman"/>
        </w:rPr>
        <w:t>MM</w:t>
      </w:r>
      <w:r>
        <w:rPr>
          <w:rFonts w:cs="Times New Roman"/>
        </w:rPr>
        <w:t xml:space="preserve"> through discussions with the manufacturer and reliance on their proprietary database.  These capital cost estimates </w:t>
      </w:r>
      <w:r w:rsidRPr="00BF64E4">
        <w:rPr>
          <w:rFonts w:cs="Times New Roman"/>
        </w:rPr>
        <w:t xml:space="preserve">are shown </w:t>
      </w:r>
      <w:r>
        <w:rPr>
          <w:rFonts w:cs="Times New Roman"/>
        </w:rPr>
        <w:t xml:space="preserve">in </w:t>
      </w:r>
      <w:r w:rsidR="006F5D19">
        <w:rPr>
          <w:rFonts w:cs="Times New Roman"/>
        </w:rPr>
        <w:t>Table 11 b</w:t>
      </w:r>
      <w:r w:rsidRPr="00BF64E4">
        <w:rPr>
          <w:rFonts w:cs="Times New Roman"/>
        </w:rPr>
        <w:t>elow.</w:t>
      </w:r>
    </w:p>
    <w:p w14:paraId="7018803D" w14:textId="080B9593" w:rsidR="00A527AF" w:rsidRDefault="00A527AF" w:rsidP="00D2628D">
      <w:pPr>
        <w:pStyle w:val="Caption"/>
      </w:pPr>
      <w:bookmarkStart w:id="34" w:name="_Ref462663511"/>
      <w:bookmarkStart w:id="35" w:name="_Toc465433436"/>
      <w:r w:rsidRPr="00E82EB5">
        <w:lastRenderedPageBreak/>
        <w:t xml:space="preserve">Table </w:t>
      </w:r>
      <w:r w:rsidR="00FA6573">
        <w:fldChar w:fldCharType="begin"/>
      </w:r>
      <w:r w:rsidR="00FA6573">
        <w:instrText xml:space="preserve"> SEQ Table \* ARABIC </w:instrText>
      </w:r>
      <w:r w:rsidR="00FA6573">
        <w:fldChar w:fldCharType="separate"/>
      </w:r>
      <w:r w:rsidR="000637A3">
        <w:rPr>
          <w:noProof/>
        </w:rPr>
        <w:t>11</w:t>
      </w:r>
      <w:r w:rsidR="00FA6573">
        <w:rPr>
          <w:noProof/>
        </w:rPr>
        <w:fldChar w:fldCharType="end"/>
      </w:r>
      <w:bookmarkEnd w:id="34"/>
      <w:r>
        <w:t>: GE 7HA.02 GT Capital Costs</w:t>
      </w:r>
      <w:bookmarkEnd w:id="35"/>
      <w:r w:rsidR="00097323">
        <w:t xml:space="preserve"> </w:t>
      </w:r>
    </w:p>
    <w:p w14:paraId="54C15A3A" w14:textId="19A92E4F" w:rsidR="005E0407" w:rsidRDefault="005E0407" w:rsidP="005E0407">
      <w:pPr>
        <w:jc w:val="center"/>
      </w:pPr>
      <w:r w:rsidRPr="005E0407">
        <w:rPr>
          <w:noProof/>
        </w:rPr>
        <w:drawing>
          <wp:inline distT="0" distB="0" distL="0" distR="0" wp14:anchorId="1764FF53" wp14:editId="75DB00D0">
            <wp:extent cx="5543550" cy="4581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4399" cy="4582227"/>
                    </a:xfrm>
                    <a:prstGeom prst="rect">
                      <a:avLst/>
                    </a:prstGeom>
                    <a:noFill/>
                    <a:ln>
                      <a:noFill/>
                    </a:ln>
                  </pic:spPr>
                </pic:pic>
              </a:graphicData>
            </a:graphic>
          </wp:inline>
        </w:drawing>
      </w:r>
    </w:p>
    <w:p w14:paraId="5E1CC4AC" w14:textId="77777777" w:rsidR="005E0407" w:rsidRPr="005E0407" w:rsidRDefault="005E0407" w:rsidP="005E0407"/>
    <w:p w14:paraId="484008F5" w14:textId="77777777" w:rsidR="0053355E" w:rsidRPr="00197190" w:rsidRDefault="0053355E" w:rsidP="0053355E">
      <w:pPr>
        <w:pStyle w:val="Heading4"/>
      </w:pPr>
      <w:r w:rsidRPr="00197190">
        <w:t>Operating and Maintenance Costs</w:t>
      </w:r>
    </w:p>
    <w:p w14:paraId="0CA5C979" w14:textId="10421CCA" w:rsidR="00A527AF" w:rsidRPr="00B36972" w:rsidRDefault="00A527AF" w:rsidP="00A527AF">
      <w:pPr>
        <w:rPr>
          <w:rFonts w:cs="Times New Roman"/>
        </w:rPr>
      </w:pPr>
      <w:r w:rsidRPr="00BF64E4">
        <w:rPr>
          <w:rFonts w:cs="Times New Roman"/>
        </w:rPr>
        <w:t>Fixed costs for th</w:t>
      </w:r>
      <w:r>
        <w:rPr>
          <w:rFonts w:cs="Times New Roman"/>
        </w:rPr>
        <w:t xml:space="preserve">e facility consist of </w:t>
      </w:r>
      <w:r w:rsidRPr="00BF64E4">
        <w:rPr>
          <w:rFonts w:cs="Times New Roman"/>
        </w:rPr>
        <w:t>fixed O&amp;M</w:t>
      </w:r>
      <w:r>
        <w:rPr>
          <w:rFonts w:cs="Times New Roman"/>
        </w:rPr>
        <w:t xml:space="preserve"> costs</w:t>
      </w:r>
      <w:r w:rsidRPr="00BF64E4">
        <w:rPr>
          <w:rFonts w:cs="Times New Roman"/>
        </w:rPr>
        <w:t xml:space="preserve"> inclusive of labor, materials, contract services, and </w:t>
      </w:r>
      <w:r w:rsidRPr="00097323">
        <w:rPr>
          <w:rFonts w:cs="Times New Roman"/>
        </w:rPr>
        <w:t xml:space="preserve">associated costs; leasing of the land on which the plant is located, property taxes, and insurance.  </w:t>
      </w:r>
      <w:r w:rsidR="00A34EE4" w:rsidRPr="00097323">
        <w:rPr>
          <w:rFonts w:cs="Times New Roman"/>
        </w:rPr>
        <w:t>The costs associated with land lease, property tax, and insurance are discussed in Section III.B.</w:t>
      </w:r>
      <w:r w:rsidR="00097323" w:rsidRPr="00097323">
        <w:rPr>
          <w:rFonts w:cs="Times New Roman"/>
        </w:rPr>
        <w:t xml:space="preserve">  We have assumed a long-term service agreement (“LTSA”) that would cover </w:t>
      </w:r>
      <w:r w:rsidR="00097323" w:rsidRPr="008E234D">
        <w:t xml:space="preserve">parts, labor, and materials for work done up to and including the first major outage.  This </w:t>
      </w:r>
      <w:r w:rsidR="00415328">
        <w:t xml:space="preserve">was assumed to be </w:t>
      </w:r>
      <w:r w:rsidR="00097323" w:rsidRPr="008E234D">
        <w:t xml:space="preserve">a fixed price payment structure with monthly installments.  Outage frequency and durations would be agreed to, but degradation generally is not guaranteed.  Planned outages would be included under the agreement, but unplanned outages would not be covered. </w:t>
      </w:r>
    </w:p>
    <w:p w14:paraId="5FACB189" w14:textId="40DB059E" w:rsidR="00A527AF" w:rsidRPr="00915C33" w:rsidRDefault="00A527AF" w:rsidP="00A527AF">
      <w:pPr>
        <w:rPr>
          <w:rFonts w:cs="Times New Roman"/>
        </w:rPr>
      </w:pPr>
      <w:r w:rsidRPr="00915C33">
        <w:rPr>
          <w:rFonts w:cs="Times New Roman"/>
        </w:rPr>
        <w:t xml:space="preserve">Fixed costs for the </w:t>
      </w:r>
      <w:r>
        <w:rPr>
          <w:rFonts w:cs="Times New Roman"/>
        </w:rPr>
        <w:t>GE 7HA.02 Simple Cycle GT</w:t>
      </w:r>
      <w:r w:rsidRPr="00915C33">
        <w:rPr>
          <w:rFonts w:cs="Times New Roman"/>
        </w:rPr>
        <w:t xml:space="preserve"> </w:t>
      </w:r>
      <w:proofErr w:type="gramStart"/>
      <w:r w:rsidRPr="00915C33">
        <w:rPr>
          <w:rFonts w:cs="Times New Roman"/>
        </w:rPr>
        <w:t>are</w:t>
      </w:r>
      <w:proofErr w:type="gramEnd"/>
      <w:r w:rsidRPr="00915C33">
        <w:rPr>
          <w:rFonts w:cs="Times New Roman"/>
        </w:rPr>
        <w:t xml:space="preserve"> shown </w:t>
      </w:r>
      <w:r w:rsidR="006F5D19">
        <w:rPr>
          <w:rFonts w:cs="Times New Roman"/>
        </w:rPr>
        <w:t xml:space="preserve">in Table 12 </w:t>
      </w:r>
      <w:r w:rsidRPr="00915C33">
        <w:rPr>
          <w:rFonts w:cs="Times New Roman"/>
        </w:rPr>
        <w:t>below:</w:t>
      </w:r>
    </w:p>
    <w:p w14:paraId="7F23C36F" w14:textId="33981B29" w:rsidR="00A527AF" w:rsidRPr="00332504" w:rsidRDefault="00A527AF" w:rsidP="00D2628D">
      <w:pPr>
        <w:pStyle w:val="Caption"/>
      </w:pPr>
      <w:bookmarkStart w:id="36" w:name="_Toc465433437"/>
      <w:r w:rsidRPr="00332504">
        <w:lastRenderedPageBreak/>
        <w:t xml:space="preserve">Table </w:t>
      </w:r>
      <w:r w:rsidR="00FA6573">
        <w:fldChar w:fldCharType="begin"/>
      </w:r>
      <w:r w:rsidR="00FA6573">
        <w:instrText xml:space="preserve"> SEQ Table \* ARABIC </w:instrText>
      </w:r>
      <w:r w:rsidR="00FA6573">
        <w:fldChar w:fldCharType="separate"/>
      </w:r>
      <w:r w:rsidR="000637A3">
        <w:rPr>
          <w:noProof/>
        </w:rPr>
        <w:t>12</w:t>
      </w:r>
      <w:r w:rsidR="00FA6573">
        <w:rPr>
          <w:noProof/>
        </w:rPr>
        <w:fldChar w:fldCharType="end"/>
      </w:r>
      <w:r>
        <w:t xml:space="preserve">: </w:t>
      </w:r>
      <w:r w:rsidRPr="00332504">
        <w:t>7HA.</w:t>
      </w:r>
      <w:r>
        <w:t>0</w:t>
      </w:r>
      <w:r w:rsidRPr="00332504">
        <w:t>2 Simple Cycle GT Operating Costs</w:t>
      </w:r>
      <w:bookmarkEnd w:id="36"/>
    </w:p>
    <w:tbl>
      <w:tblPr>
        <w:tblStyle w:val="GridTable4-Accent32"/>
        <w:tblW w:w="4871" w:type="dxa"/>
        <w:jc w:val="center"/>
        <w:tblLook w:val="04A0" w:firstRow="1" w:lastRow="0" w:firstColumn="1" w:lastColumn="0" w:noHBand="0" w:noVBand="1"/>
      </w:tblPr>
      <w:tblGrid>
        <w:gridCol w:w="1768"/>
        <w:gridCol w:w="3103"/>
      </w:tblGrid>
      <w:tr w:rsidR="00A527AF" w:rsidRPr="004461BE" w14:paraId="01BC9D05" w14:textId="77777777" w:rsidTr="002A4CE5">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tcPr>
          <w:p w14:paraId="1A0D8465" w14:textId="77777777" w:rsidR="00A527AF" w:rsidRPr="001436DC" w:rsidRDefault="00A527AF" w:rsidP="008E234D">
            <w:pPr>
              <w:keepNext/>
              <w:keepLines/>
              <w:spacing w:before="100" w:beforeAutospacing="1" w:after="100" w:afterAutospacing="1" w:line="240" w:lineRule="auto"/>
              <w:rPr>
                <w:rFonts w:ascii="Century Gothic" w:hAnsi="Century Gothic" w:cs="Times New Roman"/>
                <w:color w:val="000000" w:themeColor="text1"/>
                <w:sz w:val="18"/>
                <w:szCs w:val="18"/>
              </w:rPr>
            </w:pPr>
            <w:r w:rsidRPr="001436DC">
              <w:rPr>
                <w:rFonts w:ascii="Century Gothic" w:hAnsi="Century Gothic" w:cs="Times New Roman"/>
                <w:color w:val="000000" w:themeColor="text1"/>
                <w:sz w:val="18"/>
                <w:szCs w:val="18"/>
              </w:rPr>
              <w:t>Fixed Expense</w:t>
            </w:r>
          </w:p>
        </w:tc>
        <w:tc>
          <w:tcPr>
            <w:tcW w:w="0" w:type="auto"/>
          </w:tcPr>
          <w:p w14:paraId="139CCEF7" w14:textId="77777777" w:rsidR="00A527AF" w:rsidRPr="001436DC" w:rsidRDefault="00A527AF" w:rsidP="008E234D">
            <w:pPr>
              <w:keepNext/>
              <w:keepLines/>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000000" w:themeColor="text1"/>
                <w:sz w:val="18"/>
                <w:szCs w:val="18"/>
              </w:rPr>
            </w:pPr>
            <w:r w:rsidRPr="001436DC">
              <w:rPr>
                <w:rFonts w:ascii="Century Gothic" w:hAnsi="Century Gothic" w:cs="Times New Roman"/>
                <w:color w:val="000000" w:themeColor="text1"/>
                <w:sz w:val="18"/>
                <w:szCs w:val="18"/>
              </w:rPr>
              <w:t>Estimated cost</w:t>
            </w:r>
          </w:p>
        </w:tc>
      </w:tr>
      <w:tr w:rsidR="00A527AF" w:rsidRPr="004461BE" w14:paraId="43C2976C" w14:textId="77777777" w:rsidTr="001436DC">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tcPr>
          <w:p w14:paraId="3BE080A3" w14:textId="77777777" w:rsidR="00A527AF" w:rsidRPr="001436DC" w:rsidRDefault="00A527AF" w:rsidP="008E234D">
            <w:pPr>
              <w:keepNext/>
              <w:keepLines/>
              <w:spacing w:before="100" w:beforeAutospacing="1" w:after="100" w:afterAutospacing="1" w:line="240" w:lineRule="auto"/>
              <w:rPr>
                <w:rFonts w:ascii="Century Gothic" w:hAnsi="Century Gothic" w:cs="Times New Roman"/>
                <w:color w:val="000000" w:themeColor="text1"/>
                <w:sz w:val="16"/>
                <w:szCs w:val="18"/>
              </w:rPr>
            </w:pPr>
            <w:r w:rsidRPr="001436DC">
              <w:rPr>
                <w:rFonts w:ascii="Century Gothic" w:hAnsi="Century Gothic" w:cs="Times New Roman"/>
                <w:color w:val="000000" w:themeColor="text1"/>
                <w:sz w:val="16"/>
                <w:szCs w:val="18"/>
              </w:rPr>
              <w:t>Fixed O&amp;M</w:t>
            </w:r>
          </w:p>
        </w:tc>
        <w:tc>
          <w:tcPr>
            <w:tcW w:w="0" w:type="auto"/>
          </w:tcPr>
          <w:p w14:paraId="2EB3D36C" w14:textId="65A0EF98" w:rsidR="00A527AF" w:rsidRPr="001436DC" w:rsidRDefault="00A527AF" w:rsidP="008E234D">
            <w:pPr>
              <w:keepNext/>
              <w:keepLines/>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themeColor="text1"/>
                <w:sz w:val="16"/>
                <w:szCs w:val="18"/>
              </w:rPr>
            </w:pPr>
            <w:r w:rsidRPr="001436DC">
              <w:rPr>
                <w:rFonts w:ascii="Century Gothic" w:hAnsi="Century Gothic" w:cs="Times New Roman"/>
                <w:color w:val="000000" w:themeColor="text1"/>
                <w:sz w:val="16"/>
                <w:szCs w:val="18"/>
              </w:rPr>
              <w:t>$</w:t>
            </w:r>
            <w:r w:rsidR="0054105D" w:rsidRPr="001436DC">
              <w:rPr>
                <w:rFonts w:ascii="Century Gothic" w:hAnsi="Century Gothic" w:cs="Times New Roman"/>
                <w:color w:val="000000" w:themeColor="text1"/>
                <w:sz w:val="16"/>
                <w:szCs w:val="18"/>
              </w:rPr>
              <w:t>38</w:t>
            </w:r>
            <w:r w:rsidR="002D0E7F" w:rsidRPr="001436DC">
              <w:rPr>
                <w:rFonts w:ascii="Century Gothic" w:hAnsi="Century Gothic" w:cs="Times New Roman"/>
                <w:color w:val="000000" w:themeColor="text1"/>
                <w:sz w:val="16"/>
                <w:szCs w:val="18"/>
              </w:rPr>
              <w:t>.52</w:t>
            </w:r>
            <w:r w:rsidR="005E0407" w:rsidRPr="001436DC">
              <w:rPr>
                <w:rFonts w:ascii="Century Gothic" w:hAnsi="Century Gothic" w:cs="Times New Roman"/>
                <w:color w:val="000000" w:themeColor="text1"/>
                <w:sz w:val="16"/>
                <w:szCs w:val="18"/>
              </w:rPr>
              <w:t>/kW-year</w:t>
            </w:r>
          </w:p>
        </w:tc>
      </w:tr>
      <w:tr w:rsidR="00A527AF" w:rsidRPr="004461BE" w14:paraId="091F7144" w14:textId="77777777" w:rsidTr="001436DC">
        <w:trPr>
          <w:trHeight w:val="350"/>
          <w:jc w:val="center"/>
        </w:trPr>
        <w:tc>
          <w:tcPr>
            <w:cnfStyle w:val="001000000000" w:firstRow="0" w:lastRow="0" w:firstColumn="1" w:lastColumn="0" w:oddVBand="0" w:evenVBand="0" w:oddHBand="0" w:evenHBand="0" w:firstRowFirstColumn="0" w:firstRowLastColumn="0" w:lastRowFirstColumn="0" w:lastRowLastColumn="0"/>
            <w:tcW w:w="0" w:type="auto"/>
          </w:tcPr>
          <w:p w14:paraId="1B37E520" w14:textId="77777777" w:rsidR="00A527AF" w:rsidRPr="001436DC" w:rsidRDefault="00A527AF" w:rsidP="008E234D">
            <w:pPr>
              <w:keepNext/>
              <w:keepLines/>
              <w:spacing w:before="100" w:beforeAutospacing="1" w:after="100" w:afterAutospacing="1" w:line="240" w:lineRule="auto"/>
              <w:rPr>
                <w:rFonts w:ascii="Century Gothic" w:hAnsi="Century Gothic" w:cs="Times New Roman"/>
                <w:color w:val="000000" w:themeColor="text1"/>
                <w:sz w:val="16"/>
                <w:szCs w:val="18"/>
              </w:rPr>
            </w:pPr>
            <w:r w:rsidRPr="001436DC">
              <w:rPr>
                <w:rFonts w:ascii="Century Gothic" w:hAnsi="Century Gothic" w:cs="Times New Roman"/>
                <w:color w:val="000000" w:themeColor="text1"/>
                <w:sz w:val="16"/>
                <w:szCs w:val="18"/>
              </w:rPr>
              <w:t>Site leasing</w:t>
            </w:r>
          </w:p>
        </w:tc>
        <w:tc>
          <w:tcPr>
            <w:tcW w:w="0" w:type="auto"/>
          </w:tcPr>
          <w:p w14:paraId="4A5DBCC3" w14:textId="4BAE6B39" w:rsidR="00A527AF" w:rsidRPr="001436DC" w:rsidRDefault="005E0407" w:rsidP="005E0407">
            <w:pPr>
              <w:keepNext/>
              <w:keepLine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000000" w:themeColor="text1"/>
                <w:sz w:val="16"/>
                <w:szCs w:val="18"/>
              </w:rPr>
            </w:pPr>
            <w:r w:rsidRPr="001436DC">
              <w:rPr>
                <w:rFonts w:ascii="Century Gothic" w:hAnsi="Century Gothic" w:cs="Times New Roman"/>
                <w:color w:val="000000" w:themeColor="text1"/>
                <w:sz w:val="16"/>
                <w:szCs w:val="18"/>
              </w:rPr>
              <w:t xml:space="preserve">$25,000/acre/year </w:t>
            </w:r>
          </w:p>
        </w:tc>
      </w:tr>
      <w:tr w:rsidR="00A527AF" w:rsidRPr="004461BE" w14:paraId="6919B748" w14:textId="77777777" w:rsidTr="001436DC">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0" w:type="auto"/>
          </w:tcPr>
          <w:p w14:paraId="1648EAD0" w14:textId="77777777" w:rsidR="00A527AF" w:rsidRPr="001436DC" w:rsidRDefault="00A527AF" w:rsidP="008E234D">
            <w:pPr>
              <w:keepNext/>
              <w:keepLines/>
              <w:spacing w:before="100" w:beforeAutospacing="1" w:after="100" w:afterAutospacing="1" w:line="240" w:lineRule="auto"/>
              <w:rPr>
                <w:rFonts w:ascii="Century Gothic" w:hAnsi="Century Gothic" w:cs="Times New Roman"/>
                <w:color w:val="000000" w:themeColor="text1"/>
                <w:sz w:val="16"/>
                <w:szCs w:val="18"/>
              </w:rPr>
            </w:pPr>
            <w:r w:rsidRPr="001436DC">
              <w:rPr>
                <w:rFonts w:ascii="Century Gothic" w:hAnsi="Century Gothic" w:cs="Times New Roman"/>
                <w:color w:val="000000" w:themeColor="text1"/>
                <w:sz w:val="16"/>
                <w:szCs w:val="18"/>
              </w:rPr>
              <w:t>Property taxes</w:t>
            </w:r>
          </w:p>
        </w:tc>
        <w:tc>
          <w:tcPr>
            <w:tcW w:w="0" w:type="auto"/>
          </w:tcPr>
          <w:p w14:paraId="0664EE61" w14:textId="77777777" w:rsidR="00A527AF" w:rsidRPr="001436DC" w:rsidRDefault="00A527AF" w:rsidP="008E234D">
            <w:pPr>
              <w:keepNext/>
              <w:keepLines/>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themeColor="text1"/>
                <w:sz w:val="16"/>
                <w:szCs w:val="18"/>
              </w:rPr>
            </w:pPr>
            <w:r w:rsidRPr="001436DC">
              <w:rPr>
                <w:rFonts w:ascii="Century Gothic" w:hAnsi="Century Gothic" w:cs="Times New Roman"/>
                <w:color w:val="000000" w:themeColor="text1"/>
                <w:sz w:val="16"/>
                <w:szCs w:val="18"/>
              </w:rPr>
              <w:t>3.0%</w:t>
            </w:r>
          </w:p>
        </w:tc>
      </w:tr>
      <w:tr w:rsidR="00A527AF" w:rsidRPr="004461BE" w14:paraId="2150CD8C" w14:textId="77777777" w:rsidTr="001436DC">
        <w:trPr>
          <w:trHeight w:val="422"/>
          <w:jc w:val="center"/>
        </w:trPr>
        <w:tc>
          <w:tcPr>
            <w:cnfStyle w:val="001000000000" w:firstRow="0" w:lastRow="0" w:firstColumn="1" w:lastColumn="0" w:oddVBand="0" w:evenVBand="0" w:oddHBand="0" w:evenHBand="0" w:firstRowFirstColumn="0" w:firstRowLastColumn="0" w:lastRowFirstColumn="0" w:lastRowLastColumn="0"/>
            <w:tcW w:w="0" w:type="auto"/>
          </w:tcPr>
          <w:p w14:paraId="1A994044" w14:textId="77777777" w:rsidR="00A527AF" w:rsidRPr="001436DC" w:rsidRDefault="00A527AF" w:rsidP="008E234D">
            <w:pPr>
              <w:keepNext/>
              <w:keepLines/>
              <w:spacing w:before="100" w:beforeAutospacing="1" w:after="100" w:afterAutospacing="1" w:line="240" w:lineRule="auto"/>
              <w:rPr>
                <w:rFonts w:ascii="Century Gothic" w:hAnsi="Century Gothic" w:cs="Times New Roman"/>
                <w:color w:val="000000" w:themeColor="text1"/>
                <w:sz w:val="16"/>
                <w:szCs w:val="18"/>
              </w:rPr>
            </w:pPr>
            <w:r w:rsidRPr="001436DC">
              <w:rPr>
                <w:rFonts w:ascii="Century Gothic" w:hAnsi="Century Gothic" w:cs="Times New Roman"/>
                <w:color w:val="000000" w:themeColor="text1"/>
                <w:sz w:val="16"/>
                <w:szCs w:val="18"/>
              </w:rPr>
              <w:t>Insurance</w:t>
            </w:r>
          </w:p>
        </w:tc>
        <w:tc>
          <w:tcPr>
            <w:tcW w:w="0" w:type="auto"/>
          </w:tcPr>
          <w:p w14:paraId="044334E4" w14:textId="77777777" w:rsidR="00A527AF" w:rsidRPr="001436DC" w:rsidRDefault="00A527AF" w:rsidP="008E234D">
            <w:pPr>
              <w:keepNext/>
              <w:keepLine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000000" w:themeColor="text1"/>
                <w:sz w:val="16"/>
                <w:szCs w:val="18"/>
              </w:rPr>
            </w:pPr>
            <w:r w:rsidRPr="001436DC">
              <w:rPr>
                <w:rFonts w:ascii="Century Gothic" w:hAnsi="Century Gothic" w:cs="Times New Roman"/>
                <w:color w:val="000000" w:themeColor="text1"/>
                <w:sz w:val="16"/>
                <w:szCs w:val="18"/>
              </w:rPr>
              <w:t>0.6% of installed costs per year</w:t>
            </w:r>
          </w:p>
        </w:tc>
      </w:tr>
    </w:tbl>
    <w:p w14:paraId="33EA289C" w14:textId="77777777" w:rsidR="00A527AF" w:rsidRPr="00BF64E4" w:rsidRDefault="00A527AF" w:rsidP="00A527AF">
      <w:pPr>
        <w:rPr>
          <w:rFonts w:cs="Times New Roman"/>
        </w:rPr>
      </w:pPr>
    </w:p>
    <w:p w14:paraId="3924BDB7" w14:textId="5A567312" w:rsidR="00A527AF" w:rsidRPr="00BF64E4" w:rsidRDefault="00A527AF" w:rsidP="00A527AF">
      <w:pPr>
        <w:rPr>
          <w:rFonts w:cs="Times New Roman"/>
        </w:rPr>
      </w:pPr>
      <w:r w:rsidRPr="00BF64E4">
        <w:rPr>
          <w:rFonts w:cs="Times New Roman"/>
        </w:rPr>
        <w:t>In addition, Variable O&amp;M (</w:t>
      </w:r>
      <w:r>
        <w:rPr>
          <w:rFonts w:cs="Times New Roman"/>
        </w:rPr>
        <w:t>“</w:t>
      </w:r>
      <w:r w:rsidRPr="00BF64E4">
        <w:rPr>
          <w:rFonts w:cs="Times New Roman"/>
        </w:rPr>
        <w:t>VOM</w:t>
      </w:r>
      <w:r>
        <w:rPr>
          <w:rFonts w:cs="Times New Roman"/>
        </w:rPr>
        <w:t>”</w:t>
      </w:r>
      <w:r w:rsidRPr="00BF64E4">
        <w:rPr>
          <w:rFonts w:cs="Times New Roman"/>
        </w:rPr>
        <w:t xml:space="preserve">) is assumed to be $4.50/MWh based on </w:t>
      </w:r>
      <w:r>
        <w:rPr>
          <w:rFonts w:cs="Times New Roman"/>
        </w:rPr>
        <w:t xml:space="preserve">consultation with </w:t>
      </w:r>
      <w:r w:rsidR="003A0E05">
        <w:rPr>
          <w:rFonts w:cs="Times New Roman"/>
        </w:rPr>
        <w:t>MM</w:t>
      </w:r>
      <w:r>
        <w:rPr>
          <w:rFonts w:cs="Times New Roman"/>
        </w:rPr>
        <w:t xml:space="preserve">.  </w:t>
      </w:r>
    </w:p>
    <w:p w14:paraId="518EF58A" w14:textId="77777777" w:rsidR="00A527AF" w:rsidRPr="000E5185" w:rsidRDefault="00A527AF" w:rsidP="00A12D4D">
      <w:pPr>
        <w:pStyle w:val="Heading3"/>
        <w:numPr>
          <w:ilvl w:val="0"/>
          <w:numId w:val="23"/>
        </w:numPr>
      </w:pPr>
      <w:r w:rsidRPr="000E5185">
        <w:t>LM6000</w:t>
      </w:r>
      <w:r>
        <w:t>PF+</w:t>
      </w:r>
      <w:r w:rsidRPr="000E5185">
        <w:t xml:space="preserve"> </w:t>
      </w:r>
      <w:proofErr w:type="spellStart"/>
      <w:r w:rsidRPr="000E5185">
        <w:t>Aeroderivative</w:t>
      </w:r>
      <w:proofErr w:type="spellEnd"/>
      <w:r w:rsidRPr="000E5185">
        <w:t xml:space="preserve"> Gas Turbine</w:t>
      </w:r>
    </w:p>
    <w:p w14:paraId="746E83B9" w14:textId="1A2EC478" w:rsidR="00A527AF" w:rsidRPr="00BF64E4" w:rsidRDefault="00A527AF" w:rsidP="00A527AF">
      <w:pPr>
        <w:rPr>
          <w:rFonts w:cs="Times New Roman"/>
        </w:rPr>
      </w:pPr>
      <w:r w:rsidRPr="00BF64E4">
        <w:rPr>
          <w:rFonts w:cs="Times New Roman"/>
        </w:rPr>
        <w:t>The LM6000</w:t>
      </w:r>
      <w:r>
        <w:rPr>
          <w:rFonts w:cs="Times New Roman"/>
        </w:rPr>
        <w:t>PF+</w:t>
      </w:r>
      <w:r w:rsidRPr="00BF64E4">
        <w:rPr>
          <w:rFonts w:cs="Times New Roman"/>
        </w:rPr>
        <w:t xml:space="preserve"> is one of the most widely installed plants in New England and is in widespread commercial use around the world.  The </w:t>
      </w:r>
      <w:proofErr w:type="gramStart"/>
      <w:r w:rsidRPr="00BF64E4">
        <w:rPr>
          <w:rFonts w:cs="Times New Roman"/>
        </w:rPr>
        <w:t>unit</w:t>
      </w:r>
      <w:proofErr w:type="gramEnd"/>
      <w:r w:rsidRPr="00BF64E4">
        <w:rPr>
          <w:rFonts w:cs="Times New Roman"/>
        </w:rPr>
        <w:t>, which is based on GE jet engine technology, is highly modular and can be engineered, procured, constructed, and enter operation more quickly than any alternative technology operating above 20</w:t>
      </w:r>
      <w:r w:rsidR="00F02AC3">
        <w:rPr>
          <w:rFonts w:cs="Times New Roman"/>
        </w:rPr>
        <w:t xml:space="preserve"> </w:t>
      </w:r>
      <w:r w:rsidRPr="00BF64E4">
        <w:rPr>
          <w:rFonts w:cs="Times New Roman"/>
        </w:rPr>
        <w:t xml:space="preserve">MW.  While the LM6000 can be utilized in a combined cycle configuration, the simple cycle configuration is more common and was thus selected for review and analysis. </w:t>
      </w:r>
    </w:p>
    <w:p w14:paraId="4EC0532E" w14:textId="77777777" w:rsidR="00A527AF" w:rsidRDefault="00A527AF" w:rsidP="00A527AF">
      <w:pPr>
        <w:rPr>
          <w:rFonts w:cs="Times New Roman"/>
        </w:rPr>
      </w:pPr>
      <w:r w:rsidRPr="00BF64E4">
        <w:rPr>
          <w:rFonts w:cs="Times New Roman"/>
        </w:rPr>
        <w:t>The capacity of the LM6000</w:t>
      </w:r>
      <w:r>
        <w:rPr>
          <w:rFonts w:cs="Times New Roman"/>
        </w:rPr>
        <w:t xml:space="preserve">PF+ was assumed to be </w:t>
      </w:r>
      <w:r w:rsidRPr="00BF64E4">
        <w:rPr>
          <w:rFonts w:cs="Times New Roman"/>
        </w:rPr>
        <w:t>94 MW.  Ba</w:t>
      </w:r>
      <w:r>
        <w:rPr>
          <w:rFonts w:cs="Times New Roman"/>
        </w:rPr>
        <w:t>sed on current market trends,</w:t>
      </w:r>
      <w:r w:rsidRPr="00BF64E4">
        <w:rPr>
          <w:rFonts w:cs="Times New Roman"/>
        </w:rPr>
        <w:t xml:space="preserve"> </w:t>
      </w:r>
      <w:r>
        <w:rPr>
          <w:rFonts w:cs="Times New Roman"/>
        </w:rPr>
        <w:t>we assumed this unit would be e</w:t>
      </w:r>
      <w:r w:rsidRPr="00BF64E4">
        <w:rPr>
          <w:rFonts w:cs="Times New Roman"/>
        </w:rPr>
        <w:t xml:space="preserve">quipped with evaporative coolers for power augmentation as well as a fin fan cooling system.  </w:t>
      </w:r>
      <w:r>
        <w:rPr>
          <w:rFonts w:cs="Times New Roman"/>
        </w:rPr>
        <w:t xml:space="preserve">In addition, we assumed that the </w:t>
      </w:r>
      <w:r w:rsidRPr="00BF64E4">
        <w:rPr>
          <w:rFonts w:cs="Times New Roman"/>
        </w:rPr>
        <w:t xml:space="preserve">plant </w:t>
      </w:r>
      <w:r>
        <w:rPr>
          <w:rFonts w:cs="Times New Roman"/>
        </w:rPr>
        <w:t xml:space="preserve">would </w:t>
      </w:r>
      <w:r w:rsidRPr="00BF64E4">
        <w:rPr>
          <w:rFonts w:cs="Times New Roman"/>
        </w:rPr>
        <w:t xml:space="preserve">utilize SCR to control emissions.  The heat rate of the facility </w:t>
      </w:r>
      <w:r>
        <w:rPr>
          <w:rFonts w:cs="Times New Roman"/>
        </w:rPr>
        <w:t>was assumed to be</w:t>
      </w:r>
      <w:r w:rsidRPr="00BF64E4">
        <w:rPr>
          <w:rFonts w:cs="Times New Roman"/>
        </w:rPr>
        <w:t xml:space="preserve"> 9,774 Btu/kWh.  Based on a typical configuration, the facility </w:t>
      </w:r>
      <w:r>
        <w:rPr>
          <w:rFonts w:cs="Times New Roman"/>
        </w:rPr>
        <w:t>was</w:t>
      </w:r>
      <w:r w:rsidRPr="00BF64E4">
        <w:rPr>
          <w:rFonts w:cs="Times New Roman"/>
        </w:rPr>
        <w:t xml:space="preserve"> assumed to be installed on a plot of 4.5 acres. </w:t>
      </w:r>
    </w:p>
    <w:p w14:paraId="21B58246" w14:textId="3F989037" w:rsidR="00A527AF" w:rsidRDefault="00A527AF" w:rsidP="00A527AF">
      <w:pPr>
        <w:rPr>
          <w:rFonts w:cs="Times New Roman"/>
        </w:rPr>
      </w:pPr>
      <w:r>
        <w:rPr>
          <w:rFonts w:cs="Times New Roman"/>
        </w:rPr>
        <w:t>A summary of the technical specifications is shown in</w:t>
      </w:r>
      <w:r w:rsidR="003F3584">
        <w:rPr>
          <w:rFonts w:cs="Times New Roman"/>
        </w:rPr>
        <w:t xml:space="preserve"> Table 13</w:t>
      </w:r>
      <w:r>
        <w:rPr>
          <w:rFonts w:cs="Times New Roman"/>
        </w:rPr>
        <w:t xml:space="preserve"> below.</w:t>
      </w:r>
    </w:p>
    <w:p w14:paraId="1903F014" w14:textId="7EA7ECFD" w:rsidR="00097323" w:rsidRPr="000B16D6" w:rsidRDefault="00097323" w:rsidP="00D2628D">
      <w:pPr>
        <w:pStyle w:val="Caption"/>
      </w:pPr>
      <w:bookmarkStart w:id="37" w:name="_Toc465433438"/>
      <w:r>
        <w:lastRenderedPageBreak/>
        <w:t xml:space="preserve">Table </w:t>
      </w:r>
      <w:r w:rsidR="00FA6573">
        <w:fldChar w:fldCharType="begin"/>
      </w:r>
      <w:r w:rsidR="00FA6573">
        <w:instrText xml:space="preserve"> SEQ Table \* ARABIC </w:instrText>
      </w:r>
      <w:r w:rsidR="00FA6573">
        <w:fldChar w:fldCharType="separate"/>
      </w:r>
      <w:r w:rsidR="000637A3">
        <w:rPr>
          <w:noProof/>
        </w:rPr>
        <w:t>13</w:t>
      </w:r>
      <w:r w:rsidR="00FA6573">
        <w:rPr>
          <w:noProof/>
        </w:rPr>
        <w:fldChar w:fldCharType="end"/>
      </w:r>
      <w:r>
        <w:t>: LM6000PF+</w:t>
      </w:r>
      <w:r w:rsidRPr="000B16D6">
        <w:t xml:space="preserve"> </w:t>
      </w:r>
      <w:r>
        <w:t>Technical Specifications</w:t>
      </w:r>
      <w:bookmarkEnd w:id="37"/>
      <w:r>
        <w:t xml:space="preserve"> </w:t>
      </w:r>
    </w:p>
    <w:tbl>
      <w:tblPr>
        <w:tblStyle w:val="GridTable4-Accent37"/>
        <w:tblW w:w="0" w:type="auto"/>
        <w:jc w:val="center"/>
        <w:tblCellMar>
          <w:left w:w="115" w:type="dxa"/>
          <w:right w:w="115" w:type="dxa"/>
        </w:tblCellMar>
        <w:tblLook w:val="0420" w:firstRow="1" w:lastRow="0" w:firstColumn="0" w:lastColumn="0" w:noHBand="0" w:noVBand="1"/>
      </w:tblPr>
      <w:tblGrid>
        <w:gridCol w:w="2240"/>
        <w:gridCol w:w="2680"/>
      </w:tblGrid>
      <w:tr w:rsidR="00097323" w:rsidRPr="004461BE" w14:paraId="3F44F0EF" w14:textId="77777777" w:rsidTr="00E35B94">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hideMark/>
          </w:tcPr>
          <w:p w14:paraId="7AAADB9E" w14:textId="77777777" w:rsidR="00097323" w:rsidRPr="00BF404F" w:rsidRDefault="00097323">
            <w:pPr>
              <w:keepNext/>
              <w:keepLines/>
              <w:spacing w:line="240" w:lineRule="auto"/>
              <w:rPr>
                <w:rFonts w:ascii="Century Gothic" w:eastAsia="Calibri" w:hAnsi="Century Gothic" w:cs="Calibri"/>
                <w:smallCaps w:val="0"/>
                <w:color w:val="000000" w:themeColor="text1"/>
                <w:sz w:val="18"/>
              </w:rPr>
            </w:pPr>
            <w:r w:rsidRPr="00BF404F">
              <w:rPr>
                <w:rFonts w:ascii="Century Gothic" w:eastAsia="Calibri" w:hAnsi="Century Gothic" w:cs="Calibri"/>
                <w:smallCaps w:val="0"/>
                <w:color w:val="000000" w:themeColor="text1"/>
                <w:sz w:val="18"/>
              </w:rPr>
              <w:t>Turbine Model</w:t>
            </w:r>
          </w:p>
        </w:tc>
        <w:tc>
          <w:tcPr>
            <w:tcW w:w="0" w:type="auto"/>
            <w:hideMark/>
          </w:tcPr>
          <w:p w14:paraId="07B82A8C" w14:textId="39B344BB" w:rsidR="00097323" w:rsidRPr="00BF404F" w:rsidRDefault="00097323">
            <w:pPr>
              <w:keepNext/>
              <w:keepLines/>
              <w:spacing w:line="240" w:lineRule="auto"/>
              <w:jc w:val="center"/>
              <w:rPr>
                <w:rFonts w:ascii="Century Gothic" w:eastAsia="Calibri" w:hAnsi="Century Gothic" w:cs="Calibri"/>
                <w:smallCaps w:val="0"/>
                <w:color w:val="000000" w:themeColor="text1"/>
                <w:sz w:val="18"/>
              </w:rPr>
            </w:pPr>
            <w:r w:rsidRPr="00BF404F">
              <w:rPr>
                <w:rFonts w:ascii="Century Gothic" w:eastAsia="Calibri" w:hAnsi="Century Gothic" w:cs="Calibri"/>
                <w:smallCaps w:val="0"/>
                <w:color w:val="000000" w:themeColor="text1"/>
                <w:sz w:val="18"/>
              </w:rPr>
              <w:t>LM6000PF+</w:t>
            </w:r>
          </w:p>
        </w:tc>
      </w:tr>
      <w:tr w:rsidR="00097323" w:rsidRPr="004461BE" w14:paraId="278D9EE7" w14:textId="77777777" w:rsidTr="001436DC">
        <w:trPr>
          <w:cnfStyle w:val="000000100000" w:firstRow="0" w:lastRow="0" w:firstColumn="0" w:lastColumn="0" w:oddVBand="0" w:evenVBand="0" w:oddHBand="1" w:evenHBand="0" w:firstRowFirstColumn="0" w:firstRowLastColumn="0" w:lastRowFirstColumn="0" w:lastRowLastColumn="0"/>
          <w:trHeight w:val="368"/>
          <w:jc w:val="center"/>
        </w:trPr>
        <w:tc>
          <w:tcPr>
            <w:tcW w:w="0" w:type="auto"/>
            <w:vAlign w:val="center"/>
            <w:hideMark/>
          </w:tcPr>
          <w:p w14:paraId="52DBE3E1"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Configuration</w:t>
            </w:r>
          </w:p>
        </w:tc>
        <w:tc>
          <w:tcPr>
            <w:tcW w:w="0" w:type="auto"/>
            <w:vAlign w:val="center"/>
            <w:hideMark/>
          </w:tcPr>
          <w:p w14:paraId="58C20D85" w14:textId="4041E81F"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 xml:space="preserve">Two SC </w:t>
            </w:r>
            <w:proofErr w:type="spellStart"/>
            <w:r w:rsidRPr="001436DC">
              <w:rPr>
                <w:rFonts w:ascii="Century Gothic" w:eastAsia="Calibri" w:hAnsi="Century Gothic" w:cs="Calibri"/>
                <w:sz w:val="16"/>
              </w:rPr>
              <w:t>Aeroderivative</w:t>
            </w:r>
            <w:proofErr w:type="spellEnd"/>
            <w:r w:rsidRPr="001436DC">
              <w:rPr>
                <w:rFonts w:ascii="Century Gothic" w:eastAsia="Calibri" w:hAnsi="Century Gothic" w:cs="Calibri"/>
                <w:sz w:val="16"/>
              </w:rPr>
              <w:t xml:space="preserve"> GTs</w:t>
            </w:r>
          </w:p>
        </w:tc>
      </w:tr>
      <w:tr w:rsidR="00097323" w:rsidRPr="004461BE" w14:paraId="1A286208" w14:textId="77777777" w:rsidTr="001436DC">
        <w:trPr>
          <w:trHeight w:val="332"/>
          <w:jc w:val="center"/>
        </w:trPr>
        <w:tc>
          <w:tcPr>
            <w:tcW w:w="0" w:type="auto"/>
            <w:vAlign w:val="center"/>
            <w:hideMark/>
          </w:tcPr>
          <w:p w14:paraId="7F15D9DB"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Net plant capacity (MW)</w:t>
            </w:r>
          </w:p>
        </w:tc>
        <w:tc>
          <w:tcPr>
            <w:tcW w:w="0" w:type="auto"/>
            <w:vAlign w:val="center"/>
            <w:hideMark/>
          </w:tcPr>
          <w:p w14:paraId="0453B3E1" w14:textId="3F05D9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94</w:t>
            </w:r>
          </w:p>
        </w:tc>
      </w:tr>
      <w:tr w:rsidR="00097323" w:rsidRPr="004461BE" w14:paraId="6123C2E0" w14:textId="77777777" w:rsidTr="001436DC">
        <w:trPr>
          <w:cnfStyle w:val="000000100000" w:firstRow="0" w:lastRow="0" w:firstColumn="0" w:lastColumn="0" w:oddVBand="0" w:evenVBand="0" w:oddHBand="1" w:evenHBand="0" w:firstRowFirstColumn="0" w:firstRowLastColumn="0" w:lastRowFirstColumn="0" w:lastRowLastColumn="0"/>
          <w:trHeight w:val="350"/>
          <w:jc w:val="center"/>
        </w:trPr>
        <w:tc>
          <w:tcPr>
            <w:tcW w:w="0" w:type="auto"/>
            <w:vAlign w:val="center"/>
            <w:hideMark/>
          </w:tcPr>
          <w:p w14:paraId="1A459597"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Location</w:t>
            </w:r>
          </w:p>
        </w:tc>
        <w:tc>
          <w:tcPr>
            <w:tcW w:w="0" w:type="auto"/>
            <w:vAlign w:val="center"/>
            <w:hideMark/>
          </w:tcPr>
          <w:p w14:paraId="7A887CAC"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Bristol County, Massachusetts</w:t>
            </w:r>
          </w:p>
        </w:tc>
      </w:tr>
      <w:tr w:rsidR="00097323" w:rsidRPr="004461BE" w14:paraId="67A3BE40" w14:textId="77777777" w:rsidTr="001436DC">
        <w:trPr>
          <w:trHeight w:val="260"/>
          <w:jc w:val="center"/>
        </w:trPr>
        <w:tc>
          <w:tcPr>
            <w:tcW w:w="0" w:type="auto"/>
            <w:vAlign w:val="center"/>
            <w:hideMark/>
          </w:tcPr>
          <w:p w14:paraId="33F7F6E6"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Cooling system</w:t>
            </w:r>
          </w:p>
        </w:tc>
        <w:tc>
          <w:tcPr>
            <w:tcW w:w="0" w:type="auto"/>
            <w:vAlign w:val="center"/>
            <w:hideMark/>
          </w:tcPr>
          <w:p w14:paraId="4AC7A222"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Fin fan coolers</w:t>
            </w:r>
          </w:p>
        </w:tc>
      </w:tr>
      <w:tr w:rsidR="00097323" w:rsidRPr="004461BE" w14:paraId="06D73AD9" w14:textId="77777777" w:rsidTr="001436DC">
        <w:trPr>
          <w:cnfStyle w:val="000000100000" w:firstRow="0" w:lastRow="0" w:firstColumn="0" w:lastColumn="0" w:oddVBand="0" w:evenVBand="0" w:oddHBand="1" w:evenHBand="0" w:firstRowFirstColumn="0" w:firstRowLastColumn="0" w:lastRowFirstColumn="0" w:lastRowLastColumn="0"/>
          <w:trHeight w:val="278"/>
          <w:jc w:val="center"/>
        </w:trPr>
        <w:tc>
          <w:tcPr>
            <w:tcW w:w="0" w:type="auto"/>
            <w:vAlign w:val="center"/>
            <w:hideMark/>
          </w:tcPr>
          <w:p w14:paraId="0FC69D88"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Power augmentation</w:t>
            </w:r>
          </w:p>
        </w:tc>
        <w:tc>
          <w:tcPr>
            <w:tcW w:w="0" w:type="auto"/>
            <w:vAlign w:val="center"/>
            <w:hideMark/>
          </w:tcPr>
          <w:p w14:paraId="51961CAF"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Evaporative coolers</w:t>
            </w:r>
          </w:p>
        </w:tc>
      </w:tr>
      <w:tr w:rsidR="00097323" w:rsidRPr="004461BE" w14:paraId="151B2C4E" w14:textId="77777777" w:rsidTr="001436DC">
        <w:trPr>
          <w:trHeight w:val="368"/>
          <w:jc w:val="center"/>
        </w:trPr>
        <w:tc>
          <w:tcPr>
            <w:tcW w:w="0" w:type="auto"/>
            <w:vAlign w:val="center"/>
            <w:hideMark/>
          </w:tcPr>
          <w:p w14:paraId="09F93F12"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Net heat rate (Btu/kWh)</w:t>
            </w:r>
          </w:p>
        </w:tc>
        <w:tc>
          <w:tcPr>
            <w:tcW w:w="0" w:type="auto"/>
            <w:vAlign w:val="center"/>
            <w:hideMark/>
          </w:tcPr>
          <w:p w14:paraId="39F55DC5" w14:textId="02EA30D5"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9,774</w:t>
            </w:r>
          </w:p>
        </w:tc>
      </w:tr>
      <w:tr w:rsidR="00097323" w:rsidRPr="004461BE" w14:paraId="507E902D" w14:textId="77777777" w:rsidTr="001436DC">
        <w:trPr>
          <w:cnfStyle w:val="000000100000" w:firstRow="0" w:lastRow="0" w:firstColumn="0" w:lastColumn="0" w:oddVBand="0" w:evenVBand="0" w:oddHBand="1" w:evenHBand="0" w:firstRowFirstColumn="0" w:firstRowLastColumn="0" w:lastRowFirstColumn="0" w:lastRowLastColumn="0"/>
          <w:trHeight w:val="350"/>
          <w:jc w:val="center"/>
        </w:trPr>
        <w:tc>
          <w:tcPr>
            <w:tcW w:w="0" w:type="auto"/>
            <w:vAlign w:val="center"/>
            <w:hideMark/>
          </w:tcPr>
          <w:p w14:paraId="4E7F68BA"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Environmental controls</w:t>
            </w:r>
          </w:p>
        </w:tc>
        <w:tc>
          <w:tcPr>
            <w:tcW w:w="0" w:type="auto"/>
            <w:vAlign w:val="center"/>
            <w:hideMark/>
          </w:tcPr>
          <w:p w14:paraId="08E190D9"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Selective catalytic reduction</w:t>
            </w:r>
          </w:p>
        </w:tc>
      </w:tr>
      <w:tr w:rsidR="00097323" w:rsidRPr="004461BE" w14:paraId="2A8D826F" w14:textId="77777777" w:rsidTr="001436DC">
        <w:trPr>
          <w:trHeight w:val="260"/>
          <w:jc w:val="center"/>
        </w:trPr>
        <w:tc>
          <w:tcPr>
            <w:tcW w:w="0" w:type="auto"/>
            <w:vAlign w:val="center"/>
            <w:hideMark/>
          </w:tcPr>
          <w:p w14:paraId="226DE2CB"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Duel-fuel capability</w:t>
            </w:r>
          </w:p>
        </w:tc>
        <w:tc>
          <w:tcPr>
            <w:tcW w:w="0" w:type="auto"/>
            <w:vAlign w:val="center"/>
            <w:hideMark/>
          </w:tcPr>
          <w:p w14:paraId="6CA2546B"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Natural gas w/ No. 2 oil backup</w:t>
            </w:r>
          </w:p>
        </w:tc>
      </w:tr>
      <w:tr w:rsidR="00097323" w:rsidRPr="004461BE" w14:paraId="05C2C213" w14:textId="77777777" w:rsidTr="001436DC">
        <w:trPr>
          <w:cnfStyle w:val="000000100000" w:firstRow="0" w:lastRow="0" w:firstColumn="0" w:lastColumn="0" w:oddVBand="0" w:evenVBand="0" w:oddHBand="1" w:evenHBand="0" w:firstRowFirstColumn="0" w:firstRowLastColumn="0" w:lastRowFirstColumn="0" w:lastRowLastColumn="0"/>
          <w:trHeight w:val="278"/>
          <w:jc w:val="center"/>
        </w:trPr>
        <w:tc>
          <w:tcPr>
            <w:tcW w:w="0" w:type="auto"/>
            <w:vAlign w:val="center"/>
            <w:hideMark/>
          </w:tcPr>
          <w:p w14:paraId="11D1B604"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Black start?</w:t>
            </w:r>
          </w:p>
        </w:tc>
        <w:tc>
          <w:tcPr>
            <w:tcW w:w="0" w:type="auto"/>
            <w:vAlign w:val="center"/>
            <w:hideMark/>
          </w:tcPr>
          <w:p w14:paraId="35407B30"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No</w:t>
            </w:r>
          </w:p>
        </w:tc>
      </w:tr>
      <w:tr w:rsidR="00097323" w:rsidRPr="004461BE" w14:paraId="4807EC13" w14:textId="77777777" w:rsidTr="001436DC">
        <w:trPr>
          <w:trHeight w:val="278"/>
          <w:jc w:val="center"/>
        </w:trPr>
        <w:tc>
          <w:tcPr>
            <w:tcW w:w="0" w:type="auto"/>
            <w:vAlign w:val="center"/>
            <w:hideMark/>
          </w:tcPr>
          <w:p w14:paraId="1B9BFA04"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On-site gas compression?</w:t>
            </w:r>
          </w:p>
        </w:tc>
        <w:tc>
          <w:tcPr>
            <w:tcW w:w="0" w:type="auto"/>
            <w:vAlign w:val="center"/>
            <w:hideMark/>
          </w:tcPr>
          <w:p w14:paraId="49D33E40"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No</w:t>
            </w:r>
          </w:p>
        </w:tc>
      </w:tr>
      <w:tr w:rsidR="00097323" w:rsidRPr="004461BE" w14:paraId="4E81F964" w14:textId="77777777" w:rsidTr="001436DC">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vAlign w:val="center"/>
            <w:hideMark/>
          </w:tcPr>
          <w:p w14:paraId="72F87209"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Gas interconnection</w:t>
            </w:r>
          </w:p>
        </w:tc>
        <w:tc>
          <w:tcPr>
            <w:tcW w:w="0" w:type="auto"/>
            <w:vAlign w:val="center"/>
            <w:hideMark/>
          </w:tcPr>
          <w:p w14:paraId="403BBB01"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Onsite connection</w:t>
            </w:r>
          </w:p>
        </w:tc>
      </w:tr>
      <w:tr w:rsidR="00097323" w:rsidRPr="004461BE" w14:paraId="39FE2345" w14:textId="77777777" w:rsidTr="001436DC">
        <w:trPr>
          <w:trHeight w:val="287"/>
          <w:jc w:val="center"/>
        </w:trPr>
        <w:tc>
          <w:tcPr>
            <w:tcW w:w="0" w:type="auto"/>
            <w:vAlign w:val="center"/>
            <w:hideMark/>
          </w:tcPr>
          <w:p w14:paraId="6B495DF9"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Electrical interconnection</w:t>
            </w:r>
          </w:p>
        </w:tc>
        <w:tc>
          <w:tcPr>
            <w:tcW w:w="0" w:type="auto"/>
            <w:vAlign w:val="center"/>
            <w:hideMark/>
          </w:tcPr>
          <w:p w14:paraId="78A701D4" w14:textId="77777777"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Onsite connection</w:t>
            </w:r>
          </w:p>
        </w:tc>
      </w:tr>
      <w:tr w:rsidR="00097323" w:rsidRPr="004461BE" w14:paraId="737A736C" w14:textId="77777777" w:rsidTr="001436DC">
        <w:trPr>
          <w:cnfStyle w:val="000000100000" w:firstRow="0" w:lastRow="0" w:firstColumn="0" w:lastColumn="0" w:oddVBand="0" w:evenVBand="0" w:oddHBand="1" w:evenHBand="0" w:firstRowFirstColumn="0" w:firstRowLastColumn="0" w:lastRowFirstColumn="0" w:lastRowLastColumn="0"/>
          <w:trHeight w:val="215"/>
          <w:jc w:val="center"/>
        </w:trPr>
        <w:tc>
          <w:tcPr>
            <w:tcW w:w="0" w:type="auto"/>
            <w:vAlign w:val="center"/>
            <w:hideMark/>
          </w:tcPr>
          <w:p w14:paraId="659BCE47" w14:textId="77777777" w:rsidR="00097323" w:rsidRPr="001436DC" w:rsidRDefault="00097323">
            <w:pPr>
              <w:keepNext/>
              <w:keepLines/>
              <w:spacing w:line="240" w:lineRule="auto"/>
              <w:jc w:val="left"/>
              <w:rPr>
                <w:rFonts w:ascii="Century Gothic" w:eastAsia="Calibri" w:hAnsi="Century Gothic" w:cs="Calibri"/>
                <w:b/>
                <w:sz w:val="16"/>
              </w:rPr>
            </w:pPr>
            <w:r w:rsidRPr="001436DC">
              <w:rPr>
                <w:rFonts w:ascii="Century Gothic" w:eastAsia="Calibri" w:hAnsi="Century Gothic" w:cs="Calibri"/>
                <w:b/>
                <w:sz w:val="16"/>
              </w:rPr>
              <w:t>Plot size (acres)</w:t>
            </w:r>
          </w:p>
        </w:tc>
        <w:tc>
          <w:tcPr>
            <w:tcW w:w="0" w:type="auto"/>
            <w:vAlign w:val="center"/>
            <w:hideMark/>
          </w:tcPr>
          <w:p w14:paraId="25456D2F" w14:textId="456CAD3E" w:rsidR="00097323" w:rsidRPr="001436DC" w:rsidRDefault="00097323">
            <w:pPr>
              <w:keepNext/>
              <w:keepLines/>
              <w:spacing w:line="240" w:lineRule="auto"/>
              <w:jc w:val="center"/>
              <w:rPr>
                <w:rFonts w:ascii="Century Gothic" w:eastAsia="Calibri" w:hAnsi="Century Gothic" w:cs="Calibri"/>
                <w:sz w:val="16"/>
              </w:rPr>
            </w:pPr>
            <w:r w:rsidRPr="001436DC">
              <w:rPr>
                <w:rFonts w:ascii="Century Gothic" w:eastAsia="Calibri" w:hAnsi="Century Gothic" w:cs="Calibri"/>
                <w:sz w:val="16"/>
              </w:rPr>
              <w:t>4.5</w:t>
            </w:r>
          </w:p>
        </w:tc>
      </w:tr>
    </w:tbl>
    <w:p w14:paraId="5A8F5412" w14:textId="0B3406FD" w:rsidR="00A527AF" w:rsidRDefault="00A527AF" w:rsidP="00A527AF">
      <w:pPr>
        <w:jc w:val="center"/>
        <w:rPr>
          <w:rFonts w:cs="Times New Roman"/>
        </w:rPr>
      </w:pPr>
    </w:p>
    <w:p w14:paraId="47992DC0" w14:textId="77777777" w:rsidR="00A527AF" w:rsidRPr="00B36972" w:rsidRDefault="00A527AF" w:rsidP="005B1868">
      <w:pPr>
        <w:pStyle w:val="Heading4"/>
      </w:pPr>
      <w:r w:rsidRPr="00B36972">
        <w:t>Capital Costs</w:t>
      </w:r>
    </w:p>
    <w:p w14:paraId="5A7CF837" w14:textId="53572768" w:rsidR="00A527AF" w:rsidRPr="00B36972" w:rsidRDefault="00A527AF" w:rsidP="00A527AF">
      <w:pPr>
        <w:rPr>
          <w:rFonts w:cs="Times New Roman"/>
        </w:rPr>
      </w:pPr>
      <w:r w:rsidRPr="00B36972">
        <w:rPr>
          <w:rFonts w:cs="Times New Roman"/>
        </w:rPr>
        <w:t>The capital costs for the</w:t>
      </w:r>
      <w:r>
        <w:rPr>
          <w:rFonts w:cs="Times New Roman"/>
        </w:rPr>
        <w:t xml:space="preserve"> LM6000PF+ </w:t>
      </w:r>
      <w:r w:rsidRPr="00B36972">
        <w:rPr>
          <w:rFonts w:cs="Times New Roman"/>
        </w:rPr>
        <w:t xml:space="preserve">were developed by </w:t>
      </w:r>
      <w:r w:rsidR="003A0E05">
        <w:rPr>
          <w:rFonts w:cs="Times New Roman"/>
        </w:rPr>
        <w:t>MM</w:t>
      </w:r>
      <w:r w:rsidRPr="00B36972">
        <w:rPr>
          <w:rFonts w:cs="Times New Roman"/>
        </w:rPr>
        <w:t xml:space="preserve"> through discussions with the manufacturer and reliance on their proprietary database.  These capital cost estimates are shown in Table </w:t>
      </w:r>
      <w:r w:rsidR="004461BE">
        <w:rPr>
          <w:rFonts w:cs="Times New Roman"/>
        </w:rPr>
        <w:t>14</w:t>
      </w:r>
      <w:r w:rsidR="004461BE" w:rsidRPr="00B36972">
        <w:rPr>
          <w:rFonts w:cs="Times New Roman"/>
        </w:rPr>
        <w:t xml:space="preserve"> </w:t>
      </w:r>
      <w:r w:rsidRPr="00B36972">
        <w:rPr>
          <w:rFonts w:cs="Times New Roman"/>
        </w:rPr>
        <w:t>below.</w:t>
      </w:r>
    </w:p>
    <w:p w14:paraId="074B2B2D" w14:textId="28B4CF28" w:rsidR="00A527AF" w:rsidRDefault="00A527AF" w:rsidP="00D2628D">
      <w:pPr>
        <w:pStyle w:val="Caption"/>
      </w:pPr>
      <w:bookmarkStart w:id="38" w:name="_Toc465433439"/>
      <w:r>
        <w:lastRenderedPageBreak/>
        <w:t xml:space="preserve">Table </w:t>
      </w:r>
      <w:r w:rsidR="00FA6573">
        <w:fldChar w:fldCharType="begin"/>
      </w:r>
      <w:r w:rsidR="00FA6573">
        <w:instrText xml:space="preserve"> SEQ Table \* ARABIC </w:instrText>
      </w:r>
      <w:r w:rsidR="00FA6573">
        <w:fldChar w:fldCharType="separate"/>
      </w:r>
      <w:r w:rsidR="000637A3">
        <w:rPr>
          <w:noProof/>
        </w:rPr>
        <w:t>14</w:t>
      </w:r>
      <w:r w:rsidR="00FA6573">
        <w:rPr>
          <w:noProof/>
        </w:rPr>
        <w:fldChar w:fldCharType="end"/>
      </w:r>
      <w:r>
        <w:t xml:space="preserve">: </w:t>
      </w:r>
      <w:r w:rsidRPr="000B16D6">
        <w:t>LM6000PF+ Capital Cost</w:t>
      </w:r>
      <w:r w:rsidR="005E0407">
        <w:t>s</w:t>
      </w:r>
      <w:bookmarkEnd w:id="38"/>
    </w:p>
    <w:p w14:paraId="30A5C4A9" w14:textId="3E1D7567" w:rsidR="005E0407" w:rsidRDefault="005E0407" w:rsidP="005E0407">
      <w:pPr>
        <w:jc w:val="center"/>
      </w:pPr>
      <w:r w:rsidRPr="005E0407">
        <w:rPr>
          <w:noProof/>
        </w:rPr>
        <w:drawing>
          <wp:inline distT="0" distB="0" distL="0" distR="0" wp14:anchorId="438EE009" wp14:editId="41F3E52F">
            <wp:extent cx="5467350" cy="4486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0" cy="4486275"/>
                    </a:xfrm>
                    <a:prstGeom prst="rect">
                      <a:avLst/>
                    </a:prstGeom>
                    <a:noFill/>
                    <a:ln>
                      <a:noFill/>
                    </a:ln>
                  </pic:spPr>
                </pic:pic>
              </a:graphicData>
            </a:graphic>
          </wp:inline>
        </w:drawing>
      </w:r>
    </w:p>
    <w:p w14:paraId="2E1A7383" w14:textId="77777777" w:rsidR="005E0407" w:rsidRPr="005E0407" w:rsidRDefault="005E0407" w:rsidP="005E0407"/>
    <w:p w14:paraId="103C7FF0" w14:textId="77777777" w:rsidR="00A527AF" w:rsidRPr="00B36972" w:rsidRDefault="00A527AF" w:rsidP="005B1868">
      <w:pPr>
        <w:pStyle w:val="Heading4"/>
      </w:pPr>
      <w:r w:rsidRPr="00B36972">
        <w:t>Operating and Maintenance Costs</w:t>
      </w:r>
    </w:p>
    <w:p w14:paraId="10AB0E77" w14:textId="2D237ACB" w:rsidR="00A527AF" w:rsidRDefault="00A527AF" w:rsidP="00A527AF">
      <w:pPr>
        <w:rPr>
          <w:rFonts w:cs="Times New Roman"/>
        </w:rPr>
      </w:pPr>
      <w:r w:rsidRPr="00BF64E4">
        <w:rPr>
          <w:rFonts w:cs="Times New Roman"/>
        </w:rPr>
        <w:t xml:space="preserve">Fixed costs for the facility consist of fixed O&amp;M inclusive of labor, materials, contract services, and associated costs; leasing of the land on which the plant is located, property taxes, and insurance. </w:t>
      </w:r>
      <w:r w:rsidR="00A34EE4">
        <w:rPr>
          <w:rFonts w:cs="Times New Roman"/>
        </w:rPr>
        <w:t xml:space="preserve"> The costs associated with land lease, property tax, and insurance are discussed in Section III.B.</w:t>
      </w:r>
      <w:r w:rsidR="00097323">
        <w:rPr>
          <w:rFonts w:cs="Times New Roman"/>
        </w:rPr>
        <w:t xml:space="preserve">  </w:t>
      </w:r>
      <w:r w:rsidR="00097323" w:rsidRPr="00337548">
        <w:rPr>
          <w:rFonts w:cs="Times New Roman"/>
        </w:rPr>
        <w:t xml:space="preserve">We have assumed a </w:t>
      </w:r>
      <w:r w:rsidR="00097323" w:rsidRPr="00097323">
        <w:rPr>
          <w:rFonts w:cs="Times New Roman"/>
        </w:rPr>
        <w:t xml:space="preserve">LTSA that include </w:t>
      </w:r>
      <w:r w:rsidR="00097323" w:rsidRPr="008E234D">
        <w:t>parts, labor, and materials as well as a turbine sharing program that would utilize a shared rotor for quick return to service.  The removed rotor would then be serviced and used in the shared rotor program with other plant owners.  This minimize</w:t>
      </w:r>
      <w:r w:rsidR="00FE605C">
        <w:t>s</w:t>
      </w:r>
      <w:r w:rsidR="00097323" w:rsidRPr="008E234D">
        <w:t xml:space="preserve"> down time for the </w:t>
      </w:r>
      <w:proofErr w:type="spellStart"/>
      <w:r w:rsidR="00097323" w:rsidRPr="008E234D">
        <w:t>aeroderivative</w:t>
      </w:r>
      <w:proofErr w:type="spellEnd"/>
      <w:r w:rsidR="00097323" w:rsidRPr="008E234D">
        <w:t xml:space="preserve"> plants.  The duration of the LTSA would be up to and including the first major outage.  Planned outages would be included under the agreement, but unplanned outages would not be covered.</w:t>
      </w:r>
      <w:r w:rsidR="00FE605C">
        <w:t xml:space="preserve">  </w:t>
      </w:r>
      <w:r w:rsidR="00097323" w:rsidRPr="00097323">
        <w:t> </w:t>
      </w:r>
      <w:r w:rsidRPr="00BF64E4">
        <w:rPr>
          <w:rFonts w:cs="Times New Roman"/>
        </w:rPr>
        <w:t xml:space="preserve">Fixed costs for the LM6000 are shown </w:t>
      </w:r>
      <w:r w:rsidR="006F5D19">
        <w:rPr>
          <w:rFonts w:cs="Times New Roman"/>
        </w:rPr>
        <w:t xml:space="preserve">in Table 15 </w:t>
      </w:r>
      <w:r w:rsidRPr="00BF64E4">
        <w:rPr>
          <w:rFonts w:cs="Times New Roman"/>
        </w:rPr>
        <w:t>below:</w:t>
      </w:r>
    </w:p>
    <w:p w14:paraId="68A7C9D5" w14:textId="28C6E9D3" w:rsidR="00097323" w:rsidRDefault="00097323" w:rsidP="00A527AF">
      <w:pPr>
        <w:rPr>
          <w:rFonts w:cs="Times New Roman"/>
        </w:rPr>
      </w:pPr>
    </w:p>
    <w:p w14:paraId="72051087" w14:textId="77777777" w:rsidR="00097323" w:rsidRDefault="00097323" w:rsidP="00A527AF">
      <w:pPr>
        <w:rPr>
          <w:rFonts w:cs="Times New Roman"/>
        </w:rPr>
      </w:pPr>
    </w:p>
    <w:p w14:paraId="0D56B45D" w14:textId="5F262032" w:rsidR="00A527AF" w:rsidRPr="000B16D6" w:rsidRDefault="00A527AF" w:rsidP="00D2628D">
      <w:pPr>
        <w:pStyle w:val="Caption"/>
      </w:pPr>
      <w:bookmarkStart w:id="39" w:name="_Toc465433440"/>
      <w:r w:rsidRPr="000B16D6">
        <w:lastRenderedPageBreak/>
        <w:t xml:space="preserve">Table </w:t>
      </w:r>
      <w:r w:rsidR="00FA6573">
        <w:fldChar w:fldCharType="begin"/>
      </w:r>
      <w:r w:rsidR="00FA6573">
        <w:instrText xml:space="preserve"> SEQ Table \* ARABIC </w:instrText>
      </w:r>
      <w:r w:rsidR="00FA6573">
        <w:fldChar w:fldCharType="separate"/>
      </w:r>
      <w:r w:rsidR="000637A3">
        <w:rPr>
          <w:noProof/>
        </w:rPr>
        <w:t>15</w:t>
      </w:r>
      <w:r w:rsidR="00FA6573">
        <w:rPr>
          <w:noProof/>
        </w:rPr>
        <w:fldChar w:fldCharType="end"/>
      </w:r>
      <w:r>
        <w:t xml:space="preserve">: </w:t>
      </w:r>
      <w:r w:rsidRPr="000B16D6">
        <w:t>LM6000</w:t>
      </w:r>
      <w:r>
        <w:t>PF+</w:t>
      </w:r>
      <w:r w:rsidRPr="000B16D6">
        <w:t xml:space="preserve"> Fixed Operating Costs</w:t>
      </w:r>
      <w:bookmarkEnd w:id="39"/>
    </w:p>
    <w:tbl>
      <w:tblPr>
        <w:tblStyle w:val="GridTable4-Accent32"/>
        <w:tblW w:w="5441" w:type="dxa"/>
        <w:jc w:val="center"/>
        <w:tblLook w:val="04A0" w:firstRow="1" w:lastRow="0" w:firstColumn="1" w:lastColumn="0" w:noHBand="0" w:noVBand="1"/>
      </w:tblPr>
      <w:tblGrid>
        <w:gridCol w:w="1974"/>
        <w:gridCol w:w="3467"/>
      </w:tblGrid>
      <w:tr w:rsidR="00A527AF" w:rsidRPr="004461BE" w14:paraId="493147BC" w14:textId="77777777" w:rsidTr="002A4CE5">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0" w:type="auto"/>
          </w:tcPr>
          <w:p w14:paraId="5252120D" w14:textId="77777777" w:rsidR="00A527AF" w:rsidRPr="001436DC" w:rsidRDefault="00A527AF" w:rsidP="00A527AF">
            <w:pPr>
              <w:rPr>
                <w:rFonts w:ascii="Century Gothic" w:hAnsi="Century Gothic" w:cs="Times New Roman"/>
                <w:color w:val="000000" w:themeColor="text1"/>
                <w:sz w:val="18"/>
                <w:szCs w:val="24"/>
              </w:rPr>
            </w:pPr>
            <w:r w:rsidRPr="001436DC">
              <w:rPr>
                <w:rFonts w:ascii="Century Gothic" w:hAnsi="Century Gothic" w:cs="Times New Roman"/>
                <w:color w:val="000000" w:themeColor="text1"/>
                <w:sz w:val="18"/>
                <w:szCs w:val="24"/>
              </w:rPr>
              <w:t>Fixed Expense</w:t>
            </w:r>
          </w:p>
        </w:tc>
        <w:tc>
          <w:tcPr>
            <w:tcW w:w="0" w:type="auto"/>
          </w:tcPr>
          <w:p w14:paraId="318B5464" w14:textId="77777777" w:rsidR="00A527AF" w:rsidRPr="001436DC" w:rsidRDefault="00A527AF" w:rsidP="00A527AF">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000000" w:themeColor="text1"/>
                <w:sz w:val="18"/>
                <w:szCs w:val="24"/>
              </w:rPr>
            </w:pPr>
            <w:r w:rsidRPr="001436DC">
              <w:rPr>
                <w:rFonts w:ascii="Century Gothic" w:hAnsi="Century Gothic" w:cs="Times New Roman"/>
                <w:color w:val="000000" w:themeColor="text1"/>
                <w:sz w:val="18"/>
                <w:szCs w:val="24"/>
              </w:rPr>
              <w:t>Estimated cost</w:t>
            </w:r>
          </w:p>
        </w:tc>
      </w:tr>
      <w:tr w:rsidR="00A527AF" w:rsidRPr="004461BE" w14:paraId="7CB1848F" w14:textId="77777777" w:rsidTr="002A4CE5">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0" w:type="auto"/>
          </w:tcPr>
          <w:p w14:paraId="0299D51C" w14:textId="77777777" w:rsidR="00A527AF" w:rsidRPr="001436DC" w:rsidRDefault="00A527AF" w:rsidP="00A527AF">
            <w:pPr>
              <w:rPr>
                <w:rFonts w:ascii="Century Gothic" w:hAnsi="Century Gothic" w:cs="Times New Roman"/>
                <w:sz w:val="16"/>
              </w:rPr>
            </w:pPr>
            <w:r w:rsidRPr="001436DC">
              <w:rPr>
                <w:rFonts w:ascii="Century Gothic" w:hAnsi="Century Gothic" w:cs="Times New Roman"/>
                <w:sz w:val="16"/>
              </w:rPr>
              <w:t>Fixed O&amp;M</w:t>
            </w:r>
          </w:p>
        </w:tc>
        <w:tc>
          <w:tcPr>
            <w:tcW w:w="0" w:type="auto"/>
          </w:tcPr>
          <w:p w14:paraId="62915688" w14:textId="360AB091" w:rsidR="00A527AF" w:rsidRPr="001436DC" w:rsidRDefault="00A527AF" w:rsidP="002D0E7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w:t>
            </w:r>
            <w:r w:rsidR="0054105D" w:rsidRPr="001436DC">
              <w:rPr>
                <w:rFonts w:ascii="Century Gothic" w:hAnsi="Century Gothic" w:cs="Times New Roman"/>
                <w:sz w:val="16"/>
              </w:rPr>
              <w:t>8</w:t>
            </w:r>
            <w:r w:rsidR="002D0E7F" w:rsidRPr="001436DC">
              <w:rPr>
                <w:rFonts w:ascii="Century Gothic" w:hAnsi="Century Gothic" w:cs="Times New Roman"/>
                <w:sz w:val="16"/>
              </w:rPr>
              <w:t>3.52/</w:t>
            </w:r>
            <w:r w:rsidR="005E0407" w:rsidRPr="001436DC">
              <w:rPr>
                <w:rFonts w:ascii="Century Gothic" w:hAnsi="Century Gothic" w:cs="Times New Roman"/>
                <w:sz w:val="16"/>
              </w:rPr>
              <w:t>kW-year</w:t>
            </w:r>
          </w:p>
        </w:tc>
      </w:tr>
      <w:tr w:rsidR="00A527AF" w:rsidRPr="004461BE" w14:paraId="7FBF1CE1" w14:textId="77777777" w:rsidTr="002A4CE5">
        <w:trPr>
          <w:trHeight w:val="318"/>
          <w:jc w:val="center"/>
        </w:trPr>
        <w:tc>
          <w:tcPr>
            <w:cnfStyle w:val="001000000000" w:firstRow="0" w:lastRow="0" w:firstColumn="1" w:lastColumn="0" w:oddVBand="0" w:evenVBand="0" w:oddHBand="0" w:evenHBand="0" w:firstRowFirstColumn="0" w:firstRowLastColumn="0" w:lastRowFirstColumn="0" w:lastRowLastColumn="0"/>
            <w:tcW w:w="0" w:type="auto"/>
          </w:tcPr>
          <w:p w14:paraId="41375B09" w14:textId="77777777" w:rsidR="00A527AF" w:rsidRPr="001436DC" w:rsidRDefault="00A527AF" w:rsidP="00A527AF">
            <w:pPr>
              <w:rPr>
                <w:rFonts w:ascii="Century Gothic" w:hAnsi="Century Gothic" w:cs="Times New Roman"/>
                <w:sz w:val="16"/>
              </w:rPr>
            </w:pPr>
            <w:r w:rsidRPr="001436DC">
              <w:rPr>
                <w:rFonts w:ascii="Century Gothic" w:hAnsi="Century Gothic" w:cs="Times New Roman"/>
                <w:sz w:val="16"/>
              </w:rPr>
              <w:t>Site leasing</w:t>
            </w:r>
          </w:p>
        </w:tc>
        <w:tc>
          <w:tcPr>
            <w:tcW w:w="0" w:type="auto"/>
          </w:tcPr>
          <w:p w14:paraId="03AC3021" w14:textId="0F37860C" w:rsidR="00A527AF" w:rsidRPr="001436DC" w:rsidRDefault="005E0407" w:rsidP="00A527A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$25,000/acre/year</w:t>
            </w:r>
          </w:p>
        </w:tc>
      </w:tr>
      <w:tr w:rsidR="00A527AF" w:rsidRPr="004461BE" w14:paraId="294882DF" w14:textId="77777777" w:rsidTr="002A4CE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0" w:type="auto"/>
          </w:tcPr>
          <w:p w14:paraId="61C3DB19" w14:textId="77777777" w:rsidR="00A527AF" w:rsidRPr="001436DC" w:rsidRDefault="00A527AF" w:rsidP="00A527AF">
            <w:pPr>
              <w:rPr>
                <w:rFonts w:ascii="Century Gothic" w:hAnsi="Century Gothic" w:cs="Times New Roman"/>
                <w:sz w:val="16"/>
              </w:rPr>
            </w:pPr>
            <w:r w:rsidRPr="001436DC">
              <w:rPr>
                <w:rFonts w:ascii="Century Gothic" w:hAnsi="Century Gothic" w:cs="Times New Roman"/>
                <w:sz w:val="16"/>
              </w:rPr>
              <w:t>Property taxes</w:t>
            </w:r>
          </w:p>
        </w:tc>
        <w:tc>
          <w:tcPr>
            <w:tcW w:w="0" w:type="auto"/>
          </w:tcPr>
          <w:p w14:paraId="31B9358F" w14:textId="77777777" w:rsidR="00A527AF" w:rsidRPr="001436DC" w:rsidRDefault="00A527AF" w:rsidP="00A527A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3.0%</w:t>
            </w:r>
          </w:p>
        </w:tc>
      </w:tr>
      <w:tr w:rsidR="00A527AF" w:rsidRPr="004461BE" w14:paraId="0166F788" w14:textId="77777777" w:rsidTr="002A4CE5">
        <w:trPr>
          <w:trHeight w:val="318"/>
          <w:jc w:val="center"/>
        </w:trPr>
        <w:tc>
          <w:tcPr>
            <w:cnfStyle w:val="001000000000" w:firstRow="0" w:lastRow="0" w:firstColumn="1" w:lastColumn="0" w:oddVBand="0" w:evenVBand="0" w:oddHBand="0" w:evenHBand="0" w:firstRowFirstColumn="0" w:firstRowLastColumn="0" w:lastRowFirstColumn="0" w:lastRowLastColumn="0"/>
            <w:tcW w:w="0" w:type="auto"/>
          </w:tcPr>
          <w:p w14:paraId="5DD16945" w14:textId="77777777" w:rsidR="00A527AF" w:rsidRPr="001436DC" w:rsidRDefault="00A527AF" w:rsidP="00A527AF">
            <w:pPr>
              <w:rPr>
                <w:rFonts w:ascii="Century Gothic" w:hAnsi="Century Gothic" w:cs="Times New Roman"/>
                <w:sz w:val="16"/>
              </w:rPr>
            </w:pPr>
            <w:r w:rsidRPr="001436DC">
              <w:rPr>
                <w:rFonts w:ascii="Century Gothic" w:hAnsi="Century Gothic" w:cs="Times New Roman"/>
                <w:sz w:val="16"/>
              </w:rPr>
              <w:t>Insurance</w:t>
            </w:r>
          </w:p>
        </w:tc>
        <w:tc>
          <w:tcPr>
            <w:tcW w:w="0" w:type="auto"/>
          </w:tcPr>
          <w:p w14:paraId="45C0681D" w14:textId="77777777" w:rsidR="00A527AF" w:rsidRPr="001436DC" w:rsidRDefault="00A527AF" w:rsidP="00A527A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0.6% of installed costs per year</w:t>
            </w:r>
          </w:p>
        </w:tc>
      </w:tr>
    </w:tbl>
    <w:p w14:paraId="6632CB76" w14:textId="77777777" w:rsidR="00A527AF" w:rsidRPr="00BF64E4" w:rsidRDefault="00A527AF" w:rsidP="00A527AF">
      <w:pPr>
        <w:rPr>
          <w:rFonts w:cs="Times New Roman"/>
        </w:rPr>
      </w:pPr>
    </w:p>
    <w:p w14:paraId="45B44A68" w14:textId="7CDBFC55" w:rsidR="00A527AF" w:rsidRPr="00BF64E4" w:rsidRDefault="00A527AF" w:rsidP="00A527AF">
      <w:pPr>
        <w:rPr>
          <w:rFonts w:cs="Times New Roman"/>
        </w:rPr>
      </w:pPr>
      <w:r w:rsidRPr="00BF64E4">
        <w:rPr>
          <w:rFonts w:cs="Times New Roman"/>
        </w:rPr>
        <w:t>VOM is assumed to be $</w:t>
      </w:r>
      <w:r w:rsidR="005E0407">
        <w:rPr>
          <w:rFonts w:cs="Times New Roman"/>
        </w:rPr>
        <w:t>5.00/M</w:t>
      </w:r>
      <w:r w:rsidR="0027107E">
        <w:rPr>
          <w:rFonts w:cs="Times New Roman"/>
        </w:rPr>
        <w:t>Wh</w:t>
      </w:r>
      <w:r w:rsidR="005E0407">
        <w:rPr>
          <w:rFonts w:cs="Times New Roman"/>
        </w:rPr>
        <w:t xml:space="preserve"> </w:t>
      </w:r>
      <w:r w:rsidR="0027107E">
        <w:rPr>
          <w:rFonts w:cs="Times New Roman"/>
        </w:rPr>
        <w:t xml:space="preserve">based on consultation with </w:t>
      </w:r>
      <w:r w:rsidR="003A0E05">
        <w:rPr>
          <w:rFonts w:cs="Times New Roman"/>
        </w:rPr>
        <w:t>MM</w:t>
      </w:r>
      <w:r w:rsidRPr="00BF64E4">
        <w:rPr>
          <w:rFonts w:cs="Times New Roman"/>
        </w:rPr>
        <w:t xml:space="preserve">. </w:t>
      </w:r>
    </w:p>
    <w:p w14:paraId="3097433C" w14:textId="77777777" w:rsidR="00A527AF" w:rsidRPr="000E5185" w:rsidRDefault="00A527AF" w:rsidP="00A12D4D">
      <w:pPr>
        <w:pStyle w:val="Heading3"/>
      </w:pPr>
      <w:r w:rsidRPr="000E5185">
        <w:t>LMS100</w:t>
      </w:r>
      <w:r>
        <w:t>PA</w:t>
      </w:r>
      <w:r w:rsidRPr="000E5185">
        <w:t xml:space="preserve"> Advanced </w:t>
      </w:r>
      <w:proofErr w:type="spellStart"/>
      <w:r w:rsidRPr="000E5185">
        <w:t>Aeroderivative</w:t>
      </w:r>
      <w:proofErr w:type="spellEnd"/>
    </w:p>
    <w:p w14:paraId="35FB2B44" w14:textId="77777777" w:rsidR="00A527AF" w:rsidRPr="00B36972" w:rsidRDefault="00A527AF" w:rsidP="00A527AF">
      <w:pPr>
        <w:rPr>
          <w:rFonts w:cs="Times New Roman"/>
        </w:rPr>
      </w:pPr>
      <w:r w:rsidRPr="00B36972">
        <w:rPr>
          <w:rFonts w:cs="Times New Roman"/>
        </w:rPr>
        <w:t xml:space="preserve">The LMS100PA is a relatively new design from GE.  While not in widespread use, the unit’s efficiency and relatively low capital cost make it an attractive option for developers and a </w:t>
      </w:r>
      <w:r>
        <w:rPr>
          <w:rFonts w:cs="Times New Roman"/>
        </w:rPr>
        <w:t xml:space="preserve">candidate for selection as the reference unit.  The LMS100PA </w:t>
      </w:r>
      <w:r w:rsidRPr="00B36972">
        <w:rPr>
          <w:rFonts w:cs="Times New Roman"/>
        </w:rPr>
        <w:t xml:space="preserve">is a “hybrid” design in that it incorporates both frame and </w:t>
      </w:r>
      <w:proofErr w:type="spellStart"/>
      <w:proofErr w:type="gramStart"/>
      <w:r w:rsidRPr="00B36972">
        <w:rPr>
          <w:rFonts w:cs="Times New Roman"/>
        </w:rPr>
        <w:t>aeroderivative</w:t>
      </w:r>
      <w:proofErr w:type="spellEnd"/>
      <w:r w:rsidRPr="00B36972">
        <w:rPr>
          <w:rFonts w:cs="Times New Roman"/>
        </w:rPr>
        <w:t xml:space="preserve"> turbine technologies to create a unit that is</w:t>
      </w:r>
      <w:proofErr w:type="gramEnd"/>
      <w:r w:rsidRPr="00B36972">
        <w:rPr>
          <w:rFonts w:cs="Times New Roman"/>
        </w:rPr>
        <w:t xml:space="preserve"> highly efficient and highly flexible.  </w:t>
      </w:r>
    </w:p>
    <w:p w14:paraId="7FB79AB4" w14:textId="77777777" w:rsidR="00A527AF" w:rsidRPr="00B36972" w:rsidRDefault="00A527AF" w:rsidP="00A527AF">
      <w:pPr>
        <w:rPr>
          <w:rFonts w:cs="Times New Roman"/>
        </w:rPr>
      </w:pPr>
      <w:r w:rsidRPr="00B36972">
        <w:rPr>
          <w:rFonts w:cs="Times New Roman"/>
        </w:rPr>
        <w:t>The LMS100</w:t>
      </w:r>
      <w:r>
        <w:rPr>
          <w:rFonts w:cs="Times New Roman"/>
        </w:rPr>
        <w:t>PA</w:t>
      </w:r>
      <w:r w:rsidRPr="00B36972">
        <w:rPr>
          <w:rFonts w:cs="Times New Roman"/>
        </w:rPr>
        <w:t xml:space="preserve"> is assumed to be installed in a simple cycle configuration.  Because of the high efficiency of the turbine, exhaust gases are relatively cold, making the addition of a heat-recovery steam generator uneconomical.  As a result, there is no expectation of commercialization of an LMS100 in a combined cycle configuration in New England for the foreseeable future.</w:t>
      </w:r>
    </w:p>
    <w:p w14:paraId="41B6E4C6" w14:textId="52E52AEB" w:rsidR="00A527AF" w:rsidRPr="00B36972" w:rsidRDefault="00A527AF" w:rsidP="00A527AF">
      <w:pPr>
        <w:rPr>
          <w:rFonts w:cs="Times New Roman"/>
        </w:rPr>
      </w:pPr>
      <w:r>
        <w:rPr>
          <w:rFonts w:cs="Times New Roman"/>
        </w:rPr>
        <w:t>The capacity of the LMS100</w:t>
      </w:r>
      <w:r w:rsidR="00FE605C">
        <w:rPr>
          <w:rFonts w:cs="Times New Roman"/>
        </w:rPr>
        <w:t>PA</w:t>
      </w:r>
      <w:r>
        <w:rPr>
          <w:rFonts w:cs="Times New Roman"/>
        </w:rPr>
        <w:t xml:space="preserve"> was assumed to be </w:t>
      </w:r>
      <w:r w:rsidR="00863039">
        <w:rPr>
          <w:rFonts w:cs="Times New Roman"/>
        </w:rPr>
        <w:t>103</w:t>
      </w:r>
      <w:r w:rsidR="00863039" w:rsidRPr="00B36972">
        <w:rPr>
          <w:rFonts w:cs="Times New Roman"/>
        </w:rPr>
        <w:t xml:space="preserve"> </w:t>
      </w:r>
      <w:r w:rsidRPr="00B36972">
        <w:rPr>
          <w:rFonts w:cs="Times New Roman"/>
        </w:rPr>
        <w:t xml:space="preserve">MW.  Based on current market trends, it </w:t>
      </w:r>
      <w:r>
        <w:rPr>
          <w:rFonts w:cs="Times New Roman"/>
        </w:rPr>
        <w:t>was</w:t>
      </w:r>
      <w:r w:rsidRPr="00B36972">
        <w:rPr>
          <w:rFonts w:cs="Times New Roman"/>
        </w:rPr>
        <w:t xml:space="preserve"> assumed to be equipped with evaporative coolers for power augmentation as well as a fin fan cooling system</w:t>
      </w:r>
      <w:r>
        <w:rPr>
          <w:rFonts w:cs="Times New Roman"/>
        </w:rPr>
        <w:t xml:space="preserve"> and an </w:t>
      </w:r>
      <w:r w:rsidRPr="00B36972">
        <w:rPr>
          <w:rFonts w:cs="Times New Roman"/>
        </w:rPr>
        <w:t xml:space="preserve">SCR to control emissions.  The heat rate of the facility </w:t>
      </w:r>
      <w:r>
        <w:rPr>
          <w:rFonts w:cs="Times New Roman"/>
        </w:rPr>
        <w:t>was assumed to be</w:t>
      </w:r>
      <w:r w:rsidRPr="00B36972">
        <w:rPr>
          <w:rFonts w:cs="Times New Roman"/>
        </w:rPr>
        <w:t xml:space="preserve"> 9,</w:t>
      </w:r>
      <w:r w:rsidR="00B2265D">
        <w:rPr>
          <w:rFonts w:cs="Times New Roman"/>
        </w:rPr>
        <w:t>021</w:t>
      </w:r>
      <w:r w:rsidR="00B2265D" w:rsidRPr="00B36972">
        <w:rPr>
          <w:rFonts w:cs="Times New Roman"/>
        </w:rPr>
        <w:t xml:space="preserve"> </w:t>
      </w:r>
      <w:r w:rsidRPr="00B36972">
        <w:rPr>
          <w:rFonts w:cs="Times New Roman"/>
        </w:rPr>
        <w:t xml:space="preserve">Btu/kWh.  Based on a typical configuration, the facility </w:t>
      </w:r>
      <w:r>
        <w:rPr>
          <w:rFonts w:cs="Times New Roman"/>
        </w:rPr>
        <w:t>was</w:t>
      </w:r>
      <w:r w:rsidRPr="00B36972">
        <w:rPr>
          <w:rFonts w:cs="Times New Roman"/>
        </w:rPr>
        <w:t xml:space="preserve"> assumed to be installed on a plot of 5.7 acres. </w:t>
      </w:r>
    </w:p>
    <w:p w14:paraId="148F4C37" w14:textId="5D36BD36" w:rsidR="00CF59C5" w:rsidRDefault="00A527AF" w:rsidP="00CF59C5">
      <w:pPr>
        <w:rPr>
          <w:rFonts w:cs="Times New Roman"/>
        </w:rPr>
      </w:pPr>
      <w:r w:rsidRPr="00B36972">
        <w:rPr>
          <w:rFonts w:cs="Times New Roman"/>
        </w:rPr>
        <w:t xml:space="preserve">A summary of the technical specifications is shown in </w:t>
      </w:r>
      <w:r w:rsidRPr="00B36972">
        <w:rPr>
          <w:rFonts w:cs="Times New Roman"/>
        </w:rPr>
        <w:fldChar w:fldCharType="begin"/>
      </w:r>
      <w:r w:rsidRPr="00B36972">
        <w:rPr>
          <w:rFonts w:cs="Times New Roman"/>
        </w:rPr>
        <w:instrText xml:space="preserve"> REF _Ref462598040 \h </w:instrText>
      </w:r>
      <w:r>
        <w:rPr>
          <w:rFonts w:cs="Times New Roman"/>
        </w:rPr>
        <w:instrText xml:space="preserve"> \* MERGEFORMAT </w:instrText>
      </w:r>
      <w:r w:rsidRPr="00B36972">
        <w:rPr>
          <w:rFonts w:cs="Times New Roman"/>
        </w:rPr>
      </w:r>
      <w:r w:rsidRPr="00B36972">
        <w:rPr>
          <w:rFonts w:cs="Times New Roman"/>
        </w:rPr>
        <w:fldChar w:fldCharType="separate"/>
      </w:r>
      <w:r w:rsidR="006E2301">
        <w:t xml:space="preserve">Table </w:t>
      </w:r>
      <w:r w:rsidR="006E2301">
        <w:rPr>
          <w:noProof/>
        </w:rPr>
        <w:t>16</w:t>
      </w:r>
      <w:r w:rsidRPr="00B36972">
        <w:rPr>
          <w:rFonts w:cs="Times New Roman"/>
        </w:rPr>
        <w:fldChar w:fldCharType="end"/>
      </w:r>
      <w:r w:rsidRPr="00B36972">
        <w:rPr>
          <w:rFonts w:cs="Times New Roman"/>
        </w:rPr>
        <w:t xml:space="preserve"> below.</w:t>
      </w:r>
      <w:bookmarkStart w:id="40" w:name="_Ref462598040"/>
    </w:p>
    <w:p w14:paraId="7EC32FD5" w14:textId="625EEAE8" w:rsidR="002A4CE5" w:rsidRDefault="002A4CE5" w:rsidP="00CF59C5">
      <w:pPr>
        <w:rPr>
          <w:rFonts w:cs="Times New Roman"/>
        </w:rPr>
      </w:pPr>
    </w:p>
    <w:p w14:paraId="6E66A0CB" w14:textId="618A5690" w:rsidR="002A4CE5" w:rsidRDefault="002A4CE5" w:rsidP="00CF59C5">
      <w:pPr>
        <w:rPr>
          <w:rFonts w:cs="Times New Roman"/>
        </w:rPr>
      </w:pPr>
    </w:p>
    <w:p w14:paraId="1327C69B" w14:textId="6D599D51" w:rsidR="002A4CE5" w:rsidRDefault="002A4CE5" w:rsidP="00CF59C5">
      <w:pPr>
        <w:rPr>
          <w:rFonts w:cs="Times New Roman"/>
        </w:rPr>
      </w:pPr>
    </w:p>
    <w:p w14:paraId="21F525BD" w14:textId="754861FD" w:rsidR="002A4CE5" w:rsidRDefault="002A4CE5" w:rsidP="00CF59C5">
      <w:pPr>
        <w:rPr>
          <w:rFonts w:cs="Times New Roman"/>
        </w:rPr>
      </w:pPr>
    </w:p>
    <w:p w14:paraId="74E41ECB" w14:textId="5BE61B50" w:rsidR="002A4CE5" w:rsidRDefault="002A4CE5" w:rsidP="00CF59C5">
      <w:pPr>
        <w:rPr>
          <w:rFonts w:cs="Times New Roman"/>
        </w:rPr>
      </w:pPr>
    </w:p>
    <w:p w14:paraId="25B2BC3B" w14:textId="07478911" w:rsidR="002A4CE5" w:rsidRDefault="002A4CE5" w:rsidP="00CF59C5">
      <w:pPr>
        <w:rPr>
          <w:rFonts w:cs="Times New Roman"/>
        </w:rPr>
      </w:pPr>
    </w:p>
    <w:p w14:paraId="5E61F8E3" w14:textId="13BEE2C7" w:rsidR="002A4CE5" w:rsidRDefault="002A4CE5" w:rsidP="00CF59C5">
      <w:pPr>
        <w:rPr>
          <w:rFonts w:cs="Times New Roman"/>
        </w:rPr>
      </w:pPr>
    </w:p>
    <w:p w14:paraId="1D0EB9C5" w14:textId="1F561776" w:rsidR="002A4CE5" w:rsidRDefault="002A4CE5" w:rsidP="00CF59C5">
      <w:pPr>
        <w:rPr>
          <w:rFonts w:cs="Times New Roman"/>
        </w:rPr>
      </w:pPr>
    </w:p>
    <w:p w14:paraId="44CEDD0A" w14:textId="77777777" w:rsidR="002A4CE5" w:rsidRDefault="002A4CE5" w:rsidP="00CF59C5">
      <w:pPr>
        <w:rPr>
          <w:rFonts w:cs="Times New Roman"/>
        </w:rPr>
      </w:pPr>
    </w:p>
    <w:p w14:paraId="28F6131E" w14:textId="038F6565" w:rsidR="00A527AF" w:rsidRPr="000B16D6" w:rsidRDefault="00A527AF" w:rsidP="00D2628D">
      <w:pPr>
        <w:pStyle w:val="Caption"/>
      </w:pPr>
      <w:bookmarkStart w:id="41" w:name="_Toc465433441"/>
      <w:r>
        <w:lastRenderedPageBreak/>
        <w:t xml:space="preserve">Table </w:t>
      </w:r>
      <w:r w:rsidR="00FA6573">
        <w:fldChar w:fldCharType="begin"/>
      </w:r>
      <w:r w:rsidR="00FA6573">
        <w:instrText xml:space="preserve"> SEQ Table \* ARABIC </w:instrText>
      </w:r>
      <w:r w:rsidR="00FA6573">
        <w:fldChar w:fldCharType="separate"/>
      </w:r>
      <w:r w:rsidR="000637A3">
        <w:rPr>
          <w:noProof/>
        </w:rPr>
        <w:t>16</w:t>
      </w:r>
      <w:r w:rsidR="00FA6573">
        <w:rPr>
          <w:noProof/>
        </w:rPr>
        <w:fldChar w:fldCharType="end"/>
      </w:r>
      <w:bookmarkEnd w:id="40"/>
      <w:r>
        <w:t xml:space="preserve">: </w:t>
      </w:r>
      <w:r w:rsidRPr="000B16D6">
        <w:t xml:space="preserve">LMS100PA </w:t>
      </w:r>
      <w:r>
        <w:t>Technical Specifications</w:t>
      </w:r>
      <w:bookmarkEnd w:id="41"/>
    </w:p>
    <w:tbl>
      <w:tblPr>
        <w:tblStyle w:val="GridTable4-Accent38"/>
        <w:tblW w:w="3658" w:type="pct"/>
        <w:jc w:val="center"/>
        <w:tblLook w:val="0420" w:firstRow="1" w:lastRow="0" w:firstColumn="0" w:lastColumn="0" w:noHBand="0" w:noVBand="1"/>
      </w:tblPr>
      <w:tblGrid>
        <w:gridCol w:w="2910"/>
        <w:gridCol w:w="4096"/>
      </w:tblGrid>
      <w:tr w:rsidR="00334D2C" w:rsidRPr="004461BE" w14:paraId="7105A65B" w14:textId="77777777" w:rsidTr="00D743EA">
        <w:trPr>
          <w:cnfStyle w:val="100000000000" w:firstRow="1" w:lastRow="0" w:firstColumn="0" w:lastColumn="0" w:oddVBand="0" w:evenVBand="0" w:oddHBand="0" w:evenHBand="0" w:firstRowFirstColumn="0" w:firstRowLastColumn="0" w:lastRowFirstColumn="0" w:lastRowLastColumn="0"/>
          <w:trHeight w:val="432"/>
          <w:jc w:val="center"/>
        </w:trPr>
        <w:tc>
          <w:tcPr>
            <w:tcW w:w="2077" w:type="pct"/>
            <w:vAlign w:val="center"/>
            <w:hideMark/>
          </w:tcPr>
          <w:p w14:paraId="42D99F25" w14:textId="77777777" w:rsidR="00334D2C" w:rsidRPr="00BF404F" w:rsidRDefault="00334D2C">
            <w:pPr>
              <w:spacing w:line="259" w:lineRule="auto"/>
              <w:jc w:val="center"/>
              <w:rPr>
                <w:rFonts w:ascii="Century Gothic" w:eastAsia="Calibri" w:hAnsi="Century Gothic" w:cs="Calibri"/>
                <w:smallCaps w:val="0"/>
                <w:color w:val="000000" w:themeColor="text1"/>
                <w:sz w:val="20"/>
              </w:rPr>
            </w:pPr>
            <w:r w:rsidRPr="00BF404F">
              <w:rPr>
                <w:rFonts w:ascii="Century Gothic" w:eastAsia="Calibri" w:hAnsi="Century Gothic" w:cs="Calibri"/>
                <w:smallCaps w:val="0"/>
                <w:color w:val="000000" w:themeColor="text1"/>
                <w:sz w:val="20"/>
              </w:rPr>
              <w:t>Turbine model</w:t>
            </w:r>
          </w:p>
        </w:tc>
        <w:tc>
          <w:tcPr>
            <w:tcW w:w="2923" w:type="pct"/>
            <w:vAlign w:val="center"/>
            <w:hideMark/>
          </w:tcPr>
          <w:p w14:paraId="31BB1447" w14:textId="77777777" w:rsidR="00334D2C" w:rsidRPr="00BF404F" w:rsidRDefault="00334D2C">
            <w:pPr>
              <w:spacing w:line="259" w:lineRule="auto"/>
              <w:jc w:val="center"/>
              <w:rPr>
                <w:rFonts w:ascii="Century Gothic" w:eastAsia="Calibri" w:hAnsi="Century Gothic" w:cs="Calibri"/>
                <w:smallCaps w:val="0"/>
                <w:color w:val="000000" w:themeColor="text1"/>
                <w:sz w:val="20"/>
              </w:rPr>
            </w:pPr>
            <w:r w:rsidRPr="00BF404F">
              <w:rPr>
                <w:rFonts w:ascii="Century Gothic" w:eastAsia="Calibri" w:hAnsi="Century Gothic" w:cs="Calibri"/>
                <w:smallCaps w:val="0"/>
                <w:color w:val="000000" w:themeColor="text1"/>
                <w:sz w:val="20"/>
              </w:rPr>
              <w:t>LMS100PA</w:t>
            </w:r>
          </w:p>
        </w:tc>
      </w:tr>
      <w:tr w:rsidR="00334D2C" w:rsidRPr="004461BE" w14:paraId="0A9A49B4" w14:textId="77777777" w:rsidTr="00D743EA">
        <w:trPr>
          <w:cnfStyle w:val="000000100000" w:firstRow="0" w:lastRow="0" w:firstColumn="0" w:lastColumn="0" w:oddVBand="0" w:evenVBand="0" w:oddHBand="1" w:evenHBand="0" w:firstRowFirstColumn="0" w:firstRowLastColumn="0" w:lastRowFirstColumn="0" w:lastRowLastColumn="0"/>
          <w:trHeight w:val="368"/>
          <w:jc w:val="center"/>
        </w:trPr>
        <w:tc>
          <w:tcPr>
            <w:tcW w:w="0" w:type="pct"/>
            <w:hideMark/>
          </w:tcPr>
          <w:p w14:paraId="00CBE49A"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Configuration</w:t>
            </w:r>
          </w:p>
        </w:tc>
        <w:tc>
          <w:tcPr>
            <w:tcW w:w="0" w:type="pct"/>
            <w:hideMark/>
          </w:tcPr>
          <w:p w14:paraId="290D9F05" w14:textId="0B378780" w:rsidR="00334D2C" w:rsidRPr="001436DC" w:rsidRDefault="00334D2C">
            <w:pPr>
              <w:spacing w:line="259" w:lineRule="auto"/>
              <w:jc w:val="center"/>
              <w:rPr>
                <w:rFonts w:ascii="Century Gothic" w:eastAsia="Calibri" w:hAnsi="Century Gothic" w:cs="Calibri"/>
                <w:sz w:val="16"/>
              </w:rPr>
            </w:pPr>
            <w:r w:rsidRPr="001436DC">
              <w:rPr>
                <w:rFonts w:ascii="Century Gothic" w:eastAsia="Calibri" w:hAnsi="Century Gothic" w:cs="Calibri"/>
                <w:sz w:val="16"/>
              </w:rPr>
              <w:t xml:space="preserve">SC </w:t>
            </w:r>
            <w:r w:rsidR="00BB483A" w:rsidRPr="001436DC">
              <w:rPr>
                <w:rFonts w:ascii="Century Gothic" w:eastAsia="Calibri" w:hAnsi="Century Gothic" w:cs="Calibri"/>
                <w:sz w:val="16"/>
              </w:rPr>
              <w:t>A</w:t>
            </w:r>
            <w:r w:rsidRPr="001436DC">
              <w:rPr>
                <w:rFonts w:ascii="Century Gothic" w:eastAsia="Calibri" w:hAnsi="Century Gothic" w:cs="Calibri"/>
                <w:sz w:val="16"/>
              </w:rPr>
              <w:t xml:space="preserve">dvanced </w:t>
            </w:r>
            <w:proofErr w:type="spellStart"/>
            <w:r w:rsidR="00BB483A" w:rsidRPr="001436DC">
              <w:rPr>
                <w:rFonts w:ascii="Century Gothic" w:eastAsia="Calibri" w:hAnsi="Century Gothic" w:cs="Calibri"/>
                <w:sz w:val="16"/>
              </w:rPr>
              <w:t>A</w:t>
            </w:r>
            <w:r w:rsidRPr="001436DC">
              <w:rPr>
                <w:rFonts w:ascii="Century Gothic" w:eastAsia="Calibri" w:hAnsi="Century Gothic" w:cs="Calibri"/>
                <w:sz w:val="16"/>
              </w:rPr>
              <w:t>eroderivative</w:t>
            </w:r>
            <w:proofErr w:type="spellEnd"/>
          </w:p>
        </w:tc>
      </w:tr>
      <w:tr w:rsidR="00334D2C" w:rsidRPr="004461BE" w14:paraId="3ED985C3" w14:textId="77777777" w:rsidTr="00D743EA">
        <w:trPr>
          <w:trHeight w:val="332"/>
          <w:jc w:val="center"/>
        </w:trPr>
        <w:tc>
          <w:tcPr>
            <w:tcW w:w="0" w:type="pct"/>
            <w:hideMark/>
          </w:tcPr>
          <w:p w14:paraId="5C0A36EC"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Net plant capacity (MW)</w:t>
            </w:r>
          </w:p>
        </w:tc>
        <w:tc>
          <w:tcPr>
            <w:tcW w:w="0" w:type="pct"/>
            <w:hideMark/>
          </w:tcPr>
          <w:p w14:paraId="0EE9EA98" w14:textId="1805AFBD" w:rsidR="00334D2C" w:rsidRPr="001436DC" w:rsidRDefault="00863039" w:rsidP="008E234D">
            <w:pPr>
              <w:spacing w:line="259" w:lineRule="auto"/>
              <w:jc w:val="center"/>
              <w:rPr>
                <w:rFonts w:ascii="Century Gothic" w:eastAsia="Calibri" w:hAnsi="Century Gothic" w:cs="Calibri"/>
                <w:sz w:val="16"/>
              </w:rPr>
            </w:pPr>
            <w:r w:rsidRPr="001436DC">
              <w:rPr>
                <w:rFonts w:ascii="Century Gothic" w:eastAsia="Calibri" w:hAnsi="Century Gothic" w:cs="Calibri"/>
                <w:sz w:val="16"/>
              </w:rPr>
              <w:t>103</w:t>
            </w:r>
          </w:p>
        </w:tc>
      </w:tr>
      <w:tr w:rsidR="00334D2C" w:rsidRPr="004461BE" w14:paraId="279FA39D" w14:textId="77777777" w:rsidTr="00D743EA">
        <w:trPr>
          <w:cnfStyle w:val="000000100000" w:firstRow="0" w:lastRow="0" w:firstColumn="0" w:lastColumn="0" w:oddVBand="0" w:evenVBand="0" w:oddHBand="1" w:evenHBand="0" w:firstRowFirstColumn="0" w:firstRowLastColumn="0" w:lastRowFirstColumn="0" w:lastRowLastColumn="0"/>
          <w:trHeight w:val="332"/>
          <w:jc w:val="center"/>
        </w:trPr>
        <w:tc>
          <w:tcPr>
            <w:tcW w:w="0" w:type="pct"/>
            <w:hideMark/>
          </w:tcPr>
          <w:p w14:paraId="39ED5AB0"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Location</w:t>
            </w:r>
          </w:p>
        </w:tc>
        <w:tc>
          <w:tcPr>
            <w:tcW w:w="0" w:type="pct"/>
            <w:hideMark/>
          </w:tcPr>
          <w:p w14:paraId="61BCEB66" w14:textId="77777777" w:rsidR="00334D2C" w:rsidRPr="001436DC" w:rsidRDefault="00334D2C" w:rsidP="008E234D">
            <w:pPr>
              <w:spacing w:line="259" w:lineRule="auto"/>
              <w:jc w:val="center"/>
              <w:rPr>
                <w:rFonts w:ascii="Century Gothic" w:eastAsia="Calibri" w:hAnsi="Century Gothic" w:cs="Calibri"/>
                <w:sz w:val="16"/>
              </w:rPr>
            </w:pPr>
            <w:r w:rsidRPr="001436DC">
              <w:rPr>
                <w:rFonts w:ascii="Century Gothic" w:eastAsia="Calibri" w:hAnsi="Century Gothic" w:cs="Calibri"/>
                <w:sz w:val="16"/>
              </w:rPr>
              <w:t>Bristol County, Massachusetts</w:t>
            </w:r>
          </w:p>
        </w:tc>
      </w:tr>
      <w:tr w:rsidR="00334D2C" w:rsidRPr="004461BE" w14:paraId="51A9A851" w14:textId="77777777" w:rsidTr="00D743EA">
        <w:trPr>
          <w:trHeight w:val="413"/>
          <w:jc w:val="center"/>
        </w:trPr>
        <w:tc>
          <w:tcPr>
            <w:tcW w:w="0" w:type="pct"/>
            <w:hideMark/>
          </w:tcPr>
          <w:p w14:paraId="325485AB"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Cooling system</w:t>
            </w:r>
          </w:p>
        </w:tc>
        <w:tc>
          <w:tcPr>
            <w:tcW w:w="0" w:type="pct"/>
            <w:hideMark/>
          </w:tcPr>
          <w:p w14:paraId="6F98BD78" w14:textId="77777777" w:rsidR="00334D2C" w:rsidRPr="001436DC" w:rsidRDefault="00334D2C" w:rsidP="008E234D">
            <w:pPr>
              <w:spacing w:line="259" w:lineRule="auto"/>
              <w:jc w:val="center"/>
              <w:rPr>
                <w:rFonts w:ascii="Century Gothic" w:eastAsia="Calibri" w:hAnsi="Century Gothic" w:cs="Calibri"/>
                <w:sz w:val="16"/>
              </w:rPr>
            </w:pPr>
            <w:r w:rsidRPr="001436DC">
              <w:rPr>
                <w:rFonts w:ascii="Century Gothic" w:eastAsia="Calibri" w:hAnsi="Century Gothic" w:cs="Calibri"/>
                <w:sz w:val="16"/>
              </w:rPr>
              <w:t>Evaporative coolers</w:t>
            </w:r>
          </w:p>
        </w:tc>
      </w:tr>
      <w:tr w:rsidR="00334D2C" w:rsidRPr="004461BE" w14:paraId="52F0610B" w14:textId="77777777" w:rsidTr="00D743EA">
        <w:trPr>
          <w:cnfStyle w:val="000000100000" w:firstRow="0" w:lastRow="0" w:firstColumn="0" w:lastColumn="0" w:oddVBand="0" w:evenVBand="0" w:oddHBand="1" w:evenHBand="0" w:firstRowFirstColumn="0" w:firstRowLastColumn="0" w:lastRowFirstColumn="0" w:lastRowLastColumn="0"/>
          <w:trHeight w:val="350"/>
          <w:jc w:val="center"/>
        </w:trPr>
        <w:tc>
          <w:tcPr>
            <w:tcW w:w="0" w:type="pct"/>
            <w:hideMark/>
          </w:tcPr>
          <w:p w14:paraId="74AB11DA"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Power augmentation</w:t>
            </w:r>
          </w:p>
        </w:tc>
        <w:tc>
          <w:tcPr>
            <w:tcW w:w="0" w:type="pct"/>
            <w:hideMark/>
          </w:tcPr>
          <w:p w14:paraId="61D8BDA6" w14:textId="77777777" w:rsidR="00334D2C" w:rsidRPr="001436DC" w:rsidRDefault="00334D2C" w:rsidP="008E234D">
            <w:pPr>
              <w:spacing w:line="259" w:lineRule="auto"/>
              <w:jc w:val="center"/>
              <w:rPr>
                <w:rFonts w:ascii="Century Gothic" w:eastAsia="Calibri" w:hAnsi="Century Gothic" w:cs="Calibri"/>
                <w:sz w:val="16"/>
              </w:rPr>
            </w:pPr>
            <w:r w:rsidRPr="001436DC">
              <w:rPr>
                <w:rFonts w:ascii="Century Gothic" w:eastAsia="Calibri" w:hAnsi="Century Gothic" w:cs="Calibri"/>
                <w:sz w:val="16"/>
              </w:rPr>
              <w:t>Evaporative coolers</w:t>
            </w:r>
          </w:p>
        </w:tc>
      </w:tr>
      <w:tr w:rsidR="00334D2C" w:rsidRPr="004461BE" w14:paraId="597A4DB8" w14:textId="77777777" w:rsidTr="00D743EA">
        <w:trPr>
          <w:trHeight w:val="350"/>
          <w:jc w:val="center"/>
        </w:trPr>
        <w:tc>
          <w:tcPr>
            <w:tcW w:w="0" w:type="pct"/>
            <w:hideMark/>
          </w:tcPr>
          <w:p w14:paraId="6AC7D7BB"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Net heat rate (Btu/kWh)</w:t>
            </w:r>
          </w:p>
        </w:tc>
        <w:tc>
          <w:tcPr>
            <w:tcW w:w="0" w:type="pct"/>
            <w:hideMark/>
          </w:tcPr>
          <w:p w14:paraId="0FAC20FD" w14:textId="2D33A773" w:rsidR="00334D2C" w:rsidRPr="001436DC" w:rsidRDefault="00334D2C">
            <w:pPr>
              <w:spacing w:line="259" w:lineRule="auto"/>
              <w:jc w:val="center"/>
              <w:rPr>
                <w:rFonts w:ascii="Century Gothic" w:eastAsia="Calibri" w:hAnsi="Century Gothic" w:cs="Calibri"/>
                <w:sz w:val="16"/>
              </w:rPr>
            </w:pPr>
            <w:r w:rsidRPr="001436DC">
              <w:rPr>
                <w:rFonts w:ascii="Century Gothic" w:eastAsia="Calibri" w:hAnsi="Century Gothic" w:cs="Calibri"/>
                <w:sz w:val="16"/>
              </w:rPr>
              <w:t>9,</w:t>
            </w:r>
            <w:r w:rsidR="00B2265D" w:rsidRPr="001436DC">
              <w:rPr>
                <w:rFonts w:ascii="Century Gothic" w:eastAsia="Calibri" w:hAnsi="Century Gothic" w:cs="Calibri"/>
                <w:sz w:val="16"/>
              </w:rPr>
              <w:t>021</w:t>
            </w:r>
          </w:p>
        </w:tc>
      </w:tr>
      <w:tr w:rsidR="00334D2C" w:rsidRPr="004461BE" w14:paraId="211B12BD" w14:textId="77777777" w:rsidTr="00D743EA">
        <w:trPr>
          <w:cnfStyle w:val="000000100000" w:firstRow="0" w:lastRow="0" w:firstColumn="0" w:lastColumn="0" w:oddVBand="0" w:evenVBand="0" w:oddHBand="1" w:evenHBand="0" w:firstRowFirstColumn="0" w:firstRowLastColumn="0" w:lastRowFirstColumn="0" w:lastRowLastColumn="0"/>
          <w:trHeight w:val="242"/>
          <w:jc w:val="center"/>
        </w:trPr>
        <w:tc>
          <w:tcPr>
            <w:tcW w:w="0" w:type="pct"/>
            <w:hideMark/>
          </w:tcPr>
          <w:p w14:paraId="44047472"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Environmental controls</w:t>
            </w:r>
          </w:p>
        </w:tc>
        <w:tc>
          <w:tcPr>
            <w:tcW w:w="0" w:type="pct"/>
            <w:hideMark/>
          </w:tcPr>
          <w:p w14:paraId="79F402C4" w14:textId="77777777" w:rsidR="00334D2C" w:rsidRPr="001436DC" w:rsidRDefault="00334D2C" w:rsidP="008E234D">
            <w:pPr>
              <w:spacing w:line="259" w:lineRule="auto"/>
              <w:jc w:val="center"/>
              <w:rPr>
                <w:rFonts w:ascii="Century Gothic" w:eastAsia="Calibri" w:hAnsi="Century Gothic" w:cs="Calibri"/>
                <w:sz w:val="16"/>
              </w:rPr>
            </w:pPr>
            <w:r w:rsidRPr="001436DC">
              <w:rPr>
                <w:rFonts w:ascii="Century Gothic" w:eastAsia="Calibri" w:hAnsi="Century Gothic" w:cs="Calibri"/>
                <w:sz w:val="16"/>
              </w:rPr>
              <w:t>Selective catalytic reduction</w:t>
            </w:r>
          </w:p>
        </w:tc>
      </w:tr>
      <w:tr w:rsidR="00334D2C" w:rsidRPr="004461BE" w14:paraId="2F4AEC5E" w14:textId="77777777" w:rsidTr="00D743EA">
        <w:trPr>
          <w:trHeight w:val="323"/>
          <w:jc w:val="center"/>
        </w:trPr>
        <w:tc>
          <w:tcPr>
            <w:tcW w:w="0" w:type="pct"/>
            <w:hideMark/>
          </w:tcPr>
          <w:p w14:paraId="26AAA81D"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Duel-fuel capability</w:t>
            </w:r>
          </w:p>
        </w:tc>
        <w:tc>
          <w:tcPr>
            <w:tcW w:w="0" w:type="pct"/>
            <w:hideMark/>
          </w:tcPr>
          <w:p w14:paraId="7C003700" w14:textId="77777777" w:rsidR="00334D2C" w:rsidRPr="001436DC" w:rsidRDefault="00334D2C" w:rsidP="002A4CE5">
            <w:pPr>
              <w:spacing w:line="259" w:lineRule="auto"/>
              <w:jc w:val="center"/>
              <w:rPr>
                <w:rFonts w:ascii="Century Gothic" w:eastAsia="Calibri" w:hAnsi="Century Gothic" w:cs="Calibri"/>
                <w:sz w:val="16"/>
              </w:rPr>
            </w:pPr>
            <w:r w:rsidRPr="001436DC">
              <w:rPr>
                <w:rFonts w:ascii="Century Gothic" w:eastAsia="Calibri" w:hAnsi="Century Gothic" w:cs="Calibri"/>
                <w:sz w:val="16"/>
              </w:rPr>
              <w:t>Natural gas w/ No. 2 oil backup</w:t>
            </w:r>
          </w:p>
        </w:tc>
      </w:tr>
      <w:tr w:rsidR="00334D2C" w:rsidRPr="004461BE" w14:paraId="3401255C" w14:textId="77777777" w:rsidTr="00D743EA">
        <w:trPr>
          <w:cnfStyle w:val="000000100000" w:firstRow="0" w:lastRow="0" w:firstColumn="0" w:lastColumn="0" w:oddVBand="0" w:evenVBand="0" w:oddHBand="1" w:evenHBand="0" w:firstRowFirstColumn="0" w:firstRowLastColumn="0" w:lastRowFirstColumn="0" w:lastRowLastColumn="0"/>
          <w:trHeight w:val="323"/>
          <w:jc w:val="center"/>
        </w:trPr>
        <w:tc>
          <w:tcPr>
            <w:tcW w:w="0" w:type="pct"/>
            <w:hideMark/>
          </w:tcPr>
          <w:p w14:paraId="685AA53E"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Black start?</w:t>
            </w:r>
          </w:p>
        </w:tc>
        <w:tc>
          <w:tcPr>
            <w:tcW w:w="0" w:type="pct"/>
            <w:hideMark/>
          </w:tcPr>
          <w:p w14:paraId="78822638" w14:textId="77777777" w:rsidR="00334D2C" w:rsidRPr="001436DC" w:rsidRDefault="00334D2C" w:rsidP="002A4CE5">
            <w:pPr>
              <w:spacing w:line="259" w:lineRule="auto"/>
              <w:jc w:val="center"/>
              <w:rPr>
                <w:rFonts w:ascii="Century Gothic" w:eastAsia="Calibri" w:hAnsi="Century Gothic" w:cs="Calibri"/>
                <w:sz w:val="16"/>
              </w:rPr>
            </w:pPr>
            <w:r w:rsidRPr="001436DC">
              <w:rPr>
                <w:rFonts w:ascii="Century Gothic" w:eastAsia="Calibri" w:hAnsi="Century Gothic" w:cs="Calibri"/>
                <w:sz w:val="16"/>
              </w:rPr>
              <w:t>No</w:t>
            </w:r>
          </w:p>
        </w:tc>
      </w:tr>
      <w:tr w:rsidR="00334D2C" w:rsidRPr="004461BE" w14:paraId="2CE3DE8A" w14:textId="77777777" w:rsidTr="00D743EA">
        <w:trPr>
          <w:trHeight w:val="395"/>
          <w:jc w:val="center"/>
        </w:trPr>
        <w:tc>
          <w:tcPr>
            <w:tcW w:w="0" w:type="pct"/>
            <w:hideMark/>
          </w:tcPr>
          <w:p w14:paraId="2B030D5E"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On-site gas compression?</w:t>
            </w:r>
          </w:p>
        </w:tc>
        <w:tc>
          <w:tcPr>
            <w:tcW w:w="0" w:type="pct"/>
            <w:hideMark/>
          </w:tcPr>
          <w:p w14:paraId="2F24ABE9" w14:textId="77777777" w:rsidR="00334D2C" w:rsidRPr="001436DC" w:rsidRDefault="00334D2C" w:rsidP="002A4CE5">
            <w:pPr>
              <w:spacing w:line="259" w:lineRule="auto"/>
              <w:jc w:val="center"/>
              <w:rPr>
                <w:rFonts w:ascii="Century Gothic" w:eastAsia="Calibri" w:hAnsi="Century Gothic" w:cs="Calibri"/>
                <w:sz w:val="16"/>
              </w:rPr>
            </w:pPr>
            <w:r w:rsidRPr="001436DC">
              <w:rPr>
                <w:rFonts w:ascii="Century Gothic" w:eastAsia="Calibri" w:hAnsi="Century Gothic" w:cs="Calibri"/>
                <w:sz w:val="16"/>
              </w:rPr>
              <w:t>No</w:t>
            </w:r>
          </w:p>
        </w:tc>
      </w:tr>
      <w:tr w:rsidR="00334D2C" w:rsidRPr="004461BE" w14:paraId="35E0DFA4" w14:textId="77777777" w:rsidTr="00D743EA">
        <w:trPr>
          <w:cnfStyle w:val="000000100000" w:firstRow="0" w:lastRow="0" w:firstColumn="0" w:lastColumn="0" w:oddVBand="0" w:evenVBand="0" w:oddHBand="1" w:evenHBand="0" w:firstRowFirstColumn="0" w:firstRowLastColumn="0" w:lastRowFirstColumn="0" w:lastRowLastColumn="0"/>
          <w:trHeight w:val="432"/>
          <w:jc w:val="center"/>
        </w:trPr>
        <w:tc>
          <w:tcPr>
            <w:tcW w:w="2077" w:type="pct"/>
            <w:hideMark/>
          </w:tcPr>
          <w:p w14:paraId="3CDD2641"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Gas interconnection</w:t>
            </w:r>
          </w:p>
        </w:tc>
        <w:tc>
          <w:tcPr>
            <w:tcW w:w="2923" w:type="pct"/>
            <w:hideMark/>
          </w:tcPr>
          <w:p w14:paraId="0B116874" w14:textId="77777777" w:rsidR="00334D2C" w:rsidRPr="001436DC" w:rsidRDefault="00334D2C" w:rsidP="002A4CE5">
            <w:pPr>
              <w:spacing w:line="259" w:lineRule="auto"/>
              <w:jc w:val="center"/>
              <w:rPr>
                <w:rFonts w:ascii="Century Gothic" w:eastAsia="Calibri" w:hAnsi="Century Gothic" w:cs="Calibri"/>
                <w:sz w:val="16"/>
              </w:rPr>
            </w:pPr>
            <w:r w:rsidRPr="001436DC">
              <w:rPr>
                <w:rFonts w:ascii="Century Gothic" w:eastAsia="Calibri" w:hAnsi="Century Gothic" w:cs="Calibri"/>
                <w:sz w:val="16"/>
              </w:rPr>
              <w:t>Onsite connection</w:t>
            </w:r>
          </w:p>
        </w:tc>
      </w:tr>
      <w:tr w:rsidR="00334D2C" w:rsidRPr="004461BE" w14:paraId="7AFB7528" w14:textId="77777777" w:rsidTr="00D743EA">
        <w:trPr>
          <w:trHeight w:val="368"/>
          <w:jc w:val="center"/>
        </w:trPr>
        <w:tc>
          <w:tcPr>
            <w:tcW w:w="0" w:type="pct"/>
            <w:hideMark/>
          </w:tcPr>
          <w:p w14:paraId="0EF06495"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Electrical interconnection</w:t>
            </w:r>
          </w:p>
        </w:tc>
        <w:tc>
          <w:tcPr>
            <w:tcW w:w="0" w:type="pct"/>
            <w:hideMark/>
          </w:tcPr>
          <w:p w14:paraId="374F5EFA" w14:textId="77777777" w:rsidR="00334D2C" w:rsidRPr="001436DC" w:rsidRDefault="00334D2C" w:rsidP="002A4CE5">
            <w:pPr>
              <w:spacing w:line="259" w:lineRule="auto"/>
              <w:jc w:val="center"/>
              <w:rPr>
                <w:rFonts w:ascii="Century Gothic" w:eastAsia="Calibri" w:hAnsi="Century Gothic" w:cs="Calibri"/>
                <w:sz w:val="16"/>
              </w:rPr>
            </w:pPr>
            <w:r w:rsidRPr="001436DC">
              <w:rPr>
                <w:rFonts w:ascii="Century Gothic" w:eastAsia="Calibri" w:hAnsi="Century Gothic" w:cs="Calibri"/>
                <w:sz w:val="16"/>
              </w:rPr>
              <w:t>Onsite connection</w:t>
            </w:r>
          </w:p>
        </w:tc>
      </w:tr>
      <w:tr w:rsidR="00334D2C" w:rsidRPr="004461BE" w14:paraId="29251097" w14:textId="77777777" w:rsidTr="00D743EA">
        <w:trPr>
          <w:cnfStyle w:val="000000100000" w:firstRow="0" w:lastRow="0" w:firstColumn="0" w:lastColumn="0" w:oddVBand="0" w:evenVBand="0" w:oddHBand="1" w:evenHBand="0" w:firstRowFirstColumn="0" w:firstRowLastColumn="0" w:lastRowFirstColumn="0" w:lastRowLastColumn="0"/>
          <w:trHeight w:val="278"/>
          <w:jc w:val="center"/>
        </w:trPr>
        <w:tc>
          <w:tcPr>
            <w:tcW w:w="0" w:type="pct"/>
            <w:hideMark/>
          </w:tcPr>
          <w:p w14:paraId="1BCA85A8" w14:textId="77777777" w:rsidR="00334D2C" w:rsidRPr="001436DC" w:rsidRDefault="00334D2C" w:rsidP="00334D2C">
            <w:pPr>
              <w:spacing w:line="259" w:lineRule="auto"/>
              <w:rPr>
                <w:rFonts w:ascii="Century Gothic" w:eastAsia="Calibri" w:hAnsi="Century Gothic" w:cs="Calibri"/>
                <w:sz w:val="16"/>
              </w:rPr>
            </w:pPr>
            <w:r w:rsidRPr="001436DC">
              <w:rPr>
                <w:rFonts w:ascii="Century Gothic" w:eastAsia="Calibri" w:hAnsi="Century Gothic" w:cs="Calibri"/>
                <w:b/>
                <w:bCs/>
                <w:sz w:val="16"/>
              </w:rPr>
              <w:t>Plot size (acres)</w:t>
            </w:r>
          </w:p>
        </w:tc>
        <w:tc>
          <w:tcPr>
            <w:tcW w:w="0" w:type="pct"/>
            <w:hideMark/>
          </w:tcPr>
          <w:p w14:paraId="437636E7" w14:textId="77777777" w:rsidR="00334D2C" w:rsidRPr="001436DC" w:rsidRDefault="00334D2C" w:rsidP="002A4CE5">
            <w:pPr>
              <w:spacing w:line="259" w:lineRule="auto"/>
              <w:jc w:val="center"/>
              <w:rPr>
                <w:rFonts w:ascii="Century Gothic" w:eastAsia="Calibri" w:hAnsi="Century Gothic" w:cs="Calibri"/>
                <w:sz w:val="16"/>
              </w:rPr>
            </w:pPr>
            <w:r w:rsidRPr="001436DC">
              <w:rPr>
                <w:rFonts w:ascii="Century Gothic" w:eastAsia="Calibri" w:hAnsi="Century Gothic" w:cs="Calibri"/>
                <w:sz w:val="16"/>
              </w:rPr>
              <w:t>5.7</w:t>
            </w:r>
          </w:p>
        </w:tc>
      </w:tr>
    </w:tbl>
    <w:p w14:paraId="03483F38" w14:textId="002E0107" w:rsidR="00A527AF" w:rsidRDefault="00A527AF" w:rsidP="008E234D">
      <w:pPr>
        <w:jc w:val="left"/>
        <w:rPr>
          <w:rFonts w:cs="Times New Roman"/>
        </w:rPr>
      </w:pPr>
    </w:p>
    <w:p w14:paraId="05ADE83E" w14:textId="0D6512D9" w:rsidR="00A527AF" w:rsidRPr="00D0516F" w:rsidRDefault="00A527AF" w:rsidP="00A94C52">
      <w:pPr>
        <w:pStyle w:val="Heading4"/>
      </w:pPr>
      <w:r w:rsidRPr="00D0516F">
        <w:t>Capital Costs</w:t>
      </w:r>
    </w:p>
    <w:p w14:paraId="7BB33C08" w14:textId="45D60809" w:rsidR="00A527AF" w:rsidRPr="00D0516F" w:rsidRDefault="00A527AF" w:rsidP="00A527AF">
      <w:pPr>
        <w:rPr>
          <w:rFonts w:cs="Times New Roman"/>
        </w:rPr>
      </w:pPr>
      <w:r w:rsidRPr="00D0516F">
        <w:rPr>
          <w:rFonts w:cs="Times New Roman"/>
        </w:rPr>
        <w:t xml:space="preserve">The capital costs for the </w:t>
      </w:r>
      <w:r>
        <w:rPr>
          <w:rFonts w:cs="Times New Roman"/>
        </w:rPr>
        <w:t>LMS100PA w</w:t>
      </w:r>
      <w:r w:rsidRPr="00D0516F">
        <w:rPr>
          <w:rFonts w:cs="Times New Roman"/>
        </w:rPr>
        <w:t xml:space="preserve">ere developed by </w:t>
      </w:r>
      <w:r w:rsidR="003A0E05">
        <w:rPr>
          <w:rFonts w:cs="Times New Roman"/>
        </w:rPr>
        <w:t>MM</w:t>
      </w:r>
      <w:r w:rsidRPr="00D0516F">
        <w:rPr>
          <w:rFonts w:cs="Times New Roman"/>
        </w:rPr>
        <w:t xml:space="preserve"> through discussions with the manufacturer and reliance on their proprietary database.  These capital cost estimates are shown in </w:t>
      </w:r>
      <w:r w:rsidR="00CF59C5">
        <w:rPr>
          <w:rFonts w:cs="Times New Roman"/>
        </w:rPr>
        <w:fldChar w:fldCharType="begin"/>
      </w:r>
      <w:r w:rsidR="00CF59C5">
        <w:rPr>
          <w:rFonts w:cs="Times New Roman"/>
        </w:rPr>
        <w:instrText xml:space="preserve"> REF _Ref462663833 \h </w:instrText>
      </w:r>
      <w:r w:rsidR="00CF59C5">
        <w:rPr>
          <w:rFonts w:cs="Times New Roman"/>
        </w:rPr>
      </w:r>
      <w:r w:rsidR="00CF59C5">
        <w:rPr>
          <w:rFonts w:cs="Times New Roman"/>
        </w:rPr>
        <w:fldChar w:fldCharType="separate"/>
      </w:r>
      <w:r w:rsidR="006E2301">
        <w:t xml:space="preserve">Table </w:t>
      </w:r>
      <w:r w:rsidR="006E2301">
        <w:rPr>
          <w:noProof/>
        </w:rPr>
        <w:t>17</w:t>
      </w:r>
      <w:r w:rsidR="00CF59C5">
        <w:rPr>
          <w:rFonts w:cs="Times New Roman"/>
        </w:rPr>
        <w:fldChar w:fldCharType="end"/>
      </w:r>
      <w:r w:rsidR="00CF59C5">
        <w:rPr>
          <w:rFonts w:cs="Times New Roman"/>
        </w:rPr>
        <w:t xml:space="preserve"> </w:t>
      </w:r>
      <w:r w:rsidRPr="00D0516F">
        <w:rPr>
          <w:rFonts w:cs="Times New Roman"/>
        </w:rPr>
        <w:t>below.</w:t>
      </w:r>
    </w:p>
    <w:p w14:paraId="261307DE" w14:textId="0BDAFAA7" w:rsidR="00A527AF" w:rsidRDefault="00A527AF" w:rsidP="00D2628D">
      <w:pPr>
        <w:pStyle w:val="Caption"/>
      </w:pPr>
      <w:bookmarkStart w:id="42" w:name="_Ref462663833"/>
      <w:bookmarkStart w:id="43" w:name="_Toc465433442"/>
      <w:r>
        <w:lastRenderedPageBreak/>
        <w:t xml:space="preserve">Table </w:t>
      </w:r>
      <w:r w:rsidR="00FA6573">
        <w:fldChar w:fldCharType="begin"/>
      </w:r>
      <w:r w:rsidR="00FA6573">
        <w:instrText xml:space="preserve"> SEQ Table \* ARABIC </w:instrText>
      </w:r>
      <w:r w:rsidR="00FA6573">
        <w:fldChar w:fldCharType="separate"/>
      </w:r>
      <w:r w:rsidR="000637A3">
        <w:rPr>
          <w:noProof/>
        </w:rPr>
        <w:t>17</w:t>
      </w:r>
      <w:r w:rsidR="00FA6573">
        <w:rPr>
          <w:noProof/>
        </w:rPr>
        <w:fldChar w:fldCharType="end"/>
      </w:r>
      <w:bookmarkEnd w:id="42"/>
      <w:r>
        <w:t xml:space="preserve">: </w:t>
      </w:r>
      <w:r w:rsidRPr="000B16D6">
        <w:t>LMS100PA Capital Costs</w:t>
      </w:r>
      <w:bookmarkEnd w:id="43"/>
    </w:p>
    <w:p w14:paraId="5CE70471" w14:textId="53DC42B0" w:rsidR="005E0407" w:rsidRPr="005E0407" w:rsidRDefault="005E0407" w:rsidP="005E0407">
      <w:pPr>
        <w:jc w:val="center"/>
      </w:pPr>
      <w:r w:rsidRPr="005E0407">
        <w:rPr>
          <w:noProof/>
        </w:rPr>
        <w:drawing>
          <wp:inline distT="0" distB="0" distL="0" distR="0" wp14:anchorId="08571E7A" wp14:editId="16FBDF2F">
            <wp:extent cx="5019040" cy="4210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2915" cy="4213300"/>
                    </a:xfrm>
                    <a:prstGeom prst="rect">
                      <a:avLst/>
                    </a:prstGeom>
                    <a:noFill/>
                    <a:ln>
                      <a:noFill/>
                    </a:ln>
                  </pic:spPr>
                </pic:pic>
              </a:graphicData>
            </a:graphic>
          </wp:inline>
        </w:drawing>
      </w:r>
    </w:p>
    <w:p w14:paraId="42779A51" w14:textId="77777777" w:rsidR="00A527AF" w:rsidRPr="00D0516F" w:rsidRDefault="00A527AF" w:rsidP="00A94C52">
      <w:pPr>
        <w:pStyle w:val="Heading4"/>
      </w:pPr>
      <w:r w:rsidRPr="00D0516F">
        <w:t>Operating and Maintenance Costs</w:t>
      </w:r>
    </w:p>
    <w:p w14:paraId="0167EC46" w14:textId="1738DC01" w:rsidR="00A527AF" w:rsidRDefault="00A527AF" w:rsidP="00485C8A">
      <w:pPr>
        <w:rPr>
          <w:rFonts w:cs="Times New Roman"/>
        </w:rPr>
      </w:pPr>
      <w:r w:rsidRPr="00BF64E4">
        <w:rPr>
          <w:rFonts w:cs="Times New Roman"/>
        </w:rPr>
        <w:t xml:space="preserve">Fixed costs for the facility consist of fixed O&amp;M inclusive of labor, materials, contract services, and associated costs; leasing of the land on which the plant is located, property taxes, and insurance.  Fixed costs for the facility consist of fixed O&amp;M inclusive of labor, materials, contract services, and associated costs; leasing of the land on which the plant is located, property taxes, and insurance. </w:t>
      </w:r>
      <w:r w:rsidR="00A34EE4">
        <w:rPr>
          <w:rFonts w:cs="Times New Roman"/>
        </w:rPr>
        <w:t>The costs associated with land lease, property tax, and insurance are discussed in Section III.B.</w:t>
      </w:r>
      <w:r w:rsidR="00097323">
        <w:rPr>
          <w:rFonts w:cs="Times New Roman"/>
        </w:rPr>
        <w:t xml:space="preserve">  </w:t>
      </w:r>
      <w:r w:rsidR="00097323" w:rsidRPr="00337548">
        <w:rPr>
          <w:rFonts w:cs="Times New Roman"/>
        </w:rPr>
        <w:t xml:space="preserve">We have assumed a LTSA that include </w:t>
      </w:r>
      <w:r w:rsidR="00097323" w:rsidRPr="00337548">
        <w:t>parts, labor, and materials as well as a turbine sharing program that would utilize a shared rotor for quick return to service.  The removed rotor would then be serviced and used in the shared rotor program with other plant owners</w:t>
      </w:r>
      <w:r w:rsidR="00BB483A">
        <w:t xml:space="preserve">, which minimizes </w:t>
      </w:r>
      <w:r w:rsidR="00097323" w:rsidRPr="00337548">
        <w:t xml:space="preserve">down time for the </w:t>
      </w:r>
      <w:proofErr w:type="spellStart"/>
      <w:r w:rsidR="00097323" w:rsidRPr="00337548">
        <w:t>aeroderivative</w:t>
      </w:r>
      <w:proofErr w:type="spellEnd"/>
      <w:r w:rsidR="00097323" w:rsidRPr="00337548">
        <w:t xml:space="preserve"> plants.  The duration of the LTSA would be up to and including the first major outage.  Planned outages would be included under the agreement, but unplanned outages would not be covered. </w:t>
      </w:r>
    </w:p>
    <w:p w14:paraId="31BF0122" w14:textId="77777777" w:rsidR="00A527AF" w:rsidRPr="00083743" w:rsidRDefault="00A527AF" w:rsidP="00A527AF">
      <w:pPr>
        <w:keepNext/>
        <w:keepLines/>
        <w:rPr>
          <w:rFonts w:cs="Times New Roman"/>
        </w:rPr>
      </w:pPr>
      <w:r w:rsidRPr="00BF64E4">
        <w:rPr>
          <w:rFonts w:cs="Times New Roman"/>
        </w:rPr>
        <w:lastRenderedPageBreak/>
        <w:t>Fixed costs for the LMS100</w:t>
      </w:r>
      <w:r>
        <w:rPr>
          <w:rFonts w:cs="Times New Roman"/>
        </w:rPr>
        <w:t>PA</w:t>
      </w:r>
      <w:r w:rsidRPr="00BF64E4">
        <w:rPr>
          <w:rFonts w:cs="Times New Roman"/>
        </w:rPr>
        <w:t xml:space="preserve"> are shown below:</w:t>
      </w:r>
    </w:p>
    <w:p w14:paraId="079B41B5" w14:textId="5E22FDFF" w:rsidR="00A527AF" w:rsidRPr="000B16D6" w:rsidRDefault="00A527AF" w:rsidP="00D2628D">
      <w:pPr>
        <w:pStyle w:val="Caption"/>
      </w:pPr>
      <w:r w:rsidRPr="000B16D6">
        <w:t xml:space="preserve">  </w:t>
      </w:r>
      <w:bookmarkStart w:id="44" w:name="_Toc465433443"/>
      <w:r>
        <w:t xml:space="preserve">Table </w:t>
      </w:r>
      <w:r w:rsidR="00FA6573">
        <w:fldChar w:fldCharType="begin"/>
      </w:r>
      <w:r w:rsidR="00FA6573">
        <w:instrText xml:space="preserve"> SEQ Table \* ARABIC </w:instrText>
      </w:r>
      <w:r w:rsidR="00FA6573">
        <w:fldChar w:fldCharType="separate"/>
      </w:r>
      <w:r w:rsidR="000637A3">
        <w:rPr>
          <w:noProof/>
        </w:rPr>
        <w:t>18</w:t>
      </w:r>
      <w:r w:rsidR="00FA6573">
        <w:rPr>
          <w:noProof/>
        </w:rPr>
        <w:fldChar w:fldCharType="end"/>
      </w:r>
      <w:r>
        <w:t xml:space="preserve">: </w:t>
      </w:r>
      <w:r w:rsidRPr="000B16D6">
        <w:t>LMS100</w:t>
      </w:r>
      <w:r>
        <w:t>PA</w:t>
      </w:r>
      <w:r w:rsidRPr="000B16D6">
        <w:t xml:space="preserve"> Fixed Operating Costs</w:t>
      </w:r>
      <w:bookmarkEnd w:id="44"/>
    </w:p>
    <w:tbl>
      <w:tblPr>
        <w:tblStyle w:val="GridTable4-Accent32"/>
        <w:tblW w:w="5755" w:type="dxa"/>
        <w:jc w:val="center"/>
        <w:tblLook w:val="04A0" w:firstRow="1" w:lastRow="0" w:firstColumn="1" w:lastColumn="0" w:noHBand="0" w:noVBand="1"/>
      </w:tblPr>
      <w:tblGrid>
        <w:gridCol w:w="2088"/>
        <w:gridCol w:w="3667"/>
      </w:tblGrid>
      <w:tr w:rsidR="00A527AF" w:rsidRPr="004461BE" w14:paraId="11CEAB10" w14:textId="77777777" w:rsidTr="002A4CE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6A3473C0" w14:textId="77777777" w:rsidR="00A527AF" w:rsidRPr="001436DC" w:rsidRDefault="00A527AF" w:rsidP="002A4CE5">
            <w:pPr>
              <w:keepNext/>
              <w:keepLines/>
              <w:jc w:val="left"/>
              <w:rPr>
                <w:rFonts w:ascii="Century Gothic" w:hAnsi="Century Gothic" w:cs="Times New Roman"/>
                <w:b w:val="0"/>
                <w:color w:val="000000" w:themeColor="text1"/>
                <w:sz w:val="18"/>
              </w:rPr>
            </w:pPr>
            <w:r w:rsidRPr="001436DC">
              <w:rPr>
                <w:rFonts w:ascii="Century Gothic" w:hAnsi="Century Gothic" w:cs="Times New Roman"/>
                <w:color w:val="000000" w:themeColor="text1"/>
                <w:sz w:val="18"/>
              </w:rPr>
              <w:t>Fixed Expense</w:t>
            </w:r>
          </w:p>
        </w:tc>
        <w:tc>
          <w:tcPr>
            <w:tcW w:w="0" w:type="auto"/>
            <w:vAlign w:val="bottom"/>
          </w:tcPr>
          <w:p w14:paraId="79497306" w14:textId="77777777" w:rsidR="00A527AF" w:rsidRPr="001436DC" w:rsidRDefault="00A527AF">
            <w:pPr>
              <w:keepNext/>
              <w:keepLines/>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8"/>
              </w:rPr>
            </w:pPr>
            <w:r w:rsidRPr="001436DC">
              <w:rPr>
                <w:rFonts w:ascii="Century Gothic" w:hAnsi="Century Gothic" w:cs="Times New Roman"/>
                <w:color w:val="000000" w:themeColor="text1"/>
                <w:sz w:val="18"/>
              </w:rPr>
              <w:t>Estimated cost</w:t>
            </w:r>
          </w:p>
        </w:tc>
      </w:tr>
      <w:tr w:rsidR="00A527AF" w:rsidRPr="004461BE" w14:paraId="4033783B" w14:textId="77777777" w:rsidTr="002A4CE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0" w:type="auto"/>
          </w:tcPr>
          <w:p w14:paraId="40853E48" w14:textId="77777777" w:rsidR="00A527AF" w:rsidRPr="001436DC" w:rsidRDefault="00A527AF" w:rsidP="00A527AF">
            <w:pPr>
              <w:keepNext/>
              <w:keepLines/>
              <w:rPr>
                <w:rFonts w:ascii="Century Gothic" w:hAnsi="Century Gothic" w:cs="Times New Roman"/>
                <w:sz w:val="16"/>
              </w:rPr>
            </w:pPr>
            <w:r w:rsidRPr="001436DC">
              <w:rPr>
                <w:rFonts w:ascii="Century Gothic" w:hAnsi="Century Gothic" w:cs="Times New Roman"/>
                <w:sz w:val="16"/>
              </w:rPr>
              <w:t>Fixed O&amp;M</w:t>
            </w:r>
          </w:p>
        </w:tc>
        <w:tc>
          <w:tcPr>
            <w:tcW w:w="0" w:type="auto"/>
          </w:tcPr>
          <w:p w14:paraId="52B33635" w14:textId="45682B16" w:rsidR="00A527AF" w:rsidRPr="001436DC" w:rsidRDefault="00A527AF" w:rsidP="005E0407">
            <w:pPr>
              <w:keepNext/>
              <w:keepLine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w:t>
            </w:r>
            <w:r w:rsidR="0054105D" w:rsidRPr="001436DC">
              <w:rPr>
                <w:rFonts w:ascii="Century Gothic" w:hAnsi="Century Gothic" w:cs="Times New Roman"/>
                <w:sz w:val="16"/>
              </w:rPr>
              <w:t>69</w:t>
            </w:r>
            <w:r w:rsidR="002D0E7F" w:rsidRPr="001436DC">
              <w:rPr>
                <w:rFonts w:ascii="Century Gothic" w:hAnsi="Century Gothic" w:cs="Times New Roman"/>
                <w:sz w:val="16"/>
              </w:rPr>
              <w:t>.00</w:t>
            </w:r>
            <w:r w:rsidRPr="001436DC">
              <w:rPr>
                <w:rFonts w:ascii="Century Gothic" w:hAnsi="Century Gothic" w:cs="Times New Roman"/>
                <w:sz w:val="16"/>
              </w:rPr>
              <w:t xml:space="preserve">/kW-year </w:t>
            </w:r>
          </w:p>
        </w:tc>
      </w:tr>
      <w:tr w:rsidR="00A527AF" w:rsidRPr="004461BE" w14:paraId="1A485208" w14:textId="77777777" w:rsidTr="002A4CE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Pr>
          <w:p w14:paraId="11983545" w14:textId="77777777" w:rsidR="00A527AF" w:rsidRPr="001436DC" w:rsidRDefault="00A527AF" w:rsidP="00A527AF">
            <w:pPr>
              <w:keepNext/>
              <w:keepLines/>
              <w:rPr>
                <w:rFonts w:ascii="Century Gothic" w:hAnsi="Century Gothic" w:cs="Times New Roman"/>
                <w:sz w:val="16"/>
              </w:rPr>
            </w:pPr>
            <w:r w:rsidRPr="001436DC">
              <w:rPr>
                <w:rFonts w:ascii="Century Gothic" w:hAnsi="Century Gothic" w:cs="Times New Roman"/>
                <w:sz w:val="16"/>
              </w:rPr>
              <w:t>Site leasing</w:t>
            </w:r>
          </w:p>
        </w:tc>
        <w:tc>
          <w:tcPr>
            <w:tcW w:w="0" w:type="auto"/>
          </w:tcPr>
          <w:p w14:paraId="174056A2" w14:textId="69356557" w:rsidR="00A527AF" w:rsidRPr="001436DC" w:rsidRDefault="00A527AF" w:rsidP="005E0407">
            <w:pPr>
              <w:keepNext/>
              <w:keepLine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 xml:space="preserve">$25,000/acre/year </w:t>
            </w:r>
          </w:p>
        </w:tc>
      </w:tr>
      <w:tr w:rsidR="00A527AF" w:rsidRPr="004461BE" w14:paraId="0E136ACB" w14:textId="77777777" w:rsidTr="002A4CE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Pr>
          <w:p w14:paraId="637FB3D4" w14:textId="77777777" w:rsidR="00A527AF" w:rsidRPr="001436DC" w:rsidRDefault="00A527AF" w:rsidP="00A527AF">
            <w:pPr>
              <w:keepNext/>
              <w:keepLines/>
              <w:rPr>
                <w:rFonts w:ascii="Century Gothic" w:hAnsi="Century Gothic" w:cs="Times New Roman"/>
                <w:sz w:val="16"/>
              </w:rPr>
            </w:pPr>
            <w:r w:rsidRPr="001436DC">
              <w:rPr>
                <w:rFonts w:ascii="Century Gothic" w:hAnsi="Century Gothic" w:cs="Times New Roman"/>
                <w:sz w:val="16"/>
              </w:rPr>
              <w:t>Property taxes</w:t>
            </w:r>
          </w:p>
        </w:tc>
        <w:tc>
          <w:tcPr>
            <w:tcW w:w="0" w:type="auto"/>
          </w:tcPr>
          <w:p w14:paraId="3522AB53" w14:textId="77777777" w:rsidR="00A527AF" w:rsidRPr="001436DC" w:rsidRDefault="00A527AF" w:rsidP="00A527AF">
            <w:pPr>
              <w:keepNext/>
              <w:keepLine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3.0%</w:t>
            </w:r>
          </w:p>
        </w:tc>
      </w:tr>
      <w:tr w:rsidR="00A527AF" w:rsidRPr="004461BE" w14:paraId="07163D6E" w14:textId="77777777" w:rsidTr="002A4CE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Pr>
          <w:p w14:paraId="19F4A6D8" w14:textId="77777777" w:rsidR="00A527AF" w:rsidRPr="001436DC" w:rsidRDefault="00A527AF" w:rsidP="00A527AF">
            <w:pPr>
              <w:keepNext/>
              <w:keepLines/>
              <w:rPr>
                <w:rFonts w:ascii="Century Gothic" w:hAnsi="Century Gothic" w:cs="Times New Roman"/>
                <w:sz w:val="16"/>
              </w:rPr>
            </w:pPr>
            <w:r w:rsidRPr="001436DC">
              <w:rPr>
                <w:rFonts w:ascii="Century Gothic" w:hAnsi="Century Gothic" w:cs="Times New Roman"/>
                <w:sz w:val="16"/>
              </w:rPr>
              <w:t>Insurance</w:t>
            </w:r>
          </w:p>
        </w:tc>
        <w:tc>
          <w:tcPr>
            <w:tcW w:w="0" w:type="auto"/>
          </w:tcPr>
          <w:p w14:paraId="59B16FAE" w14:textId="77777777" w:rsidR="00A527AF" w:rsidRPr="001436DC" w:rsidRDefault="00A527AF" w:rsidP="00A527AF">
            <w:pPr>
              <w:keepNext/>
              <w:keepLine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0.6% of installed costs per year</w:t>
            </w:r>
          </w:p>
        </w:tc>
      </w:tr>
    </w:tbl>
    <w:p w14:paraId="14843C52" w14:textId="77777777" w:rsidR="0027107E" w:rsidRDefault="0027107E" w:rsidP="0027107E">
      <w:pPr>
        <w:rPr>
          <w:rFonts w:cs="Times New Roman"/>
        </w:rPr>
      </w:pPr>
    </w:p>
    <w:p w14:paraId="3E6C61C2" w14:textId="06733BC8" w:rsidR="0054105D" w:rsidRDefault="0027107E" w:rsidP="0027107E">
      <w:pPr>
        <w:rPr>
          <w:rFonts w:cs="Times New Roman"/>
        </w:rPr>
      </w:pPr>
      <w:r w:rsidRPr="00BF64E4">
        <w:rPr>
          <w:rFonts w:cs="Times New Roman"/>
        </w:rPr>
        <w:t>VOM is assumed to be $</w:t>
      </w:r>
      <w:r w:rsidR="005E0407">
        <w:rPr>
          <w:rFonts w:cs="Times New Roman"/>
        </w:rPr>
        <w:t>5.00/M</w:t>
      </w:r>
      <w:r>
        <w:rPr>
          <w:rFonts w:cs="Times New Roman"/>
        </w:rPr>
        <w:t>Wh</w:t>
      </w:r>
      <w:r w:rsidRPr="00BF64E4">
        <w:rPr>
          <w:rFonts w:cs="Times New Roman"/>
        </w:rPr>
        <w:t xml:space="preserve"> </w:t>
      </w:r>
      <w:r>
        <w:rPr>
          <w:rFonts w:cs="Times New Roman"/>
        </w:rPr>
        <w:t xml:space="preserve">based on consultation with </w:t>
      </w:r>
      <w:r w:rsidR="003A0E05">
        <w:rPr>
          <w:rFonts w:cs="Times New Roman"/>
        </w:rPr>
        <w:t>MM</w:t>
      </w:r>
      <w:r w:rsidR="0054105D">
        <w:rPr>
          <w:rFonts w:cs="Times New Roman"/>
        </w:rPr>
        <w:t>.</w:t>
      </w:r>
    </w:p>
    <w:p w14:paraId="502F4BB8" w14:textId="56AF6B2D" w:rsidR="0054105D" w:rsidRPr="000E5185" w:rsidRDefault="0054105D" w:rsidP="00A12D4D">
      <w:pPr>
        <w:pStyle w:val="Heading3"/>
      </w:pPr>
      <w:r w:rsidRPr="000E5185">
        <w:t xml:space="preserve">7HA.02 </w:t>
      </w:r>
      <w:r>
        <w:t xml:space="preserve">Combined </w:t>
      </w:r>
      <w:r w:rsidRPr="000E5185">
        <w:t>Cycle Gas Turbine</w:t>
      </w:r>
    </w:p>
    <w:p w14:paraId="356C2223" w14:textId="5493D175" w:rsidR="00A527AF" w:rsidRPr="00BF64E4" w:rsidRDefault="00A527AF" w:rsidP="00A527AF">
      <w:pPr>
        <w:rPr>
          <w:rFonts w:cs="Times New Roman"/>
        </w:rPr>
      </w:pPr>
      <w:r w:rsidRPr="00BF64E4">
        <w:rPr>
          <w:rFonts w:cs="Times New Roman"/>
        </w:rPr>
        <w:t xml:space="preserve">The </w:t>
      </w:r>
      <w:r w:rsidR="00BB483A">
        <w:rPr>
          <w:rFonts w:cs="Times New Roman"/>
        </w:rPr>
        <w:t xml:space="preserve">Combined Cycle GT </w:t>
      </w:r>
      <w:r w:rsidRPr="00BF64E4">
        <w:rPr>
          <w:rFonts w:cs="Times New Roman"/>
        </w:rPr>
        <w:t>utilizes the same combustion turbine a</w:t>
      </w:r>
      <w:r w:rsidR="0053355E">
        <w:rPr>
          <w:rFonts w:cs="Times New Roman"/>
        </w:rPr>
        <w:t>s</w:t>
      </w:r>
      <w:r w:rsidRPr="00BF64E4">
        <w:rPr>
          <w:rFonts w:cs="Times New Roman"/>
        </w:rPr>
        <w:t xml:space="preserve"> the </w:t>
      </w:r>
      <w:r w:rsidR="00BB483A">
        <w:rPr>
          <w:rFonts w:cs="Times New Roman"/>
        </w:rPr>
        <w:t>S</w:t>
      </w:r>
      <w:r>
        <w:rPr>
          <w:rFonts w:cs="Times New Roman"/>
        </w:rPr>
        <w:t xml:space="preserve">imple </w:t>
      </w:r>
      <w:r w:rsidR="00BB483A">
        <w:rPr>
          <w:rFonts w:cs="Times New Roman"/>
        </w:rPr>
        <w:t>C</w:t>
      </w:r>
      <w:r>
        <w:rPr>
          <w:rFonts w:cs="Times New Roman"/>
        </w:rPr>
        <w:t xml:space="preserve">ycle </w:t>
      </w:r>
      <w:r w:rsidR="00BB483A">
        <w:rPr>
          <w:rFonts w:cs="Times New Roman"/>
        </w:rPr>
        <w:t>GT</w:t>
      </w:r>
      <w:r>
        <w:rPr>
          <w:rFonts w:cs="Times New Roman"/>
        </w:rPr>
        <w:t>.  H</w:t>
      </w:r>
      <w:r w:rsidRPr="00BF64E4">
        <w:rPr>
          <w:rFonts w:cs="Times New Roman"/>
        </w:rPr>
        <w:t xml:space="preserve">owever, </w:t>
      </w:r>
      <w:r>
        <w:rPr>
          <w:rFonts w:cs="Times New Roman"/>
        </w:rPr>
        <w:t xml:space="preserve">with the </w:t>
      </w:r>
      <w:r w:rsidR="00BB483A">
        <w:rPr>
          <w:rFonts w:cs="Times New Roman"/>
        </w:rPr>
        <w:t xml:space="preserve">Combined Cycle </w:t>
      </w:r>
      <w:proofErr w:type="gramStart"/>
      <w:r w:rsidR="00BB483A">
        <w:rPr>
          <w:rFonts w:cs="Times New Roman"/>
        </w:rPr>
        <w:t xml:space="preserve">GT </w:t>
      </w:r>
      <w:r>
        <w:rPr>
          <w:rFonts w:cs="Times New Roman"/>
        </w:rPr>
        <w:t>,</w:t>
      </w:r>
      <w:proofErr w:type="gramEnd"/>
      <w:r>
        <w:rPr>
          <w:rFonts w:cs="Times New Roman"/>
        </w:rPr>
        <w:t xml:space="preserve"> a </w:t>
      </w:r>
      <w:r w:rsidRPr="00BF64E4">
        <w:rPr>
          <w:rFonts w:cs="Times New Roman"/>
        </w:rPr>
        <w:t xml:space="preserve">HRSG is added to allow for additional generation using exhaust gases.  Adding the HRSG increases capital costs significantly; however, doing so also increases plant size and plant efficiency.  </w:t>
      </w:r>
    </w:p>
    <w:p w14:paraId="10667B19" w14:textId="45D75C88" w:rsidR="00A527AF" w:rsidRPr="00BF64E4" w:rsidRDefault="00A527AF" w:rsidP="00A527AF">
      <w:pPr>
        <w:rPr>
          <w:rFonts w:cs="Times New Roman"/>
        </w:rPr>
      </w:pPr>
      <w:r>
        <w:rPr>
          <w:rFonts w:cs="Times New Roman"/>
        </w:rPr>
        <w:t>T</w:t>
      </w:r>
      <w:r w:rsidRPr="00BF64E4">
        <w:rPr>
          <w:rFonts w:cs="Times New Roman"/>
        </w:rPr>
        <w:t xml:space="preserve">he </w:t>
      </w:r>
      <w:r w:rsidR="00BB483A">
        <w:rPr>
          <w:rFonts w:cs="Times New Roman"/>
        </w:rPr>
        <w:t>Combined Cycle GT</w:t>
      </w:r>
      <w:r w:rsidRPr="00BF64E4">
        <w:rPr>
          <w:rFonts w:cs="Times New Roman"/>
        </w:rPr>
        <w:t xml:space="preserve"> </w:t>
      </w:r>
      <w:r>
        <w:rPr>
          <w:rFonts w:cs="Times New Roman"/>
        </w:rPr>
        <w:t>was</w:t>
      </w:r>
      <w:r w:rsidRPr="00BF64E4">
        <w:rPr>
          <w:rFonts w:cs="Times New Roman"/>
        </w:rPr>
        <w:t xml:space="preserve"> assumed to have duct firing capab</w:t>
      </w:r>
      <w:r>
        <w:rPr>
          <w:rFonts w:cs="Times New Roman"/>
        </w:rPr>
        <w:t xml:space="preserve">ility. </w:t>
      </w:r>
      <w:r w:rsidRPr="00BF64E4">
        <w:rPr>
          <w:rFonts w:cs="Times New Roman"/>
        </w:rPr>
        <w:t>Duct firing is an option many plant developers choose to provide a highly flexible source of short-notice capacity that can be used to capture revenues during periods of high prices.  Because inclusion of duct firing capability appears to be the current prevailing trend among developers, it has been included for purposes of this analysis.</w:t>
      </w:r>
    </w:p>
    <w:p w14:paraId="468D3484" w14:textId="5C869DB9" w:rsidR="00A527AF" w:rsidRDefault="00A527AF" w:rsidP="00A527AF">
      <w:pPr>
        <w:rPr>
          <w:rFonts w:cs="Times New Roman"/>
        </w:rPr>
      </w:pPr>
      <w:r w:rsidRPr="00BF64E4">
        <w:rPr>
          <w:rFonts w:cs="Times New Roman"/>
        </w:rPr>
        <w:t xml:space="preserve">The </w:t>
      </w:r>
      <w:r w:rsidR="00BB483A">
        <w:rPr>
          <w:rFonts w:cs="Times New Roman"/>
        </w:rPr>
        <w:t xml:space="preserve">Combined Cycle GT is assumed to have </w:t>
      </w:r>
      <w:r w:rsidRPr="00BF64E4">
        <w:rPr>
          <w:rFonts w:cs="Times New Roman"/>
        </w:rPr>
        <w:t xml:space="preserve">a baseload capacity of 491 MW and a total capacity of 533 MW when duct firing is engaged.  It </w:t>
      </w:r>
      <w:r w:rsidR="00BB483A">
        <w:rPr>
          <w:rFonts w:cs="Times New Roman"/>
        </w:rPr>
        <w:t>was</w:t>
      </w:r>
      <w:r w:rsidR="00BB483A" w:rsidRPr="00BF64E4">
        <w:rPr>
          <w:rFonts w:cs="Times New Roman"/>
        </w:rPr>
        <w:t xml:space="preserve"> </w:t>
      </w:r>
      <w:r w:rsidRPr="00BF64E4">
        <w:rPr>
          <w:rFonts w:cs="Times New Roman"/>
        </w:rPr>
        <w:t xml:space="preserve">assumed to be equipped with both fin fan cooler and evaporative coolers for power augmentation.  To control emissions, the plan utilizes both SCR and a CO catalyst.  The baseload heat rate of the CC </w:t>
      </w:r>
      <w:r>
        <w:rPr>
          <w:rFonts w:cs="Times New Roman"/>
        </w:rPr>
        <w:t>was assumed to be</w:t>
      </w:r>
      <w:r w:rsidRPr="00BF64E4">
        <w:rPr>
          <w:rFonts w:cs="Times New Roman"/>
        </w:rPr>
        <w:t xml:space="preserve"> 6,381 Btu/kWh; when duct firing is engaged, the net heat rate increases to 6,546 Btu/kWh.  Based on a typic</w:t>
      </w:r>
      <w:r>
        <w:rPr>
          <w:rFonts w:cs="Times New Roman"/>
        </w:rPr>
        <w:t>al configuration, the facility wa</w:t>
      </w:r>
      <w:r w:rsidRPr="00BF64E4">
        <w:rPr>
          <w:rFonts w:cs="Times New Roman"/>
        </w:rPr>
        <w:t xml:space="preserve">s assumed to be installed on a plot of 15 acres. </w:t>
      </w:r>
    </w:p>
    <w:p w14:paraId="3CB21F7D" w14:textId="06ADA2CA" w:rsidR="00A527AF" w:rsidRDefault="00A527AF" w:rsidP="00A527AF">
      <w:pPr>
        <w:keepNext/>
        <w:keepLines/>
        <w:rPr>
          <w:rFonts w:cs="Times New Roman"/>
        </w:rPr>
      </w:pPr>
      <w:r>
        <w:rPr>
          <w:rFonts w:cs="Times New Roman"/>
        </w:rPr>
        <w:lastRenderedPageBreak/>
        <w:t xml:space="preserve">A summary of the technical specifications is shown in </w:t>
      </w:r>
      <w:r>
        <w:rPr>
          <w:rFonts w:cs="Times New Roman"/>
        </w:rPr>
        <w:fldChar w:fldCharType="begin"/>
      </w:r>
      <w:r>
        <w:rPr>
          <w:rFonts w:cs="Times New Roman"/>
        </w:rPr>
        <w:instrText xml:space="preserve"> REF _Ref462598659 \h </w:instrText>
      </w:r>
      <w:r>
        <w:rPr>
          <w:rFonts w:cs="Times New Roman"/>
        </w:rPr>
      </w:r>
      <w:r>
        <w:rPr>
          <w:rFonts w:cs="Times New Roman"/>
        </w:rPr>
        <w:fldChar w:fldCharType="separate"/>
      </w:r>
      <w:r w:rsidR="006E2301">
        <w:t xml:space="preserve">Table </w:t>
      </w:r>
      <w:r w:rsidR="006E2301">
        <w:rPr>
          <w:noProof/>
        </w:rPr>
        <w:t>19</w:t>
      </w:r>
      <w:r>
        <w:rPr>
          <w:rFonts w:cs="Times New Roman"/>
        </w:rPr>
        <w:fldChar w:fldCharType="end"/>
      </w:r>
      <w:r>
        <w:rPr>
          <w:rFonts w:cs="Times New Roman"/>
        </w:rPr>
        <w:t xml:space="preserve"> below.</w:t>
      </w:r>
    </w:p>
    <w:p w14:paraId="186EDEB2" w14:textId="2824222D" w:rsidR="00A527AF" w:rsidRPr="000B16D6" w:rsidRDefault="00A527AF" w:rsidP="00D2628D">
      <w:pPr>
        <w:pStyle w:val="Caption"/>
      </w:pPr>
      <w:bookmarkStart w:id="45" w:name="_Ref462598659"/>
      <w:bookmarkStart w:id="46" w:name="_Toc465433444"/>
      <w:r>
        <w:t xml:space="preserve">Table </w:t>
      </w:r>
      <w:r w:rsidR="00FA6573">
        <w:fldChar w:fldCharType="begin"/>
      </w:r>
      <w:r w:rsidR="00FA6573">
        <w:instrText xml:space="preserve"> SEQ Table \* ARABIC </w:instrText>
      </w:r>
      <w:r w:rsidR="00FA6573">
        <w:fldChar w:fldCharType="separate"/>
      </w:r>
      <w:r w:rsidR="000637A3">
        <w:rPr>
          <w:noProof/>
        </w:rPr>
        <w:t>19</w:t>
      </w:r>
      <w:r w:rsidR="00FA6573">
        <w:rPr>
          <w:noProof/>
        </w:rPr>
        <w:fldChar w:fldCharType="end"/>
      </w:r>
      <w:bookmarkEnd w:id="45"/>
      <w:r>
        <w:t>: GE7HA.02 Combined Cycle Technical Specifications</w:t>
      </w:r>
      <w:bookmarkEnd w:id="46"/>
    </w:p>
    <w:tbl>
      <w:tblPr>
        <w:tblStyle w:val="GridTable4-Accent39"/>
        <w:tblW w:w="3898" w:type="pct"/>
        <w:tblInd w:w="1075" w:type="dxa"/>
        <w:tblLook w:val="0420" w:firstRow="1" w:lastRow="0" w:firstColumn="0" w:lastColumn="0" w:noHBand="0" w:noVBand="1"/>
      </w:tblPr>
      <w:tblGrid>
        <w:gridCol w:w="3444"/>
        <w:gridCol w:w="4021"/>
      </w:tblGrid>
      <w:tr w:rsidR="002360E1" w:rsidRPr="00744A69" w14:paraId="11B8C653" w14:textId="77777777" w:rsidTr="008E234D">
        <w:trPr>
          <w:cnfStyle w:val="100000000000" w:firstRow="1" w:lastRow="0" w:firstColumn="0" w:lastColumn="0" w:oddVBand="0" w:evenVBand="0" w:oddHBand="0" w:evenHBand="0" w:firstRowFirstColumn="0" w:firstRowLastColumn="0" w:lastRowFirstColumn="0" w:lastRowLastColumn="0"/>
          <w:trHeight w:val="432"/>
        </w:trPr>
        <w:tc>
          <w:tcPr>
            <w:tcW w:w="2307" w:type="pct"/>
            <w:vAlign w:val="center"/>
            <w:hideMark/>
          </w:tcPr>
          <w:p w14:paraId="49ADEF1D" w14:textId="77777777" w:rsidR="002360E1" w:rsidRPr="00BF404F" w:rsidRDefault="002360E1" w:rsidP="008E234D">
            <w:pPr>
              <w:keepNext/>
              <w:keepLines/>
              <w:spacing w:before="100" w:beforeAutospacing="1" w:after="100" w:afterAutospacing="1" w:line="240" w:lineRule="auto"/>
              <w:jc w:val="center"/>
              <w:rPr>
                <w:rFonts w:ascii="Century Gothic" w:eastAsia="Calibri" w:hAnsi="Century Gothic" w:cs="Calibri"/>
                <w:smallCaps w:val="0"/>
                <w:color w:val="000000" w:themeColor="text1"/>
                <w:sz w:val="18"/>
              </w:rPr>
            </w:pPr>
            <w:r w:rsidRPr="00BF404F">
              <w:rPr>
                <w:rFonts w:ascii="Century Gothic" w:eastAsia="Calibri" w:hAnsi="Century Gothic" w:cs="Calibri"/>
                <w:smallCaps w:val="0"/>
                <w:color w:val="000000" w:themeColor="text1"/>
                <w:sz w:val="18"/>
              </w:rPr>
              <w:t>Turbine model</w:t>
            </w:r>
          </w:p>
        </w:tc>
        <w:tc>
          <w:tcPr>
            <w:tcW w:w="2693" w:type="pct"/>
            <w:vAlign w:val="center"/>
            <w:hideMark/>
          </w:tcPr>
          <w:p w14:paraId="30BB04ED" w14:textId="2B9F6E5B" w:rsidR="002360E1" w:rsidRPr="00BF404F" w:rsidRDefault="002360E1">
            <w:pPr>
              <w:keepNext/>
              <w:keepLines/>
              <w:spacing w:before="100" w:beforeAutospacing="1" w:after="100" w:afterAutospacing="1" w:line="240" w:lineRule="auto"/>
              <w:jc w:val="center"/>
              <w:rPr>
                <w:rFonts w:ascii="Century Gothic" w:eastAsia="Calibri" w:hAnsi="Century Gothic" w:cs="Calibri"/>
                <w:smallCaps w:val="0"/>
                <w:color w:val="000000" w:themeColor="text1"/>
                <w:sz w:val="18"/>
              </w:rPr>
            </w:pPr>
            <w:r w:rsidRPr="00BF404F">
              <w:rPr>
                <w:rFonts w:ascii="Century Gothic" w:eastAsia="Calibri" w:hAnsi="Century Gothic" w:cs="Calibri"/>
                <w:smallCaps w:val="0"/>
                <w:color w:val="000000" w:themeColor="text1"/>
                <w:sz w:val="18"/>
              </w:rPr>
              <w:t xml:space="preserve">7HA.02 </w:t>
            </w:r>
            <w:r w:rsidR="00BB483A" w:rsidRPr="00BF404F">
              <w:rPr>
                <w:rFonts w:ascii="Century Gothic" w:eastAsia="Calibri" w:hAnsi="Century Gothic" w:cs="Calibri"/>
                <w:smallCaps w:val="0"/>
                <w:color w:val="000000" w:themeColor="text1"/>
                <w:sz w:val="18"/>
              </w:rPr>
              <w:t>C</w:t>
            </w:r>
            <w:r w:rsidRPr="00BF404F">
              <w:rPr>
                <w:rFonts w:ascii="Century Gothic" w:eastAsia="Calibri" w:hAnsi="Century Gothic" w:cs="Calibri"/>
                <w:smallCaps w:val="0"/>
                <w:color w:val="000000" w:themeColor="text1"/>
                <w:sz w:val="18"/>
              </w:rPr>
              <w:t xml:space="preserve">ombined </w:t>
            </w:r>
            <w:r w:rsidR="00BB483A" w:rsidRPr="00BF404F">
              <w:rPr>
                <w:rFonts w:ascii="Century Gothic" w:eastAsia="Calibri" w:hAnsi="Century Gothic" w:cs="Calibri"/>
                <w:smallCaps w:val="0"/>
                <w:color w:val="000000" w:themeColor="text1"/>
                <w:sz w:val="18"/>
              </w:rPr>
              <w:t>C</w:t>
            </w:r>
            <w:r w:rsidRPr="00BF404F">
              <w:rPr>
                <w:rFonts w:ascii="Century Gothic" w:eastAsia="Calibri" w:hAnsi="Century Gothic" w:cs="Calibri"/>
                <w:smallCaps w:val="0"/>
                <w:color w:val="000000" w:themeColor="text1"/>
                <w:sz w:val="18"/>
              </w:rPr>
              <w:t>ycle</w:t>
            </w:r>
          </w:p>
        </w:tc>
      </w:tr>
      <w:tr w:rsidR="002360E1" w:rsidRPr="00744A69" w14:paraId="5C684602" w14:textId="77777777" w:rsidTr="001436DC">
        <w:trPr>
          <w:cnfStyle w:val="000000100000" w:firstRow="0" w:lastRow="0" w:firstColumn="0" w:lastColumn="0" w:oddVBand="0" w:evenVBand="0" w:oddHBand="1" w:evenHBand="0" w:firstRowFirstColumn="0" w:firstRowLastColumn="0" w:lastRowFirstColumn="0" w:lastRowLastColumn="0"/>
          <w:trHeight w:val="278"/>
        </w:trPr>
        <w:tc>
          <w:tcPr>
            <w:tcW w:w="0" w:type="pct"/>
            <w:vAlign w:val="center"/>
            <w:hideMark/>
          </w:tcPr>
          <w:p w14:paraId="789D29E7"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Configuration</w:t>
            </w:r>
          </w:p>
        </w:tc>
        <w:tc>
          <w:tcPr>
            <w:tcW w:w="0" w:type="pct"/>
            <w:vAlign w:val="center"/>
            <w:hideMark/>
          </w:tcPr>
          <w:p w14:paraId="405D7542" w14:textId="6899B339"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 xml:space="preserve">Combined </w:t>
            </w:r>
            <w:r w:rsidR="00BB483A" w:rsidRPr="001436DC">
              <w:rPr>
                <w:rFonts w:ascii="Century Gothic" w:eastAsia="Calibri" w:hAnsi="Century Gothic" w:cs="Calibri"/>
                <w:sz w:val="16"/>
              </w:rPr>
              <w:t>C</w:t>
            </w:r>
            <w:r w:rsidRPr="001436DC">
              <w:rPr>
                <w:rFonts w:ascii="Century Gothic" w:eastAsia="Calibri" w:hAnsi="Century Gothic" w:cs="Calibri"/>
                <w:sz w:val="16"/>
              </w:rPr>
              <w:t xml:space="preserve">ycle w/ </w:t>
            </w:r>
            <w:r w:rsidR="00BB483A" w:rsidRPr="001436DC">
              <w:rPr>
                <w:rFonts w:ascii="Century Gothic" w:eastAsia="Calibri" w:hAnsi="Century Gothic" w:cs="Calibri"/>
                <w:sz w:val="16"/>
              </w:rPr>
              <w:t>F</w:t>
            </w:r>
            <w:r w:rsidRPr="001436DC">
              <w:rPr>
                <w:rFonts w:ascii="Century Gothic" w:eastAsia="Calibri" w:hAnsi="Century Gothic" w:cs="Calibri"/>
                <w:sz w:val="16"/>
              </w:rPr>
              <w:t>rame GT</w:t>
            </w:r>
          </w:p>
        </w:tc>
      </w:tr>
      <w:tr w:rsidR="002360E1" w:rsidRPr="00744A69" w14:paraId="642AD125" w14:textId="77777777" w:rsidTr="001436DC">
        <w:trPr>
          <w:trHeight w:val="332"/>
        </w:trPr>
        <w:tc>
          <w:tcPr>
            <w:tcW w:w="0" w:type="pct"/>
            <w:vAlign w:val="center"/>
            <w:hideMark/>
          </w:tcPr>
          <w:p w14:paraId="27529D2F"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Net baseload capacity (MW)</w:t>
            </w:r>
          </w:p>
        </w:tc>
        <w:tc>
          <w:tcPr>
            <w:tcW w:w="0" w:type="pct"/>
            <w:vAlign w:val="center"/>
            <w:hideMark/>
          </w:tcPr>
          <w:p w14:paraId="2764E17A"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491</w:t>
            </w:r>
          </w:p>
        </w:tc>
      </w:tr>
      <w:tr w:rsidR="002360E1" w:rsidRPr="00744A69" w14:paraId="3B68097C" w14:textId="77777777" w:rsidTr="001436DC">
        <w:trPr>
          <w:cnfStyle w:val="000000100000" w:firstRow="0" w:lastRow="0" w:firstColumn="0" w:lastColumn="0" w:oddVBand="0" w:evenVBand="0" w:oddHBand="1" w:evenHBand="0" w:firstRowFirstColumn="0" w:firstRowLastColumn="0" w:lastRowFirstColumn="0" w:lastRowLastColumn="0"/>
          <w:trHeight w:val="368"/>
        </w:trPr>
        <w:tc>
          <w:tcPr>
            <w:tcW w:w="0" w:type="pct"/>
            <w:vAlign w:val="center"/>
            <w:hideMark/>
          </w:tcPr>
          <w:p w14:paraId="59A671C0"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Net capacity w/ duct firing (MW)</w:t>
            </w:r>
          </w:p>
        </w:tc>
        <w:tc>
          <w:tcPr>
            <w:tcW w:w="0" w:type="pct"/>
            <w:vAlign w:val="center"/>
            <w:hideMark/>
          </w:tcPr>
          <w:p w14:paraId="6166AF82"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533</w:t>
            </w:r>
          </w:p>
        </w:tc>
      </w:tr>
      <w:tr w:rsidR="002360E1" w:rsidRPr="00744A69" w14:paraId="7D78C65D" w14:textId="77777777" w:rsidTr="001436DC">
        <w:trPr>
          <w:trHeight w:val="332"/>
        </w:trPr>
        <w:tc>
          <w:tcPr>
            <w:tcW w:w="0" w:type="pct"/>
            <w:vAlign w:val="center"/>
            <w:hideMark/>
          </w:tcPr>
          <w:p w14:paraId="2140AC2C"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Location</w:t>
            </w:r>
          </w:p>
        </w:tc>
        <w:tc>
          <w:tcPr>
            <w:tcW w:w="0" w:type="pct"/>
            <w:vAlign w:val="center"/>
            <w:hideMark/>
          </w:tcPr>
          <w:p w14:paraId="4919CA75"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Bristol County, Massachusetts</w:t>
            </w:r>
          </w:p>
        </w:tc>
      </w:tr>
      <w:tr w:rsidR="002360E1" w:rsidRPr="00744A69" w14:paraId="708526A9" w14:textId="77777777" w:rsidTr="001436DC">
        <w:trPr>
          <w:cnfStyle w:val="000000100000" w:firstRow="0" w:lastRow="0" w:firstColumn="0" w:lastColumn="0" w:oddVBand="0" w:evenVBand="0" w:oddHBand="1" w:evenHBand="0" w:firstRowFirstColumn="0" w:firstRowLastColumn="0" w:lastRowFirstColumn="0" w:lastRowLastColumn="0"/>
          <w:trHeight w:val="368"/>
        </w:trPr>
        <w:tc>
          <w:tcPr>
            <w:tcW w:w="0" w:type="pct"/>
            <w:vAlign w:val="center"/>
            <w:hideMark/>
          </w:tcPr>
          <w:p w14:paraId="1D5ED227"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Cooling system</w:t>
            </w:r>
          </w:p>
        </w:tc>
        <w:tc>
          <w:tcPr>
            <w:tcW w:w="0" w:type="pct"/>
            <w:vAlign w:val="center"/>
            <w:hideMark/>
          </w:tcPr>
          <w:p w14:paraId="59B0D917"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Fin fan coolers</w:t>
            </w:r>
          </w:p>
        </w:tc>
      </w:tr>
      <w:tr w:rsidR="002360E1" w:rsidRPr="00744A69" w14:paraId="2FB1B040" w14:textId="77777777" w:rsidTr="001436DC">
        <w:trPr>
          <w:trHeight w:val="332"/>
        </w:trPr>
        <w:tc>
          <w:tcPr>
            <w:tcW w:w="0" w:type="pct"/>
            <w:vAlign w:val="center"/>
            <w:hideMark/>
          </w:tcPr>
          <w:p w14:paraId="3F292365"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Power augmentation</w:t>
            </w:r>
          </w:p>
        </w:tc>
        <w:tc>
          <w:tcPr>
            <w:tcW w:w="0" w:type="pct"/>
            <w:vAlign w:val="center"/>
            <w:hideMark/>
          </w:tcPr>
          <w:p w14:paraId="283FB93A"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Evaporative coolers</w:t>
            </w:r>
          </w:p>
        </w:tc>
      </w:tr>
      <w:tr w:rsidR="002360E1" w:rsidRPr="00744A69" w14:paraId="0A5188C7" w14:textId="77777777" w:rsidTr="001436DC">
        <w:trPr>
          <w:cnfStyle w:val="000000100000" w:firstRow="0" w:lastRow="0" w:firstColumn="0" w:lastColumn="0" w:oddVBand="0" w:evenVBand="0" w:oddHBand="1" w:evenHBand="0" w:firstRowFirstColumn="0" w:firstRowLastColumn="0" w:lastRowFirstColumn="0" w:lastRowLastColumn="0"/>
          <w:trHeight w:val="368"/>
        </w:trPr>
        <w:tc>
          <w:tcPr>
            <w:tcW w:w="0" w:type="pct"/>
            <w:vAlign w:val="center"/>
            <w:hideMark/>
          </w:tcPr>
          <w:p w14:paraId="4EC35A58"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Baseload net heat rate (Btu/kWh)</w:t>
            </w:r>
          </w:p>
        </w:tc>
        <w:tc>
          <w:tcPr>
            <w:tcW w:w="0" w:type="pct"/>
            <w:vAlign w:val="center"/>
            <w:hideMark/>
          </w:tcPr>
          <w:p w14:paraId="376DCCAB"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6,381</w:t>
            </w:r>
          </w:p>
        </w:tc>
      </w:tr>
      <w:tr w:rsidR="002360E1" w:rsidRPr="00744A69" w14:paraId="243835CB" w14:textId="77777777" w:rsidTr="001436DC">
        <w:trPr>
          <w:trHeight w:val="332"/>
        </w:trPr>
        <w:tc>
          <w:tcPr>
            <w:tcW w:w="0" w:type="pct"/>
            <w:vAlign w:val="center"/>
            <w:hideMark/>
          </w:tcPr>
          <w:p w14:paraId="74F8E6CC"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Duct firing net heat rate (Btu/kWh)</w:t>
            </w:r>
          </w:p>
        </w:tc>
        <w:tc>
          <w:tcPr>
            <w:tcW w:w="0" w:type="pct"/>
            <w:vAlign w:val="center"/>
            <w:hideMark/>
          </w:tcPr>
          <w:p w14:paraId="0BBB1C45"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6,546</w:t>
            </w:r>
          </w:p>
        </w:tc>
      </w:tr>
      <w:tr w:rsidR="002360E1" w:rsidRPr="00744A69" w14:paraId="4D78C249" w14:textId="77777777" w:rsidTr="001436DC">
        <w:trPr>
          <w:cnfStyle w:val="000000100000" w:firstRow="0" w:lastRow="0" w:firstColumn="0" w:lastColumn="0" w:oddVBand="0" w:evenVBand="0" w:oddHBand="1" w:evenHBand="0" w:firstRowFirstColumn="0" w:firstRowLastColumn="0" w:lastRowFirstColumn="0" w:lastRowLastColumn="0"/>
          <w:trHeight w:val="368"/>
        </w:trPr>
        <w:tc>
          <w:tcPr>
            <w:tcW w:w="0" w:type="pct"/>
            <w:vAlign w:val="center"/>
            <w:hideMark/>
          </w:tcPr>
          <w:p w14:paraId="1B748577"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Environmental controls</w:t>
            </w:r>
          </w:p>
        </w:tc>
        <w:tc>
          <w:tcPr>
            <w:tcW w:w="0" w:type="pct"/>
            <w:vAlign w:val="center"/>
            <w:hideMark/>
          </w:tcPr>
          <w:p w14:paraId="6030DC1A"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SCR and CO catalyst</w:t>
            </w:r>
          </w:p>
        </w:tc>
      </w:tr>
      <w:tr w:rsidR="002360E1" w:rsidRPr="00744A69" w14:paraId="2D08CA47" w14:textId="77777777" w:rsidTr="001436DC">
        <w:trPr>
          <w:trHeight w:val="332"/>
        </w:trPr>
        <w:tc>
          <w:tcPr>
            <w:tcW w:w="0" w:type="pct"/>
            <w:vAlign w:val="center"/>
            <w:hideMark/>
          </w:tcPr>
          <w:p w14:paraId="2CC2597D"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Duel-fuel capability</w:t>
            </w:r>
          </w:p>
        </w:tc>
        <w:tc>
          <w:tcPr>
            <w:tcW w:w="0" w:type="pct"/>
            <w:vAlign w:val="center"/>
            <w:hideMark/>
          </w:tcPr>
          <w:p w14:paraId="36EFEAA0"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Natural gas w/ No. 2 oil backup</w:t>
            </w:r>
          </w:p>
        </w:tc>
      </w:tr>
      <w:tr w:rsidR="002360E1" w:rsidRPr="00744A69" w14:paraId="0A9681CC" w14:textId="77777777" w:rsidTr="001436DC">
        <w:trPr>
          <w:cnfStyle w:val="000000100000" w:firstRow="0" w:lastRow="0" w:firstColumn="0" w:lastColumn="0" w:oddVBand="0" w:evenVBand="0" w:oddHBand="1" w:evenHBand="0" w:firstRowFirstColumn="0" w:firstRowLastColumn="0" w:lastRowFirstColumn="0" w:lastRowLastColumn="0"/>
          <w:trHeight w:val="368"/>
        </w:trPr>
        <w:tc>
          <w:tcPr>
            <w:tcW w:w="0" w:type="pct"/>
            <w:vAlign w:val="center"/>
            <w:hideMark/>
          </w:tcPr>
          <w:p w14:paraId="4544CA94"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Black start?</w:t>
            </w:r>
          </w:p>
        </w:tc>
        <w:tc>
          <w:tcPr>
            <w:tcW w:w="0" w:type="pct"/>
            <w:vAlign w:val="center"/>
            <w:hideMark/>
          </w:tcPr>
          <w:p w14:paraId="7B1C5FDC"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No</w:t>
            </w:r>
          </w:p>
        </w:tc>
      </w:tr>
      <w:tr w:rsidR="002360E1" w:rsidRPr="00744A69" w14:paraId="3C368546" w14:textId="77777777" w:rsidTr="001436DC">
        <w:trPr>
          <w:trHeight w:val="332"/>
        </w:trPr>
        <w:tc>
          <w:tcPr>
            <w:tcW w:w="0" w:type="pct"/>
            <w:vAlign w:val="center"/>
            <w:hideMark/>
          </w:tcPr>
          <w:p w14:paraId="4AFE20C9"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On-site gas compression?</w:t>
            </w:r>
          </w:p>
        </w:tc>
        <w:tc>
          <w:tcPr>
            <w:tcW w:w="0" w:type="pct"/>
            <w:vAlign w:val="center"/>
            <w:hideMark/>
          </w:tcPr>
          <w:p w14:paraId="123CA945"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No</w:t>
            </w:r>
          </w:p>
        </w:tc>
      </w:tr>
      <w:tr w:rsidR="002360E1" w:rsidRPr="00744A69" w14:paraId="3A65DC1E" w14:textId="77777777" w:rsidTr="001436DC">
        <w:trPr>
          <w:cnfStyle w:val="000000100000" w:firstRow="0" w:lastRow="0" w:firstColumn="0" w:lastColumn="0" w:oddVBand="0" w:evenVBand="0" w:oddHBand="1" w:evenHBand="0" w:firstRowFirstColumn="0" w:firstRowLastColumn="0" w:lastRowFirstColumn="0" w:lastRowLastColumn="0"/>
          <w:trHeight w:val="458"/>
        </w:trPr>
        <w:tc>
          <w:tcPr>
            <w:tcW w:w="0" w:type="pct"/>
            <w:vAlign w:val="center"/>
            <w:hideMark/>
          </w:tcPr>
          <w:p w14:paraId="12A393AB"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Gas interconnection</w:t>
            </w:r>
          </w:p>
        </w:tc>
        <w:tc>
          <w:tcPr>
            <w:tcW w:w="0" w:type="pct"/>
            <w:vAlign w:val="center"/>
            <w:hideMark/>
          </w:tcPr>
          <w:p w14:paraId="2864B44E"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Onsite connection</w:t>
            </w:r>
          </w:p>
        </w:tc>
      </w:tr>
      <w:tr w:rsidR="002360E1" w:rsidRPr="00744A69" w14:paraId="6C7D899C" w14:textId="77777777" w:rsidTr="001436DC">
        <w:trPr>
          <w:trHeight w:val="432"/>
        </w:trPr>
        <w:tc>
          <w:tcPr>
            <w:tcW w:w="0" w:type="pct"/>
            <w:vAlign w:val="center"/>
            <w:hideMark/>
          </w:tcPr>
          <w:p w14:paraId="70BA452F"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Electrical interconnection</w:t>
            </w:r>
          </w:p>
        </w:tc>
        <w:tc>
          <w:tcPr>
            <w:tcW w:w="0" w:type="pct"/>
            <w:vAlign w:val="center"/>
            <w:hideMark/>
          </w:tcPr>
          <w:p w14:paraId="34FD178F"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Onsite connection</w:t>
            </w:r>
          </w:p>
        </w:tc>
      </w:tr>
      <w:tr w:rsidR="002360E1" w:rsidRPr="00744A69" w14:paraId="6C29B528" w14:textId="77777777" w:rsidTr="001436DC">
        <w:trPr>
          <w:cnfStyle w:val="000000100000" w:firstRow="0" w:lastRow="0" w:firstColumn="0" w:lastColumn="0" w:oddVBand="0" w:evenVBand="0" w:oddHBand="1" w:evenHBand="0" w:firstRowFirstColumn="0" w:firstRowLastColumn="0" w:lastRowFirstColumn="0" w:lastRowLastColumn="0"/>
          <w:trHeight w:val="350"/>
        </w:trPr>
        <w:tc>
          <w:tcPr>
            <w:tcW w:w="0" w:type="pct"/>
            <w:vAlign w:val="center"/>
            <w:hideMark/>
          </w:tcPr>
          <w:p w14:paraId="27151C83" w14:textId="77777777" w:rsidR="002360E1" w:rsidRPr="001436DC" w:rsidRDefault="002360E1">
            <w:pPr>
              <w:keepNext/>
              <w:keepLines/>
              <w:spacing w:before="100" w:beforeAutospacing="1" w:after="100" w:afterAutospacing="1" w:line="259" w:lineRule="auto"/>
              <w:jc w:val="left"/>
              <w:rPr>
                <w:rFonts w:ascii="Century Gothic" w:eastAsia="Calibri" w:hAnsi="Century Gothic" w:cs="Calibri"/>
                <w:sz w:val="16"/>
              </w:rPr>
            </w:pPr>
            <w:r w:rsidRPr="001436DC">
              <w:rPr>
                <w:rFonts w:ascii="Century Gothic" w:eastAsia="Calibri" w:hAnsi="Century Gothic" w:cs="Calibri"/>
                <w:b/>
                <w:bCs/>
                <w:sz w:val="16"/>
              </w:rPr>
              <w:t>Plot size (acres)</w:t>
            </w:r>
          </w:p>
        </w:tc>
        <w:tc>
          <w:tcPr>
            <w:tcW w:w="0" w:type="pct"/>
            <w:vAlign w:val="center"/>
            <w:hideMark/>
          </w:tcPr>
          <w:p w14:paraId="6FF3845C" w14:textId="77777777" w:rsidR="002360E1" w:rsidRPr="001436DC" w:rsidRDefault="002360E1">
            <w:pPr>
              <w:keepNext/>
              <w:keepLines/>
              <w:spacing w:before="100" w:beforeAutospacing="1" w:after="100" w:afterAutospacing="1" w:line="259" w:lineRule="auto"/>
              <w:jc w:val="center"/>
              <w:rPr>
                <w:rFonts w:ascii="Century Gothic" w:eastAsia="Calibri" w:hAnsi="Century Gothic" w:cs="Calibri"/>
                <w:sz w:val="16"/>
              </w:rPr>
            </w:pPr>
            <w:r w:rsidRPr="001436DC">
              <w:rPr>
                <w:rFonts w:ascii="Century Gothic" w:eastAsia="Calibri" w:hAnsi="Century Gothic" w:cs="Calibri"/>
                <w:sz w:val="16"/>
              </w:rPr>
              <w:t>15</w:t>
            </w:r>
          </w:p>
        </w:tc>
      </w:tr>
    </w:tbl>
    <w:p w14:paraId="7DEB29B8" w14:textId="77777777" w:rsidR="00A527AF" w:rsidRPr="00BC3CC1" w:rsidRDefault="00A527AF" w:rsidP="00A94C52">
      <w:pPr>
        <w:pStyle w:val="Heading4"/>
      </w:pPr>
      <w:r w:rsidRPr="00BC3CC1">
        <w:t>Capital Costs</w:t>
      </w:r>
    </w:p>
    <w:p w14:paraId="41AC665D" w14:textId="3E4ABC42" w:rsidR="00A527AF" w:rsidRPr="00BC3CC1" w:rsidRDefault="00A527AF" w:rsidP="0005531F">
      <w:pPr>
        <w:rPr>
          <w:rFonts w:cs="Times New Roman"/>
        </w:rPr>
      </w:pPr>
      <w:r w:rsidRPr="00BC3CC1">
        <w:rPr>
          <w:rFonts w:cs="Times New Roman"/>
        </w:rPr>
        <w:t xml:space="preserve">The capital costs for the </w:t>
      </w:r>
      <w:r>
        <w:rPr>
          <w:rFonts w:cs="Times New Roman"/>
        </w:rPr>
        <w:t>GE 7HA.02 Combined Cycle GT were deve</w:t>
      </w:r>
      <w:r w:rsidRPr="00BC3CC1">
        <w:rPr>
          <w:rFonts w:cs="Times New Roman"/>
        </w:rPr>
        <w:t xml:space="preserve">loped by </w:t>
      </w:r>
      <w:r w:rsidR="003A0E05">
        <w:rPr>
          <w:rFonts w:cs="Times New Roman"/>
        </w:rPr>
        <w:t>MM</w:t>
      </w:r>
      <w:r w:rsidRPr="00BC3CC1">
        <w:rPr>
          <w:rFonts w:cs="Times New Roman"/>
        </w:rPr>
        <w:t xml:space="preserve"> through discussions with the manufacturer and reliance on their proprietary database.  These capital cost estimates are shown in </w:t>
      </w:r>
      <w:r w:rsidR="001D2DC2" w:rsidRPr="001D2DC2">
        <w:rPr>
          <w:rFonts w:cs="Times New Roman"/>
        </w:rPr>
        <w:fldChar w:fldCharType="begin"/>
      </w:r>
      <w:r w:rsidR="001D2DC2" w:rsidRPr="001D2DC2">
        <w:rPr>
          <w:rFonts w:cs="Times New Roman"/>
        </w:rPr>
        <w:instrText xml:space="preserve"> REF _Ref462663973 \h </w:instrText>
      </w:r>
      <w:r w:rsidR="001D2DC2">
        <w:rPr>
          <w:rFonts w:cs="Times New Roman"/>
        </w:rPr>
        <w:instrText xml:space="preserve"> \* MERGEFORMAT </w:instrText>
      </w:r>
      <w:r w:rsidR="001D2DC2" w:rsidRPr="001D2DC2">
        <w:rPr>
          <w:rFonts w:cs="Times New Roman"/>
        </w:rPr>
      </w:r>
      <w:r w:rsidR="001D2DC2" w:rsidRPr="001D2DC2">
        <w:rPr>
          <w:rFonts w:cs="Times New Roman"/>
        </w:rPr>
        <w:fldChar w:fldCharType="separate"/>
      </w:r>
      <w:r w:rsidR="006E2301" w:rsidRPr="0073024E">
        <w:rPr>
          <w:rFonts w:cs="Times New Roman"/>
        </w:rPr>
        <w:t xml:space="preserve">Table </w:t>
      </w:r>
      <w:r w:rsidR="006E2301" w:rsidRPr="0073024E">
        <w:rPr>
          <w:rFonts w:cs="Times New Roman"/>
          <w:noProof/>
        </w:rPr>
        <w:t>20</w:t>
      </w:r>
      <w:r w:rsidR="001D2DC2" w:rsidRPr="001D2DC2">
        <w:rPr>
          <w:rFonts w:cs="Times New Roman"/>
        </w:rPr>
        <w:fldChar w:fldCharType="end"/>
      </w:r>
      <w:r w:rsidR="001D2DC2">
        <w:rPr>
          <w:rFonts w:cs="Times New Roman"/>
        </w:rPr>
        <w:t xml:space="preserve"> </w:t>
      </w:r>
      <w:r w:rsidRPr="00BC3CC1">
        <w:rPr>
          <w:rFonts w:cs="Times New Roman"/>
        </w:rPr>
        <w:t>below.</w:t>
      </w:r>
    </w:p>
    <w:p w14:paraId="0DDFD4A1" w14:textId="679C5FC0" w:rsidR="00A527AF" w:rsidRDefault="00A527AF" w:rsidP="00D2628D">
      <w:pPr>
        <w:pStyle w:val="Caption"/>
      </w:pPr>
      <w:bookmarkStart w:id="47" w:name="_Ref462663973"/>
      <w:bookmarkStart w:id="48" w:name="_Toc465433445"/>
      <w:r>
        <w:lastRenderedPageBreak/>
        <w:t xml:space="preserve">Table </w:t>
      </w:r>
      <w:r w:rsidR="00FA6573">
        <w:fldChar w:fldCharType="begin"/>
      </w:r>
      <w:r w:rsidR="00FA6573">
        <w:instrText xml:space="preserve"> SEQ Table \* ARABIC </w:instrText>
      </w:r>
      <w:r w:rsidR="00FA6573">
        <w:fldChar w:fldCharType="separate"/>
      </w:r>
      <w:r w:rsidR="000637A3">
        <w:rPr>
          <w:noProof/>
        </w:rPr>
        <w:t>20</w:t>
      </w:r>
      <w:r w:rsidR="00FA6573">
        <w:rPr>
          <w:noProof/>
        </w:rPr>
        <w:fldChar w:fldCharType="end"/>
      </w:r>
      <w:bookmarkEnd w:id="47"/>
      <w:r>
        <w:t>: GE7HA.02 Combined Cycle</w:t>
      </w:r>
      <w:r w:rsidRPr="000B16D6">
        <w:t xml:space="preserve"> Capital Costs</w:t>
      </w:r>
      <w:bookmarkEnd w:id="48"/>
      <w:r w:rsidR="00097323">
        <w:t xml:space="preserve"> </w:t>
      </w:r>
    </w:p>
    <w:p w14:paraId="5F798099" w14:textId="6F3330D6" w:rsidR="005E0407" w:rsidRPr="005E0407" w:rsidRDefault="005E0407" w:rsidP="005E0407">
      <w:pPr>
        <w:jc w:val="center"/>
      </w:pPr>
      <w:r w:rsidRPr="005E0407">
        <w:rPr>
          <w:noProof/>
        </w:rPr>
        <w:drawing>
          <wp:inline distT="0" distB="0" distL="0" distR="0" wp14:anchorId="042D554D" wp14:editId="5F2E601C">
            <wp:extent cx="5095240" cy="3924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8165" cy="3926553"/>
                    </a:xfrm>
                    <a:prstGeom prst="rect">
                      <a:avLst/>
                    </a:prstGeom>
                    <a:noFill/>
                    <a:ln>
                      <a:noFill/>
                    </a:ln>
                  </pic:spPr>
                </pic:pic>
              </a:graphicData>
            </a:graphic>
          </wp:inline>
        </w:drawing>
      </w:r>
    </w:p>
    <w:p w14:paraId="0A8349A2" w14:textId="77777777" w:rsidR="00A527AF" w:rsidRPr="00BC3CC1" w:rsidRDefault="00A527AF" w:rsidP="00A94C52">
      <w:pPr>
        <w:pStyle w:val="Heading4"/>
      </w:pPr>
      <w:r w:rsidRPr="00BC3CC1">
        <w:t>Operating and Maintenance Costs</w:t>
      </w:r>
    </w:p>
    <w:p w14:paraId="69AC835F" w14:textId="4B422A18" w:rsidR="00A527AF" w:rsidRDefault="00A527AF" w:rsidP="0005531F">
      <w:pPr>
        <w:rPr>
          <w:rFonts w:cs="Times New Roman"/>
        </w:rPr>
      </w:pPr>
      <w:r w:rsidRPr="00BF64E4">
        <w:rPr>
          <w:rFonts w:cs="Times New Roman"/>
        </w:rPr>
        <w:t xml:space="preserve">Fixed costs for the facility consist of fixed O&amp;M inclusive of labor, materials, contract services, and associated costs; leasing of the land on which the plant is located, property taxes, and insurance. </w:t>
      </w:r>
      <w:r w:rsidR="00A34EE4">
        <w:rPr>
          <w:rFonts w:cs="Times New Roman"/>
        </w:rPr>
        <w:t xml:space="preserve">The costs associated with land lease, property tax, and insurance are discussed in Section </w:t>
      </w:r>
      <w:r w:rsidR="00744A69">
        <w:rPr>
          <w:rFonts w:cs="Times New Roman"/>
        </w:rPr>
        <w:t>3</w:t>
      </w:r>
      <w:r w:rsidR="00A34EE4">
        <w:rPr>
          <w:rFonts w:cs="Times New Roman"/>
        </w:rPr>
        <w:t>.</w:t>
      </w:r>
      <w:r w:rsidR="00BB483A">
        <w:rPr>
          <w:rFonts w:cs="Times New Roman"/>
        </w:rPr>
        <w:t>D</w:t>
      </w:r>
      <w:r w:rsidR="00A34EE4">
        <w:rPr>
          <w:rFonts w:cs="Times New Roman"/>
        </w:rPr>
        <w:t>.</w:t>
      </w:r>
    </w:p>
    <w:p w14:paraId="32243FCA" w14:textId="77777777" w:rsidR="00A527AF" w:rsidRPr="001D2DC2" w:rsidRDefault="00A527AF" w:rsidP="00A527AF">
      <w:pPr>
        <w:rPr>
          <w:rFonts w:cs="Times New Roman"/>
        </w:rPr>
      </w:pPr>
      <w:r w:rsidRPr="001D2DC2">
        <w:rPr>
          <w:rFonts w:cs="Times New Roman"/>
        </w:rPr>
        <w:t>Fixed costs are shown below:</w:t>
      </w:r>
    </w:p>
    <w:p w14:paraId="02C23157" w14:textId="75BC7FFE" w:rsidR="00A527AF" w:rsidRPr="001D2DC2" w:rsidRDefault="001D2DC2" w:rsidP="00D2628D">
      <w:pPr>
        <w:pStyle w:val="Caption"/>
      </w:pPr>
      <w:bookmarkStart w:id="49" w:name="_Toc465433446"/>
      <w:r>
        <w:t xml:space="preserve">Table </w:t>
      </w:r>
      <w:r w:rsidR="00FA6573">
        <w:fldChar w:fldCharType="begin"/>
      </w:r>
      <w:r w:rsidR="00FA6573">
        <w:instrText xml:space="preserve"> SEQ Table \* ARABIC </w:instrText>
      </w:r>
      <w:r w:rsidR="00FA6573">
        <w:fldChar w:fldCharType="separate"/>
      </w:r>
      <w:r w:rsidR="000637A3">
        <w:rPr>
          <w:noProof/>
        </w:rPr>
        <w:t>21</w:t>
      </w:r>
      <w:r w:rsidR="00FA6573">
        <w:rPr>
          <w:noProof/>
        </w:rPr>
        <w:fldChar w:fldCharType="end"/>
      </w:r>
      <w:r>
        <w:t>:</w:t>
      </w:r>
      <w:r w:rsidR="00A527AF" w:rsidRPr="001D2DC2">
        <w:t xml:space="preserve"> GE7HA.02 Combined Cycle GT Fixed Operating Costs</w:t>
      </w:r>
      <w:bookmarkEnd w:id="49"/>
    </w:p>
    <w:tbl>
      <w:tblPr>
        <w:tblStyle w:val="GridTable4-Accent32"/>
        <w:tblW w:w="5904" w:type="dxa"/>
        <w:jc w:val="center"/>
        <w:tblLook w:val="04A0" w:firstRow="1" w:lastRow="0" w:firstColumn="1" w:lastColumn="0" w:noHBand="0" w:noVBand="1"/>
      </w:tblPr>
      <w:tblGrid>
        <w:gridCol w:w="2142"/>
        <w:gridCol w:w="3762"/>
      </w:tblGrid>
      <w:tr w:rsidR="00A527AF" w:rsidRPr="00744A69" w14:paraId="620BF4A0" w14:textId="77777777" w:rsidTr="002A4CE5">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0" w:type="auto"/>
          </w:tcPr>
          <w:p w14:paraId="6EEB825C" w14:textId="77777777" w:rsidR="00A527AF" w:rsidRPr="001436DC" w:rsidRDefault="00A527AF" w:rsidP="00A94C52">
            <w:pPr>
              <w:keepNext/>
              <w:keepLines/>
              <w:rPr>
                <w:rFonts w:ascii="Century Gothic" w:hAnsi="Century Gothic" w:cs="Times New Roman"/>
                <w:color w:val="000000" w:themeColor="text1"/>
                <w:sz w:val="18"/>
              </w:rPr>
            </w:pPr>
            <w:r w:rsidRPr="001436DC">
              <w:rPr>
                <w:rFonts w:ascii="Century Gothic" w:hAnsi="Century Gothic" w:cs="Times New Roman"/>
                <w:color w:val="000000" w:themeColor="text1"/>
                <w:sz w:val="18"/>
              </w:rPr>
              <w:t>Fixed Expense</w:t>
            </w:r>
          </w:p>
        </w:tc>
        <w:tc>
          <w:tcPr>
            <w:tcW w:w="0" w:type="auto"/>
          </w:tcPr>
          <w:p w14:paraId="5BF5069F" w14:textId="4455A679" w:rsidR="00A527AF" w:rsidRPr="001436DC" w:rsidRDefault="00A527AF">
            <w:pPr>
              <w:keepNext/>
              <w:keepLines/>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000000" w:themeColor="text1"/>
                <w:sz w:val="18"/>
              </w:rPr>
            </w:pPr>
            <w:r w:rsidRPr="001436DC">
              <w:rPr>
                <w:rFonts w:ascii="Century Gothic" w:hAnsi="Century Gothic" w:cs="Times New Roman"/>
                <w:color w:val="000000" w:themeColor="text1"/>
                <w:sz w:val="18"/>
              </w:rPr>
              <w:t xml:space="preserve">Estimated </w:t>
            </w:r>
            <w:r w:rsidR="00700A4C">
              <w:rPr>
                <w:rFonts w:ascii="Century Gothic" w:hAnsi="Century Gothic" w:cs="Times New Roman"/>
                <w:color w:val="000000" w:themeColor="text1"/>
                <w:sz w:val="18"/>
              </w:rPr>
              <w:t>C</w:t>
            </w:r>
            <w:r w:rsidRPr="001436DC">
              <w:rPr>
                <w:rFonts w:ascii="Century Gothic" w:hAnsi="Century Gothic" w:cs="Times New Roman"/>
                <w:color w:val="000000" w:themeColor="text1"/>
                <w:sz w:val="18"/>
              </w:rPr>
              <w:t>ost</w:t>
            </w:r>
          </w:p>
        </w:tc>
      </w:tr>
      <w:tr w:rsidR="00A527AF" w:rsidRPr="00744A69" w14:paraId="09777969" w14:textId="77777777" w:rsidTr="002A4CE5">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0" w:type="auto"/>
          </w:tcPr>
          <w:p w14:paraId="7FB4896B" w14:textId="77777777" w:rsidR="00A527AF" w:rsidRPr="001436DC" w:rsidRDefault="00A527AF" w:rsidP="00A94C52">
            <w:pPr>
              <w:keepNext/>
              <w:keepLines/>
              <w:rPr>
                <w:rFonts w:ascii="Century Gothic" w:hAnsi="Century Gothic" w:cs="Times New Roman"/>
                <w:sz w:val="16"/>
              </w:rPr>
            </w:pPr>
            <w:r w:rsidRPr="001436DC">
              <w:rPr>
                <w:rFonts w:ascii="Century Gothic" w:hAnsi="Century Gothic" w:cs="Times New Roman"/>
                <w:sz w:val="16"/>
              </w:rPr>
              <w:t>Fixed O&amp;M</w:t>
            </w:r>
          </w:p>
        </w:tc>
        <w:tc>
          <w:tcPr>
            <w:tcW w:w="0" w:type="auto"/>
          </w:tcPr>
          <w:p w14:paraId="4C08D245" w14:textId="43B70896" w:rsidR="00A527AF" w:rsidRPr="001436DC" w:rsidRDefault="00A527AF" w:rsidP="002D0E7F">
            <w:pPr>
              <w:keepNext/>
              <w:keepLine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w:t>
            </w:r>
            <w:r w:rsidR="002D0E7F" w:rsidRPr="001436DC">
              <w:rPr>
                <w:rFonts w:ascii="Century Gothic" w:hAnsi="Century Gothic" w:cs="Times New Roman"/>
                <w:sz w:val="16"/>
              </w:rPr>
              <w:t>60.12</w:t>
            </w:r>
            <w:r w:rsidRPr="001436DC">
              <w:rPr>
                <w:rFonts w:ascii="Century Gothic" w:hAnsi="Century Gothic" w:cs="Times New Roman"/>
                <w:sz w:val="16"/>
              </w:rPr>
              <w:t>/kW-year ($</w:t>
            </w:r>
            <w:r w:rsidR="00360F0D" w:rsidRPr="001436DC">
              <w:rPr>
                <w:rFonts w:ascii="Century Gothic" w:hAnsi="Century Gothic" w:cs="Times New Roman"/>
                <w:sz w:val="16"/>
              </w:rPr>
              <w:t>2021</w:t>
            </w:r>
            <w:r w:rsidRPr="001436DC">
              <w:rPr>
                <w:rFonts w:ascii="Century Gothic" w:hAnsi="Century Gothic" w:cs="Times New Roman"/>
                <w:sz w:val="16"/>
              </w:rPr>
              <w:t>)</w:t>
            </w:r>
          </w:p>
        </w:tc>
      </w:tr>
      <w:tr w:rsidR="00A527AF" w:rsidRPr="00744A69" w14:paraId="48C99E13" w14:textId="77777777" w:rsidTr="002A4CE5">
        <w:trPr>
          <w:trHeight w:val="296"/>
          <w:jc w:val="center"/>
        </w:trPr>
        <w:tc>
          <w:tcPr>
            <w:cnfStyle w:val="001000000000" w:firstRow="0" w:lastRow="0" w:firstColumn="1" w:lastColumn="0" w:oddVBand="0" w:evenVBand="0" w:oddHBand="0" w:evenHBand="0" w:firstRowFirstColumn="0" w:firstRowLastColumn="0" w:lastRowFirstColumn="0" w:lastRowLastColumn="0"/>
            <w:tcW w:w="0" w:type="auto"/>
          </w:tcPr>
          <w:p w14:paraId="47796A8A" w14:textId="77777777" w:rsidR="00A527AF" w:rsidRPr="001436DC" w:rsidRDefault="00A527AF" w:rsidP="00A94C52">
            <w:pPr>
              <w:keepNext/>
              <w:keepLines/>
              <w:rPr>
                <w:rFonts w:ascii="Century Gothic" w:hAnsi="Century Gothic" w:cs="Times New Roman"/>
                <w:sz w:val="16"/>
              </w:rPr>
            </w:pPr>
            <w:r w:rsidRPr="001436DC">
              <w:rPr>
                <w:rFonts w:ascii="Century Gothic" w:hAnsi="Century Gothic" w:cs="Times New Roman"/>
                <w:sz w:val="16"/>
              </w:rPr>
              <w:t>Site leasing</w:t>
            </w:r>
          </w:p>
        </w:tc>
        <w:tc>
          <w:tcPr>
            <w:tcW w:w="0" w:type="auto"/>
          </w:tcPr>
          <w:p w14:paraId="17F90F38" w14:textId="4D67A93A" w:rsidR="00A527AF" w:rsidRPr="001436DC" w:rsidRDefault="00A527AF">
            <w:pPr>
              <w:keepNext/>
              <w:keepLine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$25,000/acre/year ($</w:t>
            </w:r>
            <w:r w:rsidR="0046643C" w:rsidRPr="001436DC">
              <w:rPr>
                <w:rFonts w:ascii="Century Gothic" w:hAnsi="Century Gothic" w:cs="Times New Roman"/>
                <w:sz w:val="16"/>
              </w:rPr>
              <w:t>2021</w:t>
            </w:r>
            <w:r w:rsidRPr="001436DC">
              <w:rPr>
                <w:rFonts w:ascii="Century Gothic" w:hAnsi="Century Gothic" w:cs="Times New Roman"/>
                <w:sz w:val="16"/>
              </w:rPr>
              <w:t>)</w:t>
            </w:r>
          </w:p>
        </w:tc>
      </w:tr>
      <w:tr w:rsidR="00A527AF" w:rsidRPr="00744A69" w14:paraId="494385F6" w14:textId="77777777" w:rsidTr="002A4CE5">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0" w:type="auto"/>
          </w:tcPr>
          <w:p w14:paraId="79C22AB9" w14:textId="77777777" w:rsidR="00A527AF" w:rsidRPr="001436DC" w:rsidRDefault="00A527AF" w:rsidP="00A94C52">
            <w:pPr>
              <w:keepNext/>
              <w:keepLines/>
              <w:rPr>
                <w:rFonts w:ascii="Century Gothic" w:hAnsi="Century Gothic" w:cs="Times New Roman"/>
                <w:sz w:val="16"/>
              </w:rPr>
            </w:pPr>
            <w:r w:rsidRPr="001436DC">
              <w:rPr>
                <w:rFonts w:ascii="Century Gothic" w:hAnsi="Century Gothic" w:cs="Times New Roman"/>
                <w:sz w:val="16"/>
              </w:rPr>
              <w:t>Property taxes</w:t>
            </w:r>
          </w:p>
        </w:tc>
        <w:tc>
          <w:tcPr>
            <w:tcW w:w="0" w:type="auto"/>
          </w:tcPr>
          <w:p w14:paraId="28EDE3A9" w14:textId="77777777" w:rsidR="00A527AF" w:rsidRPr="001436DC" w:rsidRDefault="00A527AF" w:rsidP="00A94C52">
            <w:pPr>
              <w:keepNext/>
              <w:keepLine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3.0%</w:t>
            </w:r>
          </w:p>
        </w:tc>
      </w:tr>
      <w:tr w:rsidR="00A527AF" w:rsidRPr="00744A69" w14:paraId="15D3BEDB" w14:textId="77777777" w:rsidTr="002A4CE5">
        <w:trPr>
          <w:trHeight w:val="296"/>
          <w:jc w:val="center"/>
        </w:trPr>
        <w:tc>
          <w:tcPr>
            <w:cnfStyle w:val="001000000000" w:firstRow="0" w:lastRow="0" w:firstColumn="1" w:lastColumn="0" w:oddVBand="0" w:evenVBand="0" w:oddHBand="0" w:evenHBand="0" w:firstRowFirstColumn="0" w:firstRowLastColumn="0" w:lastRowFirstColumn="0" w:lastRowLastColumn="0"/>
            <w:tcW w:w="0" w:type="auto"/>
          </w:tcPr>
          <w:p w14:paraId="3E7717B7" w14:textId="77777777" w:rsidR="00A527AF" w:rsidRPr="001436DC" w:rsidRDefault="00A527AF" w:rsidP="00A94C52">
            <w:pPr>
              <w:keepNext/>
              <w:keepLines/>
              <w:rPr>
                <w:rFonts w:ascii="Century Gothic" w:hAnsi="Century Gothic" w:cs="Times New Roman"/>
                <w:sz w:val="16"/>
              </w:rPr>
            </w:pPr>
            <w:r w:rsidRPr="001436DC">
              <w:rPr>
                <w:rFonts w:ascii="Century Gothic" w:hAnsi="Century Gothic" w:cs="Times New Roman"/>
                <w:sz w:val="16"/>
              </w:rPr>
              <w:t>Insurance</w:t>
            </w:r>
          </w:p>
        </w:tc>
        <w:tc>
          <w:tcPr>
            <w:tcW w:w="0" w:type="auto"/>
          </w:tcPr>
          <w:p w14:paraId="79D5B027" w14:textId="77777777" w:rsidR="00A527AF" w:rsidRPr="001436DC" w:rsidRDefault="00A527AF" w:rsidP="00A94C52">
            <w:pPr>
              <w:keepNext/>
              <w:keepLine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0.6% of installed costs per year</w:t>
            </w:r>
          </w:p>
        </w:tc>
      </w:tr>
    </w:tbl>
    <w:p w14:paraId="52C70C48" w14:textId="77777777" w:rsidR="00844327" w:rsidRDefault="00844327" w:rsidP="00A527AF">
      <w:pPr>
        <w:rPr>
          <w:rFonts w:cs="Times New Roman"/>
        </w:rPr>
      </w:pPr>
    </w:p>
    <w:p w14:paraId="78FD7A59" w14:textId="496820B5" w:rsidR="00A527AF" w:rsidRDefault="00A527AF" w:rsidP="00A527AF">
      <w:pPr>
        <w:rPr>
          <w:rFonts w:cs="Times New Roman"/>
        </w:rPr>
      </w:pPr>
      <w:r w:rsidRPr="001D2DC2">
        <w:rPr>
          <w:rFonts w:cs="Times New Roman"/>
        </w:rPr>
        <w:t>VOM is assumed to be $</w:t>
      </w:r>
      <w:r w:rsidR="0027107E">
        <w:rPr>
          <w:rFonts w:cs="Times New Roman"/>
        </w:rPr>
        <w:t>3.</w:t>
      </w:r>
      <w:r w:rsidR="00097323">
        <w:rPr>
          <w:rFonts w:cs="Times New Roman"/>
        </w:rPr>
        <w:t>5</w:t>
      </w:r>
      <w:r w:rsidRPr="001D2DC2">
        <w:rPr>
          <w:rFonts w:cs="Times New Roman"/>
        </w:rPr>
        <w:t xml:space="preserve">0/MWh based on consultation with </w:t>
      </w:r>
      <w:r w:rsidR="003A0E05">
        <w:rPr>
          <w:rFonts w:cs="Times New Roman"/>
        </w:rPr>
        <w:t>MM</w:t>
      </w:r>
      <w:r w:rsidRPr="001D2DC2">
        <w:rPr>
          <w:rFonts w:cs="Times New Roman"/>
        </w:rPr>
        <w:t>.</w:t>
      </w:r>
      <w:r>
        <w:rPr>
          <w:rFonts w:cs="Times New Roman"/>
        </w:rPr>
        <w:t xml:space="preserve">  </w:t>
      </w:r>
    </w:p>
    <w:p w14:paraId="58FBC74D" w14:textId="1B4CA845" w:rsidR="00FE322C" w:rsidRDefault="00FE322C" w:rsidP="00EE3048">
      <w:pPr>
        <w:pStyle w:val="Heading3"/>
      </w:pPr>
      <w:r>
        <w:lastRenderedPageBreak/>
        <w:t>Escalation to 2021 Costs</w:t>
      </w:r>
    </w:p>
    <w:p w14:paraId="3ED53FBC" w14:textId="2E23EE73" w:rsidR="00FD07E4" w:rsidRDefault="000E3136" w:rsidP="00A527AF">
      <w:pPr>
        <w:rPr>
          <w:rFonts w:cs="Times New Roman"/>
        </w:rPr>
      </w:pPr>
      <w:r>
        <w:rPr>
          <w:rFonts w:cs="Times New Roman"/>
        </w:rPr>
        <w:t xml:space="preserve">We escalated capital costs from 2016$ to the beginning of each unit’s construction period using estimates from the Bureau of Labor Statistics’ (“BLS”) Producer Price Indices (“PPI”). </w:t>
      </w:r>
      <w:r w:rsidR="00FD07E4">
        <w:rPr>
          <w:rFonts w:cs="Times New Roman"/>
        </w:rPr>
        <w:t>We used a 10-year average annual percent change from two BLS PPI indices for different capital cost components.</w:t>
      </w:r>
      <w:r w:rsidR="00FD07E4">
        <w:rPr>
          <w:rStyle w:val="FootnoteReference"/>
          <w:rFonts w:cs="Times New Roman"/>
        </w:rPr>
        <w:footnoteReference w:id="7"/>
      </w:r>
      <w:r w:rsidR="00FD07E4">
        <w:rPr>
          <w:rFonts w:cs="Times New Roman"/>
        </w:rPr>
        <w:t xml:space="preserve"> </w:t>
      </w:r>
    </w:p>
    <w:p w14:paraId="5716BA3C" w14:textId="0C179705" w:rsidR="002A4CE5" w:rsidRDefault="000E3136" w:rsidP="00A527AF">
      <w:pPr>
        <w:rPr>
          <w:rFonts w:cs="Times New Roman"/>
        </w:rPr>
      </w:pPr>
      <w:r>
        <w:rPr>
          <w:rFonts w:cs="Times New Roman"/>
        </w:rPr>
        <w:t>We escalated fuel cos</w:t>
      </w:r>
      <w:r w:rsidR="00FD07E4">
        <w:rPr>
          <w:rFonts w:cs="Times New Roman"/>
        </w:rPr>
        <w:t xml:space="preserve">ts for the gas turbines using NY Harbor ultra-low-sulfur-diesel </w:t>
      </w:r>
      <w:r w:rsidR="00B13C47">
        <w:rPr>
          <w:rFonts w:cs="Times New Roman"/>
        </w:rPr>
        <w:t xml:space="preserve">(“ULSD”) </w:t>
      </w:r>
      <w:r w:rsidR="00FD07E4">
        <w:rPr>
          <w:rFonts w:cs="Times New Roman"/>
        </w:rPr>
        <w:t>futures settlements.</w:t>
      </w:r>
      <w:r w:rsidR="00FD07E4">
        <w:rPr>
          <w:rStyle w:val="FootnoteReference"/>
          <w:rFonts w:cs="Times New Roman"/>
        </w:rPr>
        <w:footnoteReference w:id="8"/>
      </w:r>
      <w:r w:rsidR="00FD07E4">
        <w:rPr>
          <w:rFonts w:cs="Times New Roman"/>
        </w:rPr>
        <w:t xml:space="preserve"> Our estimate is based on a three-year forward average annual percent change of ULSD </w:t>
      </w:r>
      <w:r w:rsidR="00744A69">
        <w:rPr>
          <w:rFonts w:cs="Times New Roman"/>
        </w:rPr>
        <w:t xml:space="preserve">futures </w:t>
      </w:r>
      <w:r w:rsidR="00FD07E4">
        <w:rPr>
          <w:rFonts w:cs="Times New Roman"/>
        </w:rPr>
        <w:t>prices at NY Harbor.</w:t>
      </w:r>
    </w:p>
    <w:p w14:paraId="698F07B5" w14:textId="18B4284B" w:rsidR="005B0246" w:rsidRDefault="005B0246" w:rsidP="00456566">
      <w:pPr>
        <w:pStyle w:val="Heading2"/>
      </w:pPr>
      <w:bookmarkStart w:id="50" w:name="_Toc462595715"/>
      <w:bookmarkStart w:id="51" w:name="_Toc468288314"/>
      <w:r>
        <w:t>Financial assumptions</w:t>
      </w:r>
      <w:bookmarkEnd w:id="50"/>
      <w:bookmarkEnd w:id="51"/>
    </w:p>
    <w:p w14:paraId="2F27A27E" w14:textId="77777777" w:rsidR="005B0246" w:rsidRPr="00BF64E4" w:rsidRDefault="005B0246" w:rsidP="00A12D4D">
      <w:pPr>
        <w:pStyle w:val="Heading3"/>
        <w:numPr>
          <w:ilvl w:val="0"/>
          <w:numId w:val="25"/>
        </w:numPr>
      </w:pPr>
      <w:r w:rsidRPr="00BF64E4">
        <w:t>Financial Inputs</w:t>
      </w:r>
    </w:p>
    <w:p w14:paraId="1E91794B" w14:textId="73DEE741" w:rsidR="005B0246" w:rsidRPr="00832FC5" w:rsidRDefault="005B0246" w:rsidP="005B0246">
      <w:pPr>
        <w:rPr>
          <w:rFonts w:cs="Times New Roman"/>
        </w:rPr>
      </w:pPr>
      <w:r w:rsidRPr="00832FC5">
        <w:rPr>
          <w:rFonts w:cs="Times New Roman"/>
        </w:rPr>
        <w:t xml:space="preserve">The estimate of </w:t>
      </w:r>
      <w:r>
        <w:rPr>
          <w:rFonts w:cs="Times New Roman"/>
        </w:rPr>
        <w:t>CONE/</w:t>
      </w:r>
      <w:r w:rsidRPr="00832FC5">
        <w:rPr>
          <w:rFonts w:cs="Times New Roman"/>
        </w:rPr>
        <w:t>Net CONE is based the revenue required, net of cash flows from</w:t>
      </w:r>
      <w:r>
        <w:rPr>
          <w:rFonts w:cs="Times New Roman"/>
        </w:rPr>
        <w:t xml:space="preserve"> market revenues, </w:t>
      </w:r>
      <w:r w:rsidRPr="00832FC5">
        <w:rPr>
          <w:rFonts w:cs="Times New Roman"/>
        </w:rPr>
        <w:t>by a new entrant to recover its capital and operating costs over a 20-year period. This estimate is inclusive of the cost of providing a return to equity investors and debt holders</w:t>
      </w:r>
      <w:r w:rsidR="00DF0E5C">
        <w:rPr>
          <w:rFonts w:cs="Times New Roman"/>
        </w:rPr>
        <w:t xml:space="preserve"> and is based on the reasonable assumption that </w:t>
      </w:r>
      <w:r w:rsidR="00DF0E5C" w:rsidRPr="00FE322C">
        <w:rPr>
          <w:rFonts w:cs="Times New Roman"/>
        </w:rPr>
        <w:t>significant amounts of capital will only be</w:t>
      </w:r>
      <w:r w:rsidR="00DF0E5C">
        <w:rPr>
          <w:rFonts w:cs="Times New Roman"/>
        </w:rPr>
        <w:t xml:space="preserve"> </w:t>
      </w:r>
      <w:r w:rsidR="00DF0E5C" w:rsidRPr="00FE322C">
        <w:rPr>
          <w:rFonts w:cs="Times New Roman"/>
        </w:rPr>
        <w:t xml:space="preserve">invested if </w:t>
      </w:r>
      <w:r w:rsidR="00DF0E5C">
        <w:rPr>
          <w:rFonts w:cs="Times New Roman"/>
        </w:rPr>
        <w:t xml:space="preserve">investors </w:t>
      </w:r>
      <w:r w:rsidR="00DF0E5C" w:rsidRPr="00FE322C">
        <w:rPr>
          <w:rFonts w:cs="Times New Roman"/>
        </w:rPr>
        <w:t xml:space="preserve">anticipate </w:t>
      </w:r>
      <w:r w:rsidR="00DF0E5C">
        <w:rPr>
          <w:rFonts w:cs="Times New Roman"/>
        </w:rPr>
        <w:t xml:space="preserve">that their investment will generate returns in </w:t>
      </w:r>
      <w:r w:rsidR="00DF0E5C" w:rsidRPr="00FE322C">
        <w:rPr>
          <w:rFonts w:cs="Times New Roman"/>
        </w:rPr>
        <w:t>excess of their cost of capital.</w:t>
      </w:r>
      <w:r w:rsidR="00DF0E5C">
        <w:rPr>
          <w:rFonts w:cs="Times New Roman"/>
        </w:rPr>
        <w:t xml:space="preserve">  </w:t>
      </w:r>
      <w:r w:rsidRPr="00832FC5">
        <w:rPr>
          <w:rFonts w:cs="Times New Roman"/>
        </w:rPr>
        <w:t xml:space="preserve"> Consistent w</w:t>
      </w:r>
      <w:r>
        <w:rPr>
          <w:rFonts w:cs="Times New Roman"/>
        </w:rPr>
        <w:t>ith</w:t>
      </w:r>
      <w:r w:rsidRPr="00832FC5">
        <w:rPr>
          <w:rFonts w:cs="Times New Roman"/>
        </w:rPr>
        <w:t xml:space="preserve"> previous estimates, the </w:t>
      </w:r>
      <w:r>
        <w:rPr>
          <w:rFonts w:cs="Times New Roman"/>
        </w:rPr>
        <w:t>CONE/</w:t>
      </w:r>
      <w:r w:rsidRPr="00832FC5">
        <w:rPr>
          <w:rFonts w:cs="Times New Roman"/>
        </w:rPr>
        <w:t xml:space="preserve">Net CONE value is expressed on a real, </w:t>
      </w:r>
      <w:proofErr w:type="spellStart"/>
      <w:r w:rsidRPr="00832FC5">
        <w:rPr>
          <w:rFonts w:cs="Times New Roman"/>
        </w:rPr>
        <w:t>levelized</w:t>
      </w:r>
      <w:proofErr w:type="spellEnd"/>
      <w:r w:rsidRPr="00832FC5">
        <w:rPr>
          <w:rFonts w:cs="Times New Roman"/>
        </w:rPr>
        <w:t xml:space="preserve"> basis.  That is, the calculation produces </w:t>
      </w:r>
      <w:r>
        <w:rPr>
          <w:rFonts w:cs="Times New Roman"/>
        </w:rPr>
        <w:t xml:space="preserve">a </w:t>
      </w:r>
      <w:r w:rsidRPr="00832FC5">
        <w:rPr>
          <w:rFonts w:cs="Times New Roman"/>
        </w:rPr>
        <w:t>first year payment such that if the payment increases by inflation every year over the twenty-year period, the Net Present Value (</w:t>
      </w:r>
      <w:r>
        <w:rPr>
          <w:rFonts w:cs="Times New Roman"/>
        </w:rPr>
        <w:t>“</w:t>
      </w:r>
      <w:r w:rsidRPr="00832FC5">
        <w:rPr>
          <w:rFonts w:cs="Times New Roman"/>
        </w:rPr>
        <w:t>NPV</w:t>
      </w:r>
      <w:r>
        <w:rPr>
          <w:rFonts w:cs="Times New Roman"/>
        </w:rPr>
        <w:t>”</w:t>
      </w:r>
      <w:r w:rsidRPr="00832FC5">
        <w:rPr>
          <w:rFonts w:cs="Times New Roman"/>
        </w:rPr>
        <w:t xml:space="preserve">) of </w:t>
      </w:r>
      <w:r>
        <w:rPr>
          <w:rFonts w:cs="Times New Roman"/>
        </w:rPr>
        <w:t xml:space="preserve">a unit’s </w:t>
      </w:r>
      <w:r w:rsidRPr="00832FC5">
        <w:rPr>
          <w:rFonts w:cs="Times New Roman"/>
        </w:rPr>
        <w:t>costs are equal to the NPV of its revenues over the 20-year period.</w:t>
      </w:r>
    </w:p>
    <w:p w14:paraId="4DE6EA97" w14:textId="3ABB9446" w:rsidR="005B0246" w:rsidRPr="00832FC5" w:rsidRDefault="005B0246" w:rsidP="0056349B">
      <w:pPr>
        <w:rPr>
          <w:rFonts w:cs="Times New Roman"/>
        </w:rPr>
      </w:pPr>
      <w:r w:rsidRPr="00832FC5">
        <w:rPr>
          <w:rFonts w:cs="Times New Roman"/>
        </w:rPr>
        <w:t xml:space="preserve">It is customary to discount uncertain future cash flows at an after-tax weighted average cost of capital. The appropriate discount rate should reflect systemic financial market risks and project-specific risks of a merchant developer participating in the New England </w:t>
      </w:r>
      <w:r w:rsidR="00DF0E5C">
        <w:rPr>
          <w:rFonts w:cs="Times New Roman"/>
        </w:rPr>
        <w:t xml:space="preserve">wholesale markets </w:t>
      </w:r>
      <w:r w:rsidR="000E3CF3">
        <w:rPr>
          <w:color w:val="000000"/>
        </w:rPr>
        <w:t xml:space="preserve">and the return required by investors to compensate for those risks. </w:t>
      </w:r>
      <w:r w:rsidR="0056349B">
        <w:rPr>
          <w:color w:val="000000"/>
        </w:rPr>
        <w:t xml:space="preserve">  We recognize that generation projects can be financed under a project</w:t>
      </w:r>
      <w:r w:rsidR="00EC0225">
        <w:rPr>
          <w:color w:val="000000"/>
        </w:rPr>
        <w:t xml:space="preserve"> financing </w:t>
      </w:r>
      <w:r w:rsidR="0056349B">
        <w:rPr>
          <w:color w:val="000000"/>
        </w:rPr>
        <w:t xml:space="preserve">or balance sheet </w:t>
      </w:r>
      <w:r w:rsidR="00EC0225">
        <w:rPr>
          <w:color w:val="000000"/>
        </w:rPr>
        <w:t xml:space="preserve">financing </w:t>
      </w:r>
      <w:r w:rsidR="0056349B">
        <w:rPr>
          <w:color w:val="000000"/>
        </w:rPr>
        <w:t xml:space="preserve">approach.  </w:t>
      </w:r>
      <w:r w:rsidR="00603514">
        <w:rPr>
          <w:color w:val="000000"/>
        </w:rPr>
        <w:t>Project</w:t>
      </w:r>
      <w:r w:rsidR="0056349B">
        <w:rPr>
          <w:color w:val="000000"/>
        </w:rPr>
        <w:t xml:space="preserve"> financing </w:t>
      </w:r>
      <w:r w:rsidR="001E3EEF">
        <w:rPr>
          <w:color w:val="000000"/>
        </w:rPr>
        <w:t xml:space="preserve">uses </w:t>
      </w:r>
      <w:r w:rsidR="0056349B" w:rsidRPr="0056349B">
        <w:rPr>
          <w:color w:val="000000"/>
        </w:rPr>
        <w:t>project-specific, “non-recourse” debt, along with a required</w:t>
      </w:r>
      <w:r w:rsidR="001E3EEF">
        <w:rPr>
          <w:color w:val="000000"/>
        </w:rPr>
        <w:t xml:space="preserve"> </w:t>
      </w:r>
      <w:r w:rsidR="0056349B" w:rsidRPr="0056349B">
        <w:rPr>
          <w:color w:val="000000"/>
        </w:rPr>
        <w:t>portion of equity, to finance the construction of a power plant. Non-recourse debt is not backed</w:t>
      </w:r>
      <w:r w:rsidR="001E3EEF">
        <w:rPr>
          <w:color w:val="000000"/>
        </w:rPr>
        <w:t xml:space="preserve"> </w:t>
      </w:r>
      <w:r w:rsidR="0056349B" w:rsidRPr="0056349B">
        <w:rPr>
          <w:color w:val="000000"/>
        </w:rPr>
        <w:t>by a guarantee from the equity investor (likely a larger parent company) beyond the value of the</w:t>
      </w:r>
      <w:r w:rsidR="001E3EEF">
        <w:rPr>
          <w:color w:val="000000"/>
        </w:rPr>
        <w:t xml:space="preserve"> </w:t>
      </w:r>
      <w:r w:rsidR="0056349B" w:rsidRPr="0056349B">
        <w:rPr>
          <w:color w:val="000000"/>
        </w:rPr>
        <w:t>individual power plant. Balance sheet financing employs debt backed by the</w:t>
      </w:r>
      <w:r w:rsidR="0056349B">
        <w:rPr>
          <w:color w:val="000000"/>
        </w:rPr>
        <w:t xml:space="preserve"> </w:t>
      </w:r>
      <w:r w:rsidR="0056349B" w:rsidRPr="0056349B">
        <w:rPr>
          <w:color w:val="000000"/>
        </w:rPr>
        <w:t>project owner itself, which may have significant, diverse resources and assets beyond the</w:t>
      </w:r>
      <w:r w:rsidR="0056349B">
        <w:rPr>
          <w:color w:val="000000"/>
        </w:rPr>
        <w:t xml:space="preserve"> </w:t>
      </w:r>
      <w:r w:rsidR="0056349B" w:rsidRPr="0056349B">
        <w:rPr>
          <w:color w:val="000000"/>
        </w:rPr>
        <w:t>individual power plant.</w:t>
      </w:r>
      <w:r w:rsidR="0056349B">
        <w:rPr>
          <w:color w:val="000000"/>
        </w:rPr>
        <w:t xml:space="preserve"> </w:t>
      </w:r>
      <w:r w:rsidR="00EC0225">
        <w:rPr>
          <w:color w:val="000000"/>
        </w:rPr>
        <w:t xml:space="preserve">While many plants in New England are financed on a “stand-alone” or project-specific basis, the specifics of these financing structures are not publicly available, and are diverse and difficult to represent. </w:t>
      </w:r>
      <w:r w:rsidR="000E3CF3">
        <w:rPr>
          <w:color w:val="000000"/>
        </w:rPr>
        <w:t xml:space="preserve">Because </w:t>
      </w:r>
      <w:r w:rsidRPr="00832FC5">
        <w:rPr>
          <w:rFonts w:cs="Times New Roman"/>
        </w:rPr>
        <w:t xml:space="preserve">publicly available data about project-specific </w:t>
      </w:r>
      <w:r w:rsidR="001E3EEF">
        <w:rPr>
          <w:rFonts w:cs="Times New Roman"/>
        </w:rPr>
        <w:t xml:space="preserve">financing is not available, </w:t>
      </w:r>
      <w:r w:rsidR="000E3CF3">
        <w:rPr>
          <w:rFonts w:cs="Times New Roman"/>
        </w:rPr>
        <w:t xml:space="preserve">we chose a peer group of </w:t>
      </w:r>
      <w:r w:rsidR="000E3CF3" w:rsidRPr="0055298A">
        <w:rPr>
          <w:rFonts w:cs="Times New Roman"/>
        </w:rPr>
        <w:t>public</w:t>
      </w:r>
      <w:r w:rsidR="001B528B" w:rsidRPr="0055298A">
        <w:rPr>
          <w:rFonts w:cs="Times New Roman"/>
        </w:rPr>
        <w:t>ly</w:t>
      </w:r>
      <w:r w:rsidR="000E3CF3" w:rsidRPr="0055298A">
        <w:rPr>
          <w:rFonts w:cs="Times New Roman"/>
        </w:rPr>
        <w:t xml:space="preserve"> tra</w:t>
      </w:r>
      <w:r w:rsidR="000E3CF3">
        <w:rPr>
          <w:rFonts w:cs="Times New Roman"/>
        </w:rPr>
        <w:t xml:space="preserve">ded independent power producers (“IPPs”) and used their financial parameters </w:t>
      </w:r>
      <w:r w:rsidR="00444186">
        <w:rPr>
          <w:rFonts w:cs="Times New Roman"/>
        </w:rPr>
        <w:t xml:space="preserve">to inform our </w:t>
      </w:r>
      <w:r w:rsidR="0056349B">
        <w:rPr>
          <w:rFonts w:cs="Times New Roman"/>
        </w:rPr>
        <w:t xml:space="preserve">calculation of the </w:t>
      </w:r>
      <w:r w:rsidR="000E3CF3">
        <w:rPr>
          <w:rFonts w:cs="Times New Roman"/>
        </w:rPr>
        <w:t xml:space="preserve">recommended cost of capital.  We then made reasonable adjustments to this proxy group data </w:t>
      </w:r>
      <w:r w:rsidR="001E3EEF">
        <w:rPr>
          <w:rFonts w:cs="Times New Roman"/>
        </w:rPr>
        <w:t xml:space="preserve">to calculate an after-tax weighted average cost of capital </w:t>
      </w:r>
      <w:r w:rsidR="000E3CF3">
        <w:rPr>
          <w:rFonts w:cs="Times New Roman"/>
        </w:rPr>
        <w:t xml:space="preserve">to </w:t>
      </w:r>
      <w:r w:rsidR="001E3EEF">
        <w:rPr>
          <w:rFonts w:cs="Times New Roman"/>
        </w:rPr>
        <w:t xml:space="preserve">reflect how a generic new entrant would likely view the </w:t>
      </w:r>
      <w:r w:rsidR="000E3CF3">
        <w:rPr>
          <w:rFonts w:cs="Times New Roman"/>
        </w:rPr>
        <w:t xml:space="preserve">risk of merchant development </w:t>
      </w:r>
      <w:r w:rsidR="0056349B">
        <w:rPr>
          <w:rFonts w:cs="Times New Roman"/>
        </w:rPr>
        <w:t>in New England</w:t>
      </w:r>
      <w:r w:rsidR="001E3EEF">
        <w:rPr>
          <w:rFonts w:cs="Times New Roman"/>
        </w:rPr>
        <w:t>.</w:t>
      </w:r>
      <w:r w:rsidR="0055298A">
        <w:rPr>
          <w:rFonts w:cs="Times New Roman"/>
        </w:rPr>
        <w:t xml:space="preserve">  </w:t>
      </w:r>
    </w:p>
    <w:p w14:paraId="4FAAF729" w14:textId="7E6C8092" w:rsidR="00ED6B49" w:rsidRPr="00A12D4D" w:rsidRDefault="00ED6B49" w:rsidP="005B0246">
      <w:pPr>
        <w:rPr>
          <w:rFonts w:cs="Times New Roman"/>
        </w:rPr>
      </w:pPr>
      <w:r w:rsidRPr="00EE3048">
        <w:lastRenderedPageBreak/>
        <w:t xml:space="preserve">Our financing paradigm assumes </w:t>
      </w:r>
      <w:r w:rsidR="00744A69">
        <w:t>a reasonable balance between</w:t>
      </w:r>
      <w:r w:rsidR="00744A69" w:rsidRPr="00A12D4D">
        <w:t xml:space="preserve"> project-specific financing and </w:t>
      </w:r>
      <w:r w:rsidRPr="00EE3048">
        <w:t>large corporate balance sheet</w:t>
      </w:r>
      <w:r w:rsidR="00744A69">
        <w:t xml:space="preserve"> financing</w:t>
      </w:r>
      <w:r w:rsidRPr="00EE3048">
        <w:t xml:space="preserve">. </w:t>
      </w:r>
      <w:r w:rsidR="00EC0225" w:rsidRPr="00EE3048">
        <w:t>This p</w:t>
      </w:r>
      <w:r w:rsidRPr="00EE3048">
        <w:t>aradig</w:t>
      </w:r>
      <w:r w:rsidR="003313E7" w:rsidRPr="00EE3048">
        <w:t xml:space="preserve">m also assumes a </w:t>
      </w:r>
      <w:r w:rsidR="00EC0225" w:rsidRPr="00EE3048">
        <w:t>parent company</w:t>
      </w:r>
      <w:r w:rsidR="003313E7" w:rsidRPr="00EE3048">
        <w:t xml:space="preserve"> will find value in a</w:t>
      </w:r>
      <w:r w:rsidR="00A44EF3">
        <w:t>ny</w:t>
      </w:r>
      <w:r w:rsidR="003313E7" w:rsidRPr="00EE3048">
        <w:t xml:space="preserve"> </w:t>
      </w:r>
      <w:r w:rsidR="00A44EF3">
        <w:t>operating income</w:t>
      </w:r>
      <w:r w:rsidR="003313E7" w:rsidRPr="00EE3048">
        <w:t xml:space="preserve"> loss</w:t>
      </w:r>
      <w:r w:rsidR="00A44EF3">
        <w:t>es experienced over the life of the facility.</w:t>
      </w:r>
      <w:r w:rsidR="003313E7" w:rsidRPr="00EE3048">
        <w:t xml:space="preserve"> </w:t>
      </w:r>
      <w:r w:rsidR="00A44EF3" w:rsidRPr="00A12D4D">
        <w:t xml:space="preserve">Since </w:t>
      </w:r>
      <w:r w:rsidR="00744A69" w:rsidRPr="00A44EF3">
        <w:t>t</w:t>
      </w:r>
      <w:r w:rsidRPr="00EE3048">
        <w:t>here is no universally agreed upon convention for modeling tax effects for</w:t>
      </w:r>
      <w:r w:rsidR="001B04B0" w:rsidRPr="00EE3048">
        <w:t xml:space="preserve"> the</w:t>
      </w:r>
      <w:r w:rsidRPr="00EE3048">
        <w:t xml:space="preserve"> purposes of </w:t>
      </w:r>
      <w:r w:rsidR="001B04B0" w:rsidRPr="00EE3048">
        <w:t xml:space="preserve">a </w:t>
      </w:r>
      <w:r w:rsidRPr="00EE3048">
        <w:t xml:space="preserve">Net CONE </w:t>
      </w:r>
      <w:r w:rsidR="001B04B0" w:rsidRPr="00EE3048">
        <w:t xml:space="preserve">calculation, </w:t>
      </w:r>
      <w:r w:rsidR="00A44EF3" w:rsidRPr="00EE3048">
        <w:t>we believe this assumption is reasonable</w:t>
      </w:r>
      <w:r w:rsidR="001B04B0" w:rsidRPr="00EE3048">
        <w:t xml:space="preserve">. </w:t>
      </w:r>
    </w:p>
    <w:p w14:paraId="2EC29379" w14:textId="6E65FEFA" w:rsidR="005B0246" w:rsidRPr="00832FC5" w:rsidRDefault="00BB483A" w:rsidP="005B0246">
      <w:pPr>
        <w:rPr>
          <w:rFonts w:cs="Times New Roman"/>
        </w:rPr>
      </w:pPr>
      <w:r>
        <w:rPr>
          <w:rFonts w:cs="Times New Roman"/>
        </w:rPr>
        <w:t>The c</w:t>
      </w:r>
      <w:r w:rsidR="005B0246" w:rsidRPr="00832FC5">
        <w:rPr>
          <w:rFonts w:cs="Times New Roman"/>
        </w:rPr>
        <w:t xml:space="preserve">ost of capital is calculated as the weighted average of the required return for equity holders and cost of debt.  In addition to the cost of capital, the key financial inputs to the calculation of </w:t>
      </w:r>
      <w:r w:rsidR="005B0246">
        <w:rPr>
          <w:rFonts w:cs="Times New Roman"/>
        </w:rPr>
        <w:t>CONE/</w:t>
      </w:r>
      <w:r w:rsidR="005B0246" w:rsidRPr="00832FC5">
        <w:rPr>
          <w:rFonts w:cs="Times New Roman"/>
        </w:rPr>
        <w:t xml:space="preserve">Net CONE include inflation, depreciation, and property taxes.  Derivation of each input is described below. </w:t>
      </w:r>
    </w:p>
    <w:p w14:paraId="79A06305" w14:textId="3FA60551" w:rsidR="005B0246" w:rsidRPr="004E19C7" w:rsidRDefault="005B0246" w:rsidP="00B7738E">
      <w:pPr>
        <w:pStyle w:val="Heading4"/>
      </w:pPr>
      <w:r w:rsidRPr="004E19C7">
        <w:t>Inflation</w:t>
      </w:r>
    </w:p>
    <w:p w14:paraId="19039D65" w14:textId="77777777" w:rsidR="005B0246" w:rsidRPr="00832FC5" w:rsidRDefault="005B0246" w:rsidP="005B0246">
      <w:pPr>
        <w:rPr>
          <w:rFonts w:cs="Times New Roman"/>
        </w:rPr>
      </w:pPr>
      <w:r>
        <w:rPr>
          <w:rFonts w:cs="Times New Roman"/>
        </w:rPr>
        <w:t>CONE/</w:t>
      </w:r>
      <w:r w:rsidRPr="00832FC5">
        <w:rPr>
          <w:rFonts w:cs="Times New Roman"/>
        </w:rPr>
        <w:t xml:space="preserve">Net </w:t>
      </w:r>
      <w:proofErr w:type="gramStart"/>
      <w:r w:rsidRPr="00832FC5">
        <w:rPr>
          <w:rFonts w:cs="Times New Roman"/>
        </w:rPr>
        <w:t>CONE,</w:t>
      </w:r>
      <w:proofErr w:type="gramEnd"/>
      <w:r w:rsidRPr="00832FC5">
        <w:rPr>
          <w:rFonts w:cs="Times New Roman"/>
        </w:rPr>
        <w:t xml:space="preserve"> and the inputs to calculate </w:t>
      </w:r>
      <w:r>
        <w:rPr>
          <w:rFonts w:cs="Times New Roman"/>
        </w:rPr>
        <w:t>CONE/N</w:t>
      </w:r>
      <w:r w:rsidRPr="00832FC5">
        <w:rPr>
          <w:rFonts w:cs="Times New Roman"/>
        </w:rPr>
        <w:t xml:space="preserve">et CONE are expressed in real (constant) dollars. Inflation is </w:t>
      </w:r>
      <w:r>
        <w:rPr>
          <w:rFonts w:cs="Times New Roman"/>
        </w:rPr>
        <w:t>a</w:t>
      </w:r>
      <w:r w:rsidRPr="00832FC5">
        <w:rPr>
          <w:rFonts w:cs="Times New Roman"/>
        </w:rPr>
        <w:t xml:space="preserve"> key factor </w:t>
      </w:r>
      <w:r>
        <w:rPr>
          <w:rFonts w:cs="Times New Roman"/>
        </w:rPr>
        <w:t xml:space="preserve">used </w:t>
      </w:r>
      <w:r w:rsidRPr="00832FC5">
        <w:rPr>
          <w:rFonts w:cs="Times New Roman"/>
        </w:rPr>
        <w:t xml:space="preserve">to </w:t>
      </w:r>
      <w:r>
        <w:rPr>
          <w:rFonts w:cs="Times New Roman"/>
        </w:rPr>
        <w:t>translate</w:t>
      </w:r>
      <w:r w:rsidRPr="00832FC5">
        <w:rPr>
          <w:rFonts w:cs="Times New Roman"/>
        </w:rPr>
        <w:t xml:space="preserve"> </w:t>
      </w:r>
      <w:r>
        <w:rPr>
          <w:rFonts w:cs="Times New Roman"/>
        </w:rPr>
        <w:t xml:space="preserve">projected nominal cost and revenue streams to constant, or real, </w:t>
      </w:r>
      <w:r w:rsidRPr="00832FC5">
        <w:rPr>
          <w:rFonts w:cs="Times New Roman"/>
        </w:rPr>
        <w:t xml:space="preserve">terms. It is also used in the calculation of a real discount rate, the </w:t>
      </w:r>
      <w:proofErr w:type="spellStart"/>
      <w:r w:rsidRPr="00832FC5">
        <w:rPr>
          <w:rFonts w:cs="Times New Roman"/>
        </w:rPr>
        <w:t>levelization</w:t>
      </w:r>
      <w:proofErr w:type="spellEnd"/>
      <w:r w:rsidRPr="00832FC5">
        <w:rPr>
          <w:rFonts w:cs="Times New Roman"/>
        </w:rPr>
        <w:t xml:space="preserve"> factor for</w:t>
      </w:r>
      <w:r>
        <w:rPr>
          <w:rFonts w:cs="Times New Roman"/>
        </w:rPr>
        <w:t xml:space="preserve"> CONE/N</w:t>
      </w:r>
      <w:r w:rsidRPr="00832FC5">
        <w:rPr>
          <w:rFonts w:cs="Times New Roman"/>
        </w:rPr>
        <w:t xml:space="preserve">et CONE. </w:t>
      </w:r>
    </w:p>
    <w:p w14:paraId="3AB9F8CB" w14:textId="77777777" w:rsidR="005B0246" w:rsidRPr="00832FC5" w:rsidRDefault="005B0246" w:rsidP="005B0246">
      <w:pPr>
        <w:rPr>
          <w:rFonts w:cs="Times New Roman"/>
        </w:rPr>
      </w:pPr>
      <w:r w:rsidRPr="00832FC5">
        <w:rPr>
          <w:rFonts w:cs="Times New Roman"/>
        </w:rPr>
        <w:t>Two estimates of inflation were review</w:t>
      </w:r>
      <w:r>
        <w:rPr>
          <w:rFonts w:cs="Times New Roman"/>
        </w:rPr>
        <w:t>ed</w:t>
      </w:r>
      <w:r w:rsidRPr="00832FC5">
        <w:rPr>
          <w:rFonts w:cs="Times New Roman"/>
        </w:rPr>
        <w:t xml:space="preserve"> to develop the annual inflation outlook of 2%.  The Blue Chip Long Term Consensus Forecast provides the most forward looking forecast of inflation.</w:t>
      </w:r>
      <w:r w:rsidRPr="00832FC5">
        <w:rPr>
          <w:rStyle w:val="FootnoteReference"/>
          <w:rFonts w:cs="Times New Roman"/>
        </w:rPr>
        <w:footnoteReference w:id="9"/>
      </w:r>
      <w:r w:rsidRPr="00832FC5">
        <w:rPr>
          <w:rFonts w:cs="Times New Roman"/>
        </w:rPr>
        <w:t xml:space="preserve"> The ten-year average consensus forecast of CPI for all urban consumers is estimated at 2.3% (2018-2027).</w:t>
      </w:r>
    </w:p>
    <w:p w14:paraId="0B8A5A11" w14:textId="4D98D24C" w:rsidR="005B0246" w:rsidRPr="00832FC5" w:rsidRDefault="005B0246" w:rsidP="005B0246">
      <w:pPr>
        <w:rPr>
          <w:rFonts w:cs="Times New Roman"/>
        </w:rPr>
      </w:pPr>
      <w:r w:rsidRPr="00832FC5">
        <w:rPr>
          <w:rFonts w:cs="Times New Roman"/>
        </w:rPr>
        <w:t>Second, we reviewed spreads between yields on Treasury Inflation-Protected Securities (</w:t>
      </w:r>
      <w:r w:rsidR="00F02AC3">
        <w:rPr>
          <w:rFonts w:cs="Times New Roman"/>
        </w:rPr>
        <w:t>“</w:t>
      </w:r>
      <w:r w:rsidRPr="00832FC5">
        <w:rPr>
          <w:rFonts w:cs="Times New Roman"/>
        </w:rPr>
        <w:t>TIPS</w:t>
      </w:r>
      <w:r w:rsidR="00F02AC3">
        <w:rPr>
          <w:rFonts w:cs="Times New Roman"/>
        </w:rPr>
        <w:t>”</w:t>
      </w:r>
      <w:r w:rsidRPr="00832FC5">
        <w:rPr>
          <w:rFonts w:cs="Times New Roman"/>
        </w:rPr>
        <w:t>) and conventional U.S. Treasuries.  TIPS provide holders a return on their investment that is indexed to CPI to protect holders from inflation risk.  Conventional Treasuries do not.  As such, the difference in the yields between bonds of each type with the same maturity date, calculated as the conventional yield minus the TIPS yield, reflects the market’s expectation of inflation for the period leading up to the maturity date.  A 30-day average of daily yield curves published by the U.S. Treasury at the time of our analysis indicated that the spread in the yields for bonds of each type with 20-year maturities averaged 1.37% over that period.</w:t>
      </w:r>
      <w:r w:rsidRPr="00832FC5">
        <w:rPr>
          <w:rStyle w:val="FootnoteReference"/>
          <w:rFonts w:cs="Times New Roman"/>
        </w:rPr>
        <w:footnoteReference w:id="10"/>
      </w:r>
      <w:r w:rsidRPr="00832FC5">
        <w:rPr>
          <w:rFonts w:cs="Times New Roman"/>
        </w:rPr>
        <w:t xml:space="preserve"> </w:t>
      </w:r>
    </w:p>
    <w:p w14:paraId="55ADFB3E" w14:textId="77777777" w:rsidR="005B0246" w:rsidRPr="00832FC5" w:rsidRDefault="005B0246" w:rsidP="005B0246">
      <w:pPr>
        <w:rPr>
          <w:rFonts w:cs="Times New Roman"/>
        </w:rPr>
      </w:pPr>
      <w:r w:rsidRPr="00832FC5">
        <w:rPr>
          <w:rFonts w:cs="Times New Roman"/>
        </w:rPr>
        <w:t>Based on these inputs, we assumed an average long-term annual inflation rate of 2.0% for all CONE and ORTP calculations.</w:t>
      </w:r>
    </w:p>
    <w:p w14:paraId="0E8C54CA" w14:textId="77777777" w:rsidR="005B0246" w:rsidRPr="004E19C7" w:rsidRDefault="005B0246" w:rsidP="00B7738E">
      <w:pPr>
        <w:pStyle w:val="Heading4"/>
      </w:pPr>
      <w:r w:rsidRPr="004E19C7">
        <w:t>Depreciation</w:t>
      </w:r>
    </w:p>
    <w:p w14:paraId="389D8600" w14:textId="59F3BD2C" w:rsidR="005B0246" w:rsidRDefault="005B0246" w:rsidP="005B0246">
      <w:pPr>
        <w:rPr>
          <w:rFonts w:cs="Times New Roman"/>
        </w:rPr>
      </w:pPr>
      <w:r>
        <w:rPr>
          <w:rFonts w:cs="Times New Roman"/>
        </w:rPr>
        <w:t>We use</w:t>
      </w:r>
      <w:r w:rsidR="00BB483A">
        <w:rPr>
          <w:rFonts w:cs="Times New Roman"/>
        </w:rPr>
        <w:t>d</w:t>
      </w:r>
      <w:r>
        <w:rPr>
          <w:rFonts w:cs="Times New Roman"/>
        </w:rPr>
        <w:t xml:space="preserve"> a 15 or 20-</w:t>
      </w:r>
      <w:r w:rsidRPr="00832FC5">
        <w:rPr>
          <w:rFonts w:cs="Times New Roman"/>
        </w:rPr>
        <w:t>year tax life according to IRS guidelines using the Modified Accelerated Cost Recovery System (</w:t>
      </w:r>
      <w:r>
        <w:rPr>
          <w:rFonts w:cs="Times New Roman"/>
        </w:rPr>
        <w:t>“</w:t>
      </w:r>
      <w:r w:rsidRPr="00832FC5">
        <w:rPr>
          <w:rFonts w:cs="Times New Roman"/>
        </w:rPr>
        <w:t>MACRS</w:t>
      </w:r>
      <w:r>
        <w:rPr>
          <w:rFonts w:cs="Times New Roman"/>
        </w:rPr>
        <w:t>”</w:t>
      </w:r>
      <w:r w:rsidRPr="00832FC5">
        <w:rPr>
          <w:rFonts w:cs="Times New Roman"/>
        </w:rPr>
        <w:t>) to depreciate the eligible portion of total installed costs over the forecast period.</w:t>
      </w:r>
      <w:r w:rsidRPr="00832FC5">
        <w:rPr>
          <w:rStyle w:val="FootnoteReference"/>
          <w:rFonts w:cs="Times New Roman"/>
        </w:rPr>
        <w:footnoteReference w:id="11"/>
      </w:r>
      <w:r w:rsidRPr="00832FC5">
        <w:rPr>
          <w:rFonts w:cs="Times New Roman"/>
        </w:rPr>
        <w:t xml:space="preserve"> </w:t>
      </w:r>
      <w:r>
        <w:rPr>
          <w:rFonts w:cs="Times New Roman"/>
        </w:rPr>
        <w:t>The federal tax code allows recovery over 15 years</w:t>
      </w:r>
      <w:r w:rsidR="00D521BE">
        <w:rPr>
          <w:rFonts w:cs="Times New Roman"/>
        </w:rPr>
        <w:t xml:space="preserve"> for a combustion turbine and </w:t>
      </w:r>
      <w:r>
        <w:rPr>
          <w:rFonts w:cs="Times New Roman"/>
        </w:rPr>
        <w:t>over 20 years</w:t>
      </w:r>
      <w:r w:rsidR="00D521BE">
        <w:rPr>
          <w:rFonts w:cs="Times New Roman"/>
        </w:rPr>
        <w:t xml:space="preserve"> for a combined cycle resource.</w:t>
      </w:r>
    </w:p>
    <w:p w14:paraId="0E2A85D2" w14:textId="65AD099C" w:rsidR="005B0246" w:rsidRPr="00EE3048" w:rsidRDefault="00EE3048" w:rsidP="00EE3048">
      <w:pPr>
        <w:spacing w:after="0"/>
        <w:rPr>
          <w:rFonts w:cs="Times New Roman"/>
        </w:rPr>
      </w:pPr>
      <w:r w:rsidRPr="00EE3048">
        <w:rPr>
          <w:rFonts w:cs="Times New Roman"/>
        </w:rPr>
        <w:t xml:space="preserve">To calculate the annual value of depreciation, the “depreciable costs” for a new resource are the sum of </w:t>
      </w:r>
      <w:r w:rsidR="005B0246" w:rsidRPr="00EE3048">
        <w:rPr>
          <w:rFonts w:cs="Times New Roman"/>
        </w:rPr>
        <w:t xml:space="preserve">the depreciable capital costs and the accumulated interest during construction (“IDC”). </w:t>
      </w:r>
      <w:r w:rsidR="005B0246" w:rsidRPr="00EE3048">
        <w:rPr>
          <w:rFonts w:cs="Times New Roman"/>
        </w:rPr>
        <w:lastRenderedPageBreak/>
        <w:t>Several capital cost line items are considered non</w:t>
      </w:r>
      <w:r w:rsidR="00A44EFD" w:rsidRPr="00EE3048">
        <w:rPr>
          <w:rFonts w:cs="Times New Roman"/>
        </w:rPr>
        <w:t>-</w:t>
      </w:r>
      <w:r w:rsidR="005B0246" w:rsidRPr="00EE3048">
        <w:rPr>
          <w:rFonts w:cs="Times New Roman"/>
        </w:rPr>
        <w:t xml:space="preserve">depreciable, including fuel inventories and working capital, and are not included in total depreciable costs. IDC is calculated based on the assumption that </w:t>
      </w:r>
      <w:r w:rsidR="005B0246" w:rsidRPr="001436DC">
        <w:rPr>
          <w:rFonts w:cs="Times New Roman"/>
        </w:rPr>
        <w:t xml:space="preserve">capital structure </w:t>
      </w:r>
      <w:r w:rsidR="00651DEF" w:rsidRPr="001436DC">
        <w:rPr>
          <w:rFonts w:cs="Times New Roman"/>
        </w:rPr>
        <w:t>during the construction period</w:t>
      </w:r>
      <w:r w:rsidR="005B0246" w:rsidRPr="001436DC">
        <w:rPr>
          <w:rFonts w:cs="Times New Roman"/>
        </w:rPr>
        <w:t xml:space="preserve"> </w:t>
      </w:r>
      <w:r w:rsidR="001B04B0" w:rsidRPr="00EE3048">
        <w:rPr>
          <w:rFonts w:cs="Times New Roman"/>
        </w:rPr>
        <w:t xml:space="preserve">is the same </w:t>
      </w:r>
      <w:r w:rsidR="005B0246" w:rsidRPr="001436DC">
        <w:rPr>
          <w:rFonts w:cs="Times New Roman"/>
        </w:rPr>
        <w:t>as the overall project, i.e., 60% debt and 7.75% COD.</w:t>
      </w:r>
    </w:p>
    <w:p w14:paraId="105C7846" w14:textId="77777777" w:rsidR="005B0246" w:rsidRPr="00611926" w:rsidRDefault="005B0246" w:rsidP="00B7738E">
      <w:pPr>
        <w:pStyle w:val="Heading4"/>
      </w:pPr>
      <w:r w:rsidRPr="00611926">
        <w:t>Property Taxes</w:t>
      </w:r>
    </w:p>
    <w:p w14:paraId="467EC4A2" w14:textId="3A56989D" w:rsidR="005B0246" w:rsidRPr="00832FC5" w:rsidRDefault="005B0246" w:rsidP="0055298A">
      <w:pPr>
        <w:rPr>
          <w:rFonts w:cs="Times New Roman"/>
        </w:rPr>
      </w:pPr>
      <w:r w:rsidRPr="0055298A">
        <w:rPr>
          <w:rFonts w:cs="Times New Roman"/>
        </w:rPr>
        <w:t xml:space="preserve">Property taxes are based on municipal tax rates, which are generally differentiated by business type.  A review of Commercial and Industrial (C&amp;I) rates in Massachusetts over the last three years </w:t>
      </w:r>
      <w:r w:rsidR="00BF014D" w:rsidRPr="0055298A">
        <w:rPr>
          <w:rFonts w:cs="Times New Roman"/>
        </w:rPr>
        <w:t xml:space="preserve">indicated an </w:t>
      </w:r>
      <w:r w:rsidRPr="0055298A">
        <w:rPr>
          <w:rFonts w:cs="Times New Roman"/>
        </w:rPr>
        <w:t>average</w:t>
      </w:r>
      <w:r w:rsidR="00BF014D" w:rsidRPr="0055298A">
        <w:rPr>
          <w:rFonts w:cs="Times New Roman"/>
        </w:rPr>
        <w:t xml:space="preserve"> rate of</w:t>
      </w:r>
      <w:r w:rsidRPr="00832FC5">
        <w:rPr>
          <w:rFonts w:cs="Times New Roman"/>
        </w:rPr>
        <w:t xml:space="preserve"> 0.2%-4.0%</w:t>
      </w:r>
      <w:r>
        <w:rPr>
          <w:rFonts w:cs="Times New Roman"/>
        </w:rPr>
        <w:t xml:space="preserve"> by municipality</w:t>
      </w:r>
      <w:r w:rsidRPr="00832FC5">
        <w:rPr>
          <w:rFonts w:cs="Times New Roman"/>
        </w:rPr>
        <w:t>.</w:t>
      </w:r>
    </w:p>
    <w:p w14:paraId="084A6554" w14:textId="5835617B" w:rsidR="005B0246" w:rsidRDefault="005B0246" w:rsidP="005B0246">
      <w:pPr>
        <w:rPr>
          <w:rFonts w:cs="Times New Roman"/>
        </w:rPr>
      </w:pPr>
      <w:r w:rsidRPr="00832FC5">
        <w:rPr>
          <w:rFonts w:cs="Times New Roman"/>
        </w:rPr>
        <w:t xml:space="preserve">The assumed property tax rate is based on a review of C&amp;I rates in </w:t>
      </w:r>
      <w:r>
        <w:rPr>
          <w:rFonts w:cs="Times New Roman"/>
        </w:rPr>
        <w:t>the reference county’s four major cities (Bristol County,</w:t>
      </w:r>
      <w:r w:rsidRPr="00832FC5">
        <w:rPr>
          <w:rFonts w:cs="Times New Roman"/>
        </w:rPr>
        <w:t xml:space="preserve"> M</w:t>
      </w:r>
      <w:r w:rsidR="00F02AC3">
        <w:rPr>
          <w:rFonts w:cs="Times New Roman"/>
        </w:rPr>
        <w:t>assachusetts</w:t>
      </w:r>
      <w:r>
        <w:rPr>
          <w:rFonts w:cs="Times New Roman"/>
        </w:rPr>
        <w:t>) over the period</w:t>
      </w:r>
      <w:r w:rsidRPr="00832FC5">
        <w:rPr>
          <w:rFonts w:cs="Times New Roman"/>
        </w:rPr>
        <w:t xml:space="preserve"> 2013-2015.  Based on </w:t>
      </w:r>
      <w:r>
        <w:rPr>
          <w:rFonts w:cs="Times New Roman"/>
        </w:rPr>
        <w:t>the following</w:t>
      </w:r>
      <w:r w:rsidRPr="00832FC5">
        <w:rPr>
          <w:rFonts w:cs="Times New Roman"/>
        </w:rPr>
        <w:t xml:space="preserve"> data, a property tax rate of 3.0% was </w:t>
      </w:r>
      <w:r>
        <w:rPr>
          <w:rFonts w:cs="Times New Roman"/>
        </w:rPr>
        <w:t>assumed</w:t>
      </w:r>
      <w:r w:rsidRPr="00832FC5">
        <w:rPr>
          <w:rFonts w:cs="Times New Roman"/>
        </w:rPr>
        <w:t>:</w:t>
      </w:r>
    </w:p>
    <w:p w14:paraId="13316E46" w14:textId="6B936033" w:rsidR="005B0246" w:rsidRPr="00832FC5" w:rsidRDefault="005B0246" w:rsidP="00D2628D">
      <w:pPr>
        <w:pStyle w:val="Caption"/>
      </w:pPr>
      <w:bookmarkStart w:id="52" w:name="_Toc465433447"/>
      <w:r w:rsidRPr="00832FC5">
        <w:t xml:space="preserve">Table </w:t>
      </w:r>
      <w:r w:rsidR="00FA6573">
        <w:fldChar w:fldCharType="begin"/>
      </w:r>
      <w:r w:rsidR="00FA6573">
        <w:instrText xml:space="preserve"> SEQ Table \* ARABIC </w:instrText>
      </w:r>
      <w:r w:rsidR="00FA6573">
        <w:fldChar w:fldCharType="separate"/>
      </w:r>
      <w:r w:rsidR="000637A3">
        <w:rPr>
          <w:noProof/>
        </w:rPr>
        <w:t>22</w:t>
      </w:r>
      <w:r w:rsidR="00FA6573">
        <w:rPr>
          <w:noProof/>
        </w:rPr>
        <w:fldChar w:fldCharType="end"/>
      </w:r>
      <w:r w:rsidR="00FE4C1F">
        <w:rPr>
          <w:noProof/>
        </w:rPr>
        <w:t>:</w:t>
      </w:r>
      <w:r w:rsidRPr="00832FC5">
        <w:t xml:space="preserve">  Municipal Tax Rates for Selected Cities in SEMA</w:t>
      </w:r>
      <w:r w:rsidRPr="00832FC5">
        <w:rPr>
          <w:rStyle w:val="FootnoteReference"/>
          <w:i/>
          <w:szCs w:val="22"/>
        </w:rPr>
        <w:footnoteReference w:id="12"/>
      </w:r>
      <w:bookmarkEnd w:id="52"/>
    </w:p>
    <w:tbl>
      <w:tblPr>
        <w:tblStyle w:val="GridTable4-Accent32"/>
        <w:tblW w:w="0" w:type="auto"/>
        <w:jc w:val="center"/>
        <w:tblLook w:val="04A0" w:firstRow="1" w:lastRow="0" w:firstColumn="1" w:lastColumn="0" w:noHBand="0" w:noVBand="1"/>
      </w:tblPr>
      <w:tblGrid>
        <w:gridCol w:w="805"/>
        <w:gridCol w:w="1170"/>
        <w:gridCol w:w="789"/>
        <w:gridCol w:w="904"/>
        <w:gridCol w:w="1340"/>
      </w:tblGrid>
      <w:tr w:rsidR="005B0246" w:rsidRPr="00FE4C1F" w14:paraId="164CBA1C" w14:textId="77777777" w:rsidTr="00BF404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05" w:type="dxa"/>
            <w:vAlign w:val="bottom"/>
          </w:tcPr>
          <w:p w14:paraId="6A601DD6" w14:textId="77777777" w:rsidR="005B0246" w:rsidRPr="00FE4C1F" w:rsidRDefault="005B0246">
            <w:pPr>
              <w:jc w:val="center"/>
              <w:rPr>
                <w:rFonts w:ascii="Century Gothic" w:hAnsi="Century Gothic" w:cs="Times New Roman"/>
                <w:b w:val="0"/>
                <w:smallCaps/>
                <w:color w:val="auto"/>
                <w:sz w:val="22"/>
              </w:rPr>
            </w:pPr>
          </w:p>
        </w:tc>
        <w:tc>
          <w:tcPr>
            <w:tcW w:w="1170" w:type="dxa"/>
            <w:vAlign w:val="bottom"/>
          </w:tcPr>
          <w:p w14:paraId="0465939B" w14:textId="77777777" w:rsidR="005B0246" w:rsidRPr="00BF404F" w:rsidRDefault="005B024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8"/>
              </w:rPr>
            </w:pPr>
            <w:r w:rsidRPr="00BF404F">
              <w:rPr>
                <w:rFonts w:ascii="Century Gothic" w:hAnsi="Century Gothic" w:cs="Times New Roman"/>
                <w:color w:val="000000" w:themeColor="text1"/>
                <w:sz w:val="18"/>
              </w:rPr>
              <w:t>Attleboro</w:t>
            </w:r>
          </w:p>
        </w:tc>
        <w:tc>
          <w:tcPr>
            <w:tcW w:w="789" w:type="dxa"/>
            <w:vAlign w:val="bottom"/>
          </w:tcPr>
          <w:p w14:paraId="47DC5442" w14:textId="77777777" w:rsidR="005B0246" w:rsidRPr="00BF404F" w:rsidRDefault="005B024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8"/>
              </w:rPr>
            </w:pPr>
            <w:r w:rsidRPr="00BF404F">
              <w:rPr>
                <w:rFonts w:ascii="Century Gothic" w:hAnsi="Century Gothic" w:cs="Times New Roman"/>
                <w:color w:val="000000" w:themeColor="text1"/>
                <w:sz w:val="18"/>
              </w:rPr>
              <w:t>Fall River</w:t>
            </w:r>
          </w:p>
        </w:tc>
        <w:tc>
          <w:tcPr>
            <w:tcW w:w="904" w:type="dxa"/>
            <w:vAlign w:val="bottom"/>
          </w:tcPr>
          <w:p w14:paraId="6A995598" w14:textId="77777777" w:rsidR="005B0246" w:rsidRPr="00BF404F" w:rsidRDefault="005B024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8"/>
              </w:rPr>
            </w:pPr>
            <w:r w:rsidRPr="00BF404F">
              <w:rPr>
                <w:rFonts w:ascii="Century Gothic" w:hAnsi="Century Gothic" w:cs="Times New Roman"/>
                <w:color w:val="000000" w:themeColor="text1"/>
                <w:sz w:val="18"/>
              </w:rPr>
              <w:t>Taunton</w:t>
            </w:r>
          </w:p>
        </w:tc>
        <w:tc>
          <w:tcPr>
            <w:tcW w:w="0" w:type="auto"/>
            <w:vAlign w:val="bottom"/>
          </w:tcPr>
          <w:p w14:paraId="17759E75" w14:textId="77777777" w:rsidR="005B0246" w:rsidRPr="00BF404F" w:rsidRDefault="005B024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8"/>
              </w:rPr>
            </w:pPr>
            <w:r w:rsidRPr="00BF404F">
              <w:rPr>
                <w:rFonts w:ascii="Century Gothic" w:hAnsi="Century Gothic" w:cs="Times New Roman"/>
                <w:color w:val="000000" w:themeColor="text1"/>
                <w:sz w:val="18"/>
              </w:rPr>
              <w:t>New Bedford</w:t>
            </w:r>
          </w:p>
        </w:tc>
      </w:tr>
      <w:tr w:rsidR="005B0246" w:rsidRPr="00FE4C1F" w14:paraId="186B7B7F" w14:textId="77777777" w:rsidTr="00BF404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88C8237" w14:textId="77777777" w:rsidR="005B0246" w:rsidRPr="001436DC" w:rsidRDefault="005B0246" w:rsidP="008E234D">
            <w:pPr>
              <w:jc w:val="left"/>
              <w:rPr>
                <w:rFonts w:ascii="Century Gothic" w:hAnsi="Century Gothic" w:cs="Times New Roman"/>
                <w:sz w:val="16"/>
              </w:rPr>
            </w:pPr>
            <w:r w:rsidRPr="001436DC">
              <w:rPr>
                <w:rFonts w:ascii="Century Gothic" w:hAnsi="Century Gothic" w:cs="Times New Roman"/>
                <w:sz w:val="16"/>
              </w:rPr>
              <w:t>2013</w:t>
            </w:r>
          </w:p>
        </w:tc>
        <w:tc>
          <w:tcPr>
            <w:tcW w:w="1170" w:type="dxa"/>
            <w:vAlign w:val="center"/>
          </w:tcPr>
          <w:p w14:paraId="616C3ABD" w14:textId="77777777" w:rsidR="005B0246" w:rsidRPr="001436DC" w:rsidRDefault="005B024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2.05%</w:t>
            </w:r>
          </w:p>
        </w:tc>
        <w:tc>
          <w:tcPr>
            <w:tcW w:w="789" w:type="dxa"/>
            <w:vAlign w:val="center"/>
          </w:tcPr>
          <w:p w14:paraId="10165ECC" w14:textId="77777777" w:rsidR="005B0246" w:rsidRPr="001436DC" w:rsidRDefault="005B024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2.54%</w:t>
            </w:r>
          </w:p>
        </w:tc>
        <w:tc>
          <w:tcPr>
            <w:tcW w:w="904" w:type="dxa"/>
            <w:vAlign w:val="center"/>
          </w:tcPr>
          <w:p w14:paraId="453F6E6F" w14:textId="77777777" w:rsidR="005B0246" w:rsidRPr="001436DC" w:rsidRDefault="005B024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3.06%</w:t>
            </w:r>
          </w:p>
        </w:tc>
        <w:tc>
          <w:tcPr>
            <w:tcW w:w="0" w:type="auto"/>
            <w:vAlign w:val="center"/>
          </w:tcPr>
          <w:p w14:paraId="2D7C6640" w14:textId="77777777" w:rsidR="005B0246" w:rsidRPr="001436DC" w:rsidRDefault="005B024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2.95%</w:t>
            </w:r>
          </w:p>
        </w:tc>
      </w:tr>
      <w:tr w:rsidR="005B0246" w:rsidRPr="00FE4C1F" w14:paraId="1E36DFAD" w14:textId="77777777" w:rsidTr="00BF404F">
        <w:trPr>
          <w:trHeight w:val="432"/>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E6D6D3C" w14:textId="77777777" w:rsidR="005B0246" w:rsidRPr="001436DC" w:rsidRDefault="005B0246" w:rsidP="008E234D">
            <w:pPr>
              <w:jc w:val="left"/>
              <w:rPr>
                <w:rFonts w:ascii="Century Gothic" w:hAnsi="Century Gothic" w:cs="Times New Roman"/>
                <w:sz w:val="16"/>
              </w:rPr>
            </w:pPr>
            <w:r w:rsidRPr="001436DC">
              <w:rPr>
                <w:rFonts w:ascii="Century Gothic" w:hAnsi="Century Gothic" w:cs="Times New Roman"/>
                <w:sz w:val="16"/>
              </w:rPr>
              <w:t>2014</w:t>
            </w:r>
          </w:p>
        </w:tc>
        <w:tc>
          <w:tcPr>
            <w:tcW w:w="1170" w:type="dxa"/>
            <w:vAlign w:val="center"/>
          </w:tcPr>
          <w:p w14:paraId="7704762D" w14:textId="77777777" w:rsidR="005B0246" w:rsidRPr="001436DC" w:rsidRDefault="005B024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2.16%</w:t>
            </w:r>
          </w:p>
        </w:tc>
        <w:tc>
          <w:tcPr>
            <w:tcW w:w="789" w:type="dxa"/>
            <w:vAlign w:val="center"/>
          </w:tcPr>
          <w:p w14:paraId="0136A565" w14:textId="77777777" w:rsidR="005B0246" w:rsidRPr="001436DC" w:rsidRDefault="005B024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2.67%</w:t>
            </w:r>
          </w:p>
        </w:tc>
        <w:tc>
          <w:tcPr>
            <w:tcW w:w="904" w:type="dxa"/>
            <w:vAlign w:val="center"/>
          </w:tcPr>
          <w:p w14:paraId="2873CFB6" w14:textId="77777777" w:rsidR="005B0246" w:rsidRPr="001436DC" w:rsidRDefault="005B024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3.12%</w:t>
            </w:r>
          </w:p>
        </w:tc>
        <w:tc>
          <w:tcPr>
            <w:tcW w:w="0" w:type="auto"/>
            <w:vAlign w:val="center"/>
          </w:tcPr>
          <w:p w14:paraId="7DF43F8C" w14:textId="77777777" w:rsidR="005B0246" w:rsidRPr="001436DC" w:rsidRDefault="005B024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3.11%</w:t>
            </w:r>
          </w:p>
        </w:tc>
      </w:tr>
      <w:tr w:rsidR="005B0246" w:rsidRPr="00FE4C1F" w14:paraId="14C33F91" w14:textId="77777777" w:rsidTr="00BF404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A2FAAD1" w14:textId="77777777" w:rsidR="005B0246" w:rsidRPr="001436DC" w:rsidRDefault="005B0246" w:rsidP="008E234D">
            <w:pPr>
              <w:jc w:val="left"/>
              <w:rPr>
                <w:rFonts w:ascii="Century Gothic" w:hAnsi="Century Gothic" w:cs="Times New Roman"/>
                <w:sz w:val="16"/>
              </w:rPr>
            </w:pPr>
            <w:r w:rsidRPr="001436DC">
              <w:rPr>
                <w:rFonts w:ascii="Century Gothic" w:hAnsi="Century Gothic" w:cs="Times New Roman"/>
                <w:sz w:val="16"/>
              </w:rPr>
              <w:t>2015</w:t>
            </w:r>
          </w:p>
        </w:tc>
        <w:tc>
          <w:tcPr>
            <w:tcW w:w="1170" w:type="dxa"/>
            <w:vAlign w:val="center"/>
          </w:tcPr>
          <w:p w14:paraId="51B8EBE4" w14:textId="77777777" w:rsidR="005B0246" w:rsidRPr="001436DC" w:rsidRDefault="005B024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2.13%</w:t>
            </w:r>
          </w:p>
        </w:tc>
        <w:tc>
          <w:tcPr>
            <w:tcW w:w="789" w:type="dxa"/>
            <w:vAlign w:val="center"/>
          </w:tcPr>
          <w:p w14:paraId="3E3E6D1C" w14:textId="77777777" w:rsidR="005B0246" w:rsidRPr="001436DC" w:rsidRDefault="005B024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2.81%</w:t>
            </w:r>
          </w:p>
        </w:tc>
        <w:tc>
          <w:tcPr>
            <w:tcW w:w="904" w:type="dxa"/>
            <w:vAlign w:val="center"/>
          </w:tcPr>
          <w:p w14:paraId="7BEC987F" w14:textId="77777777" w:rsidR="005B0246" w:rsidRPr="001436DC" w:rsidRDefault="005B024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3.32%</w:t>
            </w:r>
          </w:p>
        </w:tc>
        <w:tc>
          <w:tcPr>
            <w:tcW w:w="0" w:type="auto"/>
            <w:vAlign w:val="center"/>
          </w:tcPr>
          <w:p w14:paraId="3EA32B5C" w14:textId="77777777" w:rsidR="005B0246" w:rsidRPr="001436DC" w:rsidRDefault="005B024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1436DC">
              <w:rPr>
                <w:rFonts w:ascii="Century Gothic" w:hAnsi="Century Gothic" w:cs="Times New Roman"/>
                <w:sz w:val="16"/>
              </w:rPr>
              <w:t>3.36%</w:t>
            </w:r>
          </w:p>
        </w:tc>
      </w:tr>
    </w:tbl>
    <w:p w14:paraId="216A5AAB" w14:textId="77777777" w:rsidR="005B0246" w:rsidRPr="00611926" w:rsidRDefault="005B0246" w:rsidP="005B0246">
      <w:pPr>
        <w:ind w:left="720"/>
      </w:pPr>
    </w:p>
    <w:p w14:paraId="53217BEB" w14:textId="77777777" w:rsidR="006B0FC6" w:rsidRPr="006B0FC6" w:rsidRDefault="005B0246" w:rsidP="003F027F">
      <w:pPr>
        <w:pStyle w:val="Heading4"/>
      </w:pPr>
      <w:r w:rsidRPr="004E19C7">
        <w:t>Income Tax Rates</w:t>
      </w:r>
    </w:p>
    <w:p w14:paraId="143F979D" w14:textId="27298AF0" w:rsidR="005B0246" w:rsidRPr="006B0FC6" w:rsidRDefault="005B0246" w:rsidP="008E234D">
      <w:pPr>
        <w:rPr>
          <w:rFonts w:cs="Times New Roman"/>
          <w:i/>
        </w:rPr>
      </w:pPr>
      <w:r w:rsidRPr="006B0FC6">
        <w:t>We calculated income tax rates based on current federal and state tax rates. The marginal federal income tax rate is 35%.</w:t>
      </w:r>
      <w:r>
        <w:rPr>
          <w:rStyle w:val="FootnoteReference"/>
          <w:rFonts w:ascii="TimesNewRomanPSMT" w:hAnsi="TimesNewRomanPSMT"/>
          <w:color w:val="000000"/>
        </w:rPr>
        <w:footnoteReference w:id="13"/>
      </w:r>
      <w:r w:rsidRPr="006B0FC6">
        <w:rPr>
          <w:sz w:val="16"/>
          <w:szCs w:val="16"/>
        </w:rPr>
        <w:t xml:space="preserve"> </w:t>
      </w:r>
      <w:r w:rsidRPr="006B0FC6">
        <w:t>The state income tax rate for Massachusetts is 8.0%.</w:t>
      </w:r>
      <w:r>
        <w:rPr>
          <w:rStyle w:val="FootnoteReference"/>
          <w:rFonts w:ascii="TimesNewRomanPSMT" w:hAnsi="TimesNewRomanPSMT"/>
          <w:color w:val="000000"/>
        </w:rPr>
        <w:footnoteReference w:id="14"/>
      </w:r>
      <w:r w:rsidRPr="006B0FC6">
        <w:rPr>
          <w:sz w:val="16"/>
          <w:szCs w:val="16"/>
        </w:rPr>
        <w:t xml:space="preserve"> </w:t>
      </w:r>
      <w:r w:rsidRPr="006B0FC6">
        <w:t>The effective income tax rate is calculated to be 40.2%.</w:t>
      </w:r>
      <w:r>
        <w:rPr>
          <w:rStyle w:val="FootnoteReference"/>
          <w:rFonts w:ascii="TimesNewRomanPSMT" w:hAnsi="TimesNewRomanPSMT"/>
          <w:color w:val="000000"/>
        </w:rPr>
        <w:footnoteReference w:id="15"/>
      </w:r>
    </w:p>
    <w:p w14:paraId="66A8131C" w14:textId="77777777" w:rsidR="005B0246" w:rsidRPr="004E19C7" w:rsidRDefault="005B0246" w:rsidP="008E234D">
      <w:pPr>
        <w:pStyle w:val="Heading4"/>
      </w:pPr>
      <w:r w:rsidRPr="004E19C7">
        <w:t>Cost of Capital</w:t>
      </w:r>
    </w:p>
    <w:p w14:paraId="58F21866" w14:textId="77777777" w:rsidR="005B0246" w:rsidRPr="00832FC5" w:rsidRDefault="005B0246" w:rsidP="005B0246">
      <w:pPr>
        <w:rPr>
          <w:rFonts w:cs="Times New Roman"/>
        </w:rPr>
      </w:pPr>
      <w:r w:rsidRPr="00832FC5">
        <w:rPr>
          <w:rFonts w:cs="Times New Roman"/>
        </w:rPr>
        <w:t>The Weighted Average Cost of Capital (</w:t>
      </w:r>
      <w:r>
        <w:rPr>
          <w:rFonts w:cs="Times New Roman"/>
        </w:rPr>
        <w:t>“</w:t>
      </w:r>
      <w:r w:rsidRPr="00832FC5">
        <w:rPr>
          <w:rFonts w:cs="Times New Roman"/>
        </w:rPr>
        <w:t>WACC</w:t>
      </w:r>
      <w:r>
        <w:rPr>
          <w:rFonts w:cs="Times New Roman"/>
        </w:rPr>
        <w:t>”</w:t>
      </w:r>
      <w:r w:rsidRPr="00832FC5">
        <w:rPr>
          <w:rFonts w:cs="Times New Roman"/>
        </w:rPr>
        <w:t>) for an investment represents the blend of rates paid on equity and debt specific to that investment’s capital structure and can be expressed by the following equation:</w:t>
      </w:r>
    </w:p>
    <w:p w14:paraId="5A9EEB3A" w14:textId="77777777" w:rsidR="005B0246" w:rsidRPr="00832FC5" w:rsidRDefault="005B0246" w:rsidP="00FE4C1F">
      <w:pPr>
        <w:jc w:val="center"/>
        <w:rPr>
          <w:rFonts w:cs="Times New Roman"/>
          <w:b/>
        </w:rPr>
      </w:pPr>
      <w:r w:rsidRPr="00832FC5">
        <w:rPr>
          <w:rFonts w:cs="Times New Roman"/>
        </w:rPr>
        <w:lastRenderedPageBreak/>
        <w:t>WACC = ROE * Weight of Equity + COD * Weight of Debt</w:t>
      </w:r>
    </w:p>
    <w:p w14:paraId="1DB2F8AC" w14:textId="77777777" w:rsidR="005B0246" w:rsidRPr="00832FC5" w:rsidRDefault="005B0246" w:rsidP="005B17F9">
      <w:pPr>
        <w:ind w:left="1440" w:hanging="720"/>
        <w:jc w:val="left"/>
        <w:rPr>
          <w:rFonts w:cs="Times New Roman"/>
        </w:rPr>
      </w:pPr>
      <w:r w:rsidRPr="00832FC5">
        <w:rPr>
          <w:rFonts w:cs="Times New Roman"/>
        </w:rPr>
        <w:t>Where</w:t>
      </w:r>
      <w:proofErr w:type="gramStart"/>
      <w:r w:rsidRPr="00832FC5">
        <w:rPr>
          <w:rFonts w:cs="Times New Roman"/>
        </w:rPr>
        <w:t>:</w:t>
      </w:r>
      <w:proofErr w:type="gramEnd"/>
      <w:r w:rsidRPr="00832FC5">
        <w:rPr>
          <w:rFonts w:cs="Times New Roman"/>
        </w:rPr>
        <w:br/>
        <w:t>ROE = Return on Equity, and</w:t>
      </w:r>
      <w:r w:rsidRPr="00832FC5">
        <w:rPr>
          <w:rFonts w:cs="Times New Roman"/>
        </w:rPr>
        <w:br/>
        <w:t>COD = Cost of Debt</w:t>
      </w:r>
    </w:p>
    <w:p w14:paraId="75FAA7D6" w14:textId="77777777" w:rsidR="005B0246" w:rsidRDefault="005B0246" w:rsidP="005B0246">
      <w:pPr>
        <w:rPr>
          <w:rFonts w:cs="Times New Roman"/>
        </w:rPr>
      </w:pPr>
      <w:r w:rsidRPr="00832FC5">
        <w:rPr>
          <w:rFonts w:cs="Times New Roman"/>
        </w:rPr>
        <w:t>Derivation of each input to the WACC calculation is described below</w:t>
      </w:r>
      <w:r>
        <w:rPr>
          <w:rFonts w:cs="Times New Roman"/>
        </w:rPr>
        <w:t xml:space="preserve"> and is based on a peer group of merchant generation companies who may be likely to develop projects in New England</w:t>
      </w:r>
      <w:r w:rsidRPr="00832FC5">
        <w:rPr>
          <w:rFonts w:cs="Times New Roman"/>
        </w:rPr>
        <w:t>.</w:t>
      </w:r>
      <w:r>
        <w:rPr>
          <w:rFonts w:cs="Times New Roman"/>
        </w:rPr>
        <w:t xml:space="preserve"> Our initial peer group consisted of the following public traded companies:</w:t>
      </w:r>
    </w:p>
    <w:p w14:paraId="2C05B647" w14:textId="77777777" w:rsidR="005B0246" w:rsidRDefault="005B0246" w:rsidP="00456566">
      <w:pPr>
        <w:pStyle w:val="ListParagraph"/>
        <w:numPr>
          <w:ilvl w:val="0"/>
          <w:numId w:val="21"/>
        </w:numPr>
      </w:pPr>
      <w:r>
        <w:t>AES Corporation</w:t>
      </w:r>
    </w:p>
    <w:p w14:paraId="722E8D3E" w14:textId="77777777" w:rsidR="005B0246" w:rsidRDefault="005B0246" w:rsidP="00456566">
      <w:pPr>
        <w:pStyle w:val="ListParagraph"/>
        <w:numPr>
          <w:ilvl w:val="0"/>
          <w:numId w:val="21"/>
        </w:numPr>
      </w:pPr>
      <w:r>
        <w:t>Calpine Corporation</w:t>
      </w:r>
    </w:p>
    <w:p w14:paraId="7EED805A" w14:textId="77777777" w:rsidR="005B0246" w:rsidRDefault="005B0246" w:rsidP="00456566">
      <w:pPr>
        <w:pStyle w:val="ListParagraph"/>
        <w:numPr>
          <w:ilvl w:val="0"/>
          <w:numId w:val="21"/>
        </w:numPr>
      </w:pPr>
      <w:r>
        <w:t>Dynegy Inc.</w:t>
      </w:r>
    </w:p>
    <w:p w14:paraId="7861EE35" w14:textId="77777777" w:rsidR="005B0246" w:rsidRDefault="005B0246" w:rsidP="00456566">
      <w:pPr>
        <w:pStyle w:val="ListParagraph"/>
        <w:numPr>
          <w:ilvl w:val="0"/>
          <w:numId w:val="21"/>
        </w:numPr>
      </w:pPr>
      <w:r>
        <w:t>NRG Energy, Inc.</w:t>
      </w:r>
    </w:p>
    <w:p w14:paraId="5FFC6EA6" w14:textId="49E2993A" w:rsidR="005B0246" w:rsidRDefault="005B0246" w:rsidP="00456566">
      <w:pPr>
        <w:pStyle w:val="ListParagraph"/>
        <w:numPr>
          <w:ilvl w:val="0"/>
          <w:numId w:val="21"/>
        </w:numPr>
      </w:pPr>
      <w:r>
        <w:t>Talen Energy Inc.</w:t>
      </w:r>
    </w:p>
    <w:p w14:paraId="151D3438" w14:textId="77777777" w:rsidR="00FE4C1F" w:rsidRDefault="00FE4C1F" w:rsidP="001436DC">
      <w:pPr>
        <w:ind w:left="1800"/>
      </w:pPr>
    </w:p>
    <w:p w14:paraId="5F18BE1C" w14:textId="3843A2DA" w:rsidR="005B0246" w:rsidRPr="00832FC5" w:rsidRDefault="005B0246" w:rsidP="005B0246">
      <w:pPr>
        <w:rPr>
          <w:rFonts w:cs="Times New Roman"/>
        </w:rPr>
      </w:pPr>
      <w:r>
        <w:rPr>
          <w:rFonts w:cs="Times New Roman"/>
        </w:rPr>
        <w:t xml:space="preserve">We received feedback from stakeholders that the full group of </w:t>
      </w:r>
      <w:r w:rsidRPr="0055298A">
        <w:rPr>
          <w:rFonts w:cs="Times New Roman"/>
        </w:rPr>
        <w:t>peers do</w:t>
      </w:r>
      <w:r w:rsidR="00D811A8" w:rsidRPr="0055298A">
        <w:rPr>
          <w:rFonts w:cs="Times New Roman"/>
        </w:rPr>
        <w:t>es</w:t>
      </w:r>
      <w:r w:rsidRPr="0055298A">
        <w:rPr>
          <w:rFonts w:cs="Times New Roman"/>
        </w:rPr>
        <w:t xml:space="preserve"> not</w:t>
      </w:r>
      <w:r>
        <w:rPr>
          <w:rFonts w:cs="Times New Roman"/>
        </w:rPr>
        <w:t xml:space="preserve"> appropriately represent merchant entry in New England because many hold diverse portfolios with some portion of regulated assets. Specifically, stakeholders expressed concerns about AES’ portfolio, and that Talen’s merger-related activity may skew the results of our analysis. We considered these comments in evaluating the components of cost of capital, as well as the overall cost of capital chosen for the evaluation of CONE and </w:t>
      </w:r>
      <w:r w:rsidR="00D521BE">
        <w:rPr>
          <w:rFonts w:cs="Times New Roman"/>
        </w:rPr>
        <w:t>N</w:t>
      </w:r>
      <w:r>
        <w:rPr>
          <w:rFonts w:cs="Times New Roman"/>
        </w:rPr>
        <w:t>et CONE; each component is discussed in more detail below.</w:t>
      </w:r>
    </w:p>
    <w:p w14:paraId="53422664" w14:textId="77777777" w:rsidR="005B0246" w:rsidRPr="004E19C7" w:rsidRDefault="005B0246" w:rsidP="003F027F">
      <w:pPr>
        <w:pStyle w:val="Heading4"/>
      </w:pPr>
      <w:r w:rsidRPr="004E19C7">
        <w:t>Return on Equity</w:t>
      </w:r>
    </w:p>
    <w:p w14:paraId="2BC7AB96" w14:textId="78241640" w:rsidR="005B0246" w:rsidRPr="00832FC5" w:rsidRDefault="005B0246" w:rsidP="005B0246">
      <w:pPr>
        <w:rPr>
          <w:rFonts w:cs="Times New Roman"/>
        </w:rPr>
      </w:pPr>
      <w:r w:rsidRPr="00832FC5">
        <w:rPr>
          <w:rFonts w:cs="Times New Roman"/>
        </w:rPr>
        <w:t>Return on equity (“ROE”) is the amount of return that would be required by investors to compensate for the risk of making an equity in</w:t>
      </w:r>
      <w:r>
        <w:rPr>
          <w:rFonts w:cs="Times New Roman"/>
        </w:rPr>
        <w:t>vestment in a merchant generation plant</w:t>
      </w:r>
      <w:r w:rsidRPr="00832FC5">
        <w:rPr>
          <w:rFonts w:cs="Times New Roman"/>
        </w:rPr>
        <w:t xml:space="preserve">.  The risk environment determines the hurdle rates for investment.  Equity raised for </w:t>
      </w:r>
      <w:r>
        <w:rPr>
          <w:rFonts w:cs="Times New Roman"/>
        </w:rPr>
        <w:t>un</w:t>
      </w:r>
      <w:r w:rsidRPr="00832FC5">
        <w:rPr>
          <w:rFonts w:cs="Times New Roman"/>
        </w:rPr>
        <w:t>contracted</w:t>
      </w:r>
      <w:r>
        <w:rPr>
          <w:rFonts w:cs="Times New Roman"/>
        </w:rPr>
        <w:t>, merchant</w:t>
      </w:r>
      <w:r w:rsidRPr="00832FC5">
        <w:rPr>
          <w:rFonts w:cs="Times New Roman"/>
        </w:rPr>
        <w:t xml:space="preserve"> projects requires a </w:t>
      </w:r>
      <w:r>
        <w:rPr>
          <w:rFonts w:cs="Times New Roman"/>
        </w:rPr>
        <w:t xml:space="preserve">higher </w:t>
      </w:r>
      <w:r w:rsidRPr="00832FC5">
        <w:rPr>
          <w:rFonts w:cs="Times New Roman"/>
        </w:rPr>
        <w:t xml:space="preserve">return to investors than equity </w:t>
      </w:r>
      <w:proofErr w:type="gramStart"/>
      <w:r w:rsidRPr="00832FC5">
        <w:rPr>
          <w:rFonts w:cs="Times New Roman"/>
        </w:rPr>
        <w:t>raised</w:t>
      </w:r>
      <w:proofErr w:type="gramEnd"/>
      <w:r w:rsidRPr="00832FC5">
        <w:rPr>
          <w:rFonts w:cs="Times New Roman"/>
        </w:rPr>
        <w:t xml:space="preserve"> for co</w:t>
      </w:r>
      <w:r>
        <w:rPr>
          <w:rFonts w:cs="Times New Roman"/>
        </w:rPr>
        <w:t xml:space="preserve">ntracted </w:t>
      </w:r>
      <w:r w:rsidRPr="00832FC5">
        <w:rPr>
          <w:rFonts w:cs="Times New Roman"/>
        </w:rPr>
        <w:t xml:space="preserve">projects. For </w:t>
      </w:r>
      <w:r>
        <w:rPr>
          <w:rFonts w:cs="Times New Roman"/>
        </w:rPr>
        <w:t>energy and capacity</w:t>
      </w:r>
      <w:r w:rsidRPr="00832FC5">
        <w:rPr>
          <w:rFonts w:cs="Times New Roman"/>
        </w:rPr>
        <w:t xml:space="preserve"> that is fully contracted, the cost of equity reflects a lower level of risk, assuming a significant degree of leverage.  For uncontracted merchant capacity, developers target a higher after-tax return on equity based on the perceived high risks of cost recovery </w:t>
      </w:r>
      <w:r w:rsidR="00A40189">
        <w:rPr>
          <w:rFonts w:cs="Times New Roman"/>
        </w:rPr>
        <w:t xml:space="preserve">in </w:t>
      </w:r>
      <w:r w:rsidRPr="00832FC5">
        <w:rPr>
          <w:rFonts w:cs="Times New Roman"/>
        </w:rPr>
        <w:t xml:space="preserve">the market.  A return on equity of 13.4% represents an appropriate return under equilibrium market risk conditions.  </w:t>
      </w:r>
    </w:p>
    <w:p w14:paraId="260E6A7E" w14:textId="433D7D39" w:rsidR="005B0246" w:rsidRPr="00832FC5" w:rsidRDefault="005B0246" w:rsidP="005B0246">
      <w:pPr>
        <w:rPr>
          <w:rFonts w:cs="Times New Roman"/>
        </w:rPr>
      </w:pPr>
      <w:r w:rsidRPr="00832FC5">
        <w:rPr>
          <w:rFonts w:cs="Times New Roman"/>
        </w:rPr>
        <w:t>To calculate the appropriate return on equity</w:t>
      </w:r>
      <w:r w:rsidR="00FC45CB">
        <w:rPr>
          <w:rFonts w:cs="Times New Roman"/>
        </w:rPr>
        <w:t xml:space="preserve"> for this analysis</w:t>
      </w:r>
      <w:r w:rsidRPr="00832FC5">
        <w:rPr>
          <w:rFonts w:cs="Times New Roman"/>
        </w:rPr>
        <w:t>, the Capital Asset Pricing Model (</w:t>
      </w:r>
      <w:r>
        <w:rPr>
          <w:rFonts w:cs="Times New Roman"/>
        </w:rPr>
        <w:t>“</w:t>
      </w:r>
      <w:r w:rsidRPr="00832FC5">
        <w:rPr>
          <w:rFonts w:cs="Times New Roman"/>
        </w:rPr>
        <w:t>CAPM</w:t>
      </w:r>
      <w:r>
        <w:rPr>
          <w:rFonts w:cs="Times New Roman"/>
        </w:rPr>
        <w:t>”</w:t>
      </w:r>
      <w:r w:rsidRPr="00832FC5">
        <w:rPr>
          <w:rFonts w:cs="Times New Roman"/>
        </w:rPr>
        <w:t>) was used.  CAPM is a common analytical approach in financial modeling, and assumes that equity investors base their required returns on a risk-free rate of return, the rate at which they would be compensated for an available investment that carried no risk, plus compensation for the relative risk of a specific security in relation to the broader market.  CAPM is expressed by the following equation:</w:t>
      </w:r>
    </w:p>
    <w:p w14:paraId="121824D0" w14:textId="4629AE89" w:rsidR="005B0246" w:rsidRPr="00832FC5" w:rsidRDefault="005B0246" w:rsidP="009A6B5A">
      <w:pPr>
        <w:keepNext/>
        <w:keepLines/>
        <w:jc w:val="center"/>
        <w:rPr>
          <w:rFonts w:cs="Times New Roman"/>
          <w:b/>
        </w:rPr>
      </w:pPr>
      <w:r w:rsidRPr="00832FC5">
        <w:rPr>
          <w:rFonts w:cs="Times New Roman"/>
        </w:rPr>
        <w:lastRenderedPageBreak/>
        <w:t>R</w:t>
      </w:r>
      <w:r w:rsidRPr="00832FC5">
        <w:rPr>
          <w:rFonts w:cs="Times New Roman"/>
          <w:vertAlign w:val="subscript"/>
        </w:rPr>
        <w:t>e</w:t>
      </w:r>
      <w:r w:rsidRPr="00832FC5">
        <w:rPr>
          <w:rFonts w:cs="Times New Roman"/>
        </w:rPr>
        <w:t> = </w:t>
      </w:r>
      <w:proofErr w:type="spellStart"/>
      <w:proofErr w:type="gramStart"/>
      <w:r w:rsidRPr="00832FC5">
        <w:rPr>
          <w:rFonts w:cs="Times New Roman"/>
        </w:rPr>
        <w:t>R</w:t>
      </w:r>
      <w:r w:rsidRPr="00832FC5">
        <w:rPr>
          <w:rFonts w:cs="Times New Roman"/>
          <w:vertAlign w:val="subscript"/>
        </w:rPr>
        <w:t>f</w:t>
      </w:r>
      <w:proofErr w:type="spellEnd"/>
      <w:proofErr w:type="gramEnd"/>
      <w:r w:rsidRPr="00832FC5">
        <w:rPr>
          <w:rFonts w:cs="Times New Roman"/>
        </w:rPr>
        <w:t xml:space="preserve"> + β (R</w:t>
      </w:r>
      <w:r w:rsidRPr="00832FC5">
        <w:rPr>
          <w:rFonts w:cs="Times New Roman"/>
          <w:vertAlign w:val="subscript"/>
        </w:rPr>
        <w:t>m</w:t>
      </w:r>
      <w:r w:rsidRPr="00832FC5">
        <w:rPr>
          <w:rFonts w:cs="Times New Roman"/>
        </w:rPr>
        <w:t xml:space="preserve"> – </w:t>
      </w:r>
      <w:proofErr w:type="spellStart"/>
      <w:r w:rsidRPr="00832FC5">
        <w:rPr>
          <w:rFonts w:cs="Times New Roman"/>
        </w:rPr>
        <w:t>R</w:t>
      </w:r>
      <w:r w:rsidRPr="00832FC5">
        <w:rPr>
          <w:rFonts w:cs="Times New Roman"/>
          <w:vertAlign w:val="subscript"/>
        </w:rPr>
        <w:t>f</w:t>
      </w:r>
      <w:proofErr w:type="spellEnd"/>
      <w:r w:rsidRPr="00832FC5">
        <w:rPr>
          <w:rFonts w:cs="Times New Roman"/>
        </w:rPr>
        <w:t>)</w:t>
      </w:r>
    </w:p>
    <w:p w14:paraId="1CB1A075" w14:textId="77777777" w:rsidR="00CC01F5" w:rsidRPr="00832FC5" w:rsidRDefault="005B0246" w:rsidP="009A6B5A">
      <w:pPr>
        <w:keepNext/>
        <w:keepLines/>
        <w:ind w:left="720" w:hanging="630"/>
        <w:jc w:val="left"/>
      </w:pPr>
      <w:r w:rsidRPr="00832FC5">
        <w:t>Where:</w:t>
      </w:r>
      <w:r w:rsidRPr="00832FC5">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290"/>
      </w:tblGrid>
      <w:tr w:rsidR="004A0BE0" w:rsidRPr="00CC01F5" w14:paraId="4D575DA5" w14:textId="77777777" w:rsidTr="004A0BE0">
        <w:tc>
          <w:tcPr>
            <w:tcW w:w="805" w:type="dxa"/>
          </w:tcPr>
          <w:p w14:paraId="42CCDE3D" w14:textId="7C2803F1" w:rsidR="004A0BE0" w:rsidRPr="00CC01F5" w:rsidRDefault="004A0BE0" w:rsidP="009A6B5A">
            <w:pPr>
              <w:keepNext/>
              <w:keepLines/>
              <w:jc w:val="left"/>
            </w:pPr>
            <w:r w:rsidRPr="00CC01F5">
              <w:t>R</w:t>
            </w:r>
            <w:r w:rsidRPr="00CC01F5">
              <w:rPr>
                <w:vertAlign w:val="subscript"/>
              </w:rPr>
              <w:t>e</w:t>
            </w:r>
            <w:r w:rsidRPr="00CC01F5">
              <w:t>=</w:t>
            </w:r>
          </w:p>
        </w:tc>
        <w:tc>
          <w:tcPr>
            <w:tcW w:w="7290" w:type="dxa"/>
          </w:tcPr>
          <w:p w14:paraId="0BDA3607" w14:textId="77777777" w:rsidR="004A0BE0" w:rsidRPr="00CC01F5" w:rsidRDefault="004A0BE0" w:rsidP="00EE3048">
            <w:pPr>
              <w:keepNext/>
              <w:keepLines/>
              <w:spacing w:after="0"/>
              <w:jc w:val="left"/>
            </w:pPr>
            <w:r w:rsidRPr="00CC01F5">
              <w:t>Required return on equity</w:t>
            </w:r>
          </w:p>
        </w:tc>
      </w:tr>
      <w:tr w:rsidR="004A0BE0" w:rsidRPr="00CC01F5" w14:paraId="0577DEF0" w14:textId="77777777" w:rsidTr="004A0BE0">
        <w:tc>
          <w:tcPr>
            <w:tcW w:w="805" w:type="dxa"/>
          </w:tcPr>
          <w:p w14:paraId="2BB05823" w14:textId="5914EE74" w:rsidR="004A0BE0" w:rsidRPr="00CC01F5" w:rsidRDefault="004A0BE0" w:rsidP="009A6B5A">
            <w:pPr>
              <w:keepNext/>
              <w:keepLines/>
              <w:jc w:val="left"/>
              <w:rPr>
                <w:vertAlign w:val="subscript"/>
              </w:rPr>
            </w:pPr>
            <w:proofErr w:type="spellStart"/>
            <w:r w:rsidRPr="00CC01F5">
              <w:t>R</w:t>
            </w:r>
            <w:r w:rsidRPr="00CC01F5">
              <w:rPr>
                <w:vertAlign w:val="subscript"/>
              </w:rPr>
              <w:t>f</w:t>
            </w:r>
            <w:proofErr w:type="spellEnd"/>
            <w:r>
              <w:rPr>
                <w:vertAlign w:val="subscript"/>
              </w:rPr>
              <w:t xml:space="preserve"> </w:t>
            </w:r>
            <w:r w:rsidRPr="00CC01F5">
              <w:t>=</w:t>
            </w:r>
          </w:p>
        </w:tc>
        <w:tc>
          <w:tcPr>
            <w:tcW w:w="7290" w:type="dxa"/>
          </w:tcPr>
          <w:p w14:paraId="43F768AF" w14:textId="77777777" w:rsidR="004A0BE0" w:rsidRPr="00CC01F5" w:rsidRDefault="004A0BE0" w:rsidP="00EE3048">
            <w:pPr>
              <w:keepNext/>
              <w:keepLines/>
              <w:spacing w:after="0"/>
              <w:jc w:val="left"/>
            </w:pPr>
            <w:r w:rsidRPr="00CC01F5">
              <w:t>The risk-free rate</w:t>
            </w:r>
          </w:p>
        </w:tc>
      </w:tr>
      <w:tr w:rsidR="004A0BE0" w:rsidRPr="00CC01F5" w14:paraId="1A3DA095" w14:textId="77777777" w:rsidTr="004A0BE0">
        <w:tc>
          <w:tcPr>
            <w:tcW w:w="805" w:type="dxa"/>
          </w:tcPr>
          <w:p w14:paraId="62B05D19" w14:textId="4E45E4DC" w:rsidR="004A0BE0" w:rsidRPr="00CC01F5" w:rsidRDefault="004A0BE0" w:rsidP="009A6B5A">
            <w:pPr>
              <w:keepNext/>
              <w:keepLines/>
              <w:jc w:val="left"/>
            </w:pPr>
            <w:r w:rsidRPr="00CC01F5">
              <w:t>β =</w:t>
            </w:r>
          </w:p>
        </w:tc>
        <w:tc>
          <w:tcPr>
            <w:tcW w:w="7290" w:type="dxa"/>
          </w:tcPr>
          <w:p w14:paraId="00500E34" w14:textId="77777777" w:rsidR="004A0BE0" w:rsidRPr="00CC01F5" w:rsidRDefault="004A0BE0" w:rsidP="00EE3048">
            <w:pPr>
              <w:keepNext/>
              <w:keepLines/>
              <w:spacing w:after="0"/>
              <w:jc w:val="left"/>
            </w:pPr>
            <w:r w:rsidRPr="00CC01F5">
              <w:t>Beta, a measure of the covariance between the returns (dividends plus capital gains) of the market average and those of a specific security, and</w:t>
            </w:r>
          </w:p>
        </w:tc>
      </w:tr>
      <w:tr w:rsidR="004A0BE0" w:rsidRPr="00CC01F5" w14:paraId="2FB3EB17" w14:textId="77777777" w:rsidTr="004A0BE0">
        <w:tc>
          <w:tcPr>
            <w:tcW w:w="805" w:type="dxa"/>
          </w:tcPr>
          <w:p w14:paraId="494636BE" w14:textId="002A674F" w:rsidR="004A0BE0" w:rsidRPr="00CC01F5" w:rsidRDefault="004A0BE0" w:rsidP="009A6B5A">
            <w:pPr>
              <w:keepNext/>
              <w:keepLines/>
              <w:jc w:val="left"/>
              <w:rPr>
                <w:vertAlign w:val="subscript"/>
              </w:rPr>
            </w:pPr>
            <w:r w:rsidRPr="00CC01F5">
              <w:t>R</w:t>
            </w:r>
            <w:r w:rsidRPr="00CC01F5">
              <w:rPr>
                <w:vertAlign w:val="subscript"/>
              </w:rPr>
              <w:t>m</w:t>
            </w:r>
            <w:r>
              <w:rPr>
                <w:vertAlign w:val="subscript"/>
              </w:rPr>
              <w:t xml:space="preserve"> </w:t>
            </w:r>
            <w:r w:rsidRPr="00CC01F5">
              <w:t>=</w:t>
            </w:r>
          </w:p>
        </w:tc>
        <w:tc>
          <w:tcPr>
            <w:tcW w:w="7290" w:type="dxa"/>
          </w:tcPr>
          <w:p w14:paraId="4282D1B5" w14:textId="77777777" w:rsidR="004A0BE0" w:rsidRPr="00CC01F5" w:rsidRDefault="004A0BE0" w:rsidP="00EE3048">
            <w:pPr>
              <w:keepNext/>
              <w:keepLines/>
              <w:spacing w:after="0"/>
              <w:jc w:val="left"/>
            </w:pPr>
            <w:r w:rsidRPr="00CC01F5">
              <w:t>The return required of the market as a whole</w:t>
            </w:r>
          </w:p>
        </w:tc>
      </w:tr>
    </w:tbl>
    <w:p w14:paraId="24E199EB" w14:textId="77777777" w:rsidR="004A0BE0" w:rsidRDefault="004A0BE0" w:rsidP="005B0246">
      <w:pPr>
        <w:rPr>
          <w:rFonts w:cs="Times New Roman"/>
        </w:rPr>
      </w:pPr>
    </w:p>
    <w:p w14:paraId="6471EC55" w14:textId="7FC3F319" w:rsidR="005B0246" w:rsidRDefault="005B0246" w:rsidP="005B0246">
      <w:pPr>
        <w:rPr>
          <w:rFonts w:cs="Times New Roman"/>
        </w:rPr>
      </w:pPr>
      <w:r>
        <w:rPr>
          <w:rFonts w:cs="Times New Roman"/>
        </w:rPr>
        <w:t xml:space="preserve">We reviewed several estimates of a risk-free rate, including the 30-day average of the 30-year Treasury yield curve, as well as estimates from Blue Chip. </w:t>
      </w:r>
      <w:r w:rsidR="00FC45CB">
        <w:rPr>
          <w:rFonts w:cs="Times New Roman"/>
        </w:rPr>
        <w:t>In addition</w:t>
      </w:r>
      <w:r>
        <w:rPr>
          <w:rFonts w:cs="Times New Roman"/>
        </w:rPr>
        <w:t>, we reviewed beta estimates from several sources including Yahoo Finance, Bloomberg, and Value Line. Based on our assumed capital structure of 60/40 (D/E), we re-</w:t>
      </w:r>
      <w:r w:rsidRPr="0055298A">
        <w:rPr>
          <w:rFonts w:cs="Times New Roman"/>
        </w:rPr>
        <w:t>lever</w:t>
      </w:r>
      <w:r w:rsidR="001B528B" w:rsidRPr="0055298A">
        <w:rPr>
          <w:rFonts w:cs="Times New Roman"/>
        </w:rPr>
        <w:t>ed</w:t>
      </w:r>
      <w:r w:rsidRPr="0055298A">
        <w:rPr>
          <w:rFonts w:cs="Times New Roman"/>
        </w:rPr>
        <w:t xml:space="preserve"> our estimates</w:t>
      </w:r>
      <w:r>
        <w:rPr>
          <w:rFonts w:cs="Times New Roman"/>
        </w:rPr>
        <w:t xml:space="preserve"> of beta for inclusion in our CAPM calculation.</w:t>
      </w:r>
    </w:p>
    <w:p w14:paraId="772E1BEA" w14:textId="305CB2D0" w:rsidR="00286D72" w:rsidRPr="008E234D" w:rsidRDefault="002A4CE5" w:rsidP="00D2628D">
      <w:pPr>
        <w:pStyle w:val="Caption"/>
      </w:pPr>
      <w:bookmarkStart w:id="53" w:name="_Toc465433448"/>
      <w:r>
        <w:lastRenderedPageBreak/>
        <w:t xml:space="preserve">Table </w:t>
      </w:r>
      <w:r w:rsidR="00FA6573">
        <w:fldChar w:fldCharType="begin"/>
      </w:r>
      <w:r w:rsidR="00FA6573">
        <w:instrText xml:space="preserve"> SEQ Table \* ARABIC </w:instrText>
      </w:r>
      <w:r w:rsidR="00FA6573">
        <w:fldChar w:fldCharType="separate"/>
      </w:r>
      <w:r w:rsidR="000637A3">
        <w:rPr>
          <w:noProof/>
        </w:rPr>
        <w:t>23</w:t>
      </w:r>
      <w:r w:rsidR="00FA6573">
        <w:rPr>
          <w:noProof/>
        </w:rPr>
        <w:fldChar w:fldCharType="end"/>
      </w:r>
      <w:r w:rsidR="00286D72" w:rsidRPr="002A4CE5">
        <w:t>: Peer Group Beta Estimates</w:t>
      </w:r>
      <w:bookmarkEnd w:id="53"/>
    </w:p>
    <w:tbl>
      <w:tblPr>
        <w:tblStyle w:val="GridTable4-Accent32"/>
        <w:tblW w:w="4242" w:type="pct"/>
        <w:tblInd w:w="805" w:type="dxa"/>
        <w:tblLook w:val="04A0" w:firstRow="1" w:lastRow="0" w:firstColumn="1" w:lastColumn="0" w:noHBand="0" w:noVBand="1"/>
      </w:tblPr>
      <w:tblGrid>
        <w:gridCol w:w="1225"/>
        <w:gridCol w:w="1517"/>
        <w:gridCol w:w="1923"/>
        <w:gridCol w:w="1946"/>
        <w:gridCol w:w="1525"/>
      </w:tblGrid>
      <w:tr w:rsidR="00335E2B" w:rsidRPr="00FE4C1F" w14:paraId="38E3E4F4" w14:textId="77777777" w:rsidTr="001436DC">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pct"/>
            <w:gridSpan w:val="5"/>
            <w:noWrap/>
            <w:tcMar>
              <w:top w:w="29" w:type="dxa"/>
              <w:left w:w="115" w:type="dxa"/>
              <w:bottom w:w="29" w:type="dxa"/>
              <w:right w:w="115" w:type="dxa"/>
            </w:tcMar>
            <w:vAlign w:val="bottom"/>
            <w:hideMark/>
          </w:tcPr>
          <w:p w14:paraId="1CFD34EB" w14:textId="0D155696" w:rsidR="00335E2B" w:rsidRPr="001436DC" w:rsidRDefault="00335E2B" w:rsidP="005E0407">
            <w:pPr>
              <w:keepNext/>
              <w:keepLines/>
              <w:spacing w:line="240" w:lineRule="auto"/>
              <w:jc w:val="center"/>
              <w:rPr>
                <w:rFonts w:ascii="Century Gothic" w:eastAsia="Times New Roman" w:hAnsi="Century Gothic" w:cs="Times New Roman"/>
                <w:sz w:val="18"/>
                <w:szCs w:val="18"/>
              </w:rPr>
            </w:pPr>
            <w:r w:rsidRPr="00BF404F">
              <w:rPr>
                <w:rFonts w:ascii="Century Gothic" w:eastAsia="Times New Roman" w:hAnsi="Century Gothic" w:cs="Arial"/>
                <w:color w:val="000000"/>
                <w:sz w:val="18"/>
                <w:szCs w:val="18"/>
              </w:rPr>
              <w:t>Beta Estimates</w:t>
            </w:r>
          </w:p>
        </w:tc>
      </w:tr>
      <w:tr w:rsidR="008E234D" w:rsidRPr="00FE4C1F" w14:paraId="1D0E8708" w14:textId="77777777" w:rsidTr="001E3E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3" w:type="pct"/>
            <w:shd w:val="clear" w:color="auto" w:fill="F2F2F2" w:themeFill="background1" w:themeFillShade="F2"/>
            <w:noWrap/>
            <w:tcMar>
              <w:top w:w="29" w:type="dxa"/>
              <w:left w:w="115" w:type="dxa"/>
              <w:bottom w:w="29" w:type="dxa"/>
              <w:right w:w="115" w:type="dxa"/>
            </w:tcMar>
            <w:hideMark/>
          </w:tcPr>
          <w:p w14:paraId="7E084077" w14:textId="77777777" w:rsidR="005B0246" w:rsidRPr="00BF404F" w:rsidRDefault="005B0246" w:rsidP="005E0407">
            <w:pPr>
              <w:keepNext/>
              <w:keepLines/>
              <w:spacing w:line="240" w:lineRule="auto"/>
              <w:rPr>
                <w:rFonts w:ascii="Century Gothic" w:eastAsia="Times New Roman" w:hAnsi="Century Gothic" w:cs="Arial"/>
                <w:b w:val="0"/>
                <w:bCs w:val="0"/>
                <w:color w:val="000000"/>
                <w:sz w:val="16"/>
                <w:szCs w:val="18"/>
              </w:rPr>
            </w:pPr>
            <w:r w:rsidRPr="00BF404F">
              <w:rPr>
                <w:rFonts w:ascii="Century Gothic" w:eastAsia="Times New Roman" w:hAnsi="Century Gothic" w:cs="Arial"/>
                <w:color w:val="000000"/>
                <w:sz w:val="16"/>
                <w:szCs w:val="18"/>
              </w:rPr>
              <w:t>Bloomberg</w:t>
            </w:r>
            <w:r w:rsidRPr="00BF404F">
              <w:rPr>
                <w:rStyle w:val="FootnoteReference"/>
                <w:rFonts w:ascii="Century Gothic" w:eastAsia="Times New Roman" w:hAnsi="Century Gothic" w:cs="Arial"/>
                <w:color w:val="000000"/>
                <w:sz w:val="16"/>
                <w:szCs w:val="18"/>
              </w:rPr>
              <w:footnoteReference w:id="16"/>
            </w:r>
          </w:p>
        </w:tc>
        <w:tc>
          <w:tcPr>
            <w:tcW w:w="932" w:type="pct"/>
            <w:shd w:val="clear" w:color="auto" w:fill="F2F2F2" w:themeFill="background1" w:themeFillShade="F2"/>
            <w:noWrap/>
            <w:tcMar>
              <w:top w:w="29" w:type="dxa"/>
              <w:left w:w="115" w:type="dxa"/>
              <w:bottom w:w="29" w:type="dxa"/>
              <w:right w:w="115" w:type="dxa"/>
            </w:tcMar>
            <w:hideMark/>
          </w:tcPr>
          <w:p w14:paraId="1D9E0B05" w14:textId="77777777" w:rsidR="005B0246" w:rsidRPr="00BF404F" w:rsidRDefault="005B0246" w:rsidP="005E0407">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6"/>
                <w:szCs w:val="18"/>
              </w:rPr>
            </w:pPr>
            <w:r w:rsidRPr="00BF404F">
              <w:rPr>
                <w:rFonts w:ascii="Century Gothic" w:eastAsia="Times New Roman" w:hAnsi="Century Gothic" w:cs="Arial"/>
                <w:b/>
                <w:color w:val="000000"/>
                <w:sz w:val="16"/>
                <w:szCs w:val="18"/>
              </w:rPr>
              <w:t>(2-year Beta)</w:t>
            </w:r>
          </w:p>
        </w:tc>
        <w:tc>
          <w:tcPr>
            <w:tcW w:w="1182" w:type="pct"/>
            <w:shd w:val="clear" w:color="auto" w:fill="F2F2F2" w:themeFill="background1" w:themeFillShade="F2"/>
            <w:noWrap/>
            <w:tcMar>
              <w:top w:w="29" w:type="dxa"/>
              <w:left w:w="115" w:type="dxa"/>
              <w:bottom w:w="29" w:type="dxa"/>
              <w:right w:w="115" w:type="dxa"/>
            </w:tcMar>
            <w:hideMark/>
          </w:tcPr>
          <w:p w14:paraId="531986F9" w14:textId="77777777" w:rsidR="005B0246" w:rsidRPr="00BF404F" w:rsidRDefault="005B0246" w:rsidP="005E0407">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p>
        </w:tc>
        <w:tc>
          <w:tcPr>
            <w:tcW w:w="1196" w:type="pct"/>
            <w:shd w:val="clear" w:color="auto" w:fill="F2F2F2" w:themeFill="background1" w:themeFillShade="F2"/>
            <w:noWrap/>
            <w:tcMar>
              <w:top w:w="29" w:type="dxa"/>
              <w:left w:w="115" w:type="dxa"/>
              <w:bottom w:w="29" w:type="dxa"/>
              <w:right w:w="115" w:type="dxa"/>
            </w:tcMar>
            <w:hideMark/>
          </w:tcPr>
          <w:p w14:paraId="155BD53A" w14:textId="77777777" w:rsidR="005B0246" w:rsidRPr="00BF404F" w:rsidRDefault="005B0246" w:rsidP="005E0407">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8"/>
              </w:rPr>
            </w:pPr>
          </w:p>
        </w:tc>
        <w:tc>
          <w:tcPr>
            <w:tcW w:w="937" w:type="pct"/>
            <w:shd w:val="clear" w:color="auto" w:fill="F2F2F2" w:themeFill="background1" w:themeFillShade="F2"/>
            <w:noWrap/>
            <w:tcMar>
              <w:top w:w="29" w:type="dxa"/>
              <w:left w:w="115" w:type="dxa"/>
              <w:bottom w:w="29" w:type="dxa"/>
              <w:right w:w="115" w:type="dxa"/>
            </w:tcMar>
            <w:hideMark/>
          </w:tcPr>
          <w:p w14:paraId="7F0FD294" w14:textId="77777777" w:rsidR="005B0246" w:rsidRPr="00BF404F" w:rsidRDefault="005B0246" w:rsidP="005E0407">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8"/>
              </w:rPr>
            </w:pPr>
          </w:p>
        </w:tc>
      </w:tr>
      <w:tr w:rsidR="008E234D" w:rsidRPr="00FE4C1F" w14:paraId="5AD91E82" w14:textId="77777777" w:rsidTr="001436DC">
        <w:trPr>
          <w:trHeight w:val="20"/>
        </w:trPr>
        <w:tc>
          <w:tcPr>
            <w:cnfStyle w:val="001000000000" w:firstRow="0" w:lastRow="0" w:firstColumn="1" w:lastColumn="0" w:oddVBand="0" w:evenVBand="0" w:oddHBand="0" w:evenHBand="0" w:firstRowFirstColumn="0" w:firstRowLastColumn="0" w:lastRowFirstColumn="0" w:lastRowLastColumn="0"/>
            <w:tcW w:w="0" w:type="pct"/>
            <w:noWrap/>
            <w:tcMar>
              <w:top w:w="29" w:type="dxa"/>
              <w:left w:w="115" w:type="dxa"/>
              <w:bottom w:w="29" w:type="dxa"/>
              <w:right w:w="115" w:type="dxa"/>
            </w:tcMar>
            <w:vAlign w:val="center"/>
            <w:hideMark/>
          </w:tcPr>
          <w:p w14:paraId="515EFCC5" w14:textId="758CA0EC"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p>
        </w:tc>
        <w:tc>
          <w:tcPr>
            <w:tcW w:w="0" w:type="pct"/>
            <w:noWrap/>
            <w:tcMar>
              <w:top w:w="29" w:type="dxa"/>
              <w:left w:w="115" w:type="dxa"/>
              <w:bottom w:w="29" w:type="dxa"/>
              <w:right w:w="115" w:type="dxa"/>
            </w:tcMar>
            <w:vAlign w:val="center"/>
            <w:hideMark/>
          </w:tcPr>
          <w:p w14:paraId="4413FA9E"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6"/>
                <w:szCs w:val="18"/>
                <w:u w:val="single"/>
              </w:rPr>
            </w:pPr>
            <w:r w:rsidRPr="00BF404F">
              <w:rPr>
                <w:rFonts w:ascii="Century Gothic" w:eastAsia="Times New Roman" w:hAnsi="Century Gothic" w:cs="Arial"/>
                <w:b/>
                <w:color w:val="000000"/>
                <w:sz w:val="16"/>
                <w:szCs w:val="18"/>
                <w:u w:val="single"/>
              </w:rPr>
              <w:t>Levered Beta</w:t>
            </w:r>
          </w:p>
        </w:tc>
        <w:tc>
          <w:tcPr>
            <w:tcW w:w="0" w:type="pct"/>
            <w:noWrap/>
            <w:tcMar>
              <w:top w:w="29" w:type="dxa"/>
              <w:left w:w="115" w:type="dxa"/>
              <w:bottom w:w="29" w:type="dxa"/>
              <w:right w:w="115" w:type="dxa"/>
            </w:tcMar>
            <w:vAlign w:val="center"/>
            <w:hideMark/>
          </w:tcPr>
          <w:p w14:paraId="4D824C33"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6"/>
                <w:szCs w:val="18"/>
                <w:u w:val="single"/>
              </w:rPr>
            </w:pPr>
            <w:r w:rsidRPr="00BF404F">
              <w:rPr>
                <w:rFonts w:ascii="Century Gothic" w:eastAsia="Times New Roman" w:hAnsi="Century Gothic" w:cs="Arial"/>
                <w:b/>
                <w:color w:val="000000"/>
                <w:sz w:val="16"/>
                <w:szCs w:val="18"/>
                <w:u w:val="single"/>
              </w:rPr>
              <w:t>D/E ratio</w:t>
            </w:r>
          </w:p>
        </w:tc>
        <w:tc>
          <w:tcPr>
            <w:tcW w:w="0" w:type="pct"/>
            <w:noWrap/>
            <w:tcMar>
              <w:top w:w="29" w:type="dxa"/>
              <w:left w:w="115" w:type="dxa"/>
              <w:bottom w:w="29" w:type="dxa"/>
              <w:right w:w="115" w:type="dxa"/>
            </w:tcMar>
            <w:vAlign w:val="center"/>
            <w:hideMark/>
          </w:tcPr>
          <w:p w14:paraId="1AB22156"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6"/>
                <w:szCs w:val="18"/>
                <w:u w:val="single"/>
              </w:rPr>
            </w:pPr>
            <w:r w:rsidRPr="00BF404F">
              <w:rPr>
                <w:rFonts w:ascii="Century Gothic" w:eastAsia="Times New Roman" w:hAnsi="Century Gothic" w:cs="Arial"/>
                <w:b/>
                <w:color w:val="000000"/>
                <w:sz w:val="16"/>
                <w:szCs w:val="18"/>
                <w:u w:val="single"/>
              </w:rPr>
              <w:t>Unlevered Beta</w:t>
            </w:r>
          </w:p>
        </w:tc>
        <w:tc>
          <w:tcPr>
            <w:tcW w:w="0" w:type="pct"/>
            <w:noWrap/>
            <w:tcMar>
              <w:top w:w="29" w:type="dxa"/>
              <w:left w:w="115" w:type="dxa"/>
              <w:bottom w:w="29" w:type="dxa"/>
              <w:right w:w="115" w:type="dxa"/>
            </w:tcMar>
            <w:vAlign w:val="center"/>
            <w:hideMark/>
          </w:tcPr>
          <w:p w14:paraId="3EB5ADCB"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6"/>
                <w:szCs w:val="18"/>
                <w:u w:val="single"/>
              </w:rPr>
            </w:pPr>
            <w:r w:rsidRPr="00BF404F">
              <w:rPr>
                <w:rFonts w:ascii="Century Gothic" w:eastAsia="Times New Roman" w:hAnsi="Century Gothic" w:cs="Arial"/>
                <w:b/>
                <w:color w:val="000000"/>
                <w:sz w:val="16"/>
                <w:szCs w:val="18"/>
                <w:u w:val="single"/>
              </w:rPr>
              <w:t>Re-levered beta</w:t>
            </w:r>
          </w:p>
        </w:tc>
      </w:tr>
      <w:tr w:rsidR="008E234D" w:rsidRPr="00FE4C1F" w14:paraId="64BFE47B" w14:textId="77777777" w:rsidTr="00143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Mar>
              <w:top w:w="29" w:type="dxa"/>
              <w:left w:w="115" w:type="dxa"/>
              <w:bottom w:w="29" w:type="dxa"/>
              <w:right w:w="115" w:type="dxa"/>
            </w:tcMar>
            <w:vAlign w:val="center"/>
            <w:hideMark/>
          </w:tcPr>
          <w:p w14:paraId="5674524B"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AES</w:t>
            </w:r>
          </w:p>
        </w:tc>
        <w:tc>
          <w:tcPr>
            <w:tcW w:w="0" w:type="pct"/>
            <w:shd w:val="clear" w:color="auto" w:fill="auto"/>
            <w:noWrap/>
            <w:tcMar>
              <w:top w:w="29" w:type="dxa"/>
              <w:left w:w="115" w:type="dxa"/>
              <w:bottom w:w="29" w:type="dxa"/>
              <w:right w:w="115" w:type="dxa"/>
            </w:tcMar>
            <w:vAlign w:val="center"/>
            <w:hideMark/>
          </w:tcPr>
          <w:p w14:paraId="4785E4C2"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1.07</w:t>
            </w:r>
          </w:p>
        </w:tc>
        <w:tc>
          <w:tcPr>
            <w:tcW w:w="0" w:type="pct"/>
            <w:shd w:val="clear" w:color="auto" w:fill="auto"/>
            <w:noWrap/>
            <w:tcMar>
              <w:top w:w="29" w:type="dxa"/>
              <w:left w:w="115" w:type="dxa"/>
              <w:bottom w:w="29" w:type="dxa"/>
              <w:right w:w="115" w:type="dxa"/>
            </w:tcMar>
            <w:vAlign w:val="center"/>
            <w:hideMark/>
          </w:tcPr>
          <w:p w14:paraId="76A5B453"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2.28</w:t>
            </w:r>
          </w:p>
        </w:tc>
        <w:tc>
          <w:tcPr>
            <w:tcW w:w="0" w:type="pct"/>
            <w:shd w:val="clear" w:color="auto" w:fill="auto"/>
            <w:noWrap/>
            <w:tcMar>
              <w:top w:w="29" w:type="dxa"/>
              <w:left w:w="115" w:type="dxa"/>
              <w:bottom w:w="29" w:type="dxa"/>
              <w:right w:w="115" w:type="dxa"/>
            </w:tcMar>
            <w:vAlign w:val="center"/>
            <w:hideMark/>
          </w:tcPr>
          <w:p w14:paraId="4E03C9CA"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0.45</w:t>
            </w:r>
          </w:p>
        </w:tc>
        <w:tc>
          <w:tcPr>
            <w:tcW w:w="0" w:type="pct"/>
            <w:shd w:val="clear" w:color="auto" w:fill="auto"/>
            <w:noWrap/>
            <w:tcMar>
              <w:top w:w="29" w:type="dxa"/>
              <w:left w:w="115" w:type="dxa"/>
              <w:bottom w:w="29" w:type="dxa"/>
              <w:right w:w="115" w:type="dxa"/>
            </w:tcMar>
            <w:vAlign w:val="center"/>
            <w:hideMark/>
          </w:tcPr>
          <w:p w14:paraId="02612B1F"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0.86</w:t>
            </w:r>
          </w:p>
        </w:tc>
      </w:tr>
      <w:tr w:rsidR="008E234D" w:rsidRPr="00FE4C1F" w14:paraId="0CA6FC13" w14:textId="77777777" w:rsidTr="001436DC">
        <w:trPr>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tcMar>
              <w:top w:w="29" w:type="dxa"/>
              <w:left w:w="115" w:type="dxa"/>
              <w:bottom w:w="29" w:type="dxa"/>
              <w:right w:w="115" w:type="dxa"/>
            </w:tcMar>
            <w:vAlign w:val="center"/>
            <w:hideMark/>
          </w:tcPr>
          <w:p w14:paraId="30AD2093"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CPN</w:t>
            </w:r>
          </w:p>
        </w:tc>
        <w:tc>
          <w:tcPr>
            <w:tcW w:w="0" w:type="pct"/>
            <w:shd w:val="clear" w:color="auto" w:fill="F2F2F2" w:themeFill="background1" w:themeFillShade="F2"/>
            <w:noWrap/>
            <w:tcMar>
              <w:top w:w="29" w:type="dxa"/>
              <w:left w:w="115" w:type="dxa"/>
              <w:bottom w:w="29" w:type="dxa"/>
              <w:right w:w="115" w:type="dxa"/>
            </w:tcMar>
            <w:vAlign w:val="center"/>
            <w:hideMark/>
          </w:tcPr>
          <w:p w14:paraId="7CC7625E"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1.17</w:t>
            </w:r>
          </w:p>
        </w:tc>
        <w:tc>
          <w:tcPr>
            <w:tcW w:w="0" w:type="pct"/>
            <w:shd w:val="clear" w:color="auto" w:fill="F2F2F2" w:themeFill="background1" w:themeFillShade="F2"/>
            <w:noWrap/>
            <w:tcMar>
              <w:top w:w="29" w:type="dxa"/>
              <w:left w:w="115" w:type="dxa"/>
              <w:bottom w:w="29" w:type="dxa"/>
              <w:right w:w="115" w:type="dxa"/>
            </w:tcMar>
            <w:vAlign w:val="center"/>
            <w:hideMark/>
          </w:tcPr>
          <w:p w14:paraId="0815AE7B"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1.65</w:t>
            </w:r>
          </w:p>
        </w:tc>
        <w:tc>
          <w:tcPr>
            <w:tcW w:w="0" w:type="pct"/>
            <w:shd w:val="clear" w:color="auto" w:fill="F2F2F2" w:themeFill="background1" w:themeFillShade="F2"/>
            <w:noWrap/>
            <w:tcMar>
              <w:top w:w="29" w:type="dxa"/>
              <w:left w:w="115" w:type="dxa"/>
              <w:bottom w:w="29" w:type="dxa"/>
              <w:right w:w="115" w:type="dxa"/>
            </w:tcMar>
            <w:vAlign w:val="center"/>
            <w:hideMark/>
          </w:tcPr>
          <w:p w14:paraId="42D361C0"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0.59</w:t>
            </w:r>
          </w:p>
        </w:tc>
        <w:tc>
          <w:tcPr>
            <w:tcW w:w="0" w:type="pct"/>
            <w:shd w:val="clear" w:color="auto" w:fill="F2F2F2" w:themeFill="background1" w:themeFillShade="F2"/>
            <w:noWrap/>
            <w:tcMar>
              <w:top w:w="29" w:type="dxa"/>
              <w:left w:w="115" w:type="dxa"/>
              <w:bottom w:w="29" w:type="dxa"/>
              <w:right w:w="115" w:type="dxa"/>
            </w:tcMar>
            <w:vAlign w:val="center"/>
            <w:hideMark/>
          </w:tcPr>
          <w:p w14:paraId="4259DE03"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1.12</w:t>
            </w:r>
          </w:p>
        </w:tc>
      </w:tr>
      <w:tr w:rsidR="008E234D" w:rsidRPr="00FE4C1F" w14:paraId="04A14E60" w14:textId="77777777" w:rsidTr="00143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Mar>
              <w:top w:w="29" w:type="dxa"/>
              <w:left w:w="115" w:type="dxa"/>
              <w:bottom w:w="29" w:type="dxa"/>
              <w:right w:w="115" w:type="dxa"/>
            </w:tcMar>
            <w:vAlign w:val="center"/>
            <w:hideMark/>
          </w:tcPr>
          <w:p w14:paraId="7D21165A"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DYN</w:t>
            </w:r>
          </w:p>
        </w:tc>
        <w:tc>
          <w:tcPr>
            <w:tcW w:w="0" w:type="pct"/>
            <w:shd w:val="clear" w:color="auto" w:fill="auto"/>
            <w:noWrap/>
            <w:tcMar>
              <w:top w:w="29" w:type="dxa"/>
              <w:left w:w="115" w:type="dxa"/>
              <w:bottom w:w="29" w:type="dxa"/>
              <w:right w:w="115" w:type="dxa"/>
            </w:tcMar>
            <w:vAlign w:val="center"/>
            <w:hideMark/>
          </w:tcPr>
          <w:p w14:paraId="79637666"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1.28</w:t>
            </w:r>
          </w:p>
        </w:tc>
        <w:tc>
          <w:tcPr>
            <w:tcW w:w="0" w:type="pct"/>
            <w:shd w:val="clear" w:color="auto" w:fill="auto"/>
            <w:noWrap/>
            <w:tcMar>
              <w:top w:w="29" w:type="dxa"/>
              <w:left w:w="115" w:type="dxa"/>
              <w:bottom w:w="29" w:type="dxa"/>
              <w:right w:w="115" w:type="dxa"/>
            </w:tcMar>
            <w:vAlign w:val="center"/>
            <w:hideMark/>
          </w:tcPr>
          <w:p w14:paraId="77C2230F"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1.60</w:t>
            </w:r>
          </w:p>
        </w:tc>
        <w:tc>
          <w:tcPr>
            <w:tcW w:w="0" w:type="pct"/>
            <w:shd w:val="clear" w:color="auto" w:fill="auto"/>
            <w:noWrap/>
            <w:tcMar>
              <w:top w:w="29" w:type="dxa"/>
              <w:left w:w="115" w:type="dxa"/>
              <w:bottom w:w="29" w:type="dxa"/>
              <w:right w:w="115" w:type="dxa"/>
            </w:tcMar>
            <w:vAlign w:val="center"/>
            <w:hideMark/>
          </w:tcPr>
          <w:p w14:paraId="6DC7E7F7"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0.65</w:t>
            </w:r>
          </w:p>
        </w:tc>
        <w:tc>
          <w:tcPr>
            <w:tcW w:w="0" w:type="pct"/>
            <w:shd w:val="clear" w:color="auto" w:fill="auto"/>
            <w:noWrap/>
            <w:tcMar>
              <w:top w:w="29" w:type="dxa"/>
              <w:left w:w="115" w:type="dxa"/>
              <w:bottom w:w="29" w:type="dxa"/>
              <w:right w:w="115" w:type="dxa"/>
            </w:tcMar>
            <w:vAlign w:val="center"/>
            <w:hideMark/>
          </w:tcPr>
          <w:p w14:paraId="291ACFC4"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1.24</w:t>
            </w:r>
          </w:p>
        </w:tc>
      </w:tr>
      <w:tr w:rsidR="008E234D" w:rsidRPr="00FE4C1F" w14:paraId="48FD53A8" w14:textId="77777777" w:rsidTr="001436DC">
        <w:trPr>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tcMar>
              <w:top w:w="29" w:type="dxa"/>
              <w:left w:w="115" w:type="dxa"/>
              <w:bottom w:w="29" w:type="dxa"/>
              <w:right w:w="115" w:type="dxa"/>
            </w:tcMar>
            <w:vAlign w:val="center"/>
            <w:hideMark/>
          </w:tcPr>
          <w:p w14:paraId="3B4866E2"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NRG</w:t>
            </w:r>
          </w:p>
        </w:tc>
        <w:tc>
          <w:tcPr>
            <w:tcW w:w="0" w:type="pct"/>
            <w:shd w:val="clear" w:color="auto" w:fill="F2F2F2" w:themeFill="background1" w:themeFillShade="F2"/>
            <w:noWrap/>
            <w:tcMar>
              <w:top w:w="29" w:type="dxa"/>
              <w:left w:w="115" w:type="dxa"/>
              <w:bottom w:w="29" w:type="dxa"/>
              <w:right w:w="115" w:type="dxa"/>
            </w:tcMar>
            <w:vAlign w:val="center"/>
            <w:hideMark/>
          </w:tcPr>
          <w:p w14:paraId="639FB3CE"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1.17</w:t>
            </w:r>
          </w:p>
        </w:tc>
        <w:tc>
          <w:tcPr>
            <w:tcW w:w="0" w:type="pct"/>
            <w:shd w:val="clear" w:color="auto" w:fill="F2F2F2" w:themeFill="background1" w:themeFillShade="F2"/>
            <w:noWrap/>
            <w:tcMar>
              <w:top w:w="29" w:type="dxa"/>
              <w:left w:w="115" w:type="dxa"/>
              <w:bottom w:w="29" w:type="dxa"/>
              <w:right w:w="115" w:type="dxa"/>
            </w:tcMar>
            <w:vAlign w:val="center"/>
            <w:hideMark/>
          </w:tcPr>
          <w:p w14:paraId="00C1DF86"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2.61</w:t>
            </w:r>
          </w:p>
        </w:tc>
        <w:tc>
          <w:tcPr>
            <w:tcW w:w="0" w:type="pct"/>
            <w:shd w:val="clear" w:color="auto" w:fill="F2F2F2" w:themeFill="background1" w:themeFillShade="F2"/>
            <w:noWrap/>
            <w:tcMar>
              <w:top w:w="29" w:type="dxa"/>
              <w:left w:w="115" w:type="dxa"/>
              <w:bottom w:w="29" w:type="dxa"/>
              <w:right w:w="115" w:type="dxa"/>
            </w:tcMar>
            <w:vAlign w:val="center"/>
            <w:hideMark/>
          </w:tcPr>
          <w:p w14:paraId="28A8CA8F"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0.46</w:t>
            </w:r>
          </w:p>
        </w:tc>
        <w:tc>
          <w:tcPr>
            <w:tcW w:w="0" w:type="pct"/>
            <w:shd w:val="clear" w:color="auto" w:fill="F2F2F2" w:themeFill="background1" w:themeFillShade="F2"/>
            <w:noWrap/>
            <w:tcMar>
              <w:top w:w="29" w:type="dxa"/>
              <w:left w:w="115" w:type="dxa"/>
              <w:bottom w:w="29" w:type="dxa"/>
              <w:right w:w="115" w:type="dxa"/>
            </w:tcMar>
            <w:vAlign w:val="center"/>
            <w:hideMark/>
          </w:tcPr>
          <w:p w14:paraId="6E6F903D"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0.87</w:t>
            </w:r>
          </w:p>
        </w:tc>
      </w:tr>
      <w:tr w:rsidR="008E234D" w:rsidRPr="00FE4C1F" w14:paraId="5B27B644" w14:textId="77777777" w:rsidTr="00143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Mar>
              <w:top w:w="29" w:type="dxa"/>
              <w:left w:w="115" w:type="dxa"/>
              <w:bottom w:w="29" w:type="dxa"/>
              <w:right w:w="115" w:type="dxa"/>
            </w:tcMar>
            <w:vAlign w:val="center"/>
            <w:hideMark/>
          </w:tcPr>
          <w:p w14:paraId="397F2E05" w14:textId="7E19B47C"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TLN</w:t>
            </w:r>
            <w:r w:rsidR="00BD2841" w:rsidRPr="00BF404F">
              <w:rPr>
                <w:rStyle w:val="FootnoteReference"/>
                <w:rFonts w:ascii="Century Gothic" w:eastAsia="Times New Roman" w:hAnsi="Century Gothic" w:cs="Arial"/>
                <w:color w:val="000000"/>
                <w:sz w:val="16"/>
                <w:szCs w:val="18"/>
              </w:rPr>
              <w:footnoteReference w:id="17"/>
            </w:r>
          </w:p>
        </w:tc>
        <w:tc>
          <w:tcPr>
            <w:tcW w:w="0" w:type="pct"/>
            <w:shd w:val="clear" w:color="auto" w:fill="auto"/>
            <w:noWrap/>
            <w:tcMar>
              <w:top w:w="29" w:type="dxa"/>
              <w:left w:w="115" w:type="dxa"/>
              <w:bottom w:w="29" w:type="dxa"/>
              <w:right w:w="115" w:type="dxa"/>
            </w:tcMar>
            <w:vAlign w:val="center"/>
            <w:hideMark/>
          </w:tcPr>
          <w:p w14:paraId="5F15556C"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1.32</w:t>
            </w:r>
          </w:p>
        </w:tc>
        <w:tc>
          <w:tcPr>
            <w:tcW w:w="0" w:type="pct"/>
            <w:shd w:val="clear" w:color="auto" w:fill="auto"/>
            <w:noWrap/>
            <w:tcMar>
              <w:top w:w="29" w:type="dxa"/>
              <w:left w:w="115" w:type="dxa"/>
              <w:bottom w:w="29" w:type="dxa"/>
              <w:right w:w="115" w:type="dxa"/>
            </w:tcMar>
            <w:vAlign w:val="center"/>
            <w:hideMark/>
          </w:tcPr>
          <w:p w14:paraId="507B07BF"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2.30</w:t>
            </w:r>
          </w:p>
        </w:tc>
        <w:tc>
          <w:tcPr>
            <w:tcW w:w="0" w:type="pct"/>
            <w:shd w:val="clear" w:color="auto" w:fill="auto"/>
            <w:noWrap/>
            <w:tcMar>
              <w:top w:w="29" w:type="dxa"/>
              <w:left w:w="115" w:type="dxa"/>
              <w:bottom w:w="29" w:type="dxa"/>
              <w:right w:w="115" w:type="dxa"/>
            </w:tcMar>
            <w:vAlign w:val="center"/>
            <w:hideMark/>
          </w:tcPr>
          <w:p w14:paraId="1AE4F95D"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0.55</w:t>
            </w:r>
          </w:p>
        </w:tc>
        <w:tc>
          <w:tcPr>
            <w:tcW w:w="0" w:type="pct"/>
            <w:shd w:val="clear" w:color="auto" w:fill="auto"/>
            <w:noWrap/>
            <w:tcMar>
              <w:top w:w="29" w:type="dxa"/>
              <w:left w:w="115" w:type="dxa"/>
              <w:bottom w:w="29" w:type="dxa"/>
              <w:right w:w="115" w:type="dxa"/>
            </w:tcMar>
            <w:vAlign w:val="center"/>
            <w:hideMark/>
          </w:tcPr>
          <w:p w14:paraId="5D3F297E"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1.05</w:t>
            </w:r>
          </w:p>
        </w:tc>
      </w:tr>
      <w:tr w:rsidR="008E234D" w:rsidRPr="00FE4C1F" w14:paraId="2BEA0E21" w14:textId="77777777" w:rsidTr="001E3EEF">
        <w:trPr>
          <w:trHeight w:val="288"/>
        </w:trPr>
        <w:tc>
          <w:tcPr>
            <w:cnfStyle w:val="001000000000" w:firstRow="0" w:lastRow="0" w:firstColumn="1" w:lastColumn="0" w:oddVBand="0" w:evenVBand="0" w:oddHBand="0" w:evenHBand="0" w:firstRowFirstColumn="0" w:firstRowLastColumn="0" w:lastRowFirstColumn="0" w:lastRowLastColumn="0"/>
            <w:tcW w:w="753" w:type="pct"/>
            <w:shd w:val="clear" w:color="auto" w:fill="F2F2F2" w:themeFill="background1" w:themeFillShade="F2"/>
            <w:noWrap/>
            <w:tcMar>
              <w:top w:w="29" w:type="dxa"/>
              <w:left w:w="115" w:type="dxa"/>
              <w:bottom w:w="29" w:type="dxa"/>
              <w:right w:w="115" w:type="dxa"/>
            </w:tcMar>
            <w:vAlign w:val="center"/>
            <w:hideMark/>
          </w:tcPr>
          <w:p w14:paraId="3EF30410" w14:textId="77777777" w:rsidR="005B0246" w:rsidRPr="00BF404F" w:rsidRDefault="005B0246" w:rsidP="001E3EEF">
            <w:pPr>
              <w:keepNext/>
              <w:keepLines/>
              <w:spacing w:line="240" w:lineRule="auto"/>
              <w:jc w:val="center"/>
              <w:rPr>
                <w:rFonts w:ascii="Century Gothic" w:eastAsia="Times New Roman" w:hAnsi="Century Gothic" w:cs="Arial"/>
                <w:bCs w:val="0"/>
                <w:color w:val="000000"/>
                <w:sz w:val="16"/>
                <w:szCs w:val="18"/>
              </w:rPr>
            </w:pPr>
            <w:r w:rsidRPr="00BF404F">
              <w:rPr>
                <w:rFonts w:ascii="Century Gothic" w:eastAsia="Times New Roman" w:hAnsi="Century Gothic" w:cs="Arial"/>
                <w:color w:val="000000"/>
                <w:sz w:val="16"/>
                <w:szCs w:val="18"/>
              </w:rPr>
              <w:t>Value Line</w:t>
            </w:r>
            <w:r w:rsidRPr="00BF404F">
              <w:rPr>
                <w:rStyle w:val="FootnoteReference"/>
                <w:rFonts w:ascii="Century Gothic" w:eastAsia="Times New Roman" w:hAnsi="Century Gothic" w:cs="Arial"/>
                <w:color w:val="000000"/>
                <w:sz w:val="16"/>
                <w:szCs w:val="18"/>
              </w:rPr>
              <w:footnoteReference w:id="18"/>
            </w:r>
          </w:p>
        </w:tc>
        <w:tc>
          <w:tcPr>
            <w:tcW w:w="932" w:type="pct"/>
            <w:shd w:val="clear" w:color="auto" w:fill="F2F2F2" w:themeFill="background1" w:themeFillShade="F2"/>
            <w:noWrap/>
            <w:tcMar>
              <w:top w:w="29" w:type="dxa"/>
              <w:left w:w="115" w:type="dxa"/>
              <w:bottom w:w="29" w:type="dxa"/>
              <w:right w:w="115" w:type="dxa"/>
            </w:tcMar>
            <w:vAlign w:val="center"/>
            <w:hideMark/>
          </w:tcPr>
          <w:p w14:paraId="0BEFAABD"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6"/>
                <w:szCs w:val="18"/>
              </w:rPr>
            </w:pPr>
            <w:r w:rsidRPr="00BF404F">
              <w:rPr>
                <w:rFonts w:ascii="Century Gothic" w:eastAsia="Times New Roman" w:hAnsi="Century Gothic" w:cs="Arial"/>
                <w:b/>
                <w:color w:val="000000"/>
                <w:sz w:val="16"/>
                <w:szCs w:val="18"/>
              </w:rPr>
              <w:t>(5-year Beta)</w:t>
            </w:r>
          </w:p>
        </w:tc>
        <w:tc>
          <w:tcPr>
            <w:tcW w:w="1182" w:type="pct"/>
            <w:shd w:val="clear" w:color="auto" w:fill="F2F2F2" w:themeFill="background1" w:themeFillShade="F2"/>
            <w:noWrap/>
            <w:tcMar>
              <w:top w:w="29" w:type="dxa"/>
              <w:left w:w="115" w:type="dxa"/>
              <w:bottom w:w="29" w:type="dxa"/>
              <w:right w:w="115" w:type="dxa"/>
            </w:tcMar>
            <w:vAlign w:val="center"/>
            <w:hideMark/>
          </w:tcPr>
          <w:p w14:paraId="0475CEBC"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p>
        </w:tc>
        <w:tc>
          <w:tcPr>
            <w:tcW w:w="1196" w:type="pct"/>
            <w:shd w:val="clear" w:color="auto" w:fill="F2F2F2" w:themeFill="background1" w:themeFillShade="F2"/>
            <w:noWrap/>
            <w:tcMar>
              <w:top w:w="29" w:type="dxa"/>
              <w:left w:w="115" w:type="dxa"/>
              <w:bottom w:w="29" w:type="dxa"/>
              <w:right w:w="115" w:type="dxa"/>
            </w:tcMar>
            <w:vAlign w:val="center"/>
            <w:hideMark/>
          </w:tcPr>
          <w:p w14:paraId="3688AD02"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6"/>
                <w:szCs w:val="18"/>
              </w:rPr>
            </w:pPr>
          </w:p>
        </w:tc>
        <w:tc>
          <w:tcPr>
            <w:tcW w:w="937" w:type="pct"/>
            <w:shd w:val="clear" w:color="auto" w:fill="F2F2F2" w:themeFill="background1" w:themeFillShade="F2"/>
            <w:noWrap/>
            <w:tcMar>
              <w:top w:w="29" w:type="dxa"/>
              <w:left w:w="115" w:type="dxa"/>
              <w:bottom w:w="29" w:type="dxa"/>
              <w:right w:w="115" w:type="dxa"/>
            </w:tcMar>
            <w:vAlign w:val="center"/>
            <w:hideMark/>
          </w:tcPr>
          <w:p w14:paraId="3461EDBC"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6"/>
                <w:szCs w:val="18"/>
              </w:rPr>
            </w:pPr>
          </w:p>
        </w:tc>
      </w:tr>
      <w:tr w:rsidR="001E3EEF" w:rsidRPr="00FE4C1F" w14:paraId="1CC51F9B" w14:textId="77777777" w:rsidTr="00143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Mar>
              <w:top w:w="29" w:type="dxa"/>
              <w:left w:w="115" w:type="dxa"/>
              <w:bottom w:w="29" w:type="dxa"/>
              <w:right w:w="115" w:type="dxa"/>
            </w:tcMar>
            <w:vAlign w:val="center"/>
            <w:hideMark/>
          </w:tcPr>
          <w:p w14:paraId="4D2CD0BE" w14:textId="2F068189"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p>
        </w:tc>
        <w:tc>
          <w:tcPr>
            <w:tcW w:w="0" w:type="pct"/>
            <w:shd w:val="clear" w:color="auto" w:fill="auto"/>
            <w:noWrap/>
            <w:tcMar>
              <w:top w:w="29" w:type="dxa"/>
              <w:left w:w="115" w:type="dxa"/>
              <w:bottom w:w="29" w:type="dxa"/>
              <w:right w:w="115" w:type="dxa"/>
            </w:tcMar>
            <w:vAlign w:val="center"/>
            <w:hideMark/>
          </w:tcPr>
          <w:p w14:paraId="4B50F12C"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8"/>
                <w:u w:val="single"/>
              </w:rPr>
            </w:pPr>
            <w:r w:rsidRPr="00BF404F">
              <w:rPr>
                <w:rFonts w:ascii="Century Gothic" w:eastAsia="Times New Roman" w:hAnsi="Century Gothic" w:cs="Arial"/>
                <w:b/>
                <w:sz w:val="16"/>
                <w:szCs w:val="18"/>
                <w:u w:val="single"/>
              </w:rPr>
              <w:t>Levered Beta</w:t>
            </w:r>
          </w:p>
        </w:tc>
        <w:tc>
          <w:tcPr>
            <w:tcW w:w="0" w:type="pct"/>
            <w:shd w:val="clear" w:color="auto" w:fill="auto"/>
            <w:noWrap/>
            <w:tcMar>
              <w:top w:w="29" w:type="dxa"/>
              <w:left w:w="115" w:type="dxa"/>
              <w:bottom w:w="29" w:type="dxa"/>
              <w:right w:w="115" w:type="dxa"/>
            </w:tcMar>
            <w:vAlign w:val="center"/>
            <w:hideMark/>
          </w:tcPr>
          <w:p w14:paraId="7B411141"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8"/>
                <w:u w:val="single"/>
              </w:rPr>
            </w:pPr>
            <w:r w:rsidRPr="00BF404F">
              <w:rPr>
                <w:rFonts w:ascii="Century Gothic" w:eastAsia="Times New Roman" w:hAnsi="Century Gothic" w:cs="Arial"/>
                <w:b/>
                <w:sz w:val="16"/>
                <w:szCs w:val="18"/>
                <w:u w:val="single"/>
              </w:rPr>
              <w:t>D/E ratio</w:t>
            </w:r>
          </w:p>
        </w:tc>
        <w:tc>
          <w:tcPr>
            <w:tcW w:w="0" w:type="pct"/>
            <w:shd w:val="clear" w:color="auto" w:fill="auto"/>
            <w:noWrap/>
            <w:tcMar>
              <w:top w:w="29" w:type="dxa"/>
              <w:left w:w="115" w:type="dxa"/>
              <w:bottom w:w="29" w:type="dxa"/>
              <w:right w:w="115" w:type="dxa"/>
            </w:tcMar>
            <w:vAlign w:val="center"/>
            <w:hideMark/>
          </w:tcPr>
          <w:p w14:paraId="0A3FD683"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8"/>
                <w:u w:val="single"/>
              </w:rPr>
            </w:pPr>
            <w:r w:rsidRPr="00BF404F">
              <w:rPr>
                <w:rFonts w:ascii="Century Gothic" w:eastAsia="Times New Roman" w:hAnsi="Century Gothic" w:cs="Arial"/>
                <w:b/>
                <w:sz w:val="16"/>
                <w:szCs w:val="18"/>
                <w:u w:val="single"/>
              </w:rPr>
              <w:t>Unlevered Beta</w:t>
            </w:r>
          </w:p>
        </w:tc>
        <w:tc>
          <w:tcPr>
            <w:tcW w:w="0" w:type="pct"/>
            <w:shd w:val="clear" w:color="auto" w:fill="auto"/>
            <w:noWrap/>
            <w:tcMar>
              <w:top w:w="29" w:type="dxa"/>
              <w:left w:w="115" w:type="dxa"/>
              <w:bottom w:w="29" w:type="dxa"/>
              <w:right w:w="115" w:type="dxa"/>
            </w:tcMar>
            <w:vAlign w:val="center"/>
            <w:hideMark/>
          </w:tcPr>
          <w:p w14:paraId="4E1528A5"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8"/>
                <w:u w:val="single"/>
              </w:rPr>
            </w:pPr>
            <w:r w:rsidRPr="00BF404F">
              <w:rPr>
                <w:rFonts w:ascii="Century Gothic" w:eastAsia="Times New Roman" w:hAnsi="Century Gothic" w:cs="Arial"/>
                <w:b/>
                <w:sz w:val="16"/>
                <w:szCs w:val="18"/>
                <w:u w:val="single"/>
              </w:rPr>
              <w:t>Re-levered beta</w:t>
            </w:r>
          </w:p>
        </w:tc>
      </w:tr>
      <w:tr w:rsidR="008E234D" w:rsidRPr="00FE4C1F" w14:paraId="75AF86A7" w14:textId="77777777" w:rsidTr="001436DC">
        <w:trPr>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tcMar>
              <w:top w:w="29" w:type="dxa"/>
              <w:left w:w="115" w:type="dxa"/>
              <w:bottom w:w="29" w:type="dxa"/>
              <w:right w:w="115" w:type="dxa"/>
            </w:tcMar>
            <w:vAlign w:val="center"/>
            <w:hideMark/>
          </w:tcPr>
          <w:p w14:paraId="515A32BB"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AES</w:t>
            </w:r>
          </w:p>
        </w:tc>
        <w:tc>
          <w:tcPr>
            <w:tcW w:w="0" w:type="pct"/>
            <w:shd w:val="clear" w:color="auto" w:fill="F2F2F2" w:themeFill="background1" w:themeFillShade="F2"/>
            <w:noWrap/>
            <w:tcMar>
              <w:top w:w="29" w:type="dxa"/>
              <w:left w:w="115" w:type="dxa"/>
              <w:bottom w:w="29" w:type="dxa"/>
              <w:right w:w="115" w:type="dxa"/>
            </w:tcMar>
            <w:vAlign w:val="center"/>
            <w:hideMark/>
          </w:tcPr>
          <w:p w14:paraId="0C591D55"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1.15</w:t>
            </w:r>
          </w:p>
        </w:tc>
        <w:tc>
          <w:tcPr>
            <w:tcW w:w="0" w:type="pct"/>
            <w:shd w:val="clear" w:color="auto" w:fill="F2F2F2" w:themeFill="background1" w:themeFillShade="F2"/>
            <w:noWrap/>
            <w:tcMar>
              <w:top w:w="29" w:type="dxa"/>
              <w:left w:w="115" w:type="dxa"/>
              <w:bottom w:w="29" w:type="dxa"/>
              <w:right w:w="115" w:type="dxa"/>
            </w:tcMar>
            <w:vAlign w:val="center"/>
            <w:hideMark/>
          </w:tcPr>
          <w:p w14:paraId="51C700D9"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2.28</w:t>
            </w:r>
          </w:p>
        </w:tc>
        <w:tc>
          <w:tcPr>
            <w:tcW w:w="0" w:type="pct"/>
            <w:shd w:val="clear" w:color="auto" w:fill="F2F2F2" w:themeFill="background1" w:themeFillShade="F2"/>
            <w:noWrap/>
            <w:tcMar>
              <w:top w:w="29" w:type="dxa"/>
              <w:left w:w="115" w:type="dxa"/>
              <w:bottom w:w="29" w:type="dxa"/>
              <w:right w:w="115" w:type="dxa"/>
            </w:tcMar>
            <w:vAlign w:val="center"/>
            <w:hideMark/>
          </w:tcPr>
          <w:p w14:paraId="5A785CCC"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0.49</w:t>
            </w:r>
          </w:p>
        </w:tc>
        <w:tc>
          <w:tcPr>
            <w:tcW w:w="0" w:type="pct"/>
            <w:shd w:val="clear" w:color="auto" w:fill="F2F2F2" w:themeFill="background1" w:themeFillShade="F2"/>
            <w:noWrap/>
            <w:tcMar>
              <w:top w:w="29" w:type="dxa"/>
              <w:left w:w="115" w:type="dxa"/>
              <w:bottom w:w="29" w:type="dxa"/>
              <w:right w:w="115" w:type="dxa"/>
            </w:tcMar>
            <w:vAlign w:val="center"/>
            <w:hideMark/>
          </w:tcPr>
          <w:p w14:paraId="568CE163"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0.92</w:t>
            </w:r>
          </w:p>
        </w:tc>
      </w:tr>
      <w:tr w:rsidR="001E3EEF" w:rsidRPr="00FE4C1F" w14:paraId="46FCB4F7" w14:textId="77777777" w:rsidTr="00143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Mar>
              <w:top w:w="29" w:type="dxa"/>
              <w:left w:w="115" w:type="dxa"/>
              <w:bottom w:w="29" w:type="dxa"/>
              <w:right w:w="115" w:type="dxa"/>
            </w:tcMar>
            <w:vAlign w:val="center"/>
            <w:hideMark/>
          </w:tcPr>
          <w:p w14:paraId="69CD9FE3"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CPN</w:t>
            </w:r>
          </w:p>
        </w:tc>
        <w:tc>
          <w:tcPr>
            <w:tcW w:w="0" w:type="pct"/>
            <w:shd w:val="clear" w:color="auto" w:fill="auto"/>
            <w:noWrap/>
            <w:tcMar>
              <w:top w:w="29" w:type="dxa"/>
              <w:left w:w="115" w:type="dxa"/>
              <w:bottom w:w="29" w:type="dxa"/>
              <w:right w:w="115" w:type="dxa"/>
            </w:tcMar>
            <w:vAlign w:val="center"/>
            <w:hideMark/>
          </w:tcPr>
          <w:p w14:paraId="107BC4F9"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1.00</w:t>
            </w:r>
          </w:p>
        </w:tc>
        <w:tc>
          <w:tcPr>
            <w:tcW w:w="0" w:type="pct"/>
            <w:shd w:val="clear" w:color="auto" w:fill="auto"/>
            <w:noWrap/>
            <w:tcMar>
              <w:top w:w="29" w:type="dxa"/>
              <w:left w:w="115" w:type="dxa"/>
              <w:bottom w:w="29" w:type="dxa"/>
              <w:right w:w="115" w:type="dxa"/>
            </w:tcMar>
            <w:vAlign w:val="center"/>
            <w:hideMark/>
          </w:tcPr>
          <w:p w14:paraId="77404172"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1.65</w:t>
            </w:r>
          </w:p>
        </w:tc>
        <w:tc>
          <w:tcPr>
            <w:tcW w:w="0" w:type="pct"/>
            <w:shd w:val="clear" w:color="auto" w:fill="auto"/>
            <w:noWrap/>
            <w:tcMar>
              <w:top w:w="29" w:type="dxa"/>
              <w:left w:w="115" w:type="dxa"/>
              <w:bottom w:w="29" w:type="dxa"/>
              <w:right w:w="115" w:type="dxa"/>
            </w:tcMar>
            <w:vAlign w:val="center"/>
            <w:hideMark/>
          </w:tcPr>
          <w:p w14:paraId="771BAD12"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0.50</w:t>
            </w:r>
          </w:p>
        </w:tc>
        <w:tc>
          <w:tcPr>
            <w:tcW w:w="0" w:type="pct"/>
            <w:shd w:val="clear" w:color="auto" w:fill="auto"/>
            <w:noWrap/>
            <w:tcMar>
              <w:top w:w="29" w:type="dxa"/>
              <w:left w:w="115" w:type="dxa"/>
              <w:bottom w:w="29" w:type="dxa"/>
              <w:right w:w="115" w:type="dxa"/>
            </w:tcMar>
            <w:vAlign w:val="center"/>
            <w:hideMark/>
          </w:tcPr>
          <w:p w14:paraId="7BCB72B6"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0.95</w:t>
            </w:r>
          </w:p>
        </w:tc>
      </w:tr>
      <w:tr w:rsidR="008E234D" w:rsidRPr="00FE4C1F" w14:paraId="621016A0" w14:textId="77777777" w:rsidTr="001436DC">
        <w:trPr>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tcMar>
              <w:top w:w="29" w:type="dxa"/>
              <w:left w:w="115" w:type="dxa"/>
              <w:bottom w:w="29" w:type="dxa"/>
              <w:right w:w="115" w:type="dxa"/>
            </w:tcMar>
            <w:vAlign w:val="center"/>
            <w:hideMark/>
          </w:tcPr>
          <w:p w14:paraId="67B74384"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DYN</w:t>
            </w:r>
          </w:p>
        </w:tc>
        <w:tc>
          <w:tcPr>
            <w:tcW w:w="0" w:type="pct"/>
            <w:shd w:val="clear" w:color="auto" w:fill="F2F2F2" w:themeFill="background1" w:themeFillShade="F2"/>
            <w:noWrap/>
            <w:tcMar>
              <w:top w:w="29" w:type="dxa"/>
              <w:left w:w="115" w:type="dxa"/>
              <w:bottom w:w="29" w:type="dxa"/>
              <w:right w:w="115" w:type="dxa"/>
            </w:tcMar>
            <w:vAlign w:val="center"/>
            <w:hideMark/>
          </w:tcPr>
          <w:p w14:paraId="7CA60C58"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1.45</w:t>
            </w:r>
          </w:p>
        </w:tc>
        <w:tc>
          <w:tcPr>
            <w:tcW w:w="0" w:type="pct"/>
            <w:shd w:val="clear" w:color="auto" w:fill="F2F2F2" w:themeFill="background1" w:themeFillShade="F2"/>
            <w:noWrap/>
            <w:tcMar>
              <w:top w:w="29" w:type="dxa"/>
              <w:left w:w="115" w:type="dxa"/>
              <w:bottom w:w="29" w:type="dxa"/>
              <w:right w:w="115" w:type="dxa"/>
            </w:tcMar>
            <w:vAlign w:val="center"/>
            <w:hideMark/>
          </w:tcPr>
          <w:p w14:paraId="093493AB"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1.60</w:t>
            </w:r>
          </w:p>
        </w:tc>
        <w:tc>
          <w:tcPr>
            <w:tcW w:w="0" w:type="pct"/>
            <w:shd w:val="clear" w:color="auto" w:fill="F2F2F2" w:themeFill="background1" w:themeFillShade="F2"/>
            <w:noWrap/>
            <w:tcMar>
              <w:top w:w="29" w:type="dxa"/>
              <w:left w:w="115" w:type="dxa"/>
              <w:bottom w:w="29" w:type="dxa"/>
              <w:right w:w="115" w:type="dxa"/>
            </w:tcMar>
            <w:vAlign w:val="center"/>
            <w:hideMark/>
          </w:tcPr>
          <w:p w14:paraId="4111B8CC"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0.74</w:t>
            </w:r>
          </w:p>
        </w:tc>
        <w:tc>
          <w:tcPr>
            <w:tcW w:w="0" w:type="pct"/>
            <w:shd w:val="clear" w:color="auto" w:fill="F2F2F2" w:themeFill="background1" w:themeFillShade="F2"/>
            <w:noWrap/>
            <w:tcMar>
              <w:top w:w="29" w:type="dxa"/>
              <w:left w:w="115" w:type="dxa"/>
              <w:bottom w:w="29" w:type="dxa"/>
              <w:right w:w="115" w:type="dxa"/>
            </w:tcMar>
            <w:vAlign w:val="center"/>
            <w:hideMark/>
          </w:tcPr>
          <w:p w14:paraId="5FEB545B"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1.41</w:t>
            </w:r>
          </w:p>
        </w:tc>
      </w:tr>
      <w:tr w:rsidR="001E3EEF" w:rsidRPr="00FE4C1F" w14:paraId="6D1DC280" w14:textId="77777777" w:rsidTr="00143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Mar>
              <w:top w:w="29" w:type="dxa"/>
              <w:left w:w="115" w:type="dxa"/>
              <w:bottom w:w="29" w:type="dxa"/>
              <w:right w:w="115" w:type="dxa"/>
            </w:tcMar>
            <w:vAlign w:val="center"/>
            <w:hideMark/>
          </w:tcPr>
          <w:p w14:paraId="1E40E3B9"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NRG</w:t>
            </w:r>
          </w:p>
        </w:tc>
        <w:tc>
          <w:tcPr>
            <w:tcW w:w="0" w:type="pct"/>
            <w:shd w:val="clear" w:color="auto" w:fill="auto"/>
            <w:noWrap/>
            <w:tcMar>
              <w:top w:w="29" w:type="dxa"/>
              <w:left w:w="115" w:type="dxa"/>
              <w:bottom w:w="29" w:type="dxa"/>
              <w:right w:w="115" w:type="dxa"/>
            </w:tcMar>
            <w:vAlign w:val="center"/>
            <w:hideMark/>
          </w:tcPr>
          <w:p w14:paraId="3A6D03C1"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1.10</w:t>
            </w:r>
          </w:p>
        </w:tc>
        <w:tc>
          <w:tcPr>
            <w:tcW w:w="0" w:type="pct"/>
            <w:shd w:val="clear" w:color="auto" w:fill="auto"/>
            <w:noWrap/>
            <w:tcMar>
              <w:top w:w="29" w:type="dxa"/>
              <w:left w:w="115" w:type="dxa"/>
              <w:bottom w:w="29" w:type="dxa"/>
              <w:right w:w="115" w:type="dxa"/>
            </w:tcMar>
            <w:vAlign w:val="center"/>
            <w:hideMark/>
          </w:tcPr>
          <w:p w14:paraId="0335CAE6"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2.61</w:t>
            </w:r>
          </w:p>
        </w:tc>
        <w:tc>
          <w:tcPr>
            <w:tcW w:w="0" w:type="pct"/>
            <w:shd w:val="clear" w:color="auto" w:fill="auto"/>
            <w:noWrap/>
            <w:tcMar>
              <w:top w:w="29" w:type="dxa"/>
              <w:left w:w="115" w:type="dxa"/>
              <w:bottom w:w="29" w:type="dxa"/>
              <w:right w:w="115" w:type="dxa"/>
            </w:tcMar>
            <w:vAlign w:val="center"/>
            <w:hideMark/>
          </w:tcPr>
          <w:p w14:paraId="41B58D7B"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0.43</w:t>
            </w:r>
          </w:p>
        </w:tc>
        <w:tc>
          <w:tcPr>
            <w:tcW w:w="0" w:type="pct"/>
            <w:shd w:val="clear" w:color="auto" w:fill="auto"/>
            <w:noWrap/>
            <w:tcMar>
              <w:top w:w="29" w:type="dxa"/>
              <w:left w:w="115" w:type="dxa"/>
              <w:bottom w:w="29" w:type="dxa"/>
              <w:right w:w="115" w:type="dxa"/>
            </w:tcMar>
            <w:vAlign w:val="center"/>
            <w:hideMark/>
          </w:tcPr>
          <w:p w14:paraId="6D017CCD" w14:textId="77777777" w:rsidR="005B0246" w:rsidRPr="00BF404F" w:rsidRDefault="005B0246" w:rsidP="001E3EE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0.81</w:t>
            </w:r>
          </w:p>
        </w:tc>
      </w:tr>
      <w:tr w:rsidR="008E234D" w:rsidRPr="00FE4C1F" w14:paraId="337F45B7" w14:textId="77777777" w:rsidTr="001436DC">
        <w:trPr>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tcMar>
              <w:top w:w="29" w:type="dxa"/>
              <w:left w:w="115" w:type="dxa"/>
              <w:bottom w:w="29" w:type="dxa"/>
              <w:right w:w="115" w:type="dxa"/>
            </w:tcMar>
            <w:vAlign w:val="center"/>
            <w:hideMark/>
          </w:tcPr>
          <w:p w14:paraId="29BB966C" w14:textId="77777777" w:rsidR="005B0246" w:rsidRPr="00BF404F" w:rsidRDefault="005B0246" w:rsidP="001E3EEF">
            <w:pPr>
              <w:keepNext/>
              <w:keepLines/>
              <w:spacing w:line="240" w:lineRule="auto"/>
              <w:jc w:val="center"/>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TLN</w:t>
            </w:r>
          </w:p>
        </w:tc>
        <w:tc>
          <w:tcPr>
            <w:tcW w:w="0" w:type="pct"/>
            <w:shd w:val="clear" w:color="auto" w:fill="F2F2F2" w:themeFill="background1" w:themeFillShade="F2"/>
            <w:noWrap/>
            <w:tcMar>
              <w:top w:w="29" w:type="dxa"/>
              <w:left w:w="115" w:type="dxa"/>
              <w:bottom w:w="29" w:type="dxa"/>
              <w:right w:w="115" w:type="dxa"/>
            </w:tcMar>
            <w:vAlign w:val="center"/>
            <w:hideMark/>
          </w:tcPr>
          <w:p w14:paraId="1C8672B2"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NA</w:t>
            </w:r>
          </w:p>
        </w:tc>
        <w:tc>
          <w:tcPr>
            <w:tcW w:w="0" w:type="pct"/>
            <w:shd w:val="clear" w:color="auto" w:fill="F2F2F2" w:themeFill="background1" w:themeFillShade="F2"/>
            <w:noWrap/>
            <w:tcMar>
              <w:top w:w="29" w:type="dxa"/>
              <w:left w:w="115" w:type="dxa"/>
              <w:bottom w:w="29" w:type="dxa"/>
              <w:right w:w="115" w:type="dxa"/>
            </w:tcMar>
            <w:vAlign w:val="center"/>
            <w:hideMark/>
          </w:tcPr>
          <w:p w14:paraId="6CEAD8C0"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2.30</w:t>
            </w:r>
          </w:p>
        </w:tc>
        <w:tc>
          <w:tcPr>
            <w:tcW w:w="0" w:type="pct"/>
            <w:shd w:val="clear" w:color="auto" w:fill="F2F2F2" w:themeFill="background1" w:themeFillShade="F2"/>
            <w:noWrap/>
            <w:tcMar>
              <w:top w:w="29" w:type="dxa"/>
              <w:left w:w="115" w:type="dxa"/>
              <w:bottom w:w="29" w:type="dxa"/>
              <w:right w:w="115" w:type="dxa"/>
            </w:tcMar>
            <w:vAlign w:val="center"/>
            <w:hideMark/>
          </w:tcPr>
          <w:p w14:paraId="088A1F89"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NA</w:t>
            </w:r>
          </w:p>
        </w:tc>
        <w:tc>
          <w:tcPr>
            <w:tcW w:w="0" w:type="pct"/>
            <w:shd w:val="clear" w:color="auto" w:fill="F2F2F2" w:themeFill="background1" w:themeFillShade="F2"/>
            <w:noWrap/>
            <w:tcMar>
              <w:top w:w="29" w:type="dxa"/>
              <w:left w:w="115" w:type="dxa"/>
              <w:bottom w:w="29" w:type="dxa"/>
              <w:right w:w="115" w:type="dxa"/>
            </w:tcMar>
            <w:vAlign w:val="center"/>
            <w:hideMark/>
          </w:tcPr>
          <w:p w14:paraId="35E87FE5" w14:textId="77777777" w:rsidR="005B0246" w:rsidRPr="00BF404F" w:rsidRDefault="005B0246" w:rsidP="001E3EE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6"/>
                <w:szCs w:val="18"/>
              </w:rPr>
            </w:pPr>
            <w:r w:rsidRPr="00BF404F">
              <w:rPr>
                <w:rFonts w:ascii="Century Gothic" w:eastAsia="Times New Roman" w:hAnsi="Century Gothic" w:cs="Arial"/>
                <w:color w:val="000000"/>
                <w:sz w:val="16"/>
                <w:szCs w:val="18"/>
              </w:rPr>
              <w:t>NA</w:t>
            </w:r>
          </w:p>
        </w:tc>
      </w:tr>
    </w:tbl>
    <w:p w14:paraId="34A248EF" w14:textId="77777777" w:rsidR="005B0246" w:rsidRDefault="005B0246" w:rsidP="005B0246">
      <w:pPr>
        <w:rPr>
          <w:rFonts w:cs="Times New Roman"/>
        </w:rPr>
      </w:pPr>
    </w:p>
    <w:p w14:paraId="13BE48F7" w14:textId="68EE225E" w:rsidR="0046643C" w:rsidRDefault="005B0246" w:rsidP="00D521BE">
      <w:pPr>
        <w:rPr>
          <w:rFonts w:cs="Times New Roman"/>
        </w:rPr>
      </w:pPr>
      <w:r>
        <w:rPr>
          <w:rFonts w:cs="Times New Roman"/>
        </w:rPr>
        <w:t xml:space="preserve">We reviewed two estimates of the overall market return: a historical estimate from Ibbotson; and a forward looking estimate of the S&amp;P 500 Index. The following table shows the calculations for a number of historic and forward looking estimates of ROE. </w:t>
      </w:r>
    </w:p>
    <w:p w14:paraId="12A96018" w14:textId="77777777" w:rsidR="0046643C" w:rsidRDefault="0046643C">
      <w:pPr>
        <w:spacing w:line="259" w:lineRule="auto"/>
        <w:jc w:val="left"/>
        <w:rPr>
          <w:rFonts w:cs="Times New Roman"/>
        </w:rPr>
      </w:pPr>
      <w:r>
        <w:rPr>
          <w:rFonts w:cs="Times New Roman"/>
        </w:rPr>
        <w:br w:type="page"/>
      </w:r>
    </w:p>
    <w:p w14:paraId="47E4F71C" w14:textId="77777777" w:rsidR="002A4CE5" w:rsidRDefault="002A4CE5" w:rsidP="00D2628D">
      <w:pPr>
        <w:pStyle w:val="Caption"/>
      </w:pPr>
    </w:p>
    <w:p w14:paraId="060E2D57" w14:textId="49CE805E" w:rsidR="00286D72" w:rsidRPr="008E234D" w:rsidRDefault="002A4CE5" w:rsidP="00D2628D">
      <w:pPr>
        <w:pStyle w:val="Caption"/>
      </w:pPr>
      <w:bookmarkStart w:id="54" w:name="_Toc465433449"/>
      <w:r>
        <w:t xml:space="preserve">Table </w:t>
      </w:r>
      <w:r w:rsidR="00FA6573">
        <w:fldChar w:fldCharType="begin"/>
      </w:r>
      <w:r w:rsidR="00FA6573">
        <w:instrText xml:space="preserve"> SEQ Table \* ARABIC </w:instrText>
      </w:r>
      <w:r w:rsidR="00FA6573">
        <w:fldChar w:fldCharType="separate"/>
      </w:r>
      <w:r w:rsidR="000637A3">
        <w:rPr>
          <w:noProof/>
        </w:rPr>
        <w:t>24</w:t>
      </w:r>
      <w:r w:rsidR="00FA6573">
        <w:rPr>
          <w:noProof/>
        </w:rPr>
        <w:fldChar w:fldCharType="end"/>
      </w:r>
      <w:r w:rsidR="0046643C" w:rsidRPr="002A4CE5">
        <w:t>: CAPM Analysis</w:t>
      </w:r>
      <w:bookmarkEnd w:id="54"/>
    </w:p>
    <w:tbl>
      <w:tblPr>
        <w:tblStyle w:val="GridTable4-Accent310"/>
        <w:tblW w:w="5243" w:type="pct"/>
        <w:jc w:val="center"/>
        <w:tblLayout w:type="fixed"/>
        <w:tblLook w:val="04A0" w:firstRow="1" w:lastRow="0" w:firstColumn="1" w:lastColumn="0" w:noHBand="0" w:noVBand="1"/>
      </w:tblPr>
      <w:tblGrid>
        <w:gridCol w:w="639"/>
        <w:gridCol w:w="667"/>
        <w:gridCol w:w="621"/>
        <w:gridCol w:w="926"/>
        <w:gridCol w:w="831"/>
        <w:gridCol w:w="827"/>
        <w:gridCol w:w="691"/>
        <w:gridCol w:w="880"/>
        <w:gridCol w:w="829"/>
        <w:gridCol w:w="829"/>
        <w:gridCol w:w="829"/>
        <w:gridCol w:w="831"/>
        <w:gridCol w:w="641"/>
      </w:tblGrid>
      <w:tr w:rsidR="001E3EEF" w:rsidRPr="001E3EEF" w14:paraId="00508AC4" w14:textId="77777777" w:rsidTr="001E3EE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3A7B3AFF" w14:textId="77777777" w:rsidR="002A4CE5" w:rsidRPr="001E3EEF" w:rsidRDefault="002A4CE5" w:rsidP="008E234D">
            <w:pPr>
              <w:spacing w:line="240" w:lineRule="auto"/>
              <w:rPr>
                <w:rFonts w:ascii="Century Gothic" w:eastAsia="Times New Roman" w:hAnsi="Century Gothic" w:cs="Arial"/>
                <w:b w:val="0"/>
                <w:bCs w:val="0"/>
                <w:color w:val="000000"/>
                <w:sz w:val="12"/>
                <w:szCs w:val="16"/>
              </w:rPr>
            </w:pPr>
            <w:r w:rsidRPr="001E3EEF">
              <w:rPr>
                <w:rFonts w:ascii="Century Gothic" w:eastAsia="Times New Roman" w:hAnsi="Century Gothic" w:cs="Arial"/>
                <w:color w:val="000000"/>
                <w:sz w:val="12"/>
                <w:szCs w:val="16"/>
              </w:rPr>
              <w:t>CAPM</w:t>
            </w:r>
          </w:p>
        </w:tc>
        <w:tc>
          <w:tcPr>
            <w:tcW w:w="332" w:type="pct"/>
            <w:noWrap/>
            <w:hideMark/>
          </w:tcPr>
          <w:p w14:paraId="2493107F"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[1]</w:t>
            </w:r>
          </w:p>
        </w:tc>
        <w:tc>
          <w:tcPr>
            <w:tcW w:w="309" w:type="pct"/>
            <w:noWrap/>
            <w:hideMark/>
          </w:tcPr>
          <w:p w14:paraId="38EC9308"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[2]</w:t>
            </w:r>
          </w:p>
        </w:tc>
        <w:tc>
          <w:tcPr>
            <w:tcW w:w="461" w:type="pct"/>
            <w:noWrap/>
            <w:hideMark/>
          </w:tcPr>
          <w:p w14:paraId="66D16AE7"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[3]</w:t>
            </w:r>
          </w:p>
        </w:tc>
        <w:tc>
          <w:tcPr>
            <w:tcW w:w="414" w:type="pct"/>
            <w:noWrap/>
            <w:hideMark/>
          </w:tcPr>
          <w:p w14:paraId="0AFF0753"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[4]</w:t>
            </w:r>
          </w:p>
        </w:tc>
        <w:tc>
          <w:tcPr>
            <w:tcW w:w="412" w:type="pct"/>
            <w:noWrap/>
            <w:hideMark/>
          </w:tcPr>
          <w:p w14:paraId="74C8A1BD"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[5]</w:t>
            </w:r>
          </w:p>
        </w:tc>
        <w:tc>
          <w:tcPr>
            <w:tcW w:w="344" w:type="pct"/>
            <w:noWrap/>
            <w:hideMark/>
          </w:tcPr>
          <w:p w14:paraId="4FF1BE67"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[6]</w:t>
            </w:r>
          </w:p>
        </w:tc>
        <w:tc>
          <w:tcPr>
            <w:tcW w:w="438" w:type="pct"/>
            <w:noWrap/>
            <w:hideMark/>
          </w:tcPr>
          <w:p w14:paraId="0822613E"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[7]</w:t>
            </w:r>
          </w:p>
        </w:tc>
        <w:tc>
          <w:tcPr>
            <w:tcW w:w="413" w:type="pct"/>
            <w:noWrap/>
            <w:hideMark/>
          </w:tcPr>
          <w:p w14:paraId="29F9499D"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[8]</w:t>
            </w:r>
          </w:p>
        </w:tc>
        <w:tc>
          <w:tcPr>
            <w:tcW w:w="413" w:type="pct"/>
            <w:noWrap/>
            <w:hideMark/>
          </w:tcPr>
          <w:p w14:paraId="5B89C774"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[9]</w:t>
            </w:r>
          </w:p>
        </w:tc>
        <w:tc>
          <w:tcPr>
            <w:tcW w:w="413" w:type="pct"/>
            <w:noWrap/>
            <w:hideMark/>
          </w:tcPr>
          <w:p w14:paraId="4FB5888D"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[10]</w:t>
            </w:r>
          </w:p>
        </w:tc>
        <w:tc>
          <w:tcPr>
            <w:tcW w:w="414" w:type="pct"/>
            <w:noWrap/>
            <w:hideMark/>
          </w:tcPr>
          <w:p w14:paraId="02447A25"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color w:val="000000"/>
                <w:sz w:val="12"/>
                <w:szCs w:val="16"/>
              </w:rPr>
            </w:pPr>
            <w:r w:rsidRPr="001E3EEF">
              <w:rPr>
                <w:rFonts w:ascii="Century Gothic" w:eastAsia="Times New Roman" w:hAnsi="Century Gothic" w:cs="Arial"/>
                <w:color w:val="000000"/>
                <w:sz w:val="12"/>
                <w:szCs w:val="16"/>
              </w:rPr>
              <w:t>[11]</w:t>
            </w:r>
          </w:p>
        </w:tc>
        <w:tc>
          <w:tcPr>
            <w:tcW w:w="321" w:type="pct"/>
            <w:noWrap/>
            <w:hideMark/>
          </w:tcPr>
          <w:p w14:paraId="180E86A8" w14:textId="77777777" w:rsidR="002A4CE5" w:rsidRPr="001E3EEF" w:rsidRDefault="002A4CE5" w:rsidP="008E234D">
            <w:pPr>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707DBFB8"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2CE8405F" w14:textId="77777777" w:rsidR="002A4CE5" w:rsidRPr="001E3EEF" w:rsidRDefault="002A4CE5" w:rsidP="008E234D">
            <w:pPr>
              <w:spacing w:line="240" w:lineRule="auto"/>
              <w:rPr>
                <w:rFonts w:ascii="Century Gothic" w:eastAsia="Times New Roman" w:hAnsi="Century Gothic" w:cs="Times New Roman"/>
                <w:b w:val="0"/>
                <w:sz w:val="12"/>
                <w:szCs w:val="16"/>
              </w:rPr>
            </w:pPr>
          </w:p>
        </w:tc>
        <w:tc>
          <w:tcPr>
            <w:tcW w:w="332" w:type="pct"/>
            <w:noWrap/>
            <w:hideMark/>
          </w:tcPr>
          <w:p w14:paraId="64FA34B5"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sz w:val="12"/>
                <w:szCs w:val="16"/>
              </w:rPr>
            </w:pPr>
          </w:p>
        </w:tc>
        <w:tc>
          <w:tcPr>
            <w:tcW w:w="1184" w:type="pct"/>
            <w:gridSpan w:val="3"/>
            <w:noWrap/>
            <w:hideMark/>
          </w:tcPr>
          <w:p w14:paraId="6DC4F4D1"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 xml:space="preserve">Beta- </w:t>
            </w:r>
            <w:proofErr w:type="spellStart"/>
            <w:r w:rsidRPr="001E3EEF">
              <w:rPr>
                <w:rFonts w:ascii="Century Gothic" w:eastAsia="Times New Roman" w:hAnsi="Century Gothic" w:cs="Arial"/>
                <w:b/>
                <w:color w:val="000000"/>
                <w:sz w:val="12"/>
                <w:szCs w:val="16"/>
              </w:rPr>
              <w:t>Relevered</w:t>
            </w:r>
            <w:proofErr w:type="spellEnd"/>
          </w:p>
        </w:tc>
        <w:tc>
          <w:tcPr>
            <w:tcW w:w="1193" w:type="pct"/>
            <w:gridSpan w:val="3"/>
            <w:noWrap/>
            <w:hideMark/>
          </w:tcPr>
          <w:p w14:paraId="37F0F9CD"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Market Return</w:t>
            </w:r>
          </w:p>
        </w:tc>
        <w:tc>
          <w:tcPr>
            <w:tcW w:w="826" w:type="pct"/>
            <w:gridSpan w:val="2"/>
            <w:noWrap/>
            <w:hideMark/>
          </w:tcPr>
          <w:p w14:paraId="32ABFB53"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Market Risk Premium</w:t>
            </w:r>
          </w:p>
        </w:tc>
        <w:tc>
          <w:tcPr>
            <w:tcW w:w="827" w:type="pct"/>
            <w:gridSpan w:val="2"/>
            <w:noWrap/>
            <w:hideMark/>
          </w:tcPr>
          <w:p w14:paraId="0AD56E6E"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ROE based on…</w:t>
            </w:r>
          </w:p>
        </w:tc>
        <w:tc>
          <w:tcPr>
            <w:tcW w:w="321" w:type="pct"/>
            <w:noWrap/>
            <w:hideMark/>
          </w:tcPr>
          <w:p w14:paraId="38FA2C2E"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562A837E"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2330DBF9" w14:textId="77777777" w:rsidR="002A4CE5" w:rsidRPr="001E3EEF" w:rsidRDefault="002A4CE5" w:rsidP="008E234D">
            <w:pPr>
              <w:spacing w:line="240" w:lineRule="auto"/>
              <w:rPr>
                <w:rFonts w:ascii="Century Gothic" w:eastAsia="Times New Roman" w:hAnsi="Century Gothic" w:cs="Times New Roman"/>
                <w:sz w:val="12"/>
                <w:szCs w:val="16"/>
              </w:rPr>
            </w:pPr>
          </w:p>
        </w:tc>
        <w:tc>
          <w:tcPr>
            <w:tcW w:w="332" w:type="pct"/>
            <w:vMerge w:val="restart"/>
            <w:noWrap/>
            <w:hideMark/>
          </w:tcPr>
          <w:p w14:paraId="2473A91D"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 xml:space="preserve">Risk-Free </w:t>
            </w:r>
          </w:p>
          <w:p w14:paraId="042B8638"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Rate</w:t>
            </w:r>
          </w:p>
        </w:tc>
        <w:tc>
          <w:tcPr>
            <w:tcW w:w="309" w:type="pct"/>
            <w:vMerge w:val="restart"/>
            <w:noWrap/>
            <w:hideMark/>
          </w:tcPr>
          <w:p w14:paraId="14C8CD2A"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Value Line</w:t>
            </w:r>
          </w:p>
        </w:tc>
        <w:tc>
          <w:tcPr>
            <w:tcW w:w="461" w:type="pct"/>
            <w:noWrap/>
            <w:hideMark/>
          </w:tcPr>
          <w:p w14:paraId="76738E49"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2"/>
                <w:szCs w:val="16"/>
              </w:rPr>
            </w:pPr>
          </w:p>
        </w:tc>
        <w:tc>
          <w:tcPr>
            <w:tcW w:w="414" w:type="pct"/>
            <w:noWrap/>
            <w:hideMark/>
          </w:tcPr>
          <w:p w14:paraId="4A26720B"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12" w:type="pct"/>
            <w:noWrap/>
            <w:hideMark/>
          </w:tcPr>
          <w:p w14:paraId="3FF1DCA6"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782" w:type="pct"/>
            <w:gridSpan w:val="2"/>
            <w:noWrap/>
            <w:hideMark/>
          </w:tcPr>
          <w:p w14:paraId="3CAA9F2D"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 xml:space="preserve">Income return </w:t>
            </w:r>
          </w:p>
        </w:tc>
        <w:tc>
          <w:tcPr>
            <w:tcW w:w="413" w:type="pct"/>
            <w:noWrap/>
            <w:hideMark/>
          </w:tcPr>
          <w:p w14:paraId="78A95723"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2"/>
                <w:szCs w:val="16"/>
              </w:rPr>
            </w:pPr>
          </w:p>
        </w:tc>
        <w:tc>
          <w:tcPr>
            <w:tcW w:w="413" w:type="pct"/>
            <w:noWrap/>
            <w:hideMark/>
          </w:tcPr>
          <w:p w14:paraId="1380D919"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13" w:type="pct"/>
            <w:noWrap/>
            <w:hideMark/>
          </w:tcPr>
          <w:p w14:paraId="51153F77"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Historical</w:t>
            </w:r>
          </w:p>
        </w:tc>
        <w:tc>
          <w:tcPr>
            <w:tcW w:w="414" w:type="pct"/>
            <w:noWrap/>
            <w:hideMark/>
          </w:tcPr>
          <w:p w14:paraId="37309897"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Projected</w:t>
            </w:r>
          </w:p>
        </w:tc>
        <w:tc>
          <w:tcPr>
            <w:tcW w:w="321" w:type="pct"/>
            <w:noWrap/>
            <w:hideMark/>
          </w:tcPr>
          <w:p w14:paraId="5E5AA2F5"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362E37EB"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38036798"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 </w:t>
            </w:r>
          </w:p>
        </w:tc>
        <w:tc>
          <w:tcPr>
            <w:tcW w:w="332" w:type="pct"/>
            <w:vMerge/>
            <w:noWrap/>
            <w:hideMark/>
          </w:tcPr>
          <w:p w14:paraId="75A9FE7E"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p>
        </w:tc>
        <w:tc>
          <w:tcPr>
            <w:tcW w:w="309" w:type="pct"/>
            <w:vMerge/>
            <w:noWrap/>
            <w:hideMark/>
          </w:tcPr>
          <w:p w14:paraId="15952488"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p>
        </w:tc>
        <w:tc>
          <w:tcPr>
            <w:tcW w:w="461" w:type="pct"/>
            <w:noWrap/>
            <w:hideMark/>
          </w:tcPr>
          <w:p w14:paraId="15A73985"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Bloomberg</w:t>
            </w:r>
          </w:p>
        </w:tc>
        <w:tc>
          <w:tcPr>
            <w:tcW w:w="414" w:type="pct"/>
            <w:noWrap/>
            <w:hideMark/>
          </w:tcPr>
          <w:p w14:paraId="4B565B10"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Average</w:t>
            </w:r>
          </w:p>
        </w:tc>
        <w:tc>
          <w:tcPr>
            <w:tcW w:w="412" w:type="pct"/>
            <w:noWrap/>
            <w:hideMark/>
          </w:tcPr>
          <w:p w14:paraId="4AF0540C"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Historical</w:t>
            </w:r>
          </w:p>
        </w:tc>
        <w:tc>
          <w:tcPr>
            <w:tcW w:w="344" w:type="pct"/>
            <w:noWrap/>
            <w:hideMark/>
          </w:tcPr>
          <w:p w14:paraId="00D52508"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Gov. Bonds</w:t>
            </w:r>
          </w:p>
        </w:tc>
        <w:tc>
          <w:tcPr>
            <w:tcW w:w="438" w:type="pct"/>
            <w:noWrap/>
            <w:hideMark/>
          </w:tcPr>
          <w:p w14:paraId="0BFA6120"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Projected</w:t>
            </w:r>
          </w:p>
        </w:tc>
        <w:tc>
          <w:tcPr>
            <w:tcW w:w="413" w:type="pct"/>
            <w:noWrap/>
            <w:hideMark/>
          </w:tcPr>
          <w:p w14:paraId="1F6CCB77"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Historical</w:t>
            </w:r>
          </w:p>
        </w:tc>
        <w:tc>
          <w:tcPr>
            <w:tcW w:w="413" w:type="pct"/>
            <w:noWrap/>
            <w:hideMark/>
          </w:tcPr>
          <w:p w14:paraId="2BC6541C"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Projected</w:t>
            </w:r>
          </w:p>
        </w:tc>
        <w:tc>
          <w:tcPr>
            <w:tcW w:w="413" w:type="pct"/>
            <w:noWrap/>
            <w:hideMark/>
          </w:tcPr>
          <w:p w14:paraId="72957705"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MRP</w:t>
            </w:r>
          </w:p>
        </w:tc>
        <w:tc>
          <w:tcPr>
            <w:tcW w:w="414" w:type="pct"/>
            <w:noWrap/>
            <w:hideMark/>
          </w:tcPr>
          <w:p w14:paraId="6B03EFE4"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sz w:val="12"/>
                <w:szCs w:val="16"/>
              </w:rPr>
            </w:pPr>
            <w:r w:rsidRPr="001E3EEF">
              <w:rPr>
                <w:rFonts w:ascii="Century Gothic" w:eastAsia="Times New Roman" w:hAnsi="Century Gothic" w:cs="Arial"/>
                <w:b/>
                <w:color w:val="000000"/>
                <w:sz w:val="12"/>
                <w:szCs w:val="16"/>
              </w:rPr>
              <w:t>MRP</w:t>
            </w:r>
          </w:p>
        </w:tc>
        <w:tc>
          <w:tcPr>
            <w:tcW w:w="321" w:type="pct"/>
            <w:noWrap/>
            <w:hideMark/>
          </w:tcPr>
          <w:p w14:paraId="1116E3CF"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6DAE48C7"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tcPr>
          <w:p w14:paraId="71F82E96" w14:textId="77777777" w:rsidR="002A4CE5" w:rsidRPr="001E3EEF" w:rsidRDefault="002A4CE5" w:rsidP="00360F0D">
            <w:pPr>
              <w:spacing w:line="240" w:lineRule="auto"/>
              <w:rPr>
                <w:rFonts w:ascii="Century Gothic" w:eastAsia="Times New Roman" w:hAnsi="Century Gothic" w:cs="Times New Roman"/>
                <w:sz w:val="12"/>
                <w:szCs w:val="16"/>
              </w:rPr>
            </w:pPr>
          </w:p>
        </w:tc>
        <w:tc>
          <w:tcPr>
            <w:tcW w:w="332" w:type="pct"/>
            <w:noWrap/>
          </w:tcPr>
          <w:p w14:paraId="59202814" w14:textId="6DF5DE60" w:rsidR="002A4CE5" w:rsidRPr="001E3EEF" w:rsidRDefault="00952FB2" w:rsidP="00360F0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i/>
                <w:sz w:val="12"/>
                <w:szCs w:val="16"/>
              </w:rPr>
            </w:pPr>
            <w:r w:rsidRPr="001E3EEF">
              <w:rPr>
                <w:rFonts w:ascii="Century Gothic" w:eastAsia="Times New Roman" w:hAnsi="Century Gothic" w:cs="Times New Roman"/>
                <w:b/>
                <w:i/>
                <w:sz w:val="12"/>
                <w:szCs w:val="16"/>
              </w:rPr>
              <w:t>30-year</w:t>
            </w:r>
          </w:p>
        </w:tc>
        <w:tc>
          <w:tcPr>
            <w:tcW w:w="309" w:type="pct"/>
            <w:noWrap/>
          </w:tcPr>
          <w:p w14:paraId="41AE5D35" w14:textId="77777777" w:rsidR="002A4CE5" w:rsidRPr="001E3EEF" w:rsidRDefault="002A4CE5" w:rsidP="00360F0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iCs/>
                <w:color w:val="000000"/>
                <w:sz w:val="12"/>
                <w:szCs w:val="16"/>
              </w:rPr>
            </w:pPr>
          </w:p>
        </w:tc>
        <w:tc>
          <w:tcPr>
            <w:tcW w:w="461" w:type="pct"/>
            <w:noWrap/>
          </w:tcPr>
          <w:p w14:paraId="593AA134"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14" w:type="pct"/>
            <w:noWrap/>
          </w:tcPr>
          <w:p w14:paraId="394737C2"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12" w:type="pct"/>
            <w:noWrap/>
          </w:tcPr>
          <w:p w14:paraId="7C32EE95"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344" w:type="pct"/>
            <w:noWrap/>
          </w:tcPr>
          <w:p w14:paraId="48F7B38E"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38" w:type="pct"/>
            <w:noWrap/>
          </w:tcPr>
          <w:p w14:paraId="61B017F0"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13" w:type="pct"/>
            <w:noWrap/>
          </w:tcPr>
          <w:p w14:paraId="3B934BB9"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13" w:type="pct"/>
            <w:noWrap/>
          </w:tcPr>
          <w:p w14:paraId="1CCCC383"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13" w:type="pct"/>
            <w:noWrap/>
          </w:tcPr>
          <w:p w14:paraId="7675411E"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414" w:type="pct"/>
            <w:noWrap/>
          </w:tcPr>
          <w:p w14:paraId="0B501583"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sz w:val="12"/>
                <w:szCs w:val="16"/>
              </w:rPr>
            </w:pPr>
          </w:p>
        </w:tc>
        <w:tc>
          <w:tcPr>
            <w:tcW w:w="321" w:type="pct"/>
            <w:noWrap/>
          </w:tcPr>
          <w:p w14:paraId="1A55EE93" w14:textId="77777777" w:rsidR="002A4CE5" w:rsidRPr="001E3EEF" w:rsidRDefault="002A4CE5" w:rsidP="00360F0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67831A4E"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tcPr>
          <w:p w14:paraId="522AF028" w14:textId="3EF37343" w:rsidR="002A4CE5" w:rsidRPr="001E3EEF" w:rsidRDefault="002A4CE5" w:rsidP="008E234D">
            <w:pPr>
              <w:spacing w:line="240" w:lineRule="auto"/>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AES</w:t>
            </w:r>
          </w:p>
        </w:tc>
        <w:tc>
          <w:tcPr>
            <w:tcW w:w="332" w:type="pct"/>
            <w:noWrap/>
          </w:tcPr>
          <w:p w14:paraId="544BFDBB" w14:textId="573A9AD9"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2.24%</w:t>
            </w:r>
          </w:p>
        </w:tc>
        <w:tc>
          <w:tcPr>
            <w:tcW w:w="309" w:type="pct"/>
            <w:noWrap/>
          </w:tcPr>
          <w:p w14:paraId="0251C88D" w14:textId="11448BEE"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0.92</w:t>
            </w:r>
          </w:p>
        </w:tc>
        <w:tc>
          <w:tcPr>
            <w:tcW w:w="461" w:type="pct"/>
            <w:noWrap/>
          </w:tcPr>
          <w:p w14:paraId="168785FE" w14:textId="0DB8D958"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w:t>
            </w:r>
          </w:p>
        </w:tc>
        <w:tc>
          <w:tcPr>
            <w:tcW w:w="414" w:type="pct"/>
            <w:noWrap/>
          </w:tcPr>
          <w:p w14:paraId="682C20AA" w14:textId="0776BB12"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0.89</w:t>
            </w:r>
          </w:p>
        </w:tc>
        <w:tc>
          <w:tcPr>
            <w:tcW w:w="412" w:type="pct"/>
            <w:noWrap/>
          </w:tcPr>
          <w:p w14:paraId="7FEDFDDC" w14:textId="20B6BA92"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12.10%</w:t>
            </w:r>
          </w:p>
        </w:tc>
        <w:tc>
          <w:tcPr>
            <w:tcW w:w="344" w:type="pct"/>
            <w:noWrap/>
          </w:tcPr>
          <w:p w14:paraId="6830D489" w14:textId="1D202924"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5.10%</w:t>
            </w:r>
          </w:p>
        </w:tc>
        <w:tc>
          <w:tcPr>
            <w:tcW w:w="438" w:type="pct"/>
            <w:noWrap/>
          </w:tcPr>
          <w:p w14:paraId="34567019" w14:textId="75D70318"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12.85%</w:t>
            </w:r>
          </w:p>
        </w:tc>
        <w:tc>
          <w:tcPr>
            <w:tcW w:w="413" w:type="pct"/>
            <w:noWrap/>
          </w:tcPr>
          <w:p w14:paraId="7317513C" w14:textId="549EB8B0"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7.00%</w:t>
            </w:r>
          </w:p>
        </w:tc>
        <w:tc>
          <w:tcPr>
            <w:tcW w:w="413" w:type="pct"/>
            <w:noWrap/>
          </w:tcPr>
          <w:p w14:paraId="6094690D" w14:textId="68201346"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9.05%</w:t>
            </w:r>
          </w:p>
        </w:tc>
        <w:tc>
          <w:tcPr>
            <w:tcW w:w="413" w:type="pct"/>
            <w:noWrap/>
          </w:tcPr>
          <w:p w14:paraId="388EF41C" w14:textId="046C6A40"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8.462%</w:t>
            </w:r>
          </w:p>
        </w:tc>
        <w:tc>
          <w:tcPr>
            <w:tcW w:w="414" w:type="pct"/>
            <w:noWrap/>
          </w:tcPr>
          <w:p w14:paraId="5F37AE96" w14:textId="1C52C240"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11.67%</w:t>
            </w:r>
          </w:p>
        </w:tc>
        <w:tc>
          <w:tcPr>
            <w:tcW w:w="321" w:type="pct"/>
            <w:noWrap/>
          </w:tcPr>
          <w:p w14:paraId="76319737"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17BE8E43"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tcPr>
          <w:p w14:paraId="2B950FF5" w14:textId="4D62DFBA" w:rsidR="002A4CE5" w:rsidRPr="001E3EEF" w:rsidRDefault="002A4CE5" w:rsidP="008E234D">
            <w:pPr>
              <w:spacing w:line="240" w:lineRule="auto"/>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CPN</w:t>
            </w:r>
          </w:p>
        </w:tc>
        <w:tc>
          <w:tcPr>
            <w:tcW w:w="332" w:type="pct"/>
            <w:noWrap/>
          </w:tcPr>
          <w:p w14:paraId="1091F9E1" w14:textId="5D8CDC2F"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2.24%</w:t>
            </w:r>
          </w:p>
        </w:tc>
        <w:tc>
          <w:tcPr>
            <w:tcW w:w="309" w:type="pct"/>
            <w:noWrap/>
          </w:tcPr>
          <w:p w14:paraId="4B2BF857" w14:textId="70F35A8F"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0.95</w:t>
            </w:r>
          </w:p>
        </w:tc>
        <w:tc>
          <w:tcPr>
            <w:tcW w:w="461" w:type="pct"/>
            <w:noWrap/>
          </w:tcPr>
          <w:p w14:paraId="70E30602" w14:textId="42E6028E"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w:t>
            </w:r>
          </w:p>
        </w:tc>
        <w:tc>
          <w:tcPr>
            <w:tcW w:w="414" w:type="pct"/>
            <w:noWrap/>
          </w:tcPr>
          <w:p w14:paraId="506A63DA" w14:textId="0CFCDCED"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1.03</w:t>
            </w:r>
          </w:p>
        </w:tc>
        <w:tc>
          <w:tcPr>
            <w:tcW w:w="412" w:type="pct"/>
            <w:noWrap/>
          </w:tcPr>
          <w:p w14:paraId="1C85760B" w14:textId="31904E61"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12.10%</w:t>
            </w:r>
          </w:p>
        </w:tc>
        <w:tc>
          <w:tcPr>
            <w:tcW w:w="344" w:type="pct"/>
            <w:noWrap/>
          </w:tcPr>
          <w:p w14:paraId="470E414A" w14:textId="081BB2F0"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5.10%</w:t>
            </w:r>
          </w:p>
        </w:tc>
        <w:tc>
          <w:tcPr>
            <w:tcW w:w="438" w:type="pct"/>
            <w:noWrap/>
          </w:tcPr>
          <w:p w14:paraId="08EB7DB1" w14:textId="29AC508B"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12.85%</w:t>
            </w:r>
          </w:p>
        </w:tc>
        <w:tc>
          <w:tcPr>
            <w:tcW w:w="413" w:type="pct"/>
            <w:noWrap/>
          </w:tcPr>
          <w:p w14:paraId="4D419F8E" w14:textId="529AB68B"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7.00%</w:t>
            </w:r>
          </w:p>
        </w:tc>
        <w:tc>
          <w:tcPr>
            <w:tcW w:w="413" w:type="pct"/>
            <w:noWrap/>
          </w:tcPr>
          <w:p w14:paraId="6992E386" w14:textId="1459C85E"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9.05%</w:t>
            </w:r>
          </w:p>
        </w:tc>
        <w:tc>
          <w:tcPr>
            <w:tcW w:w="413" w:type="pct"/>
            <w:noWrap/>
          </w:tcPr>
          <w:p w14:paraId="432F7CD2" w14:textId="5C1DFC53"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9.48%</w:t>
            </w:r>
          </w:p>
        </w:tc>
        <w:tc>
          <w:tcPr>
            <w:tcW w:w="414" w:type="pct"/>
            <w:noWrap/>
          </w:tcPr>
          <w:p w14:paraId="0FD468C5" w14:textId="4320D6B9"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13.22%</w:t>
            </w:r>
          </w:p>
        </w:tc>
        <w:tc>
          <w:tcPr>
            <w:tcW w:w="321" w:type="pct"/>
            <w:noWrap/>
          </w:tcPr>
          <w:p w14:paraId="62C4174B"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7093B4D6"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tcPr>
          <w:p w14:paraId="0464570B" w14:textId="29FA7347" w:rsidR="002A4CE5" w:rsidRPr="001E3EEF" w:rsidRDefault="002A4CE5" w:rsidP="008E234D">
            <w:pPr>
              <w:spacing w:line="240" w:lineRule="auto"/>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DYN</w:t>
            </w:r>
          </w:p>
        </w:tc>
        <w:tc>
          <w:tcPr>
            <w:tcW w:w="332" w:type="pct"/>
            <w:noWrap/>
          </w:tcPr>
          <w:p w14:paraId="186BE50A" w14:textId="7CE4600E"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2.24%</w:t>
            </w:r>
          </w:p>
        </w:tc>
        <w:tc>
          <w:tcPr>
            <w:tcW w:w="309" w:type="pct"/>
            <w:noWrap/>
          </w:tcPr>
          <w:p w14:paraId="7E3E7244" w14:textId="5BB433AE"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1.41</w:t>
            </w:r>
          </w:p>
        </w:tc>
        <w:tc>
          <w:tcPr>
            <w:tcW w:w="461" w:type="pct"/>
            <w:noWrap/>
          </w:tcPr>
          <w:p w14:paraId="3CB29F67" w14:textId="2B2F9445"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w:t>
            </w:r>
          </w:p>
        </w:tc>
        <w:tc>
          <w:tcPr>
            <w:tcW w:w="414" w:type="pct"/>
            <w:noWrap/>
          </w:tcPr>
          <w:p w14:paraId="2B9A0045" w14:textId="5B57F0C8"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1.32</w:t>
            </w:r>
          </w:p>
        </w:tc>
        <w:tc>
          <w:tcPr>
            <w:tcW w:w="412" w:type="pct"/>
            <w:noWrap/>
          </w:tcPr>
          <w:p w14:paraId="4E092657" w14:textId="536877C4"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12.10%</w:t>
            </w:r>
          </w:p>
        </w:tc>
        <w:tc>
          <w:tcPr>
            <w:tcW w:w="344" w:type="pct"/>
            <w:noWrap/>
          </w:tcPr>
          <w:p w14:paraId="5010B830" w14:textId="69C78E31"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5.10%</w:t>
            </w:r>
          </w:p>
        </w:tc>
        <w:tc>
          <w:tcPr>
            <w:tcW w:w="438" w:type="pct"/>
            <w:noWrap/>
          </w:tcPr>
          <w:p w14:paraId="2C76E873" w14:textId="27A6CE89"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12.85%</w:t>
            </w:r>
          </w:p>
        </w:tc>
        <w:tc>
          <w:tcPr>
            <w:tcW w:w="413" w:type="pct"/>
            <w:noWrap/>
          </w:tcPr>
          <w:p w14:paraId="68C0438A" w14:textId="454E245A"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7.00%</w:t>
            </w:r>
          </w:p>
        </w:tc>
        <w:tc>
          <w:tcPr>
            <w:tcW w:w="413" w:type="pct"/>
            <w:noWrap/>
          </w:tcPr>
          <w:p w14:paraId="32EBF514" w14:textId="61D56E94"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9.05%</w:t>
            </w:r>
          </w:p>
        </w:tc>
        <w:tc>
          <w:tcPr>
            <w:tcW w:w="413" w:type="pct"/>
            <w:noWrap/>
          </w:tcPr>
          <w:p w14:paraId="2125C1FB" w14:textId="70A66449"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11.50%</w:t>
            </w:r>
          </w:p>
        </w:tc>
        <w:tc>
          <w:tcPr>
            <w:tcW w:w="414" w:type="pct"/>
            <w:noWrap/>
          </w:tcPr>
          <w:p w14:paraId="408F7920" w14:textId="6A124C8C"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16.28%</w:t>
            </w:r>
          </w:p>
        </w:tc>
        <w:tc>
          <w:tcPr>
            <w:tcW w:w="321" w:type="pct"/>
            <w:noWrap/>
          </w:tcPr>
          <w:p w14:paraId="5B268A47"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08909966"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tcPr>
          <w:p w14:paraId="6D8D56EC" w14:textId="18A44E14" w:rsidR="002A4CE5" w:rsidRPr="001E3EEF" w:rsidRDefault="002A4CE5" w:rsidP="008E234D">
            <w:pPr>
              <w:spacing w:line="240" w:lineRule="auto"/>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NRG</w:t>
            </w:r>
          </w:p>
        </w:tc>
        <w:tc>
          <w:tcPr>
            <w:tcW w:w="332" w:type="pct"/>
            <w:noWrap/>
          </w:tcPr>
          <w:p w14:paraId="624C8C33" w14:textId="74BBFD2F"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2.24%</w:t>
            </w:r>
          </w:p>
        </w:tc>
        <w:tc>
          <w:tcPr>
            <w:tcW w:w="309" w:type="pct"/>
            <w:noWrap/>
          </w:tcPr>
          <w:p w14:paraId="2DAB7318" w14:textId="57BD2111"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0.81</w:t>
            </w:r>
          </w:p>
        </w:tc>
        <w:tc>
          <w:tcPr>
            <w:tcW w:w="461" w:type="pct"/>
            <w:noWrap/>
          </w:tcPr>
          <w:p w14:paraId="256B2F25" w14:textId="0DAA5F0C"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w:t>
            </w:r>
          </w:p>
        </w:tc>
        <w:tc>
          <w:tcPr>
            <w:tcW w:w="414" w:type="pct"/>
            <w:noWrap/>
          </w:tcPr>
          <w:p w14:paraId="1BFC669A" w14:textId="5C0D08FA"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0.84</w:t>
            </w:r>
          </w:p>
        </w:tc>
        <w:tc>
          <w:tcPr>
            <w:tcW w:w="412" w:type="pct"/>
            <w:noWrap/>
          </w:tcPr>
          <w:p w14:paraId="3CF8D259" w14:textId="54001475"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12.10%</w:t>
            </w:r>
          </w:p>
        </w:tc>
        <w:tc>
          <w:tcPr>
            <w:tcW w:w="344" w:type="pct"/>
            <w:noWrap/>
          </w:tcPr>
          <w:p w14:paraId="30AA8736" w14:textId="221DAD8A"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5.10%</w:t>
            </w:r>
          </w:p>
        </w:tc>
        <w:tc>
          <w:tcPr>
            <w:tcW w:w="438" w:type="pct"/>
            <w:noWrap/>
          </w:tcPr>
          <w:p w14:paraId="1911E528" w14:textId="67974339"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12.85%</w:t>
            </w:r>
          </w:p>
        </w:tc>
        <w:tc>
          <w:tcPr>
            <w:tcW w:w="413" w:type="pct"/>
            <w:noWrap/>
          </w:tcPr>
          <w:p w14:paraId="5E90EE65" w14:textId="30FAD579"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7.00%</w:t>
            </w:r>
          </w:p>
        </w:tc>
        <w:tc>
          <w:tcPr>
            <w:tcW w:w="413" w:type="pct"/>
            <w:noWrap/>
          </w:tcPr>
          <w:p w14:paraId="791681BD" w14:textId="21DC4EC9"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9.05%</w:t>
            </w:r>
          </w:p>
        </w:tc>
        <w:tc>
          <w:tcPr>
            <w:tcW w:w="413" w:type="pct"/>
            <w:noWrap/>
          </w:tcPr>
          <w:p w14:paraId="6F7C22D3" w14:textId="628C19D8"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8.13%</w:t>
            </w:r>
          </w:p>
        </w:tc>
        <w:tc>
          <w:tcPr>
            <w:tcW w:w="414" w:type="pct"/>
            <w:noWrap/>
          </w:tcPr>
          <w:p w14:paraId="0850D98A" w14:textId="36A84EB4"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11.16%</w:t>
            </w:r>
          </w:p>
        </w:tc>
        <w:tc>
          <w:tcPr>
            <w:tcW w:w="321" w:type="pct"/>
            <w:noWrap/>
          </w:tcPr>
          <w:p w14:paraId="20B6315E"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6CA9B4CE"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tcPr>
          <w:p w14:paraId="2E59A503" w14:textId="1E786055" w:rsidR="002A4CE5" w:rsidRPr="001E3EEF" w:rsidRDefault="002A4CE5" w:rsidP="008E234D">
            <w:pPr>
              <w:spacing w:line="240" w:lineRule="auto"/>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TLN</w:t>
            </w:r>
          </w:p>
        </w:tc>
        <w:tc>
          <w:tcPr>
            <w:tcW w:w="332" w:type="pct"/>
            <w:noWrap/>
          </w:tcPr>
          <w:p w14:paraId="401C3E74" w14:textId="1BD4E29D"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Times New Roman"/>
                <w:sz w:val="12"/>
                <w:szCs w:val="16"/>
              </w:rPr>
              <w:t>2.24%</w:t>
            </w:r>
          </w:p>
        </w:tc>
        <w:tc>
          <w:tcPr>
            <w:tcW w:w="309" w:type="pct"/>
            <w:noWrap/>
          </w:tcPr>
          <w:p w14:paraId="1694C43B" w14:textId="7B1E52CE"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NA</w:t>
            </w:r>
          </w:p>
        </w:tc>
        <w:tc>
          <w:tcPr>
            <w:tcW w:w="461" w:type="pct"/>
            <w:noWrap/>
          </w:tcPr>
          <w:p w14:paraId="6438C7F9" w14:textId="555BAFEE"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w:t>
            </w:r>
          </w:p>
        </w:tc>
        <w:tc>
          <w:tcPr>
            <w:tcW w:w="414" w:type="pct"/>
            <w:noWrap/>
          </w:tcPr>
          <w:p w14:paraId="715C92AA" w14:textId="39792A7B"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1.05</w:t>
            </w:r>
          </w:p>
        </w:tc>
        <w:tc>
          <w:tcPr>
            <w:tcW w:w="412" w:type="pct"/>
            <w:noWrap/>
          </w:tcPr>
          <w:p w14:paraId="07738397" w14:textId="1BC747F8"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12.10%</w:t>
            </w:r>
          </w:p>
        </w:tc>
        <w:tc>
          <w:tcPr>
            <w:tcW w:w="344" w:type="pct"/>
            <w:noWrap/>
          </w:tcPr>
          <w:p w14:paraId="758BE6D5" w14:textId="4720AB7E"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5.10%</w:t>
            </w:r>
          </w:p>
        </w:tc>
        <w:tc>
          <w:tcPr>
            <w:tcW w:w="438" w:type="pct"/>
            <w:noWrap/>
          </w:tcPr>
          <w:p w14:paraId="13237550" w14:textId="4B5FD5AB"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12.85%</w:t>
            </w:r>
          </w:p>
        </w:tc>
        <w:tc>
          <w:tcPr>
            <w:tcW w:w="413" w:type="pct"/>
            <w:noWrap/>
          </w:tcPr>
          <w:p w14:paraId="52584252" w14:textId="3694D33E"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7.00%</w:t>
            </w:r>
          </w:p>
        </w:tc>
        <w:tc>
          <w:tcPr>
            <w:tcW w:w="413" w:type="pct"/>
            <w:noWrap/>
          </w:tcPr>
          <w:p w14:paraId="1EF52FD7" w14:textId="0678CE5D"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9.05%</w:t>
            </w:r>
          </w:p>
        </w:tc>
        <w:tc>
          <w:tcPr>
            <w:tcW w:w="413" w:type="pct"/>
            <w:noWrap/>
          </w:tcPr>
          <w:p w14:paraId="3F38FBBC" w14:textId="6C75DE13"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9.60%</w:t>
            </w:r>
          </w:p>
        </w:tc>
        <w:tc>
          <w:tcPr>
            <w:tcW w:w="414" w:type="pct"/>
            <w:noWrap/>
          </w:tcPr>
          <w:p w14:paraId="081E30B8" w14:textId="219C10F2"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13.40%</w:t>
            </w:r>
          </w:p>
        </w:tc>
        <w:tc>
          <w:tcPr>
            <w:tcW w:w="321" w:type="pct"/>
            <w:noWrap/>
          </w:tcPr>
          <w:p w14:paraId="093FB905"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699A451E"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tcPr>
          <w:p w14:paraId="458A2152" w14:textId="77777777" w:rsidR="002A4CE5" w:rsidRPr="001E3EEF" w:rsidRDefault="002A4CE5" w:rsidP="008E234D">
            <w:pPr>
              <w:spacing w:line="240" w:lineRule="auto"/>
              <w:rPr>
                <w:rFonts w:ascii="Century Gothic" w:eastAsia="Times New Roman" w:hAnsi="Century Gothic" w:cs="Times New Roman"/>
                <w:sz w:val="12"/>
                <w:szCs w:val="16"/>
              </w:rPr>
            </w:pPr>
          </w:p>
        </w:tc>
        <w:tc>
          <w:tcPr>
            <w:tcW w:w="332" w:type="pct"/>
            <w:noWrap/>
          </w:tcPr>
          <w:p w14:paraId="5F2D2293"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09" w:type="pct"/>
            <w:noWrap/>
          </w:tcPr>
          <w:p w14:paraId="61944ECC"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c>
          <w:tcPr>
            <w:tcW w:w="461" w:type="pct"/>
            <w:noWrap/>
          </w:tcPr>
          <w:p w14:paraId="119FC972"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c>
          <w:tcPr>
            <w:tcW w:w="414" w:type="pct"/>
            <w:noWrap/>
          </w:tcPr>
          <w:p w14:paraId="39FFCC04"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c>
          <w:tcPr>
            <w:tcW w:w="412" w:type="pct"/>
            <w:noWrap/>
          </w:tcPr>
          <w:p w14:paraId="254298BC"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44" w:type="pct"/>
            <w:noWrap/>
          </w:tcPr>
          <w:p w14:paraId="06EA31A0"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38" w:type="pct"/>
            <w:noWrap/>
          </w:tcPr>
          <w:p w14:paraId="617E8BFB" w14:textId="2E793E0B"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b/>
                <w:bCs/>
                <w:color w:val="000000"/>
                <w:sz w:val="12"/>
                <w:szCs w:val="16"/>
              </w:rPr>
              <w:t> </w:t>
            </w:r>
          </w:p>
        </w:tc>
        <w:tc>
          <w:tcPr>
            <w:tcW w:w="413" w:type="pct"/>
            <w:noWrap/>
          </w:tcPr>
          <w:p w14:paraId="4ECD199D" w14:textId="7C4DFC3E"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b/>
                <w:bCs/>
                <w:color w:val="000000"/>
                <w:sz w:val="12"/>
                <w:szCs w:val="16"/>
              </w:rPr>
              <w:t> </w:t>
            </w:r>
          </w:p>
        </w:tc>
        <w:tc>
          <w:tcPr>
            <w:tcW w:w="413" w:type="pct"/>
            <w:noWrap/>
          </w:tcPr>
          <w:p w14:paraId="2D5C786C" w14:textId="56D2C4F7" w:rsidR="002A4CE5" w:rsidRPr="001E3EEF" w:rsidRDefault="002A4CE5" w:rsidP="003F67F7">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All</w:t>
            </w:r>
          </w:p>
        </w:tc>
        <w:tc>
          <w:tcPr>
            <w:tcW w:w="413" w:type="pct"/>
            <w:noWrap/>
          </w:tcPr>
          <w:p w14:paraId="4F849FA6" w14:textId="4D2FE8E1" w:rsidR="002A4CE5" w:rsidRPr="001E3EEF" w:rsidRDefault="002A4CE5" w:rsidP="005E0407">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9.43%</w:t>
            </w:r>
          </w:p>
        </w:tc>
        <w:tc>
          <w:tcPr>
            <w:tcW w:w="414" w:type="pct"/>
            <w:noWrap/>
          </w:tcPr>
          <w:p w14:paraId="2DED8A08" w14:textId="17813A28" w:rsidR="002A4CE5" w:rsidRPr="001E3EEF" w:rsidRDefault="002A4CE5" w:rsidP="005E0407">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13.15</w:t>
            </w:r>
          </w:p>
        </w:tc>
        <w:tc>
          <w:tcPr>
            <w:tcW w:w="321" w:type="pct"/>
            <w:noWrap/>
          </w:tcPr>
          <w:p w14:paraId="0CD52FDF" w14:textId="3D68B5AD" w:rsidR="002A4CE5" w:rsidRPr="001E3EEF" w:rsidRDefault="002A4CE5" w:rsidP="005E0407">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r w:rsidRPr="001E3EEF">
              <w:rPr>
                <w:rFonts w:ascii="Century Gothic" w:eastAsia="Times New Roman" w:hAnsi="Century Gothic" w:cs="Arial"/>
                <w:color w:val="000000"/>
                <w:sz w:val="12"/>
                <w:szCs w:val="16"/>
              </w:rPr>
              <w:t>11.29%</w:t>
            </w:r>
          </w:p>
        </w:tc>
      </w:tr>
      <w:tr w:rsidR="001E3EEF" w:rsidRPr="001E3EEF" w14:paraId="17959B2B"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2624034C" w14:textId="77777777" w:rsidR="002A4CE5" w:rsidRPr="001E3EEF" w:rsidRDefault="002A4CE5" w:rsidP="008E234D">
            <w:pPr>
              <w:spacing w:line="240" w:lineRule="auto"/>
              <w:rPr>
                <w:rFonts w:ascii="Century Gothic" w:eastAsia="Times New Roman" w:hAnsi="Century Gothic" w:cs="Times New Roman"/>
                <w:sz w:val="12"/>
                <w:szCs w:val="16"/>
              </w:rPr>
            </w:pPr>
          </w:p>
        </w:tc>
        <w:tc>
          <w:tcPr>
            <w:tcW w:w="332" w:type="pct"/>
            <w:noWrap/>
            <w:hideMark/>
          </w:tcPr>
          <w:p w14:paraId="4E9F34AE"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i/>
                <w:iCs/>
                <w:color w:val="000000"/>
                <w:sz w:val="12"/>
                <w:szCs w:val="16"/>
              </w:rPr>
            </w:pPr>
            <w:r w:rsidRPr="001E3EEF">
              <w:rPr>
                <w:rFonts w:ascii="Century Gothic" w:eastAsia="Times New Roman" w:hAnsi="Century Gothic" w:cs="Arial"/>
                <w:i/>
                <w:iCs/>
                <w:color w:val="000000"/>
                <w:sz w:val="12"/>
                <w:szCs w:val="16"/>
              </w:rPr>
              <w:t>10-year</w:t>
            </w:r>
          </w:p>
        </w:tc>
        <w:tc>
          <w:tcPr>
            <w:tcW w:w="309" w:type="pct"/>
            <w:noWrap/>
            <w:hideMark/>
          </w:tcPr>
          <w:p w14:paraId="4CB4C848"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i/>
                <w:iCs/>
                <w:color w:val="000000"/>
                <w:sz w:val="12"/>
                <w:szCs w:val="16"/>
              </w:rPr>
            </w:pPr>
          </w:p>
        </w:tc>
        <w:tc>
          <w:tcPr>
            <w:tcW w:w="461" w:type="pct"/>
            <w:noWrap/>
            <w:hideMark/>
          </w:tcPr>
          <w:p w14:paraId="4E746086"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61A7E3DF"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00DDD122"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58ACC723"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776075FC"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4A9B3BE8"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40561AC2"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424D5865"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2C450551"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6EE9BA1B"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0301DB5F"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616E6FC0"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AES</w:t>
            </w:r>
          </w:p>
        </w:tc>
        <w:tc>
          <w:tcPr>
            <w:tcW w:w="332" w:type="pct"/>
            <w:noWrap/>
            <w:hideMark/>
          </w:tcPr>
          <w:p w14:paraId="64C1FC41"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3.80%</w:t>
            </w:r>
          </w:p>
        </w:tc>
        <w:tc>
          <w:tcPr>
            <w:tcW w:w="309" w:type="pct"/>
            <w:noWrap/>
            <w:hideMark/>
          </w:tcPr>
          <w:p w14:paraId="00F72BD9"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0.92</w:t>
            </w:r>
          </w:p>
        </w:tc>
        <w:tc>
          <w:tcPr>
            <w:tcW w:w="461" w:type="pct"/>
            <w:noWrap/>
            <w:hideMark/>
          </w:tcPr>
          <w:p w14:paraId="2559DC54"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w:t>
            </w:r>
          </w:p>
        </w:tc>
        <w:tc>
          <w:tcPr>
            <w:tcW w:w="414" w:type="pct"/>
            <w:noWrap/>
            <w:hideMark/>
          </w:tcPr>
          <w:p w14:paraId="03665AB6"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0.89</w:t>
            </w:r>
          </w:p>
        </w:tc>
        <w:tc>
          <w:tcPr>
            <w:tcW w:w="412" w:type="pct"/>
            <w:noWrap/>
            <w:hideMark/>
          </w:tcPr>
          <w:p w14:paraId="08B2AF15"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49F361E0"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18FEBB23"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7F5DE6F5"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50723C84"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9.05%</w:t>
            </w:r>
          </w:p>
        </w:tc>
        <w:tc>
          <w:tcPr>
            <w:tcW w:w="413" w:type="pct"/>
            <w:noWrap/>
            <w:hideMark/>
          </w:tcPr>
          <w:p w14:paraId="49886301"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10.02%</w:t>
            </w:r>
          </w:p>
        </w:tc>
        <w:tc>
          <w:tcPr>
            <w:tcW w:w="414" w:type="pct"/>
            <w:noWrap/>
            <w:hideMark/>
          </w:tcPr>
          <w:p w14:paraId="104AE90B"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11.85%</w:t>
            </w:r>
          </w:p>
        </w:tc>
        <w:tc>
          <w:tcPr>
            <w:tcW w:w="321" w:type="pct"/>
            <w:noWrap/>
            <w:hideMark/>
          </w:tcPr>
          <w:p w14:paraId="24DB1002"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32D7DBA9"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7949794A"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CPN</w:t>
            </w:r>
          </w:p>
        </w:tc>
        <w:tc>
          <w:tcPr>
            <w:tcW w:w="332" w:type="pct"/>
            <w:noWrap/>
            <w:hideMark/>
          </w:tcPr>
          <w:p w14:paraId="12BF0B6B"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3.80%</w:t>
            </w:r>
          </w:p>
        </w:tc>
        <w:tc>
          <w:tcPr>
            <w:tcW w:w="309" w:type="pct"/>
            <w:noWrap/>
            <w:hideMark/>
          </w:tcPr>
          <w:p w14:paraId="4625B1E8"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0.95</w:t>
            </w:r>
          </w:p>
        </w:tc>
        <w:tc>
          <w:tcPr>
            <w:tcW w:w="461" w:type="pct"/>
            <w:noWrap/>
            <w:hideMark/>
          </w:tcPr>
          <w:p w14:paraId="2F26E74D"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w:t>
            </w:r>
          </w:p>
        </w:tc>
        <w:tc>
          <w:tcPr>
            <w:tcW w:w="414" w:type="pct"/>
            <w:noWrap/>
            <w:hideMark/>
          </w:tcPr>
          <w:p w14:paraId="02843C89"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1.03</w:t>
            </w:r>
          </w:p>
        </w:tc>
        <w:tc>
          <w:tcPr>
            <w:tcW w:w="412" w:type="pct"/>
            <w:noWrap/>
            <w:hideMark/>
          </w:tcPr>
          <w:p w14:paraId="2612F2CB"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3FF910DE"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5108EB31"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5E3388C5"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7A12E2D3"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9.05%</w:t>
            </w:r>
          </w:p>
        </w:tc>
        <w:tc>
          <w:tcPr>
            <w:tcW w:w="413" w:type="pct"/>
            <w:noWrap/>
            <w:hideMark/>
          </w:tcPr>
          <w:p w14:paraId="4194C31F"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11.04%</w:t>
            </w:r>
          </w:p>
        </w:tc>
        <w:tc>
          <w:tcPr>
            <w:tcW w:w="414" w:type="pct"/>
            <w:noWrap/>
            <w:hideMark/>
          </w:tcPr>
          <w:p w14:paraId="030E4984"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13.17%</w:t>
            </w:r>
          </w:p>
        </w:tc>
        <w:tc>
          <w:tcPr>
            <w:tcW w:w="321" w:type="pct"/>
            <w:noWrap/>
            <w:hideMark/>
          </w:tcPr>
          <w:p w14:paraId="56270AD8"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40727313"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1E12AF0C"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DYN</w:t>
            </w:r>
          </w:p>
        </w:tc>
        <w:tc>
          <w:tcPr>
            <w:tcW w:w="332" w:type="pct"/>
            <w:noWrap/>
            <w:hideMark/>
          </w:tcPr>
          <w:p w14:paraId="4DD2323B"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3.80%</w:t>
            </w:r>
          </w:p>
        </w:tc>
        <w:tc>
          <w:tcPr>
            <w:tcW w:w="309" w:type="pct"/>
            <w:noWrap/>
            <w:hideMark/>
          </w:tcPr>
          <w:p w14:paraId="13DDD73B"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1.41</w:t>
            </w:r>
          </w:p>
        </w:tc>
        <w:tc>
          <w:tcPr>
            <w:tcW w:w="461" w:type="pct"/>
            <w:noWrap/>
            <w:hideMark/>
          </w:tcPr>
          <w:p w14:paraId="4096A516"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w:t>
            </w:r>
          </w:p>
        </w:tc>
        <w:tc>
          <w:tcPr>
            <w:tcW w:w="414" w:type="pct"/>
            <w:noWrap/>
            <w:hideMark/>
          </w:tcPr>
          <w:p w14:paraId="6E480EBD"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1.32</w:t>
            </w:r>
          </w:p>
        </w:tc>
        <w:tc>
          <w:tcPr>
            <w:tcW w:w="412" w:type="pct"/>
            <w:noWrap/>
            <w:hideMark/>
          </w:tcPr>
          <w:p w14:paraId="5D6A4904"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51800F12"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38CEFF9B"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78309D85"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7C17EAB4"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9.05%</w:t>
            </w:r>
          </w:p>
        </w:tc>
        <w:tc>
          <w:tcPr>
            <w:tcW w:w="413" w:type="pct"/>
            <w:noWrap/>
            <w:hideMark/>
          </w:tcPr>
          <w:p w14:paraId="3C93F11A"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13.06%</w:t>
            </w:r>
          </w:p>
        </w:tc>
        <w:tc>
          <w:tcPr>
            <w:tcW w:w="414" w:type="pct"/>
            <w:noWrap/>
            <w:hideMark/>
          </w:tcPr>
          <w:p w14:paraId="12955A13"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15.78%</w:t>
            </w:r>
          </w:p>
        </w:tc>
        <w:tc>
          <w:tcPr>
            <w:tcW w:w="321" w:type="pct"/>
            <w:noWrap/>
            <w:hideMark/>
          </w:tcPr>
          <w:p w14:paraId="06AD4666"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4BD3340E"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01B56657"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NRG</w:t>
            </w:r>
          </w:p>
        </w:tc>
        <w:tc>
          <w:tcPr>
            <w:tcW w:w="332" w:type="pct"/>
            <w:noWrap/>
            <w:hideMark/>
          </w:tcPr>
          <w:p w14:paraId="2723C131"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3.80%</w:t>
            </w:r>
          </w:p>
        </w:tc>
        <w:tc>
          <w:tcPr>
            <w:tcW w:w="309" w:type="pct"/>
            <w:noWrap/>
            <w:hideMark/>
          </w:tcPr>
          <w:p w14:paraId="21B74760"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0.81</w:t>
            </w:r>
          </w:p>
        </w:tc>
        <w:tc>
          <w:tcPr>
            <w:tcW w:w="461" w:type="pct"/>
            <w:noWrap/>
            <w:hideMark/>
          </w:tcPr>
          <w:p w14:paraId="0F39FECD"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w:t>
            </w:r>
          </w:p>
        </w:tc>
        <w:tc>
          <w:tcPr>
            <w:tcW w:w="414" w:type="pct"/>
            <w:noWrap/>
            <w:hideMark/>
          </w:tcPr>
          <w:p w14:paraId="3EF0B88B"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0.84</w:t>
            </w:r>
          </w:p>
        </w:tc>
        <w:tc>
          <w:tcPr>
            <w:tcW w:w="412" w:type="pct"/>
            <w:noWrap/>
            <w:hideMark/>
          </w:tcPr>
          <w:p w14:paraId="33E47D92"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5FB2120B"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4D6B1F30"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2198638F"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6E3026BC"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9.05%</w:t>
            </w:r>
          </w:p>
        </w:tc>
        <w:tc>
          <w:tcPr>
            <w:tcW w:w="413" w:type="pct"/>
            <w:noWrap/>
            <w:hideMark/>
          </w:tcPr>
          <w:p w14:paraId="484AE691"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9.69%</w:t>
            </w:r>
          </w:p>
        </w:tc>
        <w:tc>
          <w:tcPr>
            <w:tcW w:w="414" w:type="pct"/>
            <w:noWrap/>
            <w:hideMark/>
          </w:tcPr>
          <w:p w14:paraId="7C7C34A5"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11.41%</w:t>
            </w:r>
          </w:p>
        </w:tc>
        <w:tc>
          <w:tcPr>
            <w:tcW w:w="321" w:type="pct"/>
            <w:noWrap/>
            <w:hideMark/>
          </w:tcPr>
          <w:p w14:paraId="43FC9454"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75BB3661"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0080D940"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TLN</w:t>
            </w:r>
          </w:p>
        </w:tc>
        <w:tc>
          <w:tcPr>
            <w:tcW w:w="332" w:type="pct"/>
            <w:noWrap/>
            <w:hideMark/>
          </w:tcPr>
          <w:p w14:paraId="6A1B2FC2"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3.80%</w:t>
            </w:r>
          </w:p>
        </w:tc>
        <w:tc>
          <w:tcPr>
            <w:tcW w:w="309" w:type="pct"/>
            <w:noWrap/>
            <w:hideMark/>
          </w:tcPr>
          <w:p w14:paraId="30041892"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NA</w:t>
            </w:r>
          </w:p>
        </w:tc>
        <w:tc>
          <w:tcPr>
            <w:tcW w:w="461" w:type="pct"/>
            <w:noWrap/>
            <w:hideMark/>
          </w:tcPr>
          <w:p w14:paraId="282F57FB"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w:t>
            </w:r>
          </w:p>
        </w:tc>
        <w:tc>
          <w:tcPr>
            <w:tcW w:w="414" w:type="pct"/>
            <w:noWrap/>
            <w:hideMark/>
          </w:tcPr>
          <w:p w14:paraId="3B4F01D7"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1.05</w:t>
            </w:r>
          </w:p>
        </w:tc>
        <w:tc>
          <w:tcPr>
            <w:tcW w:w="412" w:type="pct"/>
            <w:noWrap/>
            <w:hideMark/>
          </w:tcPr>
          <w:p w14:paraId="61065DC9"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4C48C933"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1F5B99EC"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182CB7E5"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069798C6"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9.05%</w:t>
            </w:r>
          </w:p>
        </w:tc>
        <w:tc>
          <w:tcPr>
            <w:tcW w:w="413" w:type="pct"/>
            <w:noWrap/>
            <w:hideMark/>
          </w:tcPr>
          <w:p w14:paraId="00CC8979"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11.16%</w:t>
            </w:r>
          </w:p>
        </w:tc>
        <w:tc>
          <w:tcPr>
            <w:tcW w:w="414" w:type="pct"/>
            <w:noWrap/>
            <w:hideMark/>
          </w:tcPr>
          <w:p w14:paraId="41C29A82"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13.32%</w:t>
            </w:r>
          </w:p>
        </w:tc>
        <w:tc>
          <w:tcPr>
            <w:tcW w:w="321" w:type="pct"/>
            <w:noWrap/>
            <w:hideMark/>
          </w:tcPr>
          <w:p w14:paraId="61AE45DE"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11103C23"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2A221430" w14:textId="77777777" w:rsidR="002A4CE5" w:rsidRPr="001E3EEF" w:rsidRDefault="002A4CE5" w:rsidP="008E234D">
            <w:pPr>
              <w:spacing w:line="240" w:lineRule="auto"/>
              <w:rPr>
                <w:rFonts w:ascii="Century Gothic" w:eastAsia="Times New Roman" w:hAnsi="Century Gothic" w:cs="Times New Roman"/>
                <w:sz w:val="12"/>
                <w:szCs w:val="16"/>
              </w:rPr>
            </w:pPr>
          </w:p>
        </w:tc>
        <w:tc>
          <w:tcPr>
            <w:tcW w:w="332" w:type="pct"/>
            <w:noWrap/>
            <w:hideMark/>
          </w:tcPr>
          <w:p w14:paraId="786D2D1B"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09" w:type="pct"/>
            <w:noWrap/>
            <w:hideMark/>
          </w:tcPr>
          <w:p w14:paraId="0F686371"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61" w:type="pct"/>
            <w:noWrap/>
            <w:hideMark/>
          </w:tcPr>
          <w:p w14:paraId="32BB98A1"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61DB2344"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2EE4CC2F"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1A79F0CE"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5317DE7C"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color w:val="000000"/>
                <w:sz w:val="12"/>
                <w:szCs w:val="16"/>
              </w:rPr>
            </w:pPr>
            <w:r w:rsidRPr="001E3EEF">
              <w:rPr>
                <w:rFonts w:ascii="Century Gothic" w:eastAsia="Times New Roman" w:hAnsi="Century Gothic" w:cs="Arial"/>
                <w:b/>
                <w:bCs/>
                <w:color w:val="000000"/>
                <w:sz w:val="12"/>
                <w:szCs w:val="16"/>
              </w:rPr>
              <w:t> </w:t>
            </w:r>
          </w:p>
        </w:tc>
        <w:tc>
          <w:tcPr>
            <w:tcW w:w="413" w:type="pct"/>
            <w:noWrap/>
            <w:hideMark/>
          </w:tcPr>
          <w:p w14:paraId="55BF181B"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color w:val="000000"/>
                <w:sz w:val="12"/>
                <w:szCs w:val="16"/>
              </w:rPr>
            </w:pPr>
            <w:r w:rsidRPr="001E3EEF">
              <w:rPr>
                <w:rFonts w:ascii="Century Gothic" w:eastAsia="Times New Roman" w:hAnsi="Century Gothic" w:cs="Arial"/>
                <w:b/>
                <w:bCs/>
                <w:color w:val="000000"/>
                <w:sz w:val="12"/>
                <w:szCs w:val="16"/>
              </w:rPr>
              <w:t> </w:t>
            </w:r>
          </w:p>
        </w:tc>
        <w:tc>
          <w:tcPr>
            <w:tcW w:w="413" w:type="pct"/>
            <w:noWrap/>
            <w:hideMark/>
          </w:tcPr>
          <w:p w14:paraId="1F0CB494"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All</w:t>
            </w:r>
          </w:p>
        </w:tc>
        <w:tc>
          <w:tcPr>
            <w:tcW w:w="413" w:type="pct"/>
            <w:noWrap/>
            <w:hideMark/>
          </w:tcPr>
          <w:p w14:paraId="45785367"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10.99%</w:t>
            </w:r>
          </w:p>
        </w:tc>
        <w:tc>
          <w:tcPr>
            <w:tcW w:w="414" w:type="pct"/>
            <w:noWrap/>
            <w:hideMark/>
          </w:tcPr>
          <w:p w14:paraId="342474C1"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13.10%</w:t>
            </w:r>
          </w:p>
        </w:tc>
        <w:tc>
          <w:tcPr>
            <w:tcW w:w="321" w:type="pct"/>
            <w:noWrap/>
            <w:hideMark/>
          </w:tcPr>
          <w:p w14:paraId="759FDDE3"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12.05%</w:t>
            </w:r>
          </w:p>
        </w:tc>
      </w:tr>
      <w:tr w:rsidR="001E3EEF" w:rsidRPr="001E3EEF" w14:paraId="7A865E70"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1533705E" w14:textId="77777777" w:rsidR="002A4CE5" w:rsidRPr="001E3EEF" w:rsidRDefault="002A4CE5" w:rsidP="008E234D">
            <w:pPr>
              <w:spacing w:line="240" w:lineRule="auto"/>
              <w:jc w:val="right"/>
              <w:rPr>
                <w:rFonts w:ascii="Century Gothic" w:eastAsia="Times New Roman" w:hAnsi="Century Gothic" w:cs="Arial"/>
                <w:b w:val="0"/>
                <w:bCs w:val="0"/>
                <w:color w:val="538DD5"/>
                <w:sz w:val="12"/>
                <w:szCs w:val="16"/>
              </w:rPr>
            </w:pPr>
          </w:p>
        </w:tc>
        <w:tc>
          <w:tcPr>
            <w:tcW w:w="332" w:type="pct"/>
            <w:noWrap/>
            <w:hideMark/>
          </w:tcPr>
          <w:p w14:paraId="716A8A68"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i/>
                <w:iCs/>
                <w:color w:val="000000"/>
                <w:sz w:val="12"/>
                <w:szCs w:val="16"/>
              </w:rPr>
            </w:pPr>
            <w:r w:rsidRPr="001E3EEF">
              <w:rPr>
                <w:rFonts w:ascii="Century Gothic" w:eastAsia="Times New Roman" w:hAnsi="Century Gothic" w:cs="Arial"/>
                <w:i/>
                <w:iCs/>
                <w:color w:val="000000"/>
                <w:sz w:val="12"/>
                <w:szCs w:val="16"/>
              </w:rPr>
              <w:t>30-year</w:t>
            </w:r>
          </w:p>
        </w:tc>
        <w:tc>
          <w:tcPr>
            <w:tcW w:w="309" w:type="pct"/>
            <w:noWrap/>
            <w:hideMark/>
          </w:tcPr>
          <w:p w14:paraId="1F4CA3D5"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i/>
                <w:iCs/>
                <w:color w:val="000000"/>
                <w:sz w:val="12"/>
                <w:szCs w:val="16"/>
              </w:rPr>
            </w:pPr>
          </w:p>
        </w:tc>
        <w:tc>
          <w:tcPr>
            <w:tcW w:w="461" w:type="pct"/>
            <w:noWrap/>
            <w:hideMark/>
          </w:tcPr>
          <w:p w14:paraId="5A35D328"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5DF288E2"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3C7A40C2"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39133994"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3194BA3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31B85C1F"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08B2D513"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4FA4FC23"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0769BA70"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7E22077E"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332769A2"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0FE1DDA9"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AES</w:t>
            </w:r>
          </w:p>
        </w:tc>
        <w:tc>
          <w:tcPr>
            <w:tcW w:w="332" w:type="pct"/>
            <w:noWrap/>
            <w:hideMark/>
          </w:tcPr>
          <w:p w14:paraId="67015051"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4.30%</w:t>
            </w:r>
          </w:p>
        </w:tc>
        <w:tc>
          <w:tcPr>
            <w:tcW w:w="309" w:type="pct"/>
            <w:noWrap/>
            <w:hideMark/>
          </w:tcPr>
          <w:p w14:paraId="38732EE9"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0.92</w:t>
            </w:r>
          </w:p>
        </w:tc>
        <w:tc>
          <w:tcPr>
            <w:tcW w:w="461" w:type="pct"/>
            <w:noWrap/>
            <w:hideMark/>
          </w:tcPr>
          <w:p w14:paraId="35DB614F"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w:t>
            </w:r>
          </w:p>
        </w:tc>
        <w:tc>
          <w:tcPr>
            <w:tcW w:w="414" w:type="pct"/>
            <w:noWrap/>
            <w:hideMark/>
          </w:tcPr>
          <w:p w14:paraId="3C30E42C"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0.89</w:t>
            </w:r>
          </w:p>
        </w:tc>
        <w:tc>
          <w:tcPr>
            <w:tcW w:w="412" w:type="pct"/>
            <w:noWrap/>
            <w:hideMark/>
          </w:tcPr>
          <w:p w14:paraId="3AAE48F9"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4B323BE4"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613085F3"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1D8F993D"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28F68A76"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8.55%</w:t>
            </w:r>
          </w:p>
        </w:tc>
        <w:tc>
          <w:tcPr>
            <w:tcW w:w="413" w:type="pct"/>
            <w:noWrap/>
            <w:hideMark/>
          </w:tcPr>
          <w:p w14:paraId="152A876B"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10.52%</w:t>
            </w:r>
          </w:p>
        </w:tc>
        <w:tc>
          <w:tcPr>
            <w:tcW w:w="414" w:type="pct"/>
            <w:noWrap/>
            <w:hideMark/>
          </w:tcPr>
          <w:p w14:paraId="1B99D057"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11.90%</w:t>
            </w:r>
          </w:p>
        </w:tc>
        <w:tc>
          <w:tcPr>
            <w:tcW w:w="321" w:type="pct"/>
            <w:noWrap/>
            <w:hideMark/>
          </w:tcPr>
          <w:p w14:paraId="76DA637B"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580F86E4"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0A0C40C0"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CPN</w:t>
            </w:r>
          </w:p>
        </w:tc>
        <w:tc>
          <w:tcPr>
            <w:tcW w:w="332" w:type="pct"/>
            <w:noWrap/>
            <w:hideMark/>
          </w:tcPr>
          <w:p w14:paraId="131CB183"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4.30%</w:t>
            </w:r>
          </w:p>
        </w:tc>
        <w:tc>
          <w:tcPr>
            <w:tcW w:w="309" w:type="pct"/>
            <w:noWrap/>
            <w:hideMark/>
          </w:tcPr>
          <w:p w14:paraId="4ED2A510"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0.95</w:t>
            </w:r>
          </w:p>
        </w:tc>
        <w:tc>
          <w:tcPr>
            <w:tcW w:w="461" w:type="pct"/>
            <w:noWrap/>
            <w:hideMark/>
          </w:tcPr>
          <w:p w14:paraId="021332AE"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w:t>
            </w:r>
          </w:p>
        </w:tc>
        <w:tc>
          <w:tcPr>
            <w:tcW w:w="414" w:type="pct"/>
            <w:noWrap/>
            <w:hideMark/>
          </w:tcPr>
          <w:p w14:paraId="358BE4D9"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1.03</w:t>
            </w:r>
          </w:p>
        </w:tc>
        <w:tc>
          <w:tcPr>
            <w:tcW w:w="412" w:type="pct"/>
            <w:noWrap/>
            <w:hideMark/>
          </w:tcPr>
          <w:p w14:paraId="52D7360B"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25413357"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515B674C"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3A96AE85"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41B1EAF9"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8.55%</w:t>
            </w:r>
          </w:p>
        </w:tc>
        <w:tc>
          <w:tcPr>
            <w:tcW w:w="413" w:type="pct"/>
            <w:noWrap/>
            <w:hideMark/>
          </w:tcPr>
          <w:p w14:paraId="6190374F"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11.54%</w:t>
            </w:r>
          </w:p>
        </w:tc>
        <w:tc>
          <w:tcPr>
            <w:tcW w:w="414" w:type="pct"/>
            <w:noWrap/>
            <w:hideMark/>
          </w:tcPr>
          <w:p w14:paraId="74A6BE44"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13.15%</w:t>
            </w:r>
          </w:p>
        </w:tc>
        <w:tc>
          <w:tcPr>
            <w:tcW w:w="321" w:type="pct"/>
            <w:noWrap/>
            <w:hideMark/>
          </w:tcPr>
          <w:p w14:paraId="3BDE3E79"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74345F46"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66B6B7FC"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DYN</w:t>
            </w:r>
          </w:p>
        </w:tc>
        <w:tc>
          <w:tcPr>
            <w:tcW w:w="332" w:type="pct"/>
            <w:noWrap/>
            <w:hideMark/>
          </w:tcPr>
          <w:p w14:paraId="0ABD329D"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4.30%</w:t>
            </w:r>
          </w:p>
        </w:tc>
        <w:tc>
          <w:tcPr>
            <w:tcW w:w="309" w:type="pct"/>
            <w:noWrap/>
            <w:hideMark/>
          </w:tcPr>
          <w:p w14:paraId="174B7260"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1.41</w:t>
            </w:r>
          </w:p>
        </w:tc>
        <w:tc>
          <w:tcPr>
            <w:tcW w:w="461" w:type="pct"/>
            <w:noWrap/>
            <w:hideMark/>
          </w:tcPr>
          <w:p w14:paraId="446F8F56"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w:t>
            </w:r>
          </w:p>
        </w:tc>
        <w:tc>
          <w:tcPr>
            <w:tcW w:w="414" w:type="pct"/>
            <w:noWrap/>
            <w:hideMark/>
          </w:tcPr>
          <w:p w14:paraId="06DAB481"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1.32</w:t>
            </w:r>
          </w:p>
        </w:tc>
        <w:tc>
          <w:tcPr>
            <w:tcW w:w="412" w:type="pct"/>
            <w:noWrap/>
            <w:hideMark/>
          </w:tcPr>
          <w:p w14:paraId="0F4B7FAC"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5E6DB5E9"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31E88FFA"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41E8259D"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01F7CFEE"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8.55%</w:t>
            </w:r>
          </w:p>
        </w:tc>
        <w:tc>
          <w:tcPr>
            <w:tcW w:w="413" w:type="pct"/>
            <w:noWrap/>
            <w:hideMark/>
          </w:tcPr>
          <w:p w14:paraId="1AF09369"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13.56%</w:t>
            </w:r>
          </w:p>
        </w:tc>
        <w:tc>
          <w:tcPr>
            <w:tcW w:w="414" w:type="pct"/>
            <w:noWrap/>
            <w:hideMark/>
          </w:tcPr>
          <w:p w14:paraId="1A53F499"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15.61%</w:t>
            </w:r>
          </w:p>
        </w:tc>
        <w:tc>
          <w:tcPr>
            <w:tcW w:w="321" w:type="pct"/>
            <w:noWrap/>
            <w:hideMark/>
          </w:tcPr>
          <w:p w14:paraId="21DB46B5"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4065EA93"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1837F240"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NRG</w:t>
            </w:r>
          </w:p>
        </w:tc>
        <w:tc>
          <w:tcPr>
            <w:tcW w:w="332" w:type="pct"/>
            <w:noWrap/>
            <w:hideMark/>
          </w:tcPr>
          <w:p w14:paraId="3555316E"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4.30%</w:t>
            </w:r>
          </w:p>
        </w:tc>
        <w:tc>
          <w:tcPr>
            <w:tcW w:w="309" w:type="pct"/>
            <w:noWrap/>
            <w:hideMark/>
          </w:tcPr>
          <w:p w14:paraId="20561AEF"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0.81</w:t>
            </w:r>
          </w:p>
        </w:tc>
        <w:tc>
          <w:tcPr>
            <w:tcW w:w="461" w:type="pct"/>
            <w:noWrap/>
            <w:hideMark/>
          </w:tcPr>
          <w:p w14:paraId="225411BA"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0.9</w:t>
            </w:r>
          </w:p>
        </w:tc>
        <w:tc>
          <w:tcPr>
            <w:tcW w:w="414" w:type="pct"/>
            <w:noWrap/>
            <w:hideMark/>
          </w:tcPr>
          <w:p w14:paraId="0E38CA51"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0.84</w:t>
            </w:r>
          </w:p>
        </w:tc>
        <w:tc>
          <w:tcPr>
            <w:tcW w:w="412" w:type="pct"/>
            <w:noWrap/>
            <w:hideMark/>
          </w:tcPr>
          <w:p w14:paraId="33B62C51"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6ECEDD50"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110D479E"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45812E1F"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07D33E2C"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8.55%</w:t>
            </w:r>
          </w:p>
        </w:tc>
        <w:tc>
          <w:tcPr>
            <w:tcW w:w="413" w:type="pct"/>
            <w:noWrap/>
            <w:hideMark/>
          </w:tcPr>
          <w:p w14:paraId="4E04C878"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10.19%</w:t>
            </w:r>
          </w:p>
        </w:tc>
        <w:tc>
          <w:tcPr>
            <w:tcW w:w="414" w:type="pct"/>
            <w:noWrap/>
            <w:hideMark/>
          </w:tcPr>
          <w:p w14:paraId="288B7D0F"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11.49%</w:t>
            </w:r>
          </w:p>
        </w:tc>
        <w:tc>
          <w:tcPr>
            <w:tcW w:w="321" w:type="pct"/>
            <w:noWrap/>
            <w:hideMark/>
          </w:tcPr>
          <w:p w14:paraId="0A497DA5"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7B1A0BA6"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20E4D5C2" w14:textId="77777777" w:rsidR="002A4CE5" w:rsidRPr="001E3EEF" w:rsidRDefault="002A4CE5" w:rsidP="008E234D">
            <w:pPr>
              <w:spacing w:line="240" w:lineRule="auto"/>
              <w:jc w:val="center"/>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TLN</w:t>
            </w:r>
          </w:p>
        </w:tc>
        <w:tc>
          <w:tcPr>
            <w:tcW w:w="332" w:type="pct"/>
            <w:noWrap/>
            <w:hideMark/>
          </w:tcPr>
          <w:p w14:paraId="05E92A7A"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4.30%</w:t>
            </w:r>
          </w:p>
        </w:tc>
        <w:tc>
          <w:tcPr>
            <w:tcW w:w="309" w:type="pct"/>
            <w:noWrap/>
            <w:hideMark/>
          </w:tcPr>
          <w:p w14:paraId="5D0F4A3C"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NA</w:t>
            </w:r>
          </w:p>
        </w:tc>
        <w:tc>
          <w:tcPr>
            <w:tcW w:w="461" w:type="pct"/>
            <w:noWrap/>
            <w:hideMark/>
          </w:tcPr>
          <w:p w14:paraId="2E9FB751"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w:t>
            </w:r>
          </w:p>
        </w:tc>
        <w:tc>
          <w:tcPr>
            <w:tcW w:w="414" w:type="pct"/>
            <w:noWrap/>
            <w:hideMark/>
          </w:tcPr>
          <w:p w14:paraId="404857E5"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1.05</w:t>
            </w:r>
          </w:p>
        </w:tc>
        <w:tc>
          <w:tcPr>
            <w:tcW w:w="412" w:type="pct"/>
            <w:noWrap/>
            <w:hideMark/>
          </w:tcPr>
          <w:p w14:paraId="3260D23F"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12.10%</w:t>
            </w:r>
          </w:p>
        </w:tc>
        <w:tc>
          <w:tcPr>
            <w:tcW w:w="344" w:type="pct"/>
            <w:noWrap/>
            <w:hideMark/>
          </w:tcPr>
          <w:p w14:paraId="476E7D7F"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5.10%</w:t>
            </w:r>
          </w:p>
        </w:tc>
        <w:tc>
          <w:tcPr>
            <w:tcW w:w="438" w:type="pct"/>
            <w:noWrap/>
            <w:hideMark/>
          </w:tcPr>
          <w:p w14:paraId="74D15D55"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12.85%</w:t>
            </w:r>
          </w:p>
        </w:tc>
        <w:tc>
          <w:tcPr>
            <w:tcW w:w="413" w:type="pct"/>
            <w:noWrap/>
            <w:hideMark/>
          </w:tcPr>
          <w:p w14:paraId="1EF66ACF"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7.00%</w:t>
            </w:r>
          </w:p>
        </w:tc>
        <w:tc>
          <w:tcPr>
            <w:tcW w:w="413" w:type="pct"/>
            <w:noWrap/>
            <w:hideMark/>
          </w:tcPr>
          <w:p w14:paraId="6E6C5473"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8.55%</w:t>
            </w:r>
          </w:p>
        </w:tc>
        <w:tc>
          <w:tcPr>
            <w:tcW w:w="413" w:type="pct"/>
            <w:noWrap/>
            <w:hideMark/>
          </w:tcPr>
          <w:p w14:paraId="4CF0A408"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11.66%</w:t>
            </w:r>
          </w:p>
        </w:tc>
        <w:tc>
          <w:tcPr>
            <w:tcW w:w="414" w:type="pct"/>
            <w:noWrap/>
            <w:hideMark/>
          </w:tcPr>
          <w:p w14:paraId="46D1A23E"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13.29%</w:t>
            </w:r>
          </w:p>
        </w:tc>
        <w:tc>
          <w:tcPr>
            <w:tcW w:w="321" w:type="pct"/>
            <w:noWrap/>
            <w:hideMark/>
          </w:tcPr>
          <w:p w14:paraId="734A0E78"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r>
      <w:tr w:rsidR="001E3EEF" w:rsidRPr="001E3EEF" w14:paraId="0B8A7CD0"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318" w:type="pct"/>
            <w:noWrap/>
            <w:hideMark/>
          </w:tcPr>
          <w:p w14:paraId="313DDB76" w14:textId="77777777" w:rsidR="002A4CE5" w:rsidRPr="001E3EEF" w:rsidRDefault="002A4CE5" w:rsidP="008E234D">
            <w:pPr>
              <w:spacing w:line="240" w:lineRule="auto"/>
              <w:rPr>
                <w:rFonts w:ascii="Century Gothic" w:eastAsia="Times New Roman" w:hAnsi="Century Gothic" w:cs="Times New Roman"/>
                <w:sz w:val="12"/>
                <w:szCs w:val="16"/>
              </w:rPr>
            </w:pPr>
          </w:p>
        </w:tc>
        <w:tc>
          <w:tcPr>
            <w:tcW w:w="332" w:type="pct"/>
            <w:noWrap/>
            <w:hideMark/>
          </w:tcPr>
          <w:p w14:paraId="2D1916F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09" w:type="pct"/>
            <w:noWrap/>
            <w:hideMark/>
          </w:tcPr>
          <w:p w14:paraId="36928DB8"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61" w:type="pct"/>
            <w:noWrap/>
            <w:hideMark/>
          </w:tcPr>
          <w:p w14:paraId="2F53A81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3763F81C"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113212C8"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49073682"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34C2E761"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000000"/>
                <w:sz w:val="12"/>
                <w:szCs w:val="16"/>
              </w:rPr>
            </w:pPr>
            <w:r w:rsidRPr="001E3EEF">
              <w:rPr>
                <w:rFonts w:ascii="Century Gothic" w:eastAsia="Times New Roman" w:hAnsi="Century Gothic" w:cs="Arial"/>
                <w:b/>
                <w:bCs/>
                <w:color w:val="000000"/>
                <w:sz w:val="12"/>
                <w:szCs w:val="16"/>
              </w:rPr>
              <w:t> </w:t>
            </w:r>
          </w:p>
        </w:tc>
        <w:tc>
          <w:tcPr>
            <w:tcW w:w="413" w:type="pct"/>
            <w:noWrap/>
            <w:hideMark/>
          </w:tcPr>
          <w:p w14:paraId="34333906"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000000"/>
                <w:sz w:val="12"/>
                <w:szCs w:val="16"/>
              </w:rPr>
            </w:pPr>
            <w:r w:rsidRPr="001E3EEF">
              <w:rPr>
                <w:rFonts w:ascii="Century Gothic" w:eastAsia="Times New Roman" w:hAnsi="Century Gothic" w:cs="Arial"/>
                <w:b/>
                <w:bCs/>
                <w:color w:val="000000"/>
                <w:sz w:val="12"/>
                <w:szCs w:val="16"/>
              </w:rPr>
              <w:t> </w:t>
            </w:r>
          </w:p>
        </w:tc>
        <w:tc>
          <w:tcPr>
            <w:tcW w:w="413" w:type="pct"/>
            <w:noWrap/>
            <w:hideMark/>
          </w:tcPr>
          <w:p w14:paraId="2C1F6B48"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All</w:t>
            </w:r>
          </w:p>
        </w:tc>
        <w:tc>
          <w:tcPr>
            <w:tcW w:w="413" w:type="pct"/>
            <w:noWrap/>
            <w:hideMark/>
          </w:tcPr>
          <w:p w14:paraId="4C63634D"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11.49%</w:t>
            </w:r>
          </w:p>
        </w:tc>
        <w:tc>
          <w:tcPr>
            <w:tcW w:w="414" w:type="pct"/>
            <w:noWrap/>
            <w:hideMark/>
          </w:tcPr>
          <w:p w14:paraId="1BE55904"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13.09%</w:t>
            </w:r>
          </w:p>
        </w:tc>
        <w:tc>
          <w:tcPr>
            <w:tcW w:w="321" w:type="pct"/>
            <w:noWrap/>
            <w:hideMark/>
          </w:tcPr>
          <w:p w14:paraId="4894B257"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12.29%</w:t>
            </w:r>
          </w:p>
        </w:tc>
      </w:tr>
      <w:tr w:rsidR="001E3EEF" w:rsidRPr="001E3EEF" w14:paraId="23BB505C" w14:textId="77777777" w:rsidTr="001436DC">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6FBFD060" w14:textId="77777777" w:rsidR="002A4CE5" w:rsidRPr="001E3EEF" w:rsidRDefault="002A4CE5" w:rsidP="008E234D">
            <w:pPr>
              <w:spacing w:line="240" w:lineRule="auto"/>
              <w:rPr>
                <w:rFonts w:ascii="Century Gothic" w:eastAsia="Times New Roman" w:hAnsi="Century Gothic" w:cs="Arial"/>
                <w:color w:val="000000"/>
                <w:sz w:val="12"/>
                <w:szCs w:val="16"/>
              </w:rPr>
            </w:pPr>
          </w:p>
          <w:p w14:paraId="5AE2FCCC" w14:textId="33E4E8B2"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Notes:</w:t>
            </w:r>
          </w:p>
        </w:tc>
        <w:tc>
          <w:tcPr>
            <w:tcW w:w="0" w:type="pct"/>
            <w:noWrap/>
            <w:hideMark/>
          </w:tcPr>
          <w:p w14:paraId="5108F1A7"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c>
          <w:tcPr>
            <w:tcW w:w="0" w:type="pct"/>
            <w:noWrap/>
            <w:hideMark/>
          </w:tcPr>
          <w:p w14:paraId="5F2B81D0"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0" w:type="pct"/>
            <w:noWrap/>
            <w:hideMark/>
          </w:tcPr>
          <w:p w14:paraId="231FE2DA"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0" w:type="pct"/>
            <w:noWrap/>
            <w:hideMark/>
          </w:tcPr>
          <w:p w14:paraId="194E9A51"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0" w:type="pct"/>
            <w:noWrap/>
            <w:hideMark/>
          </w:tcPr>
          <w:p w14:paraId="7782D616"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0" w:type="pct"/>
            <w:noWrap/>
            <w:hideMark/>
          </w:tcPr>
          <w:p w14:paraId="715C00D3"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0" w:type="pct"/>
            <w:gridSpan w:val="3"/>
            <w:noWrap/>
          </w:tcPr>
          <w:p w14:paraId="7198A226"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538DD5"/>
                <w:sz w:val="12"/>
                <w:szCs w:val="16"/>
              </w:rPr>
            </w:pPr>
            <w:r w:rsidRPr="001E3EEF">
              <w:rPr>
                <w:rFonts w:ascii="Century Gothic" w:eastAsia="Times New Roman" w:hAnsi="Century Gothic" w:cs="Arial"/>
                <w:b/>
                <w:bCs/>
                <w:color w:val="000000"/>
                <w:sz w:val="12"/>
                <w:szCs w:val="16"/>
              </w:rPr>
              <w:t>All</w:t>
            </w:r>
          </w:p>
        </w:tc>
        <w:tc>
          <w:tcPr>
            <w:tcW w:w="0" w:type="pct"/>
            <w:noWrap/>
          </w:tcPr>
          <w:p w14:paraId="0791839E" w14:textId="0C60F1A1" w:rsidR="002A4CE5" w:rsidRPr="001E3EEF" w:rsidRDefault="00952FB2"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538DD5"/>
                <w:sz w:val="12"/>
                <w:szCs w:val="16"/>
              </w:rPr>
            </w:pPr>
            <w:r w:rsidRPr="001E3EEF">
              <w:rPr>
                <w:rFonts w:ascii="Century Gothic" w:eastAsia="Times New Roman" w:hAnsi="Century Gothic" w:cs="Arial"/>
                <w:b/>
                <w:bCs/>
                <w:color w:val="000000"/>
                <w:sz w:val="12"/>
                <w:szCs w:val="16"/>
              </w:rPr>
              <w:t>10.64</w:t>
            </w:r>
            <w:r w:rsidR="002A4CE5" w:rsidRPr="001E3EEF">
              <w:rPr>
                <w:rFonts w:ascii="Century Gothic" w:eastAsia="Times New Roman" w:hAnsi="Century Gothic" w:cs="Arial"/>
                <w:b/>
                <w:bCs/>
                <w:color w:val="000000"/>
                <w:sz w:val="12"/>
                <w:szCs w:val="16"/>
              </w:rPr>
              <w:t>%</w:t>
            </w:r>
          </w:p>
        </w:tc>
        <w:tc>
          <w:tcPr>
            <w:tcW w:w="0" w:type="pct"/>
            <w:noWrap/>
          </w:tcPr>
          <w:p w14:paraId="747308F4" w14:textId="7E225E90" w:rsidR="002A4CE5" w:rsidRPr="001E3EEF" w:rsidRDefault="00952FB2"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538DD5"/>
                <w:sz w:val="12"/>
                <w:szCs w:val="16"/>
              </w:rPr>
            </w:pPr>
            <w:r w:rsidRPr="001E3EEF">
              <w:rPr>
                <w:rFonts w:ascii="Century Gothic" w:eastAsia="Times New Roman" w:hAnsi="Century Gothic" w:cs="Arial"/>
                <w:b/>
                <w:bCs/>
                <w:color w:val="000000"/>
                <w:sz w:val="12"/>
                <w:szCs w:val="16"/>
              </w:rPr>
              <w:t>13.11</w:t>
            </w:r>
            <w:r w:rsidR="002A4CE5" w:rsidRPr="001E3EEF">
              <w:rPr>
                <w:rFonts w:ascii="Century Gothic" w:eastAsia="Times New Roman" w:hAnsi="Century Gothic" w:cs="Arial"/>
                <w:b/>
                <w:bCs/>
                <w:color w:val="000000"/>
                <w:sz w:val="12"/>
                <w:szCs w:val="16"/>
              </w:rPr>
              <w:t>%</w:t>
            </w:r>
          </w:p>
        </w:tc>
        <w:tc>
          <w:tcPr>
            <w:tcW w:w="0" w:type="pct"/>
            <w:noWrap/>
          </w:tcPr>
          <w:p w14:paraId="7C2B808F" w14:textId="22E4CD75" w:rsidR="002A4CE5" w:rsidRPr="001E3EEF" w:rsidRDefault="00952FB2" w:rsidP="003C02FC">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color w:val="538DD5"/>
                <w:sz w:val="12"/>
                <w:szCs w:val="16"/>
              </w:rPr>
            </w:pPr>
            <w:r w:rsidRPr="001E3EEF">
              <w:rPr>
                <w:rFonts w:ascii="Century Gothic" w:eastAsia="Times New Roman" w:hAnsi="Century Gothic" w:cs="Arial"/>
                <w:b/>
                <w:bCs/>
                <w:color w:val="000000"/>
                <w:sz w:val="12"/>
                <w:szCs w:val="16"/>
              </w:rPr>
              <w:t>11</w:t>
            </w:r>
            <w:r w:rsidR="002A4CE5" w:rsidRPr="001E3EEF">
              <w:rPr>
                <w:rFonts w:ascii="Century Gothic" w:eastAsia="Times New Roman" w:hAnsi="Century Gothic" w:cs="Arial"/>
                <w:b/>
                <w:bCs/>
                <w:color w:val="000000"/>
                <w:sz w:val="12"/>
                <w:szCs w:val="16"/>
              </w:rPr>
              <w:t>.</w:t>
            </w:r>
            <w:r w:rsidRPr="001E3EEF">
              <w:rPr>
                <w:rFonts w:ascii="Century Gothic" w:eastAsia="Times New Roman" w:hAnsi="Century Gothic" w:cs="Arial"/>
                <w:b/>
                <w:bCs/>
                <w:color w:val="000000"/>
                <w:sz w:val="12"/>
                <w:szCs w:val="16"/>
              </w:rPr>
              <w:t>88</w:t>
            </w:r>
            <w:r w:rsidR="002A4CE5" w:rsidRPr="001E3EEF">
              <w:rPr>
                <w:rFonts w:ascii="Century Gothic" w:eastAsia="Times New Roman" w:hAnsi="Century Gothic" w:cs="Arial"/>
                <w:b/>
                <w:bCs/>
                <w:color w:val="000000"/>
                <w:sz w:val="12"/>
                <w:szCs w:val="16"/>
              </w:rPr>
              <w:t>%</w:t>
            </w:r>
          </w:p>
        </w:tc>
      </w:tr>
      <w:tr w:rsidR="001E3EEF" w:rsidRPr="001E3EEF" w14:paraId="5F768203" w14:textId="77777777" w:rsidTr="001436DC">
        <w:trPr>
          <w:trHeight w:val="188"/>
          <w:jc w:val="center"/>
        </w:trPr>
        <w:tc>
          <w:tcPr>
            <w:cnfStyle w:val="001000000000" w:firstRow="0" w:lastRow="0" w:firstColumn="1" w:lastColumn="0" w:oddVBand="0" w:evenVBand="0" w:oddHBand="0" w:evenHBand="0" w:firstRowFirstColumn="0" w:firstRowLastColumn="0" w:lastRowFirstColumn="0" w:lastRowLastColumn="0"/>
            <w:tcW w:w="0" w:type="pct"/>
            <w:gridSpan w:val="6"/>
            <w:noWrap/>
            <w:hideMark/>
          </w:tcPr>
          <w:p w14:paraId="64069058"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 Blue Chip Financial Forecast - Vol. 35, No. 6, June 1, 2016</w:t>
            </w:r>
          </w:p>
        </w:tc>
        <w:tc>
          <w:tcPr>
            <w:tcW w:w="0" w:type="pct"/>
            <w:noWrap/>
            <w:hideMark/>
          </w:tcPr>
          <w:p w14:paraId="6ADC5F46"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c>
          <w:tcPr>
            <w:tcW w:w="0" w:type="pct"/>
            <w:gridSpan w:val="3"/>
            <w:noWrap/>
          </w:tcPr>
          <w:p w14:paraId="2340026F"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538DD5"/>
                <w:sz w:val="12"/>
                <w:szCs w:val="16"/>
              </w:rPr>
            </w:pPr>
          </w:p>
        </w:tc>
        <w:tc>
          <w:tcPr>
            <w:tcW w:w="0" w:type="pct"/>
            <w:noWrap/>
          </w:tcPr>
          <w:p w14:paraId="69AA157E"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538DD5"/>
                <w:sz w:val="12"/>
                <w:szCs w:val="16"/>
              </w:rPr>
            </w:pPr>
          </w:p>
        </w:tc>
        <w:tc>
          <w:tcPr>
            <w:tcW w:w="0" w:type="pct"/>
            <w:noWrap/>
          </w:tcPr>
          <w:p w14:paraId="3D077351"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538DD5"/>
                <w:sz w:val="12"/>
                <w:szCs w:val="16"/>
              </w:rPr>
            </w:pPr>
          </w:p>
        </w:tc>
        <w:tc>
          <w:tcPr>
            <w:tcW w:w="0" w:type="pct"/>
            <w:noWrap/>
          </w:tcPr>
          <w:p w14:paraId="61DFBD85"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538DD5"/>
                <w:sz w:val="12"/>
                <w:szCs w:val="16"/>
              </w:rPr>
            </w:pPr>
          </w:p>
        </w:tc>
      </w:tr>
      <w:tr w:rsidR="001E3EEF" w:rsidRPr="001E3EEF" w14:paraId="341A871B"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34" w:type="pct"/>
            <w:gridSpan w:val="5"/>
            <w:noWrap/>
            <w:hideMark/>
          </w:tcPr>
          <w:p w14:paraId="6066A01A" w14:textId="3EAAD1AD" w:rsidR="002A4CE5" w:rsidRPr="001E3EEF" w:rsidRDefault="002A4CE5" w:rsidP="003C02FC">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 xml:space="preserve">[2] Source: Value Line </w:t>
            </w:r>
          </w:p>
        </w:tc>
        <w:tc>
          <w:tcPr>
            <w:tcW w:w="412" w:type="pct"/>
            <w:noWrap/>
            <w:hideMark/>
          </w:tcPr>
          <w:p w14:paraId="5C18FEAE"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c>
          <w:tcPr>
            <w:tcW w:w="344" w:type="pct"/>
            <w:noWrap/>
            <w:hideMark/>
          </w:tcPr>
          <w:p w14:paraId="45EF2F01"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03EB1262"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6C2CE4FC"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115977E8"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3059C989"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7F9566D4"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2196DFF5"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20781F6F"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1420" w:type="pct"/>
            <w:gridSpan w:val="4"/>
            <w:noWrap/>
            <w:hideMark/>
          </w:tcPr>
          <w:p w14:paraId="78BDED1F"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[3] Source: Bloomberg Professional</w:t>
            </w:r>
          </w:p>
        </w:tc>
        <w:tc>
          <w:tcPr>
            <w:tcW w:w="414" w:type="pct"/>
            <w:noWrap/>
            <w:hideMark/>
          </w:tcPr>
          <w:p w14:paraId="293EC80E"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c>
          <w:tcPr>
            <w:tcW w:w="412" w:type="pct"/>
            <w:noWrap/>
            <w:hideMark/>
          </w:tcPr>
          <w:p w14:paraId="688D9C6C"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1BB6C52F"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38" w:type="pct"/>
            <w:noWrap/>
          </w:tcPr>
          <w:p w14:paraId="4DB76FC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000000"/>
                <w:sz w:val="12"/>
                <w:szCs w:val="16"/>
              </w:rPr>
            </w:pPr>
          </w:p>
        </w:tc>
        <w:tc>
          <w:tcPr>
            <w:tcW w:w="413" w:type="pct"/>
            <w:noWrap/>
          </w:tcPr>
          <w:p w14:paraId="1147AE4A"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000000"/>
                <w:sz w:val="12"/>
                <w:szCs w:val="16"/>
              </w:rPr>
            </w:pPr>
          </w:p>
        </w:tc>
        <w:tc>
          <w:tcPr>
            <w:tcW w:w="413" w:type="pct"/>
            <w:noWrap/>
          </w:tcPr>
          <w:p w14:paraId="05F5F892"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000000"/>
                <w:sz w:val="12"/>
                <w:szCs w:val="16"/>
              </w:rPr>
            </w:pPr>
          </w:p>
        </w:tc>
        <w:tc>
          <w:tcPr>
            <w:tcW w:w="413" w:type="pct"/>
            <w:noWrap/>
          </w:tcPr>
          <w:p w14:paraId="484DA88B"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000000"/>
                <w:sz w:val="12"/>
                <w:szCs w:val="16"/>
              </w:rPr>
            </w:pPr>
          </w:p>
        </w:tc>
        <w:tc>
          <w:tcPr>
            <w:tcW w:w="414" w:type="pct"/>
            <w:noWrap/>
          </w:tcPr>
          <w:p w14:paraId="6647BC7A"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000000"/>
                <w:sz w:val="12"/>
                <w:szCs w:val="16"/>
              </w:rPr>
            </w:pPr>
          </w:p>
        </w:tc>
        <w:tc>
          <w:tcPr>
            <w:tcW w:w="321" w:type="pct"/>
            <w:noWrap/>
          </w:tcPr>
          <w:p w14:paraId="6916884F"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000000"/>
                <w:sz w:val="12"/>
                <w:szCs w:val="16"/>
              </w:rPr>
            </w:pPr>
          </w:p>
        </w:tc>
      </w:tr>
      <w:tr w:rsidR="001E3EEF" w:rsidRPr="001E3EEF" w14:paraId="7B9735DF"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pct"/>
            <w:gridSpan w:val="3"/>
            <w:noWrap/>
            <w:hideMark/>
          </w:tcPr>
          <w:p w14:paraId="3B5AABE8"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[4] Equals average ([2], [3])</w:t>
            </w:r>
          </w:p>
        </w:tc>
        <w:tc>
          <w:tcPr>
            <w:tcW w:w="461" w:type="pct"/>
            <w:noWrap/>
            <w:hideMark/>
          </w:tcPr>
          <w:p w14:paraId="2081C12B"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c>
          <w:tcPr>
            <w:tcW w:w="414" w:type="pct"/>
            <w:noWrap/>
            <w:hideMark/>
          </w:tcPr>
          <w:p w14:paraId="2CDC58F4"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1C4D4350"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5B1C1027"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1263" w:type="pct"/>
            <w:gridSpan w:val="3"/>
            <w:noWrap/>
          </w:tcPr>
          <w:p w14:paraId="5EA49BEE"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color w:val="538DD5"/>
                <w:sz w:val="12"/>
                <w:szCs w:val="16"/>
              </w:rPr>
            </w:pPr>
          </w:p>
        </w:tc>
        <w:tc>
          <w:tcPr>
            <w:tcW w:w="413" w:type="pct"/>
            <w:noWrap/>
          </w:tcPr>
          <w:p w14:paraId="6BFEEBA6"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color w:val="538DD5"/>
                <w:sz w:val="12"/>
                <w:szCs w:val="16"/>
              </w:rPr>
            </w:pPr>
          </w:p>
        </w:tc>
        <w:tc>
          <w:tcPr>
            <w:tcW w:w="414" w:type="pct"/>
            <w:noWrap/>
          </w:tcPr>
          <w:p w14:paraId="2DA3389D" w14:textId="77777777" w:rsidR="002A4CE5" w:rsidRPr="001E3EEF" w:rsidRDefault="002A4CE5" w:rsidP="008E234D">
            <w:p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color w:val="538DD5"/>
                <w:sz w:val="12"/>
                <w:szCs w:val="16"/>
              </w:rPr>
            </w:pPr>
          </w:p>
        </w:tc>
        <w:tc>
          <w:tcPr>
            <w:tcW w:w="321" w:type="pct"/>
            <w:noWrap/>
          </w:tcPr>
          <w:p w14:paraId="69BFBBDE" w14:textId="77777777" w:rsidR="002A4CE5" w:rsidRPr="001E3EEF" w:rsidRDefault="002A4CE5" w:rsidP="008E234D">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color w:val="538DD5"/>
                <w:sz w:val="12"/>
                <w:szCs w:val="16"/>
              </w:rPr>
            </w:pPr>
          </w:p>
        </w:tc>
      </w:tr>
      <w:tr w:rsidR="001E3EEF" w:rsidRPr="001E3EEF" w14:paraId="4517A447"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2589" w:type="pct"/>
            <w:gridSpan w:val="7"/>
            <w:noWrap/>
            <w:hideMark/>
          </w:tcPr>
          <w:p w14:paraId="72FAA05F"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 xml:space="preserve">[5] Source: 2015 Ibbotson SBBI Valuation Yearbook, Table 6-7, </w:t>
            </w:r>
            <w:proofErr w:type="spellStart"/>
            <w:r w:rsidRPr="001E3EEF">
              <w:rPr>
                <w:rFonts w:ascii="Century Gothic" w:eastAsia="Times New Roman" w:hAnsi="Century Gothic" w:cs="Arial"/>
                <w:color w:val="000000"/>
                <w:sz w:val="12"/>
                <w:szCs w:val="16"/>
              </w:rPr>
              <w:t>pg</w:t>
            </w:r>
            <w:proofErr w:type="spellEnd"/>
            <w:r w:rsidRPr="001E3EEF">
              <w:rPr>
                <w:rFonts w:ascii="Century Gothic" w:eastAsia="Times New Roman" w:hAnsi="Century Gothic" w:cs="Arial"/>
                <w:color w:val="000000"/>
                <w:sz w:val="12"/>
                <w:szCs w:val="16"/>
              </w:rPr>
              <w:t xml:space="preserve"> 91</w:t>
            </w:r>
          </w:p>
        </w:tc>
        <w:tc>
          <w:tcPr>
            <w:tcW w:w="1263" w:type="pct"/>
            <w:gridSpan w:val="3"/>
            <w:noWrap/>
          </w:tcPr>
          <w:p w14:paraId="13E7602A"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538DD5"/>
                <w:sz w:val="12"/>
                <w:szCs w:val="16"/>
              </w:rPr>
            </w:pPr>
          </w:p>
        </w:tc>
        <w:tc>
          <w:tcPr>
            <w:tcW w:w="413" w:type="pct"/>
            <w:noWrap/>
          </w:tcPr>
          <w:p w14:paraId="2E60E448"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538DD5"/>
                <w:sz w:val="12"/>
                <w:szCs w:val="16"/>
              </w:rPr>
            </w:pPr>
          </w:p>
        </w:tc>
        <w:tc>
          <w:tcPr>
            <w:tcW w:w="414" w:type="pct"/>
            <w:noWrap/>
          </w:tcPr>
          <w:p w14:paraId="56225A66" w14:textId="77777777" w:rsidR="002A4CE5" w:rsidRPr="001E3EEF" w:rsidRDefault="002A4CE5" w:rsidP="008E234D">
            <w:p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538DD5"/>
                <w:sz w:val="12"/>
                <w:szCs w:val="16"/>
              </w:rPr>
            </w:pPr>
          </w:p>
        </w:tc>
        <w:tc>
          <w:tcPr>
            <w:tcW w:w="321" w:type="pct"/>
            <w:noWrap/>
          </w:tcPr>
          <w:p w14:paraId="7EF2D664" w14:textId="77777777" w:rsidR="002A4CE5" w:rsidRPr="001E3EEF" w:rsidRDefault="002A4CE5" w:rsidP="008E234D">
            <w:pPr>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538DD5"/>
                <w:sz w:val="12"/>
                <w:szCs w:val="16"/>
              </w:rPr>
            </w:pPr>
          </w:p>
        </w:tc>
      </w:tr>
      <w:tr w:rsidR="001E3EEF" w:rsidRPr="001E3EEF" w14:paraId="119B6B38"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9" w:type="pct"/>
            <w:gridSpan w:val="7"/>
            <w:noWrap/>
            <w:hideMark/>
          </w:tcPr>
          <w:p w14:paraId="37060BA3"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 xml:space="preserve">[6] Source: 2015 Ibbotson SBBI Valuation Yearbook, Table 6-7, </w:t>
            </w:r>
            <w:proofErr w:type="spellStart"/>
            <w:r w:rsidRPr="001E3EEF">
              <w:rPr>
                <w:rFonts w:ascii="Century Gothic" w:eastAsia="Times New Roman" w:hAnsi="Century Gothic" w:cs="Arial"/>
                <w:color w:val="000000"/>
                <w:sz w:val="12"/>
                <w:szCs w:val="16"/>
              </w:rPr>
              <w:t>pg</w:t>
            </w:r>
            <w:proofErr w:type="spellEnd"/>
            <w:r w:rsidRPr="001E3EEF">
              <w:rPr>
                <w:rFonts w:ascii="Century Gothic" w:eastAsia="Times New Roman" w:hAnsi="Century Gothic" w:cs="Arial"/>
                <w:color w:val="000000"/>
                <w:sz w:val="12"/>
                <w:szCs w:val="16"/>
              </w:rPr>
              <w:t xml:space="preserve"> 91</w:t>
            </w:r>
          </w:p>
        </w:tc>
        <w:tc>
          <w:tcPr>
            <w:tcW w:w="438" w:type="pct"/>
            <w:noWrap/>
            <w:hideMark/>
          </w:tcPr>
          <w:p w14:paraId="7DF94FDE"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c>
          <w:tcPr>
            <w:tcW w:w="413" w:type="pct"/>
            <w:noWrap/>
            <w:hideMark/>
          </w:tcPr>
          <w:p w14:paraId="6079E7D0"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3FBF139E"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2060744F"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2F5AC15C"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47B8A4E9"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67A3A0A8"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1420" w:type="pct"/>
            <w:gridSpan w:val="4"/>
            <w:noWrap/>
            <w:hideMark/>
          </w:tcPr>
          <w:p w14:paraId="126CFE64"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[7] Source: Bloomberg Professional</w:t>
            </w:r>
          </w:p>
        </w:tc>
        <w:tc>
          <w:tcPr>
            <w:tcW w:w="414" w:type="pct"/>
            <w:noWrap/>
            <w:hideMark/>
          </w:tcPr>
          <w:p w14:paraId="7A67FAE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c>
          <w:tcPr>
            <w:tcW w:w="412" w:type="pct"/>
            <w:noWrap/>
            <w:hideMark/>
          </w:tcPr>
          <w:p w14:paraId="021128B8"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6753C254"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13530629"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731FFDC0"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2D56AB0F"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70ED1F1C"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53CF6C02"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576F65DC"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2505C2E6"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50" w:type="pct"/>
            <w:gridSpan w:val="2"/>
            <w:noWrap/>
            <w:hideMark/>
          </w:tcPr>
          <w:p w14:paraId="0B5730EA"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[8] Equals [5] − [6]</w:t>
            </w:r>
          </w:p>
        </w:tc>
        <w:tc>
          <w:tcPr>
            <w:tcW w:w="309" w:type="pct"/>
            <w:noWrap/>
            <w:hideMark/>
          </w:tcPr>
          <w:p w14:paraId="2AFC395B"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c>
          <w:tcPr>
            <w:tcW w:w="461" w:type="pct"/>
            <w:noWrap/>
            <w:hideMark/>
          </w:tcPr>
          <w:p w14:paraId="29312250"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5CFE3120"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1EAF7F34"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4DAFBAEB"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69A298B8"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1DC9B266"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5DCDA794"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35A2BF45"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3F908020"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25901F19"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3A8B8BD4"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650" w:type="pct"/>
            <w:gridSpan w:val="2"/>
            <w:noWrap/>
            <w:hideMark/>
          </w:tcPr>
          <w:p w14:paraId="6912A999"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[9] Equals [7] − [1]</w:t>
            </w:r>
          </w:p>
        </w:tc>
        <w:tc>
          <w:tcPr>
            <w:tcW w:w="309" w:type="pct"/>
            <w:noWrap/>
            <w:hideMark/>
          </w:tcPr>
          <w:p w14:paraId="0C014DB1"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c>
          <w:tcPr>
            <w:tcW w:w="461" w:type="pct"/>
            <w:noWrap/>
            <w:hideMark/>
          </w:tcPr>
          <w:p w14:paraId="290E437D"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233FD121"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624693BC"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489E8EB4"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05D56F74"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6821635F"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63EE101F"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3EED629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33EBC87E"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777765DB"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3CC296EE" w14:textId="77777777" w:rsidTr="001E3E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pct"/>
            <w:gridSpan w:val="3"/>
            <w:noWrap/>
            <w:hideMark/>
          </w:tcPr>
          <w:p w14:paraId="168014DE"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[10] Equals [1] + [4] x [8]</w:t>
            </w:r>
          </w:p>
        </w:tc>
        <w:tc>
          <w:tcPr>
            <w:tcW w:w="461" w:type="pct"/>
            <w:noWrap/>
            <w:hideMark/>
          </w:tcPr>
          <w:p w14:paraId="4AAD3BC0"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12"/>
                <w:szCs w:val="16"/>
              </w:rPr>
            </w:pPr>
          </w:p>
        </w:tc>
        <w:tc>
          <w:tcPr>
            <w:tcW w:w="414" w:type="pct"/>
            <w:noWrap/>
            <w:hideMark/>
          </w:tcPr>
          <w:p w14:paraId="72DA09F1"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31BC508C"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206AD737"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3DCF0FFA"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4BA4D019"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0CD0269A"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28659B6B"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5D08178F"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1A7CB1ED" w14:textId="77777777" w:rsidR="002A4CE5" w:rsidRPr="001E3EEF" w:rsidRDefault="002A4CE5" w:rsidP="008E234D">
            <w:pPr>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2"/>
                <w:szCs w:val="16"/>
              </w:rPr>
            </w:pPr>
          </w:p>
        </w:tc>
      </w:tr>
      <w:tr w:rsidR="001E3EEF" w:rsidRPr="001E3EEF" w14:paraId="53D9F83B" w14:textId="77777777" w:rsidTr="001E3EEF">
        <w:trPr>
          <w:trHeight w:val="255"/>
          <w:jc w:val="center"/>
        </w:trPr>
        <w:tc>
          <w:tcPr>
            <w:cnfStyle w:val="001000000000" w:firstRow="0" w:lastRow="0" w:firstColumn="1" w:lastColumn="0" w:oddVBand="0" w:evenVBand="0" w:oddHBand="0" w:evenHBand="0" w:firstRowFirstColumn="0" w:firstRowLastColumn="0" w:lastRowFirstColumn="0" w:lastRowLastColumn="0"/>
            <w:tcW w:w="959" w:type="pct"/>
            <w:gridSpan w:val="3"/>
            <w:noWrap/>
            <w:hideMark/>
          </w:tcPr>
          <w:p w14:paraId="10250D65" w14:textId="77777777" w:rsidR="002A4CE5" w:rsidRPr="001E3EEF" w:rsidRDefault="002A4CE5" w:rsidP="008E234D">
            <w:pPr>
              <w:spacing w:line="240" w:lineRule="auto"/>
              <w:rPr>
                <w:rFonts w:ascii="Century Gothic" w:eastAsia="Times New Roman" w:hAnsi="Century Gothic" w:cs="Arial"/>
                <w:color w:val="000000"/>
                <w:sz w:val="12"/>
                <w:szCs w:val="16"/>
              </w:rPr>
            </w:pPr>
            <w:r w:rsidRPr="001E3EEF">
              <w:rPr>
                <w:rFonts w:ascii="Century Gothic" w:eastAsia="Times New Roman" w:hAnsi="Century Gothic" w:cs="Arial"/>
                <w:color w:val="000000"/>
                <w:sz w:val="12"/>
                <w:szCs w:val="16"/>
              </w:rPr>
              <w:t>[11] Equals [1] + [4] x [9]</w:t>
            </w:r>
          </w:p>
        </w:tc>
        <w:tc>
          <w:tcPr>
            <w:tcW w:w="461" w:type="pct"/>
            <w:noWrap/>
            <w:hideMark/>
          </w:tcPr>
          <w:p w14:paraId="787F8280"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12"/>
                <w:szCs w:val="16"/>
              </w:rPr>
            </w:pPr>
          </w:p>
        </w:tc>
        <w:tc>
          <w:tcPr>
            <w:tcW w:w="414" w:type="pct"/>
            <w:noWrap/>
            <w:hideMark/>
          </w:tcPr>
          <w:p w14:paraId="4EBE6C26"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2" w:type="pct"/>
            <w:noWrap/>
            <w:hideMark/>
          </w:tcPr>
          <w:p w14:paraId="7A47CD2F"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44" w:type="pct"/>
            <w:noWrap/>
            <w:hideMark/>
          </w:tcPr>
          <w:p w14:paraId="2F978D0B"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38" w:type="pct"/>
            <w:noWrap/>
            <w:hideMark/>
          </w:tcPr>
          <w:p w14:paraId="640ABA5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0A9B38D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7FDFF0B5"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3" w:type="pct"/>
            <w:noWrap/>
            <w:hideMark/>
          </w:tcPr>
          <w:p w14:paraId="4D224BD6"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414" w:type="pct"/>
            <w:noWrap/>
            <w:hideMark/>
          </w:tcPr>
          <w:p w14:paraId="37C422CA"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c>
          <w:tcPr>
            <w:tcW w:w="321" w:type="pct"/>
            <w:noWrap/>
            <w:hideMark/>
          </w:tcPr>
          <w:p w14:paraId="7A77753F" w14:textId="77777777" w:rsidR="002A4CE5" w:rsidRPr="001E3EEF" w:rsidRDefault="002A4CE5" w:rsidP="008E234D">
            <w:pPr>
              <w:spacing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2"/>
                <w:szCs w:val="16"/>
              </w:rPr>
            </w:pPr>
          </w:p>
        </w:tc>
      </w:tr>
    </w:tbl>
    <w:p w14:paraId="603F2E16" w14:textId="77777777" w:rsidR="0046643C" w:rsidRPr="001E3EEF" w:rsidRDefault="0046643C" w:rsidP="00D521BE">
      <w:pPr>
        <w:rPr>
          <w:rFonts w:ascii="Century Gothic" w:hAnsi="Century Gothic" w:cs="Times New Roman"/>
          <w:sz w:val="18"/>
        </w:rPr>
      </w:pPr>
    </w:p>
    <w:p w14:paraId="17DDC3E2" w14:textId="64A7B98C" w:rsidR="00360F0D" w:rsidRDefault="00360F0D" w:rsidP="00D521BE">
      <w:pPr>
        <w:rPr>
          <w:rFonts w:cs="Times New Roman"/>
        </w:rPr>
      </w:pPr>
      <w:r>
        <w:rPr>
          <w:rFonts w:cs="Times New Roman"/>
        </w:rPr>
        <w:t>We also</w:t>
      </w:r>
      <w:r w:rsidR="0046643C">
        <w:rPr>
          <w:rFonts w:cs="Times New Roman"/>
        </w:rPr>
        <w:t xml:space="preserve"> reviewed these results in light of stake</w:t>
      </w:r>
      <w:r>
        <w:rPr>
          <w:rFonts w:cs="Times New Roman"/>
        </w:rPr>
        <w:t xml:space="preserve">holder feedback about the appropriate peer group. </w:t>
      </w:r>
    </w:p>
    <w:p w14:paraId="13F776BB" w14:textId="0BF79112" w:rsidR="00360F0D" w:rsidRPr="002A4CE5" w:rsidRDefault="002A4CE5" w:rsidP="00D2628D">
      <w:pPr>
        <w:pStyle w:val="Caption"/>
      </w:pPr>
      <w:bookmarkStart w:id="55" w:name="_Toc465433450"/>
      <w:r>
        <w:lastRenderedPageBreak/>
        <w:t xml:space="preserve">Table </w:t>
      </w:r>
      <w:r w:rsidR="00FA6573">
        <w:fldChar w:fldCharType="begin"/>
      </w:r>
      <w:r w:rsidR="00FA6573">
        <w:instrText xml:space="preserve"> SEQ Table \* ARABIC </w:instrText>
      </w:r>
      <w:r w:rsidR="00FA6573">
        <w:fldChar w:fldCharType="separate"/>
      </w:r>
      <w:r w:rsidR="000637A3">
        <w:rPr>
          <w:noProof/>
        </w:rPr>
        <w:t>25</w:t>
      </w:r>
      <w:r w:rsidR="00FA6573">
        <w:rPr>
          <w:noProof/>
        </w:rPr>
        <w:fldChar w:fldCharType="end"/>
      </w:r>
      <w:r w:rsidR="00360F0D" w:rsidRPr="008E234D">
        <w:t xml:space="preserve">: </w:t>
      </w:r>
      <w:r w:rsidR="00360F0D" w:rsidRPr="002A4CE5">
        <w:t>Summary of CAPM Results by Alternative Peer Group</w:t>
      </w:r>
      <w:bookmarkEnd w:id="55"/>
    </w:p>
    <w:tbl>
      <w:tblPr>
        <w:tblW w:w="6465" w:type="dxa"/>
        <w:jc w:val="center"/>
        <w:tblLook w:val="04A0" w:firstRow="1" w:lastRow="0" w:firstColumn="1" w:lastColumn="0" w:noHBand="0" w:noVBand="1"/>
      </w:tblPr>
      <w:tblGrid>
        <w:gridCol w:w="976"/>
        <w:gridCol w:w="729"/>
        <w:gridCol w:w="1848"/>
        <w:gridCol w:w="955"/>
        <w:gridCol w:w="981"/>
        <w:gridCol w:w="976"/>
      </w:tblGrid>
      <w:tr w:rsidR="00360F0D" w:rsidRPr="00A44EF3" w14:paraId="3EF5A42E" w14:textId="77777777" w:rsidTr="003F67F7">
        <w:trPr>
          <w:trHeight w:val="255"/>
          <w:jc w:val="center"/>
        </w:trPr>
        <w:tc>
          <w:tcPr>
            <w:tcW w:w="976" w:type="dxa"/>
            <w:tcBorders>
              <w:top w:val="single" w:sz="4" w:space="0" w:color="auto"/>
              <w:left w:val="single" w:sz="4" w:space="0" w:color="auto"/>
              <w:bottom w:val="nil"/>
              <w:right w:val="nil"/>
            </w:tcBorders>
            <w:shd w:val="clear" w:color="auto" w:fill="auto"/>
            <w:noWrap/>
            <w:vAlign w:val="bottom"/>
            <w:hideMark/>
          </w:tcPr>
          <w:p w14:paraId="18E43BAB" w14:textId="77777777" w:rsidR="00360F0D" w:rsidRPr="001436DC" w:rsidRDefault="00360F0D" w:rsidP="00360F0D">
            <w:pPr>
              <w:spacing w:after="0" w:line="240" w:lineRule="auto"/>
              <w:jc w:val="left"/>
              <w:rPr>
                <w:rFonts w:ascii="Century Gothic" w:eastAsia="Times New Roman" w:hAnsi="Century Gothic" w:cs="Times New Roman"/>
                <w:sz w:val="24"/>
                <w:szCs w:val="24"/>
              </w:rPr>
            </w:pPr>
          </w:p>
        </w:tc>
        <w:tc>
          <w:tcPr>
            <w:tcW w:w="729" w:type="dxa"/>
            <w:tcBorders>
              <w:top w:val="single" w:sz="4" w:space="0" w:color="auto"/>
              <w:left w:val="nil"/>
              <w:bottom w:val="nil"/>
              <w:right w:val="nil"/>
            </w:tcBorders>
            <w:shd w:val="clear" w:color="auto" w:fill="auto"/>
            <w:noWrap/>
            <w:vAlign w:val="bottom"/>
            <w:hideMark/>
          </w:tcPr>
          <w:p w14:paraId="06D1C1B4"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1848" w:type="dxa"/>
            <w:tcBorders>
              <w:top w:val="single" w:sz="4" w:space="0" w:color="auto"/>
              <w:left w:val="nil"/>
              <w:bottom w:val="nil"/>
              <w:right w:val="nil"/>
            </w:tcBorders>
            <w:shd w:val="clear" w:color="auto" w:fill="auto"/>
            <w:noWrap/>
            <w:vAlign w:val="bottom"/>
            <w:hideMark/>
          </w:tcPr>
          <w:p w14:paraId="3800BACE"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1936" w:type="dxa"/>
            <w:gridSpan w:val="2"/>
            <w:tcBorders>
              <w:top w:val="single" w:sz="4" w:space="0" w:color="auto"/>
              <w:left w:val="nil"/>
              <w:bottom w:val="single" w:sz="4" w:space="0" w:color="auto"/>
              <w:right w:val="nil"/>
            </w:tcBorders>
            <w:shd w:val="clear" w:color="auto" w:fill="auto"/>
            <w:noWrap/>
            <w:vAlign w:val="bottom"/>
            <w:hideMark/>
          </w:tcPr>
          <w:p w14:paraId="0F0B5551" w14:textId="77777777" w:rsidR="00360F0D" w:rsidRPr="001436DC" w:rsidRDefault="00360F0D" w:rsidP="00360F0D">
            <w:pPr>
              <w:spacing w:after="0" w:line="240" w:lineRule="auto"/>
              <w:jc w:val="center"/>
              <w:rPr>
                <w:rFonts w:ascii="Century Gothic" w:eastAsia="Times New Roman" w:hAnsi="Century Gothic" w:cs="Arial"/>
                <w:sz w:val="16"/>
                <w:szCs w:val="16"/>
              </w:rPr>
            </w:pPr>
            <w:r w:rsidRPr="001436DC">
              <w:rPr>
                <w:rFonts w:ascii="Century Gothic" w:eastAsia="Times New Roman" w:hAnsi="Century Gothic" w:cs="Arial"/>
                <w:sz w:val="16"/>
                <w:szCs w:val="16"/>
              </w:rPr>
              <w:t>ROE based on…</w:t>
            </w:r>
          </w:p>
        </w:tc>
        <w:tc>
          <w:tcPr>
            <w:tcW w:w="976" w:type="dxa"/>
            <w:tcBorders>
              <w:top w:val="single" w:sz="4" w:space="0" w:color="auto"/>
              <w:left w:val="nil"/>
              <w:bottom w:val="nil"/>
              <w:right w:val="single" w:sz="4" w:space="0" w:color="auto"/>
            </w:tcBorders>
            <w:shd w:val="clear" w:color="auto" w:fill="auto"/>
            <w:noWrap/>
            <w:vAlign w:val="bottom"/>
            <w:hideMark/>
          </w:tcPr>
          <w:p w14:paraId="40D4CE28" w14:textId="77777777" w:rsidR="00360F0D" w:rsidRPr="001436DC" w:rsidRDefault="00360F0D" w:rsidP="00360F0D">
            <w:pPr>
              <w:spacing w:after="0" w:line="240" w:lineRule="auto"/>
              <w:jc w:val="center"/>
              <w:rPr>
                <w:rFonts w:ascii="Century Gothic" w:eastAsia="Times New Roman" w:hAnsi="Century Gothic" w:cs="Arial"/>
                <w:sz w:val="16"/>
                <w:szCs w:val="16"/>
              </w:rPr>
            </w:pPr>
          </w:p>
        </w:tc>
      </w:tr>
      <w:tr w:rsidR="00360F0D" w:rsidRPr="00A44EF3" w14:paraId="61B3C606" w14:textId="77777777" w:rsidTr="003F67F7">
        <w:trPr>
          <w:trHeight w:val="255"/>
          <w:jc w:val="center"/>
        </w:trPr>
        <w:tc>
          <w:tcPr>
            <w:tcW w:w="976" w:type="dxa"/>
            <w:tcBorders>
              <w:top w:val="nil"/>
              <w:left w:val="single" w:sz="4" w:space="0" w:color="auto"/>
              <w:bottom w:val="nil"/>
              <w:right w:val="nil"/>
            </w:tcBorders>
            <w:shd w:val="clear" w:color="auto" w:fill="auto"/>
            <w:noWrap/>
            <w:vAlign w:val="bottom"/>
            <w:hideMark/>
          </w:tcPr>
          <w:p w14:paraId="70A855C5"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729" w:type="dxa"/>
            <w:tcBorders>
              <w:top w:val="nil"/>
              <w:left w:val="nil"/>
              <w:bottom w:val="nil"/>
              <w:right w:val="nil"/>
            </w:tcBorders>
            <w:shd w:val="clear" w:color="auto" w:fill="auto"/>
            <w:noWrap/>
            <w:vAlign w:val="bottom"/>
            <w:hideMark/>
          </w:tcPr>
          <w:p w14:paraId="04EF5756"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1848" w:type="dxa"/>
            <w:tcBorders>
              <w:top w:val="nil"/>
              <w:left w:val="nil"/>
              <w:bottom w:val="nil"/>
              <w:right w:val="nil"/>
            </w:tcBorders>
            <w:shd w:val="clear" w:color="auto" w:fill="auto"/>
            <w:noWrap/>
            <w:vAlign w:val="bottom"/>
            <w:hideMark/>
          </w:tcPr>
          <w:p w14:paraId="6CF63FF4"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55" w:type="dxa"/>
            <w:tcBorders>
              <w:top w:val="nil"/>
              <w:left w:val="nil"/>
              <w:bottom w:val="nil"/>
              <w:right w:val="nil"/>
            </w:tcBorders>
            <w:shd w:val="clear" w:color="auto" w:fill="auto"/>
            <w:noWrap/>
            <w:vAlign w:val="bottom"/>
            <w:hideMark/>
          </w:tcPr>
          <w:p w14:paraId="3E0058F2" w14:textId="77777777" w:rsidR="00360F0D" w:rsidRPr="001436DC" w:rsidRDefault="00360F0D" w:rsidP="00360F0D">
            <w:pPr>
              <w:spacing w:after="0" w:line="240" w:lineRule="auto"/>
              <w:jc w:val="center"/>
              <w:rPr>
                <w:rFonts w:ascii="Century Gothic" w:eastAsia="Times New Roman" w:hAnsi="Century Gothic" w:cs="Arial"/>
                <w:sz w:val="16"/>
                <w:szCs w:val="16"/>
              </w:rPr>
            </w:pPr>
            <w:r w:rsidRPr="001436DC">
              <w:rPr>
                <w:rFonts w:ascii="Century Gothic" w:eastAsia="Times New Roman" w:hAnsi="Century Gothic" w:cs="Arial"/>
                <w:sz w:val="16"/>
                <w:szCs w:val="16"/>
              </w:rPr>
              <w:t>Historical</w:t>
            </w:r>
          </w:p>
        </w:tc>
        <w:tc>
          <w:tcPr>
            <w:tcW w:w="981" w:type="dxa"/>
            <w:tcBorders>
              <w:top w:val="nil"/>
              <w:left w:val="nil"/>
              <w:bottom w:val="nil"/>
              <w:right w:val="nil"/>
            </w:tcBorders>
            <w:shd w:val="clear" w:color="auto" w:fill="auto"/>
            <w:noWrap/>
            <w:vAlign w:val="bottom"/>
            <w:hideMark/>
          </w:tcPr>
          <w:p w14:paraId="2E610592" w14:textId="77777777" w:rsidR="00360F0D" w:rsidRPr="001436DC" w:rsidRDefault="00360F0D" w:rsidP="00360F0D">
            <w:pPr>
              <w:spacing w:after="0" w:line="240" w:lineRule="auto"/>
              <w:jc w:val="center"/>
              <w:rPr>
                <w:rFonts w:ascii="Century Gothic" w:eastAsia="Times New Roman" w:hAnsi="Century Gothic" w:cs="Arial"/>
                <w:sz w:val="16"/>
                <w:szCs w:val="16"/>
              </w:rPr>
            </w:pPr>
            <w:r w:rsidRPr="001436DC">
              <w:rPr>
                <w:rFonts w:ascii="Century Gothic" w:eastAsia="Times New Roman" w:hAnsi="Century Gothic" w:cs="Arial"/>
                <w:sz w:val="16"/>
                <w:szCs w:val="16"/>
              </w:rPr>
              <w:t>Projected</w:t>
            </w:r>
          </w:p>
        </w:tc>
        <w:tc>
          <w:tcPr>
            <w:tcW w:w="976" w:type="dxa"/>
            <w:tcBorders>
              <w:top w:val="nil"/>
              <w:left w:val="nil"/>
              <w:bottom w:val="nil"/>
              <w:right w:val="single" w:sz="4" w:space="0" w:color="auto"/>
            </w:tcBorders>
            <w:shd w:val="clear" w:color="auto" w:fill="auto"/>
            <w:noWrap/>
            <w:vAlign w:val="bottom"/>
            <w:hideMark/>
          </w:tcPr>
          <w:p w14:paraId="5B1F7AB8" w14:textId="77777777" w:rsidR="00360F0D" w:rsidRPr="001436DC" w:rsidRDefault="00360F0D" w:rsidP="00360F0D">
            <w:pPr>
              <w:spacing w:after="0" w:line="240" w:lineRule="auto"/>
              <w:jc w:val="center"/>
              <w:rPr>
                <w:rFonts w:ascii="Century Gothic" w:eastAsia="Times New Roman" w:hAnsi="Century Gothic" w:cs="Arial"/>
                <w:sz w:val="16"/>
                <w:szCs w:val="16"/>
              </w:rPr>
            </w:pPr>
          </w:p>
        </w:tc>
      </w:tr>
      <w:tr w:rsidR="00360F0D" w:rsidRPr="00A44EF3" w14:paraId="70070539" w14:textId="77777777" w:rsidTr="003F67F7">
        <w:trPr>
          <w:trHeight w:val="255"/>
          <w:jc w:val="center"/>
        </w:trPr>
        <w:tc>
          <w:tcPr>
            <w:tcW w:w="976" w:type="dxa"/>
            <w:tcBorders>
              <w:top w:val="nil"/>
              <w:left w:val="single" w:sz="4" w:space="0" w:color="auto"/>
              <w:bottom w:val="nil"/>
              <w:right w:val="nil"/>
            </w:tcBorders>
            <w:shd w:val="clear" w:color="auto" w:fill="auto"/>
            <w:noWrap/>
            <w:vAlign w:val="bottom"/>
            <w:hideMark/>
          </w:tcPr>
          <w:p w14:paraId="48C0C492" w14:textId="5C50C633" w:rsidR="00360F0D" w:rsidRPr="001436DC" w:rsidRDefault="00BE36FB" w:rsidP="00360F0D">
            <w:pPr>
              <w:spacing w:after="0" w:line="240" w:lineRule="auto"/>
              <w:jc w:val="left"/>
              <w:rPr>
                <w:rFonts w:ascii="Century Gothic" w:eastAsia="Times New Roman" w:hAnsi="Century Gothic" w:cs="Times New Roman"/>
                <w:sz w:val="20"/>
                <w:szCs w:val="20"/>
              </w:rPr>
            </w:pPr>
            <w:r w:rsidRPr="001436DC">
              <w:rPr>
                <w:rFonts w:ascii="Century Gothic" w:eastAsia="Times New Roman" w:hAnsi="Century Gothic" w:cs="Times New Roman"/>
                <w:sz w:val="20"/>
                <w:szCs w:val="20"/>
              </w:rPr>
              <w:t>Risk-free Rate</w:t>
            </w:r>
          </w:p>
        </w:tc>
        <w:tc>
          <w:tcPr>
            <w:tcW w:w="729" w:type="dxa"/>
            <w:tcBorders>
              <w:top w:val="nil"/>
              <w:left w:val="nil"/>
              <w:bottom w:val="nil"/>
              <w:right w:val="nil"/>
            </w:tcBorders>
            <w:shd w:val="clear" w:color="auto" w:fill="auto"/>
            <w:noWrap/>
            <w:vAlign w:val="bottom"/>
            <w:hideMark/>
          </w:tcPr>
          <w:p w14:paraId="26420090"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1848" w:type="dxa"/>
            <w:tcBorders>
              <w:top w:val="nil"/>
              <w:left w:val="nil"/>
              <w:bottom w:val="nil"/>
              <w:right w:val="nil"/>
            </w:tcBorders>
            <w:shd w:val="clear" w:color="auto" w:fill="auto"/>
            <w:noWrap/>
            <w:vAlign w:val="bottom"/>
            <w:hideMark/>
          </w:tcPr>
          <w:p w14:paraId="4D1C60E4"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55" w:type="dxa"/>
            <w:tcBorders>
              <w:top w:val="nil"/>
              <w:left w:val="nil"/>
              <w:bottom w:val="single" w:sz="4" w:space="0" w:color="auto"/>
              <w:right w:val="nil"/>
            </w:tcBorders>
            <w:shd w:val="clear" w:color="auto" w:fill="auto"/>
            <w:noWrap/>
            <w:vAlign w:val="bottom"/>
            <w:hideMark/>
          </w:tcPr>
          <w:p w14:paraId="54BDD6BB" w14:textId="77777777" w:rsidR="00360F0D" w:rsidRPr="001436DC" w:rsidRDefault="00360F0D" w:rsidP="00360F0D">
            <w:pPr>
              <w:spacing w:after="0" w:line="240" w:lineRule="auto"/>
              <w:jc w:val="center"/>
              <w:rPr>
                <w:rFonts w:ascii="Century Gothic" w:eastAsia="Times New Roman" w:hAnsi="Century Gothic" w:cs="Arial"/>
                <w:sz w:val="16"/>
                <w:szCs w:val="16"/>
              </w:rPr>
            </w:pPr>
            <w:r w:rsidRPr="001436DC">
              <w:rPr>
                <w:rFonts w:ascii="Century Gothic" w:eastAsia="Times New Roman" w:hAnsi="Century Gothic" w:cs="Arial"/>
                <w:sz w:val="16"/>
                <w:szCs w:val="16"/>
              </w:rPr>
              <w:t>MRP</w:t>
            </w:r>
          </w:p>
        </w:tc>
        <w:tc>
          <w:tcPr>
            <w:tcW w:w="981" w:type="dxa"/>
            <w:tcBorders>
              <w:top w:val="nil"/>
              <w:left w:val="nil"/>
              <w:bottom w:val="single" w:sz="4" w:space="0" w:color="auto"/>
              <w:right w:val="nil"/>
            </w:tcBorders>
            <w:shd w:val="clear" w:color="auto" w:fill="auto"/>
            <w:noWrap/>
            <w:vAlign w:val="bottom"/>
            <w:hideMark/>
          </w:tcPr>
          <w:p w14:paraId="11E39DDA" w14:textId="77777777" w:rsidR="00360F0D" w:rsidRPr="001436DC" w:rsidRDefault="00360F0D" w:rsidP="00360F0D">
            <w:pPr>
              <w:spacing w:after="0" w:line="240" w:lineRule="auto"/>
              <w:jc w:val="center"/>
              <w:rPr>
                <w:rFonts w:ascii="Century Gothic" w:eastAsia="Times New Roman" w:hAnsi="Century Gothic" w:cs="Arial"/>
                <w:sz w:val="16"/>
                <w:szCs w:val="16"/>
              </w:rPr>
            </w:pPr>
            <w:r w:rsidRPr="001436DC">
              <w:rPr>
                <w:rFonts w:ascii="Century Gothic" w:eastAsia="Times New Roman" w:hAnsi="Century Gothic" w:cs="Arial"/>
                <w:sz w:val="16"/>
                <w:szCs w:val="16"/>
              </w:rPr>
              <w:t>MRP</w:t>
            </w:r>
          </w:p>
        </w:tc>
        <w:tc>
          <w:tcPr>
            <w:tcW w:w="976" w:type="dxa"/>
            <w:tcBorders>
              <w:top w:val="nil"/>
              <w:left w:val="nil"/>
              <w:bottom w:val="single" w:sz="4" w:space="0" w:color="auto"/>
              <w:right w:val="single" w:sz="4" w:space="0" w:color="auto"/>
            </w:tcBorders>
            <w:shd w:val="clear" w:color="auto" w:fill="auto"/>
            <w:noWrap/>
            <w:vAlign w:val="bottom"/>
            <w:hideMark/>
          </w:tcPr>
          <w:p w14:paraId="642B6678" w14:textId="77777777" w:rsidR="00360F0D" w:rsidRPr="001436DC" w:rsidRDefault="00360F0D" w:rsidP="00360F0D">
            <w:pPr>
              <w:spacing w:after="0" w:line="240" w:lineRule="auto"/>
              <w:jc w:val="center"/>
              <w:rPr>
                <w:rFonts w:ascii="Century Gothic" w:eastAsia="Times New Roman" w:hAnsi="Century Gothic" w:cs="Arial"/>
                <w:sz w:val="16"/>
                <w:szCs w:val="16"/>
              </w:rPr>
            </w:pPr>
            <w:r w:rsidRPr="001436DC">
              <w:rPr>
                <w:rFonts w:ascii="Century Gothic" w:eastAsia="Times New Roman" w:hAnsi="Century Gothic" w:cs="Arial"/>
                <w:sz w:val="16"/>
                <w:szCs w:val="16"/>
              </w:rPr>
              <w:t>Average</w:t>
            </w:r>
          </w:p>
        </w:tc>
      </w:tr>
      <w:tr w:rsidR="00360F0D" w:rsidRPr="00A44EF3" w14:paraId="6CA4FA2B" w14:textId="77777777" w:rsidTr="003F67F7">
        <w:trPr>
          <w:trHeight w:val="255"/>
          <w:jc w:val="center"/>
        </w:trPr>
        <w:tc>
          <w:tcPr>
            <w:tcW w:w="976" w:type="dxa"/>
            <w:tcBorders>
              <w:top w:val="nil"/>
              <w:left w:val="single" w:sz="4" w:space="0" w:color="auto"/>
              <w:bottom w:val="nil"/>
              <w:right w:val="nil"/>
            </w:tcBorders>
            <w:shd w:val="clear" w:color="auto" w:fill="auto"/>
            <w:noWrap/>
            <w:vAlign w:val="center"/>
            <w:hideMark/>
          </w:tcPr>
          <w:p w14:paraId="586050AB" w14:textId="77777777" w:rsidR="00360F0D" w:rsidRPr="001436DC" w:rsidRDefault="00360F0D" w:rsidP="00360F0D">
            <w:pPr>
              <w:spacing w:after="0" w:line="240" w:lineRule="auto"/>
              <w:jc w:val="center"/>
              <w:rPr>
                <w:rFonts w:ascii="Century Gothic" w:eastAsia="Times New Roman" w:hAnsi="Century Gothic" w:cs="Arial"/>
                <w:sz w:val="16"/>
                <w:szCs w:val="16"/>
              </w:rPr>
            </w:pPr>
          </w:p>
        </w:tc>
        <w:tc>
          <w:tcPr>
            <w:tcW w:w="729" w:type="dxa"/>
            <w:tcBorders>
              <w:top w:val="nil"/>
              <w:left w:val="nil"/>
              <w:bottom w:val="nil"/>
              <w:right w:val="nil"/>
            </w:tcBorders>
            <w:shd w:val="clear" w:color="auto" w:fill="auto"/>
            <w:noWrap/>
            <w:vAlign w:val="bottom"/>
            <w:hideMark/>
          </w:tcPr>
          <w:p w14:paraId="02039ECB"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1848" w:type="dxa"/>
            <w:tcBorders>
              <w:top w:val="nil"/>
              <w:left w:val="nil"/>
              <w:bottom w:val="nil"/>
              <w:right w:val="nil"/>
            </w:tcBorders>
            <w:shd w:val="clear" w:color="auto" w:fill="auto"/>
            <w:noWrap/>
            <w:vAlign w:val="bottom"/>
            <w:hideMark/>
          </w:tcPr>
          <w:p w14:paraId="5FEF9016"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55" w:type="dxa"/>
            <w:tcBorders>
              <w:top w:val="nil"/>
              <w:left w:val="nil"/>
              <w:bottom w:val="nil"/>
              <w:right w:val="nil"/>
            </w:tcBorders>
            <w:shd w:val="clear" w:color="auto" w:fill="auto"/>
            <w:noWrap/>
            <w:vAlign w:val="bottom"/>
            <w:hideMark/>
          </w:tcPr>
          <w:p w14:paraId="04777AA2"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81" w:type="dxa"/>
            <w:tcBorders>
              <w:top w:val="nil"/>
              <w:left w:val="nil"/>
              <w:bottom w:val="nil"/>
              <w:right w:val="nil"/>
            </w:tcBorders>
            <w:shd w:val="clear" w:color="auto" w:fill="auto"/>
            <w:noWrap/>
            <w:vAlign w:val="bottom"/>
            <w:hideMark/>
          </w:tcPr>
          <w:p w14:paraId="76A84CC6"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76" w:type="dxa"/>
            <w:tcBorders>
              <w:top w:val="nil"/>
              <w:left w:val="nil"/>
              <w:bottom w:val="nil"/>
              <w:right w:val="single" w:sz="4" w:space="0" w:color="auto"/>
            </w:tcBorders>
            <w:shd w:val="clear" w:color="auto" w:fill="auto"/>
            <w:noWrap/>
            <w:vAlign w:val="bottom"/>
            <w:hideMark/>
          </w:tcPr>
          <w:p w14:paraId="3196436A"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r>
      <w:tr w:rsidR="00360F0D" w:rsidRPr="00A44EF3" w14:paraId="34C56AD7" w14:textId="77777777" w:rsidTr="003F67F7">
        <w:trPr>
          <w:trHeight w:val="255"/>
          <w:jc w:val="center"/>
        </w:trPr>
        <w:tc>
          <w:tcPr>
            <w:tcW w:w="976" w:type="dxa"/>
            <w:vMerge w:val="restart"/>
            <w:tcBorders>
              <w:top w:val="single" w:sz="4" w:space="0" w:color="auto"/>
              <w:left w:val="single" w:sz="4" w:space="0" w:color="auto"/>
              <w:bottom w:val="single" w:sz="4" w:space="0" w:color="000000"/>
              <w:right w:val="nil"/>
            </w:tcBorders>
            <w:shd w:val="clear" w:color="auto" w:fill="auto"/>
            <w:vAlign w:val="center"/>
            <w:hideMark/>
          </w:tcPr>
          <w:p w14:paraId="101E3A76" w14:textId="77777777" w:rsidR="00360F0D" w:rsidRPr="001436DC" w:rsidRDefault="00360F0D" w:rsidP="00360F0D">
            <w:pPr>
              <w:spacing w:after="0" w:line="240" w:lineRule="auto"/>
              <w:jc w:val="center"/>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Treasury 30-yr</w:t>
            </w:r>
          </w:p>
        </w:tc>
        <w:tc>
          <w:tcPr>
            <w:tcW w:w="729" w:type="dxa"/>
            <w:tcBorders>
              <w:top w:val="single" w:sz="4" w:space="0" w:color="auto"/>
              <w:left w:val="nil"/>
              <w:bottom w:val="nil"/>
              <w:right w:val="nil"/>
            </w:tcBorders>
            <w:shd w:val="clear" w:color="auto" w:fill="auto"/>
            <w:noWrap/>
            <w:vAlign w:val="bottom"/>
            <w:hideMark/>
          </w:tcPr>
          <w:p w14:paraId="72B577A3" w14:textId="77777777" w:rsidR="00360F0D" w:rsidRPr="001436DC" w:rsidRDefault="00360F0D" w:rsidP="00360F0D">
            <w:pPr>
              <w:spacing w:after="0" w:line="240" w:lineRule="auto"/>
              <w:jc w:val="lef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w:t>
            </w:r>
          </w:p>
        </w:tc>
        <w:tc>
          <w:tcPr>
            <w:tcW w:w="1848" w:type="dxa"/>
            <w:tcBorders>
              <w:top w:val="single" w:sz="4" w:space="0" w:color="auto"/>
              <w:left w:val="nil"/>
              <w:bottom w:val="nil"/>
              <w:right w:val="nil"/>
            </w:tcBorders>
            <w:shd w:val="clear" w:color="auto" w:fill="auto"/>
            <w:noWrap/>
            <w:vAlign w:val="bottom"/>
            <w:hideMark/>
          </w:tcPr>
          <w:p w14:paraId="36BB9FF3"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All</w:t>
            </w:r>
          </w:p>
        </w:tc>
        <w:tc>
          <w:tcPr>
            <w:tcW w:w="955" w:type="dxa"/>
            <w:tcBorders>
              <w:top w:val="single" w:sz="4" w:space="0" w:color="auto"/>
              <w:left w:val="nil"/>
              <w:bottom w:val="nil"/>
              <w:right w:val="nil"/>
            </w:tcBorders>
            <w:shd w:val="clear" w:color="auto" w:fill="auto"/>
            <w:noWrap/>
            <w:vAlign w:val="bottom"/>
            <w:hideMark/>
          </w:tcPr>
          <w:p w14:paraId="56F4114E"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9.43%</w:t>
            </w:r>
          </w:p>
        </w:tc>
        <w:tc>
          <w:tcPr>
            <w:tcW w:w="981" w:type="dxa"/>
            <w:tcBorders>
              <w:top w:val="single" w:sz="4" w:space="0" w:color="auto"/>
              <w:left w:val="nil"/>
              <w:bottom w:val="nil"/>
              <w:right w:val="nil"/>
            </w:tcBorders>
            <w:shd w:val="clear" w:color="auto" w:fill="auto"/>
            <w:noWrap/>
            <w:vAlign w:val="bottom"/>
            <w:hideMark/>
          </w:tcPr>
          <w:p w14:paraId="6C48C9FB"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13.15%</w:t>
            </w:r>
          </w:p>
        </w:tc>
        <w:tc>
          <w:tcPr>
            <w:tcW w:w="976" w:type="dxa"/>
            <w:tcBorders>
              <w:top w:val="single" w:sz="4" w:space="0" w:color="auto"/>
              <w:left w:val="nil"/>
              <w:bottom w:val="nil"/>
              <w:right w:val="single" w:sz="4" w:space="0" w:color="auto"/>
            </w:tcBorders>
            <w:shd w:val="clear" w:color="auto" w:fill="auto"/>
            <w:noWrap/>
            <w:vAlign w:val="bottom"/>
            <w:hideMark/>
          </w:tcPr>
          <w:p w14:paraId="3F798A8F"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11.29%</w:t>
            </w:r>
          </w:p>
        </w:tc>
      </w:tr>
      <w:tr w:rsidR="00360F0D" w:rsidRPr="00A44EF3" w14:paraId="6881B032" w14:textId="77777777" w:rsidTr="003F67F7">
        <w:trPr>
          <w:trHeight w:val="255"/>
          <w:jc w:val="center"/>
        </w:trPr>
        <w:tc>
          <w:tcPr>
            <w:tcW w:w="976" w:type="dxa"/>
            <w:vMerge/>
            <w:tcBorders>
              <w:top w:val="single" w:sz="4" w:space="0" w:color="auto"/>
              <w:left w:val="single" w:sz="4" w:space="0" w:color="auto"/>
              <w:bottom w:val="single" w:sz="4" w:space="0" w:color="000000"/>
              <w:right w:val="nil"/>
            </w:tcBorders>
            <w:vAlign w:val="center"/>
            <w:hideMark/>
          </w:tcPr>
          <w:p w14:paraId="14A07A3F" w14:textId="77777777" w:rsidR="00360F0D" w:rsidRPr="001436DC" w:rsidRDefault="00360F0D" w:rsidP="00360F0D">
            <w:pPr>
              <w:spacing w:after="0" w:line="240" w:lineRule="auto"/>
              <w:jc w:val="left"/>
              <w:rPr>
                <w:rFonts w:ascii="Century Gothic" w:eastAsia="Times New Roman" w:hAnsi="Century Gothic" w:cs="Arial"/>
                <w:b/>
                <w:bCs/>
                <w:sz w:val="16"/>
                <w:szCs w:val="16"/>
              </w:rPr>
            </w:pPr>
          </w:p>
        </w:tc>
        <w:tc>
          <w:tcPr>
            <w:tcW w:w="729" w:type="dxa"/>
            <w:tcBorders>
              <w:top w:val="nil"/>
              <w:left w:val="nil"/>
              <w:bottom w:val="nil"/>
              <w:right w:val="nil"/>
            </w:tcBorders>
            <w:shd w:val="clear" w:color="auto" w:fill="auto"/>
            <w:noWrap/>
            <w:vAlign w:val="bottom"/>
            <w:hideMark/>
          </w:tcPr>
          <w:p w14:paraId="6B7E88F1" w14:textId="77777777" w:rsidR="00360F0D" w:rsidRPr="001436DC" w:rsidRDefault="00360F0D" w:rsidP="00360F0D">
            <w:pPr>
              <w:spacing w:after="0" w:line="240" w:lineRule="auto"/>
              <w:jc w:val="right"/>
              <w:rPr>
                <w:rFonts w:ascii="Century Gothic" w:eastAsia="Times New Roman" w:hAnsi="Century Gothic" w:cs="Arial"/>
                <w:sz w:val="16"/>
                <w:szCs w:val="16"/>
              </w:rPr>
            </w:pPr>
          </w:p>
        </w:tc>
        <w:tc>
          <w:tcPr>
            <w:tcW w:w="1848" w:type="dxa"/>
            <w:tcBorders>
              <w:top w:val="nil"/>
              <w:left w:val="nil"/>
              <w:bottom w:val="nil"/>
              <w:right w:val="nil"/>
            </w:tcBorders>
            <w:shd w:val="clear" w:color="auto" w:fill="auto"/>
            <w:noWrap/>
            <w:vAlign w:val="bottom"/>
            <w:hideMark/>
          </w:tcPr>
          <w:p w14:paraId="70587F62"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CPN, DYN, NRG, TLN</w:t>
            </w:r>
          </w:p>
        </w:tc>
        <w:tc>
          <w:tcPr>
            <w:tcW w:w="955" w:type="dxa"/>
            <w:tcBorders>
              <w:top w:val="nil"/>
              <w:left w:val="nil"/>
              <w:bottom w:val="nil"/>
              <w:right w:val="nil"/>
            </w:tcBorders>
            <w:shd w:val="clear" w:color="auto" w:fill="auto"/>
            <w:noWrap/>
            <w:vAlign w:val="bottom"/>
            <w:hideMark/>
          </w:tcPr>
          <w:p w14:paraId="0E1BB9EE"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9.68%</w:t>
            </w:r>
          </w:p>
        </w:tc>
        <w:tc>
          <w:tcPr>
            <w:tcW w:w="981" w:type="dxa"/>
            <w:tcBorders>
              <w:top w:val="nil"/>
              <w:left w:val="nil"/>
              <w:bottom w:val="nil"/>
              <w:right w:val="nil"/>
            </w:tcBorders>
            <w:shd w:val="clear" w:color="auto" w:fill="auto"/>
            <w:noWrap/>
            <w:vAlign w:val="bottom"/>
            <w:hideMark/>
          </w:tcPr>
          <w:p w14:paraId="58B8A585"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13.52%</w:t>
            </w:r>
          </w:p>
        </w:tc>
        <w:tc>
          <w:tcPr>
            <w:tcW w:w="976" w:type="dxa"/>
            <w:tcBorders>
              <w:top w:val="nil"/>
              <w:left w:val="nil"/>
              <w:bottom w:val="nil"/>
              <w:right w:val="single" w:sz="4" w:space="0" w:color="auto"/>
            </w:tcBorders>
            <w:shd w:val="clear" w:color="auto" w:fill="auto"/>
            <w:noWrap/>
            <w:vAlign w:val="bottom"/>
            <w:hideMark/>
          </w:tcPr>
          <w:p w14:paraId="3EB2B2C9" w14:textId="77777777" w:rsidR="00360F0D" w:rsidRPr="001436DC" w:rsidRDefault="00360F0D" w:rsidP="00360F0D">
            <w:pPr>
              <w:spacing w:after="0" w:line="240" w:lineRule="auto"/>
              <w:jc w:val="righ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11.60%</w:t>
            </w:r>
          </w:p>
        </w:tc>
      </w:tr>
      <w:tr w:rsidR="00360F0D" w:rsidRPr="00A44EF3" w14:paraId="370113A8" w14:textId="77777777" w:rsidTr="003F67F7">
        <w:trPr>
          <w:trHeight w:val="255"/>
          <w:jc w:val="center"/>
        </w:trPr>
        <w:tc>
          <w:tcPr>
            <w:tcW w:w="976" w:type="dxa"/>
            <w:vMerge/>
            <w:tcBorders>
              <w:top w:val="single" w:sz="4" w:space="0" w:color="auto"/>
              <w:left w:val="single" w:sz="4" w:space="0" w:color="auto"/>
              <w:bottom w:val="single" w:sz="4" w:space="0" w:color="000000"/>
              <w:right w:val="nil"/>
            </w:tcBorders>
            <w:vAlign w:val="center"/>
            <w:hideMark/>
          </w:tcPr>
          <w:p w14:paraId="52514C93" w14:textId="77777777" w:rsidR="00360F0D" w:rsidRPr="001436DC" w:rsidRDefault="00360F0D" w:rsidP="00360F0D">
            <w:pPr>
              <w:spacing w:after="0" w:line="240" w:lineRule="auto"/>
              <w:jc w:val="left"/>
              <w:rPr>
                <w:rFonts w:ascii="Century Gothic" w:eastAsia="Times New Roman" w:hAnsi="Century Gothic" w:cs="Arial"/>
                <w:b/>
                <w:bCs/>
                <w:sz w:val="16"/>
                <w:szCs w:val="16"/>
              </w:rPr>
            </w:pPr>
          </w:p>
        </w:tc>
        <w:tc>
          <w:tcPr>
            <w:tcW w:w="729" w:type="dxa"/>
            <w:tcBorders>
              <w:top w:val="nil"/>
              <w:left w:val="nil"/>
              <w:bottom w:val="single" w:sz="4" w:space="0" w:color="auto"/>
              <w:right w:val="nil"/>
            </w:tcBorders>
            <w:shd w:val="clear" w:color="auto" w:fill="auto"/>
            <w:noWrap/>
            <w:vAlign w:val="bottom"/>
            <w:hideMark/>
          </w:tcPr>
          <w:p w14:paraId="13F37826" w14:textId="77777777" w:rsidR="00360F0D" w:rsidRPr="001436DC" w:rsidRDefault="00360F0D" w:rsidP="00360F0D">
            <w:pPr>
              <w:spacing w:after="0" w:line="240" w:lineRule="auto"/>
              <w:jc w:val="lef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w:t>
            </w:r>
          </w:p>
        </w:tc>
        <w:tc>
          <w:tcPr>
            <w:tcW w:w="1848" w:type="dxa"/>
            <w:tcBorders>
              <w:top w:val="nil"/>
              <w:left w:val="nil"/>
              <w:bottom w:val="single" w:sz="4" w:space="0" w:color="auto"/>
              <w:right w:val="nil"/>
            </w:tcBorders>
            <w:shd w:val="clear" w:color="auto" w:fill="auto"/>
            <w:noWrap/>
            <w:vAlign w:val="bottom"/>
            <w:hideMark/>
          </w:tcPr>
          <w:p w14:paraId="7E550DFC"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CPN, DYN, NRG</w:t>
            </w:r>
          </w:p>
        </w:tc>
        <w:tc>
          <w:tcPr>
            <w:tcW w:w="955" w:type="dxa"/>
            <w:tcBorders>
              <w:top w:val="nil"/>
              <w:left w:val="nil"/>
              <w:bottom w:val="single" w:sz="4" w:space="0" w:color="auto"/>
              <w:right w:val="nil"/>
            </w:tcBorders>
            <w:shd w:val="clear" w:color="auto" w:fill="auto"/>
            <w:noWrap/>
            <w:vAlign w:val="bottom"/>
            <w:hideMark/>
          </w:tcPr>
          <w:p w14:paraId="200687FE"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9.70%</w:t>
            </w:r>
          </w:p>
        </w:tc>
        <w:tc>
          <w:tcPr>
            <w:tcW w:w="981" w:type="dxa"/>
            <w:tcBorders>
              <w:top w:val="nil"/>
              <w:left w:val="nil"/>
              <w:bottom w:val="single" w:sz="4" w:space="0" w:color="auto"/>
              <w:right w:val="nil"/>
            </w:tcBorders>
            <w:shd w:val="clear" w:color="auto" w:fill="auto"/>
            <w:noWrap/>
            <w:vAlign w:val="bottom"/>
            <w:hideMark/>
          </w:tcPr>
          <w:p w14:paraId="359BD019"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13.55%</w:t>
            </w:r>
          </w:p>
        </w:tc>
        <w:tc>
          <w:tcPr>
            <w:tcW w:w="976" w:type="dxa"/>
            <w:tcBorders>
              <w:top w:val="nil"/>
              <w:left w:val="nil"/>
              <w:bottom w:val="single" w:sz="4" w:space="0" w:color="auto"/>
              <w:right w:val="single" w:sz="4" w:space="0" w:color="auto"/>
            </w:tcBorders>
            <w:shd w:val="clear" w:color="auto" w:fill="auto"/>
            <w:noWrap/>
            <w:vAlign w:val="bottom"/>
            <w:hideMark/>
          </w:tcPr>
          <w:p w14:paraId="358B2B18" w14:textId="77777777" w:rsidR="00360F0D" w:rsidRPr="001436DC" w:rsidRDefault="00360F0D" w:rsidP="00360F0D">
            <w:pPr>
              <w:spacing w:after="0" w:line="240" w:lineRule="auto"/>
              <w:jc w:val="righ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11.63%</w:t>
            </w:r>
          </w:p>
        </w:tc>
      </w:tr>
      <w:tr w:rsidR="00360F0D" w:rsidRPr="00A44EF3" w14:paraId="15A8A8FC" w14:textId="77777777" w:rsidTr="003F67F7">
        <w:trPr>
          <w:trHeight w:val="255"/>
          <w:jc w:val="center"/>
        </w:trPr>
        <w:tc>
          <w:tcPr>
            <w:tcW w:w="976" w:type="dxa"/>
            <w:tcBorders>
              <w:top w:val="nil"/>
              <w:left w:val="single" w:sz="4" w:space="0" w:color="auto"/>
              <w:bottom w:val="nil"/>
              <w:right w:val="nil"/>
            </w:tcBorders>
            <w:shd w:val="clear" w:color="auto" w:fill="auto"/>
            <w:vAlign w:val="center"/>
            <w:hideMark/>
          </w:tcPr>
          <w:p w14:paraId="3F5BE900" w14:textId="77777777" w:rsidR="00360F0D" w:rsidRPr="001436DC" w:rsidRDefault="00360F0D" w:rsidP="00360F0D">
            <w:pPr>
              <w:spacing w:after="0" w:line="240" w:lineRule="auto"/>
              <w:jc w:val="right"/>
              <w:rPr>
                <w:rFonts w:ascii="Century Gothic" w:eastAsia="Times New Roman" w:hAnsi="Century Gothic" w:cs="Arial"/>
                <w:b/>
                <w:bCs/>
                <w:sz w:val="16"/>
                <w:szCs w:val="16"/>
              </w:rPr>
            </w:pPr>
          </w:p>
        </w:tc>
        <w:tc>
          <w:tcPr>
            <w:tcW w:w="729" w:type="dxa"/>
            <w:tcBorders>
              <w:top w:val="nil"/>
              <w:left w:val="nil"/>
              <w:bottom w:val="nil"/>
              <w:right w:val="nil"/>
            </w:tcBorders>
            <w:shd w:val="clear" w:color="auto" w:fill="auto"/>
            <w:noWrap/>
            <w:vAlign w:val="bottom"/>
            <w:hideMark/>
          </w:tcPr>
          <w:p w14:paraId="44067E17" w14:textId="77777777" w:rsidR="00360F0D" w:rsidRPr="001436DC" w:rsidRDefault="00360F0D" w:rsidP="00360F0D">
            <w:pPr>
              <w:spacing w:after="0" w:line="240" w:lineRule="auto"/>
              <w:jc w:val="center"/>
              <w:rPr>
                <w:rFonts w:ascii="Century Gothic" w:eastAsia="Times New Roman" w:hAnsi="Century Gothic" w:cs="Times New Roman"/>
                <w:sz w:val="20"/>
                <w:szCs w:val="20"/>
              </w:rPr>
            </w:pPr>
          </w:p>
        </w:tc>
        <w:tc>
          <w:tcPr>
            <w:tcW w:w="1848" w:type="dxa"/>
            <w:tcBorders>
              <w:top w:val="nil"/>
              <w:left w:val="nil"/>
              <w:bottom w:val="nil"/>
              <w:right w:val="nil"/>
            </w:tcBorders>
            <w:shd w:val="clear" w:color="auto" w:fill="auto"/>
            <w:noWrap/>
            <w:vAlign w:val="bottom"/>
            <w:hideMark/>
          </w:tcPr>
          <w:p w14:paraId="48201112"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55" w:type="dxa"/>
            <w:tcBorders>
              <w:top w:val="nil"/>
              <w:left w:val="nil"/>
              <w:bottom w:val="nil"/>
              <w:right w:val="nil"/>
            </w:tcBorders>
            <w:shd w:val="clear" w:color="auto" w:fill="auto"/>
            <w:noWrap/>
            <w:vAlign w:val="bottom"/>
            <w:hideMark/>
          </w:tcPr>
          <w:p w14:paraId="113BBBC7" w14:textId="77777777" w:rsidR="00360F0D" w:rsidRPr="001436DC" w:rsidRDefault="00360F0D" w:rsidP="00360F0D">
            <w:pPr>
              <w:spacing w:after="0" w:line="240" w:lineRule="auto"/>
              <w:jc w:val="right"/>
              <w:rPr>
                <w:rFonts w:ascii="Century Gothic" w:eastAsia="Times New Roman" w:hAnsi="Century Gothic" w:cs="Times New Roman"/>
                <w:sz w:val="20"/>
                <w:szCs w:val="20"/>
              </w:rPr>
            </w:pPr>
          </w:p>
        </w:tc>
        <w:tc>
          <w:tcPr>
            <w:tcW w:w="981" w:type="dxa"/>
            <w:tcBorders>
              <w:top w:val="nil"/>
              <w:left w:val="nil"/>
              <w:bottom w:val="nil"/>
              <w:right w:val="nil"/>
            </w:tcBorders>
            <w:shd w:val="clear" w:color="auto" w:fill="auto"/>
            <w:noWrap/>
            <w:vAlign w:val="bottom"/>
            <w:hideMark/>
          </w:tcPr>
          <w:p w14:paraId="3B9F8BC6"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76" w:type="dxa"/>
            <w:tcBorders>
              <w:top w:val="nil"/>
              <w:left w:val="nil"/>
              <w:bottom w:val="nil"/>
              <w:right w:val="single" w:sz="4" w:space="0" w:color="auto"/>
            </w:tcBorders>
            <w:shd w:val="clear" w:color="auto" w:fill="auto"/>
            <w:noWrap/>
            <w:vAlign w:val="bottom"/>
            <w:hideMark/>
          </w:tcPr>
          <w:p w14:paraId="72C1F388"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r>
      <w:tr w:rsidR="00360F0D" w:rsidRPr="00A44EF3" w14:paraId="62A0B511" w14:textId="77777777" w:rsidTr="003F67F7">
        <w:trPr>
          <w:trHeight w:val="255"/>
          <w:jc w:val="center"/>
        </w:trPr>
        <w:tc>
          <w:tcPr>
            <w:tcW w:w="976" w:type="dxa"/>
            <w:vMerge w:val="restart"/>
            <w:tcBorders>
              <w:top w:val="single" w:sz="4" w:space="0" w:color="auto"/>
              <w:left w:val="single" w:sz="4" w:space="0" w:color="auto"/>
              <w:bottom w:val="single" w:sz="4" w:space="0" w:color="000000"/>
              <w:right w:val="nil"/>
            </w:tcBorders>
            <w:shd w:val="clear" w:color="auto" w:fill="auto"/>
            <w:vAlign w:val="center"/>
            <w:hideMark/>
          </w:tcPr>
          <w:p w14:paraId="4DF81F06" w14:textId="77777777" w:rsidR="003C02FC" w:rsidRPr="001436DC" w:rsidRDefault="00360F0D" w:rsidP="00360F0D">
            <w:pPr>
              <w:spacing w:after="0" w:line="240" w:lineRule="auto"/>
              <w:jc w:val="center"/>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xml:space="preserve">BCFF </w:t>
            </w:r>
          </w:p>
          <w:p w14:paraId="026799B3" w14:textId="07291430" w:rsidR="00360F0D" w:rsidRPr="001436DC" w:rsidRDefault="00360F0D" w:rsidP="00360F0D">
            <w:pPr>
              <w:spacing w:after="0" w:line="240" w:lineRule="auto"/>
              <w:jc w:val="center"/>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10-yr</w:t>
            </w:r>
          </w:p>
        </w:tc>
        <w:tc>
          <w:tcPr>
            <w:tcW w:w="729" w:type="dxa"/>
            <w:tcBorders>
              <w:top w:val="single" w:sz="4" w:space="0" w:color="auto"/>
              <w:left w:val="nil"/>
              <w:bottom w:val="nil"/>
              <w:right w:val="nil"/>
            </w:tcBorders>
            <w:shd w:val="clear" w:color="auto" w:fill="auto"/>
            <w:noWrap/>
            <w:vAlign w:val="bottom"/>
            <w:hideMark/>
          </w:tcPr>
          <w:p w14:paraId="5B802CCF" w14:textId="77777777" w:rsidR="00360F0D" w:rsidRPr="001436DC" w:rsidRDefault="00360F0D" w:rsidP="00360F0D">
            <w:pPr>
              <w:spacing w:after="0" w:line="240" w:lineRule="auto"/>
              <w:jc w:val="lef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w:t>
            </w:r>
          </w:p>
        </w:tc>
        <w:tc>
          <w:tcPr>
            <w:tcW w:w="1848" w:type="dxa"/>
            <w:tcBorders>
              <w:top w:val="single" w:sz="4" w:space="0" w:color="auto"/>
              <w:left w:val="nil"/>
              <w:bottom w:val="nil"/>
              <w:right w:val="nil"/>
            </w:tcBorders>
            <w:shd w:val="clear" w:color="auto" w:fill="auto"/>
            <w:noWrap/>
            <w:vAlign w:val="bottom"/>
            <w:hideMark/>
          </w:tcPr>
          <w:p w14:paraId="5F43F7A9"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All</w:t>
            </w:r>
          </w:p>
        </w:tc>
        <w:tc>
          <w:tcPr>
            <w:tcW w:w="955" w:type="dxa"/>
            <w:tcBorders>
              <w:top w:val="single" w:sz="4" w:space="0" w:color="auto"/>
              <w:left w:val="nil"/>
              <w:bottom w:val="nil"/>
              <w:right w:val="nil"/>
            </w:tcBorders>
            <w:shd w:val="clear" w:color="auto" w:fill="auto"/>
            <w:noWrap/>
            <w:vAlign w:val="bottom"/>
            <w:hideMark/>
          </w:tcPr>
          <w:p w14:paraId="4D8105E8"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10.99%</w:t>
            </w:r>
          </w:p>
        </w:tc>
        <w:tc>
          <w:tcPr>
            <w:tcW w:w="981" w:type="dxa"/>
            <w:tcBorders>
              <w:top w:val="single" w:sz="4" w:space="0" w:color="auto"/>
              <w:left w:val="nil"/>
              <w:bottom w:val="nil"/>
              <w:right w:val="nil"/>
            </w:tcBorders>
            <w:shd w:val="clear" w:color="auto" w:fill="auto"/>
            <w:noWrap/>
            <w:vAlign w:val="bottom"/>
            <w:hideMark/>
          </w:tcPr>
          <w:p w14:paraId="69CC6441"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13.10%</w:t>
            </w:r>
          </w:p>
        </w:tc>
        <w:tc>
          <w:tcPr>
            <w:tcW w:w="976" w:type="dxa"/>
            <w:tcBorders>
              <w:top w:val="single" w:sz="4" w:space="0" w:color="auto"/>
              <w:left w:val="nil"/>
              <w:bottom w:val="nil"/>
              <w:right w:val="single" w:sz="4" w:space="0" w:color="auto"/>
            </w:tcBorders>
            <w:shd w:val="clear" w:color="auto" w:fill="auto"/>
            <w:noWrap/>
            <w:vAlign w:val="bottom"/>
            <w:hideMark/>
          </w:tcPr>
          <w:p w14:paraId="612EFCAF"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12.05%</w:t>
            </w:r>
          </w:p>
        </w:tc>
      </w:tr>
      <w:tr w:rsidR="00360F0D" w:rsidRPr="00A44EF3" w14:paraId="6E012DE0" w14:textId="77777777" w:rsidTr="003F67F7">
        <w:trPr>
          <w:trHeight w:val="255"/>
          <w:jc w:val="center"/>
        </w:trPr>
        <w:tc>
          <w:tcPr>
            <w:tcW w:w="976" w:type="dxa"/>
            <w:vMerge/>
            <w:tcBorders>
              <w:top w:val="single" w:sz="4" w:space="0" w:color="auto"/>
              <w:left w:val="single" w:sz="4" w:space="0" w:color="auto"/>
              <w:bottom w:val="single" w:sz="4" w:space="0" w:color="000000"/>
              <w:right w:val="nil"/>
            </w:tcBorders>
            <w:vAlign w:val="center"/>
            <w:hideMark/>
          </w:tcPr>
          <w:p w14:paraId="4A4F31CE" w14:textId="77777777" w:rsidR="00360F0D" w:rsidRPr="001436DC" w:rsidRDefault="00360F0D" w:rsidP="00360F0D">
            <w:pPr>
              <w:spacing w:after="0" w:line="240" w:lineRule="auto"/>
              <w:jc w:val="left"/>
              <w:rPr>
                <w:rFonts w:ascii="Century Gothic" w:eastAsia="Times New Roman" w:hAnsi="Century Gothic" w:cs="Arial"/>
                <w:b/>
                <w:bCs/>
                <w:sz w:val="16"/>
                <w:szCs w:val="16"/>
              </w:rPr>
            </w:pPr>
          </w:p>
        </w:tc>
        <w:tc>
          <w:tcPr>
            <w:tcW w:w="729" w:type="dxa"/>
            <w:tcBorders>
              <w:top w:val="nil"/>
              <w:left w:val="nil"/>
              <w:bottom w:val="nil"/>
              <w:right w:val="nil"/>
            </w:tcBorders>
            <w:shd w:val="clear" w:color="auto" w:fill="auto"/>
            <w:noWrap/>
            <w:vAlign w:val="bottom"/>
            <w:hideMark/>
          </w:tcPr>
          <w:p w14:paraId="5B368380" w14:textId="77777777" w:rsidR="00360F0D" w:rsidRPr="001436DC" w:rsidRDefault="00360F0D" w:rsidP="00360F0D">
            <w:pPr>
              <w:spacing w:after="0" w:line="240" w:lineRule="auto"/>
              <w:jc w:val="right"/>
              <w:rPr>
                <w:rFonts w:ascii="Century Gothic" w:eastAsia="Times New Roman" w:hAnsi="Century Gothic" w:cs="Arial"/>
                <w:sz w:val="16"/>
                <w:szCs w:val="16"/>
              </w:rPr>
            </w:pPr>
          </w:p>
        </w:tc>
        <w:tc>
          <w:tcPr>
            <w:tcW w:w="1848" w:type="dxa"/>
            <w:tcBorders>
              <w:top w:val="nil"/>
              <w:left w:val="nil"/>
              <w:bottom w:val="nil"/>
              <w:right w:val="nil"/>
            </w:tcBorders>
            <w:shd w:val="clear" w:color="auto" w:fill="auto"/>
            <w:noWrap/>
            <w:vAlign w:val="bottom"/>
            <w:hideMark/>
          </w:tcPr>
          <w:p w14:paraId="555FB345"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CPN, DYN, NRG, TLN</w:t>
            </w:r>
          </w:p>
        </w:tc>
        <w:tc>
          <w:tcPr>
            <w:tcW w:w="955" w:type="dxa"/>
            <w:tcBorders>
              <w:top w:val="nil"/>
              <w:left w:val="nil"/>
              <w:bottom w:val="nil"/>
              <w:right w:val="nil"/>
            </w:tcBorders>
            <w:shd w:val="clear" w:color="auto" w:fill="auto"/>
            <w:noWrap/>
            <w:vAlign w:val="bottom"/>
            <w:hideMark/>
          </w:tcPr>
          <w:p w14:paraId="536D3BE0"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11.24%</w:t>
            </w:r>
          </w:p>
        </w:tc>
        <w:tc>
          <w:tcPr>
            <w:tcW w:w="981" w:type="dxa"/>
            <w:tcBorders>
              <w:top w:val="nil"/>
              <w:left w:val="nil"/>
              <w:bottom w:val="nil"/>
              <w:right w:val="nil"/>
            </w:tcBorders>
            <w:shd w:val="clear" w:color="auto" w:fill="auto"/>
            <w:noWrap/>
            <w:vAlign w:val="bottom"/>
            <w:hideMark/>
          </w:tcPr>
          <w:p w14:paraId="209EEA1A"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13.42%</w:t>
            </w:r>
          </w:p>
        </w:tc>
        <w:tc>
          <w:tcPr>
            <w:tcW w:w="976" w:type="dxa"/>
            <w:tcBorders>
              <w:top w:val="nil"/>
              <w:left w:val="nil"/>
              <w:bottom w:val="nil"/>
              <w:right w:val="single" w:sz="4" w:space="0" w:color="auto"/>
            </w:tcBorders>
            <w:shd w:val="clear" w:color="auto" w:fill="auto"/>
            <w:noWrap/>
            <w:vAlign w:val="bottom"/>
            <w:hideMark/>
          </w:tcPr>
          <w:p w14:paraId="0B87A63D" w14:textId="77777777" w:rsidR="00360F0D" w:rsidRPr="001436DC" w:rsidRDefault="00360F0D" w:rsidP="00360F0D">
            <w:pPr>
              <w:spacing w:after="0" w:line="240" w:lineRule="auto"/>
              <w:jc w:val="righ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12.33%</w:t>
            </w:r>
          </w:p>
        </w:tc>
      </w:tr>
      <w:tr w:rsidR="00360F0D" w:rsidRPr="00A44EF3" w14:paraId="56284835" w14:textId="77777777" w:rsidTr="003F67F7">
        <w:trPr>
          <w:trHeight w:val="255"/>
          <w:jc w:val="center"/>
        </w:trPr>
        <w:tc>
          <w:tcPr>
            <w:tcW w:w="976" w:type="dxa"/>
            <w:vMerge/>
            <w:tcBorders>
              <w:top w:val="single" w:sz="4" w:space="0" w:color="auto"/>
              <w:left w:val="single" w:sz="4" w:space="0" w:color="auto"/>
              <w:bottom w:val="single" w:sz="4" w:space="0" w:color="000000"/>
              <w:right w:val="nil"/>
            </w:tcBorders>
            <w:vAlign w:val="center"/>
            <w:hideMark/>
          </w:tcPr>
          <w:p w14:paraId="3E49E1A9" w14:textId="77777777" w:rsidR="00360F0D" w:rsidRPr="001436DC" w:rsidRDefault="00360F0D" w:rsidP="00360F0D">
            <w:pPr>
              <w:spacing w:after="0" w:line="240" w:lineRule="auto"/>
              <w:jc w:val="left"/>
              <w:rPr>
                <w:rFonts w:ascii="Century Gothic" w:eastAsia="Times New Roman" w:hAnsi="Century Gothic" w:cs="Arial"/>
                <w:b/>
                <w:bCs/>
                <w:sz w:val="16"/>
                <w:szCs w:val="16"/>
              </w:rPr>
            </w:pPr>
          </w:p>
        </w:tc>
        <w:tc>
          <w:tcPr>
            <w:tcW w:w="729" w:type="dxa"/>
            <w:tcBorders>
              <w:top w:val="nil"/>
              <w:left w:val="nil"/>
              <w:bottom w:val="single" w:sz="4" w:space="0" w:color="auto"/>
              <w:right w:val="nil"/>
            </w:tcBorders>
            <w:shd w:val="clear" w:color="auto" w:fill="auto"/>
            <w:noWrap/>
            <w:vAlign w:val="bottom"/>
            <w:hideMark/>
          </w:tcPr>
          <w:p w14:paraId="3362F0D4" w14:textId="77777777" w:rsidR="00360F0D" w:rsidRPr="001436DC" w:rsidRDefault="00360F0D" w:rsidP="00360F0D">
            <w:pPr>
              <w:spacing w:after="0" w:line="240" w:lineRule="auto"/>
              <w:jc w:val="lef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w:t>
            </w:r>
          </w:p>
        </w:tc>
        <w:tc>
          <w:tcPr>
            <w:tcW w:w="1848" w:type="dxa"/>
            <w:tcBorders>
              <w:top w:val="nil"/>
              <w:left w:val="nil"/>
              <w:bottom w:val="single" w:sz="4" w:space="0" w:color="auto"/>
              <w:right w:val="nil"/>
            </w:tcBorders>
            <w:shd w:val="clear" w:color="auto" w:fill="auto"/>
            <w:noWrap/>
            <w:vAlign w:val="bottom"/>
            <w:hideMark/>
          </w:tcPr>
          <w:p w14:paraId="75BDC616"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CPN, DYN, NRG</w:t>
            </w:r>
          </w:p>
        </w:tc>
        <w:tc>
          <w:tcPr>
            <w:tcW w:w="955" w:type="dxa"/>
            <w:tcBorders>
              <w:top w:val="nil"/>
              <w:left w:val="nil"/>
              <w:bottom w:val="single" w:sz="4" w:space="0" w:color="auto"/>
              <w:right w:val="nil"/>
            </w:tcBorders>
            <w:shd w:val="clear" w:color="auto" w:fill="auto"/>
            <w:noWrap/>
            <w:vAlign w:val="bottom"/>
            <w:hideMark/>
          </w:tcPr>
          <w:p w14:paraId="0C65285D"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11.26%</w:t>
            </w:r>
          </w:p>
        </w:tc>
        <w:tc>
          <w:tcPr>
            <w:tcW w:w="981" w:type="dxa"/>
            <w:tcBorders>
              <w:top w:val="nil"/>
              <w:left w:val="nil"/>
              <w:bottom w:val="single" w:sz="4" w:space="0" w:color="auto"/>
              <w:right w:val="nil"/>
            </w:tcBorders>
            <w:shd w:val="clear" w:color="auto" w:fill="auto"/>
            <w:noWrap/>
            <w:vAlign w:val="bottom"/>
            <w:hideMark/>
          </w:tcPr>
          <w:p w14:paraId="1FCA40B1"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13.45%</w:t>
            </w:r>
          </w:p>
        </w:tc>
        <w:tc>
          <w:tcPr>
            <w:tcW w:w="976" w:type="dxa"/>
            <w:tcBorders>
              <w:top w:val="nil"/>
              <w:left w:val="nil"/>
              <w:bottom w:val="single" w:sz="4" w:space="0" w:color="auto"/>
              <w:right w:val="single" w:sz="4" w:space="0" w:color="auto"/>
            </w:tcBorders>
            <w:shd w:val="clear" w:color="auto" w:fill="auto"/>
            <w:noWrap/>
            <w:vAlign w:val="bottom"/>
            <w:hideMark/>
          </w:tcPr>
          <w:p w14:paraId="2D209607" w14:textId="77777777" w:rsidR="00360F0D" w:rsidRPr="001436DC" w:rsidRDefault="00360F0D" w:rsidP="00360F0D">
            <w:pPr>
              <w:spacing w:after="0" w:line="240" w:lineRule="auto"/>
              <w:jc w:val="righ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12.36%</w:t>
            </w:r>
          </w:p>
        </w:tc>
      </w:tr>
      <w:tr w:rsidR="00360F0D" w:rsidRPr="00A44EF3" w14:paraId="0634AC5D" w14:textId="77777777" w:rsidTr="003F67F7">
        <w:trPr>
          <w:trHeight w:val="255"/>
          <w:jc w:val="center"/>
        </w:trPr>
        <w:tc>
          <w:tcPr>
            <w:tcW w:w="976" w:type="dxa"/>
            <w:tcBorders>
              <w:top w:val="nil"/>
              <w:left w:val="single" w:sz="4" w:space="0" w:color="auto"/>
              <w:bottom w:val="nil"/>
              <w:right w:val="nil"/>
            </w:tcBorders>
            <w:shd w:val="clear" w:color="auto" w:fill="auto"/>
            <w:vAlign w:val="center"/>
            <w:hideMark/>
          </w:tcPr>
          <w:p w14:paraId="626705E6" w14:textId="77777777" w:rsidR="00360F0D" w:rsidRPr="001436DC" w:rsidRDefault="00360F0D" w:rsidP="00360F0D">
            <w:pPr>
              <w:spacing w:after="0" w:line="240" w:lineRule="auto"/>
              <w:jc w:val="right"/>
              <w:rPr>
                <w:rFonts w:ascii="Century Gothic" w:eastAsia="Times New Roman" w:hAnsi="Century Gothic" w:cs="Arial"/>
                <w:b/>
                <w:bCs/>
                <w:sz w:val="16"/>
                <w:szCs w:val="16"/>
              </w:rPr>
            </w:pPr>
          </w:p>
        </w:tc>
        <w:tc>
          <w:tcPr>
            <w:tcW w:w="729" w:type="dxa"/>
            <w:tcBorders>
              <w:top w:val="nil"/>
              <w:left w:val="nil"/>
              <w:bottom w:val="nil"/>
              <w:right w:val="nil"/>
            </w:tcBorders>
            <w:shd w:val="clear" w:color="auto" w:fill="auto"/>
            <w:noWrap/>
            <w:vAlign w:val="bottom"/>
            <w:hideMark/>
          </w:tcPr>
          <w:p w14:paraId="255A30EF" w14:textId="77777777" w:rsidR="00360F0D" w:rsidRPr="001436DC" w:rsidRDefault="00360F0D" w:rsidP="00360F0D">
            <w:pPr>
              <w:spacing w:after="0" w:line="240" w:lineRule="auto"/>
              <w:jc w:val="center"/>
              <w:rPr>
                <w:rFonts w:ascii="Century Gothic" w:eastAsia="Times New Roman" w:hAnsi="Century Gothic" w:cs="Times New Roman"/>
                <w:sz w:val="20"/>
                <w:szCs w:val="20"/>
              </w:rPr>
            </w:pPr>
          </w:p>
        </w:tc>
        <w:tc>
          <w:tcPr>
            <w:tcW w:w="1848" w:type="dxa"/>
            <w:tcBorders>
              <w:top w:val="nil"/>
              <w:left w:val="nil"/>
              <w:bottom w:val="nil"/>
              <w:right w:val="nil"/>
            </w:tcBorders>
            <w:shd w:val="clear" w:color="auto" w:fill="auto"/>
            <w:noWrap/>
            <w:vAlign w:val="bottom"/>
            <w:hideMark/>
          </w:tcPr>
          <w:p w14:paraId="1013F547"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55" w:type="dxa"/>
            <w:tcBorders>
              <w:top w:val="nil"/>
              <w:left w:val="nil"/>
              <w:bottom w:val="nil"/>
              <w:right w:val="nil"/>
            </w:tcBorders>
            <w:shd w:val="clear" w:color="auto" w:fill="auto"/>
            <w:noWrap/>
            <w:vAlign w:val="bottom"/>
            <w:hideMark/>
          </w:tcPr>
          <w:p w14:paraId="68B55DF6" w14:textId="77777777" w:rsidR="00360F0D" w:rsidRPr="001436DC" w:rsidRDefault="00360F0D" w:rsidP="00360F0D">
            <w:pPr>
              <w:spacing w:after="0" w:line="240" w:lineRule="auto"/>
              <w:jc w:val="right"/>
              <w:rPr>
                <w:rFonts w:ascii="Century Gothic" w:eastAsia="Times New Roman" w:hAnsi="Century Gothic" w:cs="Times New Roman"/>
                <w:sz w:val="20"/>
                <w:szCs w:val="20"/>
              </w:rPr>
            </w:pPr>
          </w:p>
        </w:tc>
        <w:tc>
          <w:tcPr>
            <w:tcW w:w="981" w:type="dxa"/>
            <w:tcBorders>
              <w:top w:val="nil"/>
              <w:left w:val="nil"/>
              <w:bottom w:val="nil"/>
              <w:right w:val="nil"/>
            </w:tcBorders>
            <w:shd w:val="clear" w:color="auto" w:fill="auto"/>
            <w:noWrap/>
            <w:vAlign w:val="bottom"/>
            <w:hideMark/>
          </w:tcPr>
          <w:p w14:paraId="10E296EA"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76" w:type="dxa"/>
            <w:tcBorders>
              <w:top w:val="nil"/>
              <w:left w:val="nil"/>
              <w:bottom w:val="nil"/>
              <w:right w:val="single" w:sz="4" w:space="0" w:color="auto"/>
            </w:tcBorders>
            <w:shd w:val="clear" w:color="auto" w:fill="auto"/>
            <w:noWrap/>
            <w:vAlign w:val="bottom"/>
            <w:hideMark/>
          </w:tcPr>
          <w:p w14:paraId="5FC43BBD"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r>
      <w:tr w:rsidR="00360F0D" w:rsidRPr="00A44EF3" w14:paraId="5450BACE" w14:textId="77777777" w:rsidTr="003F67F7">
        <w:trPr>
          <w:trHeight w:val="255"/>
          <w:jc w:val="center"/>
        </w:trPr>
        <w:tc>
          <w:tcPr>
            <w:tcW w:w="976" w:type="dxa"/>
            <w:vMerge w:val="restart"/>
            <w:tcBorders>
              <w:top w:val="single" w:sz="4" w:space="0" w:color="auto"/>
              <w:left w:val="single" w:sz="4" w:space="0" w:color="auto"/>
              <w:bottom w:val="single" w:sz="4" w:space="0" w:color="000000"/>
              <w:right w:val="nil"/>
            </w:tcBorders>
            <w:shd w:val="clear" w:color="auto" w:fill="auto"/>
            <w:vAlign w:val="center"/>
            <w:hideMark/>
          </w:tcPr>
          <w:p w14:paraId="570B546B" w14:textId="77777777" w:rsidR="003C02FC" w:rsidRPr="001436DC" w:rsidRDefault="00360F0D" w:rsidP="00360F0D">
            <w:pPr>
              <w:spacing w:after="0" w:line="240" w:lineRule="auto"/>
              <w:jc w:val="center"/>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xml:space="preserve">BCFF </w:t>
            </w:r>
          </w:p>
          <w:p w14:paraId="2DC51213" w14:textId="6A7CF68C" w:rsidR="00360F0D" w:rsidRPr="001436DC" w:rsidRDefault="00360F0D" w:rsidP="00360F0D">
            <w:pPr>
              <w:spacing w:after="0" w:line="240" w:lineRule="auto"/>
              <w:jc w:val="center"/>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30-yr</w:t>
            </w:r>
          </w:p>
        </w:tc>
        <w:tc>
          <w:tcPr>
            <w:tcW w:w="729" w:type="dxa"/>
            <w:tcBorders>
              <w:top w:val="single" w:sz="4" w:space="0" w:color="auto"/>
              <w:left w:val="nil"/>
              <w:bottom w:val="nil"/>
              <w:right w:val="nil"/>
            </w:tcBorders>
            <w:shd w:val="clear" w:color="auto" w:fill="auto"/>
            <w:noWrap/>
            <w:vAlign w:val="bottom"/>
            <w:hideMark/>
          </w:tcPr>
          <w:p w14:paraId="7C5335C5" w14:textId="77777777" w:rsidR="00360F0D" w:rsidRPr="001436DC" w:rsidRDefault="00360F0D" w:rsidP="00360F0D">
            <w:pPr>
              <w:spacing w:after="0" w:line="240" w:lineRule="auto"/>
              <w:jc w:val="lef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w:t>
            </w:r>
          </w:p>
        </w:tc>
        <w:tc>
          <w:tcPr>
            <w:tcW w:w="1848" w:type="dxa"/>
            <w:tcBorders>
              <w:top w:val="single" w:sz="4" w:space="0" w:color="auto"/>
              <w:left w:val="nil"/>
              <w:bottom w:val="nil"/>
              <w:right w:val="nil"/>
            </w:tcBorders>
            <w:shd w:val="clear" w:color="auto" w:fill="auto"/>
            <w:noWrap/>
            <w:vAlign w:val="bottom"/>
            <w:hideMark/>
          </w:tcPr>
          <w:p w14:paraId="1F42C2BA"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All</w:t>
            </w:r>
          </w:p>
        </w:tc>
        <w:tc>
          <w:tcPr>
            <w:tcW w:w="955" w:type="dxa"/>
            <w:tcBorders>
              <w:top w:val="single" w:sz="4" w:space="0" w:color="auto"/>
              <w:left w:val="nil"/>
              <w:bottom w:val="nil"/>
              <w:right w:val="nil"/>
            </w:tcBorders>
            <w:shd w:val="clear" w:color="auto" w:fill="auto"/>
            <w:noWrap/>
            <w:vAlign w:val="bottom"/>
            <w:hideMark/>
          </w:tcPr>
          <w:p w14:paraId="5F350C4C"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11.49%</w:t>
            </w:r>
          </w:p>
        </w:tc>
        <w:tc>
          <w:tcPr>
            <w:tcW w:w="981" w:type="dxa"/>
            <w:tcBorders>
              <w:top w:val="single" w:sz="4" w:space="0" w:color="auto"/>
              <w:left w:val="nil"/>
              <w:bottom w:val="nil"/>
              <w:right w:val="nil"/>
            </w:tcBorders>
            <w:shd w:val="clear" w:color="auto" w:fill="auto"/>
            <w:noWrap/>
            <w:vAlign w:val="bottom"/>
            <w:hideMark/>
          </w:tcPr>
          <w:p w14:paraId="11259854"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13.09%</w:t>
            </w:r>
          </w:p>
        </w:tc>
        <w:tc>
          <w:tcPr>
            <w:tcW w:w="976" w:type="dxa"/>
            <w:tcBorders>
              <w:top w:val="single" w:sz="4" w:space="0" w:color="auto"/>
              <w:left w:val="nil"/>
              <w:bottom w:val="nil"/>
              <w:right w:val="single" w:sz="4" w:space="0" w:color="auto"/>
            </w:tcBorders>
            <w:shd w:val="clear" w:color="auto" w:fill="auto"/>
            <w:noWrap/>
            <w:vAlign w:val="bottom"/>
            <w:hideMark/>
          </w:tcPr>
          <w:p w14:paraId="6A518463"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12.29%</w:t>
            </w:r>
          </w:p>
        </w:tc>
      </w:tr>
      <w:tr w:rsidR="00360F0D" w:rsidRPr="00A44EF3" w14:paraId="0FE68EB3" w14:textId="77777777" w:rsidTr="003F67F7">
        <w:trPr>
          <w:trHeight w:val="255"/>
          <w:jc w:val="center"/>
        </w:trPr>
        <w:tc>
          <w:tcPr>
            <w:tcW w:w="976" w:type="dxa"/>
            <w:vMerge/>
            <w:tcBorders>
              <w:top w:val="single" w:sz="4" w:space="0" w:color="auto"/>
              <w:left w:val="single" w:sz="4" w:space="0" w:color="auto"/>
              <w:bottom w:val="single" w:sz="4" w:space="0" w:color="000000"/>
              <w:right w:val="nil"/>
            </w:tcBorders>
            <w:vAlign w:val="center"/>
            <w:hideMark/>
          </w:tcPr>
          <w:p w14:paraId="381B5FCE" w14:textId="77777777" w:rsidR="00360F0D" w:rsidRPr="001436DC" w:rsidRDefault="00360F0D" w:rsidP="00360F0D">
            <w:pPr>
              <w:spacing w:after="0" w:line="240" w:lineRule="auto"/>
              <w:jc w:val="left"/>
              <w:rPr>
                <w:rFonts w:ascii="Century Gothic" w:eastAsia="Times New Roman" w:hAnsi="Century Gothic" w:cs="Arial"/>
                <w:b/>
                <w:bCs/>
                <w:sz w:val="16"/>
                <w:szCs w:val="16"/>
              </w:rPr>
            </w:pPr>
          </w:p>
        </w:tc>
        <w:tc>
          <w:tcPr>
            <w:tcW w:w="729" w:type="dxa"/>
            <w:tcBorders>
              <w:top w:val="nil"/>
              <w:left w:val="nil"/>
              <w:bottom w:val="nil"/>
              <w:right w:val="nil"/>
            </w:tcBorders>
            <w:shd w:val="clear" w:color="auto" w:fill="auto"/>
            <w:noWrap/>
            <w:vAlign w:val="bottom"/>
            <w:hideMark/>
          </w:tcPr>
          <w:p w14:paraId="0D373C0E" w14:textId="77777777" w:rsidR="00360F0D" w:rsidRPr="001436DC" w:rsidRDefault="00360F0D" w:rsidP="00360F0D">
            <w:pPr>
              <w:spacing w:after="0" w:line="240" w:lineRule="auto"/>
              <w:jc w:val="right"/>
              <w:rPr>
                <w:rFonts w:ascii="Century Gothic" w:eastAsia="Times New Roman" w:hAnsi="Century Gothic" w:cs="Arial"/>
                <w:sz w:val="16"/>
                <w:szCs w:val="16"/>
              </w:rPr>
            </w:pPr>
          </w:p>
        </w:tc>
        <w:tc>
          <w:tcPr>
            <w:tcW w:w="1848" w:type="dxa"/>
            <w:tcBorders>
              <w:top w:val="nil"/>
              <w:left w:val="nil"/>
              <w:bottom w:val="nil"/>
              <w:right w:val="nil"/>
            </w:tcBorders>
            <w:shd w:val="clear" w:color="auto" w:fill="auto"/>
            <w:noWrap/>
            <w:vAlign w:val="bottom"/>
            <w:hideMark/>
          </w:tcPr>
          <w:p w14:paraId="1B078CE0"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CPN, DYN, NRG, TLN</w:t>
            </w:r>
          </w:p>
        </w:tc>
        <w:tc>
          <w:tcPr>
            <w:tcW w:w="955" w:type="dxa"/>
            <w:tcBorders>
              <w:top w:val="nil"/>
              <w:left w:val="nil"/>
              <w:bottom w:val="nil"/>
              <w:right w:val="nil"/>
            </w:tcBorders>
            <w:shd w:val="clear" w:color="auto" w:fill="auto"/>
            <w:noWrap/>
            <w:vAlign w:val="bottom"/>
            <w:hideMark/>
          </w:tcPr>
          <w:p w14:paraId="0BB4322A"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11.74%</w:t>
            </w:r>
          </w:p>
        </w:tc>
        <w:tc>
          <w:tcPr>
            <w:tcW w:w="981" w:type="dxa"/>
            <w:tcBorders>
              <w:top w:val="nil"/>
              <w:left w:val="nil"/>
              <w:bottom w:val="nil"/>
              <w:right w:val="nil"/>
            </w:tcBorders>
            <w:shd w:val="clear" w:color="auto" w:fill="auto"/>
            <w:noWrap/>
            <w:vAlign w:val="bottom"/>
            <w:hideMark/>
          </w:tcPr>
          <w:p w14:paraId="1AF51EFF"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13.39%</w:t>
            </w:r>
          </w:p>
        </w:tc>
        <w:tc>
          <w:tcPr>
            <w:tcW w:w="976" w:type="dxa"/>
            <w:tcBorders>
              <w:top w:val="nil"/>
              <w:left w:val="nil"/>
              <w:bottom w:val="nil"/>
              <w:right w:val="single" w:sz="4" w:space="0" w:color="auto"/>
            </w:tcBorders>
            <w:shd w:val="clear" w:color="auto" w:fill="auto"/>
            <w:noWrap/>
            <w:vAlign w:val="bottom"/>
            <w:hideMark/>
          </w:tcPr>
          <w:p w14:paraId="48B2D6C8" w14:textId="77777777" w:rsidR="00360F0D" w:rsidRPr="001436DC" w:rsidRDefault="00360F0D" w:rsidP="00360F0D">
            <w:pPr>
              <w:spacing w:after="0" w:line="240" w:lineRule="auto"/>
              <w:jc w:val="righ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12.56%</w:t>
            </w:r>
          </w:p>
        </w:tc>
      </w:tr>
      <w:tr w:rsidR="00360F0D" w:rsidRPr="00A44EF3" w14:paraId="5B7EC269" w14:textId="77777777" w:rsidTr="003F67F7">
        <w:trPr>
          <w:trHeight w:val="255"/>
          <w:jc w:val="center"/>
        </w:trPr>
        <w:tc>
          <w:tcPr>
            <w:tcW w:w="976" w:type="dxa"/>
            <w:vMerge/>
            <w:tcBorders>
              <w:top w:val="single" w:sz="4" w:space="0" w:color="auto"/>
              <w:left w:val="single" w:sz="4" w:space="0" w:color="auto"/>
              <w:bottom w:val="single" w:sz="4" w:space="0" w:color="000000"/>
              <w:right w:val="nil"/>
            </w:tcBorders>
            <w:vAlign w:val="center"/>
            <w:hideMark/>
          </w:tcPr>
          <w:p w14:paraId="1AFD2CEA" w14:textId="77777777" w:rsidR="00360F0D" w:rsidRPr="001436DC" w:rsidRDefault="00360F0D" w:rsidP="00360F0D">
            <w:pPr>
              <w:spacing w:after="0" w:line="240" w:lineRule="auto"/>
              <w:jc w:val="left"/>
              <w:rPr>
                <w:rFonts w:ascii="Century Gothic" w:eastAsia="Times New Roman" w:hAnsi="Century Gothic" w:cs="Arial"/>
                <w:b/>
                <w:bCs/>
                <w:sz w:val="16"/>
                <w:szCs w:val="16"/>
              </w:rPr>
            </w:pPr>
          </w:p>
        </w:tc>
        <w:tc>
          <w:tcPr>
            <w:tcW w:w="729" w:type="dxa"/>
            <w:tcBorders>
              <w:top w:val="nil"/>
              <w:left w:val="nil"/>
              <w:bottom w:val="single" w:sz="4" w:space="0" w:color="auto"/>
              <w:right w:val="nil"/>
            </w:tcBorders>
            <w:shd w:val="clear" w:color="auto" w:fill="auto"/>
            <w:noWrap/>
            <w:vAlign w:val="bottom"/>
            <w:hideMark/>
          </w:tcPr>
          <w:p w14:paraId="7DB0D636" w14:textId="77777777" w:rsidR="00360F0D" w:rsidRPr="001436DC" w:rsidRDefault="00360F0D" w:rsidP="00360F0D">
            <w:pPr>
              <w:spacing w:after="0" w:line="240" w:lineRule="auto"/>
              <w:jc w:val="lef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w:t>
            </w:r>
          </w:p>
        </w:tc>
        <w:tc>
          <w:tcPr>
            <w:tcW w:w="1848" w:type="dxa"/>
            <w:tcBorders>
              <w:top w:val="nil"/>
              <w:left w:val="nil"/>
              <w:bottom w:val="single" w:sz="4" w:space="0" w:color="auto"/>
              <w:right w:val="nil"/>
            </w:tcBorders>
            <w:shd w:val="clear" w:color="auto" w:fill="auto"/>
            <w:noWrap/>
            <w:vAlign w:val="bottom"/>
            <w:hideMark/>
          </w:tcPr>
          <w:p w14:paraId="0416C138"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CPN, DYN, NRG</w:t>
            </w:r>
          </w:p>
        </w:tc>
        <w:tc>
          <w:tcPr>
            <w:tcW w:w="955" w:type="dxa"/>
            <w:tcBorders>
              <w:top w:val="nil"/>
              <w:left w:val="nil"/>
              <w:bottom w:val="single" w:sz="4" w:space="0" w:color="auto"/>
              <w:right w:val="nil"/>
            </w:tcBorders>
            <w:shd w:val="clear" w:color="auto" w:fill="auto"/>
            <w:noWrap/>
            <w:vAlign w:val="bottom"/>
            <w:hideMark/>
          </w:tcPr>
          <w:p w14:paraId="77FF2E86"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11.76%</w:t>
            </w:r>
          </w:p>
        </w:tc>
        <w:tc>
          <w:tcPr>
            <w:tcW w:w="981" w:type="dxa"/>
            <w:tcBorders>
              <w:top w:val="nil"/>
              <w:left w:val="nil"/>
              <w:bottom w:val="single" w:sz="4" w:space="0" w:color="auto"/>
              <w:right w:val="nil"/>
            </w:tcBorders>
            <w:shd w:val="clear" w:color="auto" w:fill="auto"/>
            <w:noWrap/>
            <w:vAlign w:val="bottom"/>
            <w:hideMark/>
          </w:tcPr>
          <w:p w14:paraId="13A8B8D4"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13.42%</w:t>
            </w:r>
          </w:p>
        </w:tc>
        <w:tc>
          <w:tcPr>
            <w:tcW w:w="976" w:type="dxa"/>
            <w:tcBorders>
              <w:top w:val="nil"/>
              <w:left w:val="nil"/>
              <w:bottom w:val="single" w:sz="4" w:space="0" w:color="auto"/>
              <w:right w:val="single" w:sz="4" w:space="0" w:color="auto"/>
            </w:tcBorders>
            <w:shd w:val="clear" w:color="auto" w:fill="auto"/>
            <w:noWrap/>
            <w:vAlign w:val="bottom"/>
            <w:hideMark/>
          </w:tcPr>
          <w:p w14:paraId="4AC75117" w14:textId="77777777" w:rsidR="00360F0D" w:rsidRPr="001436DC" w:rsidRDefault="00360F0D" w:rsidP="00360F0D">
            <w:pPr>
              <w:spacing w:after="0" w:line="240" w:lineRule="auto"/>
              <w:jc w:val="righ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12.59%</w:t>
            </w:r>
          </w:p>
        </w:tc>
      </w:tr>
      <w:tr w:rsidR="00360F0D" w:rsidRPr="00A44EF3" w14:paraId="2206C1FF" w14:textId="77777777" w:rsidTr="003F67F7">
        <w:trPr>
          <w:trHeight w:val="255"/>
          <w:jc w:val="center"/>
        </w:trPr>
        <w:tc>
          <w:tcPr>
            <w:tcW w:w="976" w:type="dxa"/>
            <w:tcBorders>
              <w:top w:val="nil"/>
              <w:left w:val="single" w:sz="4" w:space="0" w:color="auto"/>
              <w:bottom w:val="nil"/>
              <w:right w:val="nil"/>
            </w:tcBorders>
            <w:shd w:val="clear" w:color="auto" w:fill="auto"/>
            <w:noWrap/>
            <w:vAlign w:val="center"/>
            <w:hideMark/>
          </w:tcPr>
          <w:p w14:paraId="28F514EE" w14:textId="77777777" w:rsidR="00360F0D" w:rsidRPr="001436DC" w:rsidRDefault="00360F0D" w:rsidP="00360F0D">
            <w:pPr>
              <w:spacing w:after="0" w:line="240" w:lineRule="auto"/>
              <w:jc w:val="right"/>
              <w:rPr>
                <w:rFonts w:ascii="Century Gothic" w:eastAsia="Times New Roman" w:hAnsi="Century Gothic" w:cs="Arial"/>
                <w:b/>
                <w:bCs/>
                <w:sz w:val="16"/>
                <w:szCs w:val="16"/>
              </w:rPr>
            </w:pPr>
          </w:p>
        </w:tc>
        <w:tc>
          <w:tcPr>
            <w:tcW w:w="729" w:type="dxa"/>
            <w:tcBorders>
              <w:top w:val="nil"/>
              <w:left w:val="nil"/>
              <w:bottom w:val="nil"/>
              <w:right w:val="nil"/>
            </w:tcBorders>
            <w:shd w:val="clear" w:color="auto" w:fill="auto"/>
            <w:noWrap/>
            <w:vAlign w:val="bottom"/>
            <w:hideMark/>
          </w:tcPr>
          <w:p w14:paraId="5D30BFAF"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1848" w:type="dxa"/>
            <w:tcBorders>
              <w:top w:val="nil"/>
              <w:left w:val="nil"/>
              <w:bottom w:val="nil"/>
              <w:right w:val="nil"/>
            </w:tcBorders>
            <w:shd w:val="clear" w:color="auto" w:fill="auto"/>
            <w:noWrap/>
            <w:vAlign w:val="bottom"/>
            <w:hideMark/>
          </w:tcPr>
          <w:p w14:paraId="32367285"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55" w:type="dxa"/>
            <w:tcBorders>
              <w:top w:val="nil"/>
              <w:left w:val="nil"/>
              <w:bottom w:val="nil"/>
              <w:right w:val="nil"/>
            </w:tcBorders>
            <w:shd w:val="clear" w:color="auto" w:fill="auto"/>
            <w:noWrap/>
            <w:vAlign w:val="bottom"/>
            <w:hideMark/>
          </w:tcPr>
          <w:p w14:paraId="6DD418E7"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81" w:type="dxa"/>
            <w:tcBorders>
              <w:top w:val="nil"/>
              <w:left w:val="nil"/>
              <w:bottom w:val="nil"/>
              <w:right w:val="nil"/>
            </w:tcBorders>
            <w:shd w:val="clear" w:color="auto" w:fill="auto"/>
            <w:noWrap/>
            <w:vAlign w:val="bottom"/>
            <w:hideMark/>
          </w:tcPr>
          <w:p w14:paraId="7CCC45C8"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c>
          <w:tcPr>
            <w:tcW w:w="976" w:type="dxa"/>
            <w:tcBorders>
              <w:top w:val="nil"/>
              <w:left w:val="nil"/>
              <w:bottom w:val="nil"/>
              <w:right w:val="single" w:sz="4" w:space="0" w:color="auto"/>
            </w:tcBorders>
            <w:shd w:val="clear" w:color="auto" w:fill="auto"/>
            <w:noWrap/>
            <w:vAlign w:val="bottom"/>
            <w:hideMark/>
          </w:tcPr>
          <w:p w14:paraId="439E1134" w14:textId="77777777" w:rsidR="00360F0D" w:rsidRPr="001436DC" w:rsidRDefault="00360F0D" w:rsidP="00360F0D">
            <w:pPr>
              <w:spacing w:after="0" w:line="240" w:lineRule="auto"/>
              <w:jc w:val="left"/>
              <w:rPr>
                <w:rFonts w:ascii="Century Gothic" w:eastAsia="Times New Roman" w:hAnsi="Century Gothic" w:cs="Times New Roman"/>
                <w:sz w:val="20"/>
                <w:szCs w:val="20"/>
              </w:rPr>
            </w:pPr>
          </w:p>
        </w:tc>
      </w:tr>
      <w:tr w:rsidR="00360F0D" w:rsidRPr="00A44EF3" w14:paraId="037D1444" w14:textId="77777777" w:rsidTr="003F67F7">
        <w:trPr>
          <w:trHeight w:val="255"/>
          <w:jc w:val="center"/>
        </w:trPr>
        <w:tc>
          <w:tcPr>
            <w:tcW w:w="976"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84D1FC3" w14:textId="77777777" w:rsidR="00360F0D" w:rsidRPr="001436DC" w:rsidRDefault="00360F0D" w:rsidP="00360F0D">
            <w:pPr>
              <w:spacing w:after="0" w:line="240" w:lineRule="auto"/>
              <w:jc w:val="center"/>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Average</w:t>
            </w:r>
          </w:p>
        </w:tc>
        <w:tc>
          <w:tcPr>
            <w:tcW w:w="729" w:type="dxa"/>
            <w:tcBorders>
              <w:top w:val="single" w:sz="4" w:space="0" w:color="auto"/>
              <w:left w:val="nil"/>
              <w:bottom w:val="nil"/>
              <w:right w:val="nil"/>
            </w:tcBorders>
            <w:shd w:val="clear" w:color="auto" w:fill="auto"/>
            <w:noWrap/>
            <w:vAlign w:val="bottom"/>
            <w:hideMark/>
          </w:tcPr>
          <w:p w14:paraId="41C86AA9" w14:textId="77777777" w:rsidR="00360F0D" w:rsidRPr="001436DC" w:rsidRDefault="00360F0D" w:rsidP="00360F0D">
            <w:pPr>
              <w:spacing w:after="0" w:line="240" w:lineRule="auto"/>
              <w:jc w:val="lef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w:t>
            </w:r>
          </w:p>
        </w:tc>
        <w:tc>
          <w:tcPr>
            <w:tcW w:w="1848" w:type="dxa"/>
            <w:tcBorders>
              <w:top w:val="single" w:sz="4" w:space="0" w:color="auto"/>
              <w:left w:val="nil"/>
              <w:bottom w:val="nil"/>
              <w:right w:val="nil"/>
            </w:tcBorders>
            <w:shd w:val="clear" w:color="auto" w:fill="auto"/>
            <w:noWrap/>
            <w:vAlign w:val="bottom"/>
            <w:hideMark/>
          </w:tcPr>
          <w:p w14:paraId="40B0A1BF"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All</w:t>
            </w:r>
          </w:p>
        </w:tc>
        <w:tc>
          <w:tcPr>
            <w:tcW w:w="955" w:type="dxa"/>
            <w:tcBorders>
              <w:top w:val="single" w:sz="4" w:space="0" w:color="auto"/>
              <w:left w:val="nil"/>
              <w:bottom w:val="nil"/>
              <w:right w:val="nil"/>
            </w:tcBorders>
            <w:shd w:val="clear" w:color="auto" w:fill="auto"/>
            <w:noWrap/>
            <w:vAlign w:val="bottom"/>
            <w:hideMark/>
          </w:tcPr>
          <w:p w14:paraId="5339F9BF"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10.64%</w:t>
            </w:r>
          </w:p>
        </w:tc>
        <w:tc>
          <w:tcPr>
            <w:tcW w:w="981" w:type="dxa"/>
            <w:tcBorders>
              <w:top w:val="single" w:sz="4" w:space="0" w:color="auto"/>
              <w:left w:val="nil"/>
              <w:bottom w:val="nil"/>
              <w:right w:val="nil"/>
            </w:tcBorders>
            <w:shd w:val="clear" w:color="auto" w:fill="auto"/>
            <w:noWrap/>
            <w:vAlign w:val="bottom"/>
            <w:hideMark/>
          </w:tcPr>
          <w:p w14:paraId="722EFAA9" w14:textId="7F720DEC" w:rsidR="00360F0D" w:rsidRPr="001436DC" w:rsidRDefault="00247A10" w:rsidP="00247A10">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13.11</w:t>
            </w:r>
            <w:r w:rsidR="00360F0D" w:rsidRPr="001436DC">
              <w:rPr>
                <w:rFonts w:ascii="Century Gothic" w:eastAsia="Times New Roman" w:hAnsi="Century Gothic" w:cs="Arial"/>
                <w:sz w:val="16"/>
                <w:szCs w:val="16"/>
              </w:rPr>
              <w:t>%</w:t>
            </w:r>
          </w:p>
        </w:tc>
        <w:tc>
          <w:tcPr>
            <w:tcW w:w="976" w:type="dxa"/>
            <w:tcBorders>
              <w:top w:val="single" w:sz="4" w:space="0" w:color="auto"/>
              <w:left w:val="nil"/>
              <w:bottom w:val="nil"/>
              <w:right w:val="single" w:sz="4" w:space="0" w:color="auto"/>
            </w:tcBorders>
            <w:shd w:val="clear" w:color="auto" w:fill="auto"/>
            <w:noWrap/>
            <w:vAlign w:val="bottom"/>
            <w:hideMark/>
          </w:tcPr>
          <w:p w14:paraId="0F532347" w14:textId="6DA9F18E" w:rsidR="00360F0D" w:rsidRPr="001436DC" w:rsidRDefault="00247A10"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11.88</w:t>
            </w:r>
            <w:r w:rsidR="00360F0D" w:rsidRPr="001436DC">
              <w:rPr>
                <w:rFonts w:ascii="Century Gothic" w:eastAsia="Times New Roman" w:hAnsi="Century Gothic" w:cs="Arial"/>
                <w:sz w:val="16"/>
                <w:szCs w:val="16"/>
              </w:rPr>
              <w:t>%</w:t>
            </w:r>
          </w:p>
        </w:tc>
      </w:tr>
      <w:tr w:rsidR="00360F0D" w:rsidRPr="00A44EF3" w14:paraId="65A08548" w14:textId="77777777" w:rsidTr="003F67F7">
        <w:trPr>
          <w:trHeight w:val="255"/>
          <w:jc w:val="center"/>
        </w:trPr>
        <w:tc>
          <w:tcPr>
            <w:tcW w:w="976" w:type="dxa"/>
            <w:vMerge/>
            <w:tcBorders>
              <w:top w:val="single" w:sz="4" w:space="0" w:color="auto"/>
              <w:left w:val="single" w:sz="4" w:space="0" w:color="auto"/>
              <w:bottom w:val="single" w:sz="4" w:space="0" w:color="000000"/>
              <w:right w:val="nil"/>
            </w:tcBorders>
            <w:vAlign w:val="center"/>
            <w:hideMark/>
          </w:tcPr>
          <w:p w14:paraId="707F3464" w14:textId="77777777" w:rsidR="00360F0D" w:rsidRPr="001436DC" w:rsidRDefault="00360F0D" w:rsidP="00360F0D">
            <w:pPr>
              <w:spacing w:after="0" w:line="240" w:lineRule="auto"/>
              <w:jc w:val="left"/>
              <w:rPr>
                <w:rFonts w:ascii="Century Gothic" w:eastAsia="Times New Roman" w:hAnsi="Century Gothic" w:cs="Arial"/>
                <w:b/>
                <w:bCs/>
                <w:sz w:val="16"/>
                <w:szCs w:val="16"/>
              </w:rPr>
            </w:pPr>
          </w:p>
        </w:tc>
        <w:tc>
          <w:tcPr>
            <w:tcW w:w="729" w:type="dxa"/>
            <w:tcBorders>
              <w:top w:val="nil"/>
              <w:left w:val="nil"/>
              <w:bottom w:val="nil"/>
              <w:right w:val="nil"/>
            </w:tcBorders>
            <w:shd w:val="clear" w:color="auto" w:fill="auto"/>
            <w:noWrap/>
            <w:vAlign w:val="bottom"/>
            <w:hideMark/>
          </w:tcPr>
          <w:p w14:paraId="5B09C94D" w14:textId="77777777" w:rsidR="00360F0D" w:rsidRPr="001436DC" w:rsidRDefault="00360F0D" w:rsidP="00360F0D">
            <w:pPr>
              <w:spacing w:after="0" w:line="240" w:lineRule="auto"/>
              <w:jc w:val="right"/>
              <w:rPr>
                <w:rFonts w:ascii="Century Gothic" w:eastAsia="Times New Roman" w:hAnsi="Century Gothic" w:cs="Arial"/>
                <w:sz w:val="16"/>
                <w:szCs w:val="16"/>
              </w:rPr>
            </w:pPr>
          </w:p>
        </w:tc>
        <w:tc>
          <w:tcPr>
            <w:tcW w:w="1848" w:type="dxa"/>
            <w:tcBorders>
              <w:top w:val="nil"/>
              <w:left w:val="nil"/>
              <w:bottom w:val="nil"/>
              <w:right w:val="nil"/>
            </w:tcBorders>
            <w:shd w:val="clear" w:color="auto" w:fill="auto"/>
            <w:noWrap/>
            <w:vAlign w:val="bottom"/>
            <w:hideMark/>
          </w:tcPr>
          <w:p w14:paraId="217C7B3F"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CPN, DYN, NRG, TLN</w:t>
            </w:r>
          </w:p>
        </w:tc>
        <w:tc>
          <w:tcPr>
            <w:tcW w:w="955" w:type="dxa"/>
            <w:tcBorders>
              <w:top w:val="nil"/>
              <w:left w:val="nil"/>
              <w:bottom w:val="nil"/>
              <w:right w:val="nil"/>
            </w:tcBorders>
            <w:shd w:val="clear" w:color="auto" w:fill="auto"/>
            <w:noWrap/>
            <w:vAlign w:val="bottom"/>
            <w:hideMark/>
          </w:tcPr>
          <w:p w14:paraId="3F90E56C"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10.88%</w:t>
            </w:r>
          </w:p>
        </w:tc>
        <w:tc>
          <w:tcPr>
            <w:tcW w:w="981" w:type="dxa"/>
            <w:tcBorders>
              <w:top w:val="nil"/>
              <w:left w:val="nil"/>
              <w:bottom w:val="nil"/>
              <w:right w:val="nil"/>
            </w:tcBorders>
            <w:shd w:val="clear" w:color="auto" w:fill="auto"/>
            <w:noWrap/>
            <w:vAlign w:val="bottom"/>
            <w:hideMark/>
          </w:tcPr>
          <w:p w14:paraId="34BE294A"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13.44%</w:t>
            </w:r>
          </w:p>
        </w:tc>
        <w:tc>
          <w:tcPr>
            <w:tcW w:w="976" w:type="dxa"/>
            <w:tcBorders>
              <w:top w:val="nil"/>
              <w:left w:val="nil"/>
              <w:bottom w:val="nil"/>
              <w:right w:val="single" w:sz="4" w:space="0" w:color="auto"/>
            </w:tcBorders>
            <w:shd w:val="clear" w:color="auto" w:fill="auto"/>
            <w:noWrap/>
            <w:vAlign w:val="bottom"/>
            <w:hideMark/>
          </w:tcPr>
          <w:p w14:paraId="7E42D98A" w14:textId="77777777" w:rsidR="00360F0D" w:rsidRPr="001436DC" w:rsidRDefault="00360F0D" w:rsidP="00360F0D">
            <w:pPr>
              <w:spacing w:after="0" w:line="240" w:lineRule="auto"/>
              <w:jc w:val="righ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12.16%</w:t>
            </w:r>
          </w:p>
        </w:tc>
      </w:tr>
      <w:tr w:rsidR="00360F0D" w:rsidRPr="00A44EF3" w14:paraId="791E4F9F" w14:textId="77777777" w:rsidTr="003F67F7">
        <w:trPr>
          <w:trHeight w:val="255"/>
          <w:jc w:val="center"/>
        </w:trPr>
        <w:tc>
          <w:tcPr>
            <w:tcW w:w="976" w:type="dxa"/>
            <w:vMerge/>
            <w:tcBorders>
              <w:top w:val="single" w:sz="4" w:space="0" w:color="auto"/>
              <w:left w:val="single" w:sz="4" w:space="0" w:color="auto"/>
              <w:bottom w:val="single" w:sz="4" w:space="0" w:color="auto"/>
              <w:right w:val="nil"/>
            </w:tcBorders>
            <w:vAlign w:val="center"/>
            <w:hideMark/>
          </w:tcPr>
          <w:p w14:paraId="5A2608A0" w14:textId="77777777" w:rsidR="00360F0D" w:rsidRPr="001436DC" w:rsidRDefault="00360F0D" w:rsidP="00360F0D">
            <w:pPr>
              <w:spacing w:after="0" w:line="240" w:lineRule="auto"/>
              <w:jc w:val="left"/>
              <w:rPr>
                <w:rFonts w:ascii="Century Gothic" w:eastAsia="Times New Roman" w:hAnsi="Century Gothic" w:cs="Arial"/>
                <w:b/>
                <w:bCs/>
                <w:sz w:val="16"/>
                <w:szCs w:val="16"/>
              </w:rPr>
            </w:pPr>
          </w:p>
        </w:tc>
        <w:tc>
          <w:tcPr>
            <w:tcW w:w="729" w:type="dxa"/>
            <w:tcBorders>
              <w:top w:val="nil"/>
              <w:left w:val="nil"/>
              <w:bottom w:val="single" w:sz="4" w:space="0" w:color="auto"/>
              <w:right w:val="nil"/>
            </w:tcBorders>
            <w:shd w:val="clear" w:color="auto" w:fill="auto"/>
            <w:noWrap/>
            <w:vAlign w:val="bottom"/>
            <w:hideMark/>
          </w:tcPr>
          <w:p w14:paraId="0025CA6E" w14:textId="77777777" w:rsidR="00360F0D" w:rsidRPr="001436DC" w:rsidRDefault="00360F0D" w:rsidP="00360F0D">
            <w:pPr>
              <w:spacing w:after="0" w:line="240" w:lineRule="auto"/>
              <w:jc w:val="lef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 </w:t>
            </w:r>
          </w:p>
        </w:tc>
        <w:tc>
          <w:tcPr>
            <w:tcW w:w="1848" w:type="dxa"/>
            <w:tcBorders>
              <w:top w:val="nil"/>
              <w:left w:val="nil"/>
              <w:bottom w:val="single" w:sz="4" w:space="0" w:color="auto"/>
              <w:right w:val="nil"/>
            </w:tcBorders>
            <w:shd w:val="clear" w:color="auto" w:fill="auto"/>
            <w:noWrap/>
            <w:vAlign w:val="bottom"/>
            <w:hideMark/>
          </w:tcPr>
          <w:p w14:paraId="44D38B71"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CPN, DYN, NRG</w:t>
            </w:r>
          </w:p>
        </w:tc>
        <w:tc>
          <w:tcPr>
            <w:tcW w:w="955" w:type="dxa"/>
            <w:tcBorders>
              <w:top w:val="nil"/>
              <w:left w:val="nil"/>
              <w:bottom w:val="single" w:sz="4" w:space="0" w:color="auto"/>
              <w:right w:val="nil"/>
            </w:tcBorders>
            <w:shd w:val="clear" w:color="auto" w:fill="auto"/>
            <w:noWrap/>
            <w:vAlign w:val="bottom"/>
            <w:hideMark/>
          </w:tcPr>
          <w:p w14:paraId="029951B6"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10.91%</w:t>
            </w:r>
          </w:p>
        </w:tc>
        <w:tc>
          <w:tcPr>
            <w:tcW w:w="981" w:type="dxa"/>
            <w:tcBorders>
              <w:top w:val="nil"/>
              <w:left w:val="nil"/>
              <w:bottom w:val="single" w:sz="4" w:space="0" w:color="auto"/>
              <w:right w:val="nil"/>
            </w:tcBorders>
            <w:shd w:val="clear" w:color="auto" w:fill="auto"/>
            <w:noWrap/>
            <w:vAlign w:val="bottom"/>
            <w:hideMark/>
          </w:tcPr>
          <w:p w14:paraId="4EE064F2" w14:textId="77777777" w:rsidR="00360F0D" w:rsidRPr="001436DC" w:rsidRDefault="00360F0D" w:rsidP="00360F0D">
            <w:pPr>
              <w:spacing w:after="0" w:line="240" w:lineRule="auto"/>
              <w:jc w:val="right"/>
              <w:rPr>
                <w:rFonts w:ascii="Century Gothic" w:eastAsia="Times New Roman" w:hAnsi="Century Gothic" w:cs="Arial"/>
                <w:sz w:val="16"/>
                <w:szCs w:val="16"/>
              </w:rPr>
            </w:pPr>
            <w:r w:rsidRPr="001436DC">
              <w:rPr>
                <w:rFonts w:ascii="Century Gothic" w:eastAsia="Times New Roman" w:hAnsi="Century Gothic" w:cs="Arial"/>
                <w:sz w:val="16"/>
                <w:szCs w:val="16"/>
              </w:rPr>
              <w:t>13.47%</w:t>
            </w:r>
          </w:p>
        </w:tc>
        <w:tc>
          <w:tcPr>
            <w:tcW w:w="976" w:type="dxa"/>
            <w:tcBorders>
              <w:top w:val="nil"/>
              <w:left w:val="nil"/>
              <w:bottom w:val="single" w:sz="4" w:space="0" w:color="auto"/>
              <w:right w:val="single" w:sz="4" w:space="0" w:color="auto"/>
            </w:tcBorders>
            <w:shd w:val="clear" w:color="auto" w:fill="auto"/>
            <w:noWrap/>
            <w:vAlign w:val="bottom"/>
            <w:hideMark/>
          </w:tcPr>
          <w:p w14:paraId="118D69BE" w14:textId="77777777" w:rsidR="00360F0D" w:rsidRPr="001436DC" w:rsidRDefault="00360F0D" w:rsidP="00360F0D">
            <w:pPr>
              <w:spacing w:after="0" w:line="240" w:lineRule="auto"/>
              <w:jc w:val="right"/>
              <w:rPr>
                <w:rFonts w:ascii="Century Gothic" w:eastAsia="Times New Roman" w:hAnsi="Century Gothic" w:cs="Arial"/>
                <w:b/>
                <w:bCs/>
                <w:sz w:val="16"/>
                <w:szCs w:val="16"/>
              </w:rPr>
            </w:pPr>
            <w:r w:rsidRPr="001436DC">
              <w:rPr>
                <w:rFonts w:ascii="Century Gothic" w:eastAsia="Times New Roman" w:hAnsi="Century Gothic" w:cs="Arial"/>
                <w:b/>
                <w:bCs/>
                <w:sz w:val="16"/>
                <w:szCs w:val="16"/>
              </w:rPr>
              <w:t>12.19%</w:t>
            </w:r>
          </w:p>
        </w:tc>
      </w:tr>
    </w:tbl>
    <w:p w14:paraId="07C0DE44" w14:textId="77777777" w:rsidR="00360F0D" w:rsidRDefault="00360F0D" w:rsidP="00D521BE">
      <w:pPr>
        <w:rPr>
          <w:rFonts w:cs="Times New Roman"/>
        </w:rPr>
      </w:pPr>
    </w:p>
    <w:p w14:paraId="6FE9B153" w14:textId="1B520517" w:rsidR="00286D72" w:rsidRDefault="00890DCA" w:rsidP="00286D72">
      <w:pPr>
        <w:rPr>
          <w:rFonts w:cs="Times New Roman"/>
        </w:rPr>
      </w:pPr>
      <w:r>
        <w:rPr>
          <w:rFonts w:cs="Times New Roman"/>
        </w:rPr>
        <w:t>As shown in Table 25, f</w:t>
      </w:r>
      <w:r w:rsidR="00286D72">
        <w:rPr>
          <w:rFonts w:cs="Times New Roman"/>
        </w:rPr>
        <w:t>orward looking estimates for different combinations of peer companies range from 13.</w:t>
      </w:r>
      <w:r w:rsidR="00BE36FB">
        <w:rPr>
          <w:rFonts w:cs="Times New Roman"/>
        </w:rPr>
        <w:t>09</w:t>
      </w:r>
      <w:r w:rsidR="00286D72">
        <w:rPr>
          <w:rFonts w:cs="Times New Roman"/>
        </w:rPr>
        <w:t xml:space="preserve"> to 13.</w:t>
      </w:r>
      <w:r w:rsidR="00BE36FB">
        <w:rPr>
          <w:rFonts w:cs="Times New Roman"/>
        </w:rPr>
        <w:t>5</w:t>
      </w:r>
      <w:r w:rsidR="00286D72">
        <w:rPr>
          <w:rFonts w:cs="Times New Roman"/>
        </w:rPr>
        <w:t>5%. Given stakeholder concerns about appropriate peer comparators, we have determined that an ROE</w:t>
      </w:r>
      <w:r w:rsidR="00BE36FB">
        <w:rPr>
          <w:rFonts w:cs="Times New Roman"/>
        </w:rPr>
        <w:t xml:space="preserve"> of 13.4%</w:t>
      </w:r>
      <w:r w:rsidR="00286D72">
        <w:rPr>
          <w:rFonts w:cs="Times New Roman"/>
        </w:rPr>
        <w:t xml:space="preserve"> towards the upper end of the range of results is appropriate for the CONE/Net CONE calculation.</w:t>
      </w:r>
    </w:p>
    <w:p w14:paraId="46FF7AFE" w14:textId="74A02078" w:rsidR="005B0246" w:rsidRPr="004E19C7" w:rsidRDefault="005B0246" w:rsidP="005618B8">
      <w:pPr>
        <w:pStyle w:val="Heading4"/>
      </w:pPr>
      <w:r w:rsidRPr="004E19C7">
        <w:t>Cost of Debt</w:t>
      </w:r>
    </w:p>
    <w:p w14:paraId="521E4301" w14:textId="3499F256" w:rsidR="005B0246" w:rsidRDefault="005B0246" w:rsidP="005B0246">
      <w:pPr>
        <w:rPr>
          <w:rFonts w:cs="Times New Roman"/>
        </w:rPr>
      </w:pPr>
      <w:r w:rsidRPr="00832FC5">
        <w:rPr>
          <w:rFonts w:cs="Times New Roman"/>
        </w:rPr>
        <w:t>T</w:t>
      </w:r>
      <w:r>
        <w:rPr>
          <w:rFonts w:cs="Times New Roman"/>
        </w:rPr>
        <w:t>o estimate Cost of D</w:t>
      </w:r>
      <w:r w:rsidRPr="00832FC5">
        <w:rPr>
          <w:rFonts w:cs="Times New Roman"/>
        </w:rPr>
        <w:t>ebt</w:t>
      </w:r>
      <w:r>
        <w:rPr>
          <w:rFonts w:cs="Times New Roman"/>
        </w:rPr>
        <w:t xml:space="preserve"> (“COD”)</w:t>
      </w:r>
      <w:r w:rsidRPr="00832FC5">
        <w:rPr>
          <w:rFonts w:cs="Times New Roman"/>
        </w:rPr>
        <w:t xml:space="preserve">, </w:t>
      </w:r>
      <w:r>
        <w:rPr>
          <w:rFonts w:cs="Times New Roman"/>
        </w:rPr>
        <w:t>we reviewed</w:t>
      </w:r>
      <w:r w:rsidRPr="00832FC5">
        <w:rPr>
          <w:rFonts w:cs="Times New Roman"/>
        </w:rPr>
        <w:t xml:space="preserve"> credit ratings of companies active in the </w:t>
      </w:r>
      <w:r w:rsidRPr="0055298A">
        <w:rPr>
          <w:rFonts w:cs="Times New Roman"/>
        </w:rPr>
        <w:t xml:space="preserve">development and commercialization of merchant generation.  Of the five original comparators, each </w:t>
      </w:r>
      <w:r w:rsidR="00D811A8" w:rsidRPr="0055298A">
        <w:rPr>
          <w:rFonts w:cs="Times New Roman"/>
        </w:rPr>
        <w:t xml:space="preserve">has </w:t>
      </w:r>
      <w:r w:rsidRPr="0055298A">
        <w:rPr>
          <w:rFonts w:cs="Times New Roman"/>
        </w:rPr>
        <w:t>below investment-grade senior unsecured debt ratings ranging from “B” to “BB”. Ratings are estimated by Standard &amp; Poor’s and reported by SNL.</w:t>
      </w:r>
      <w:r w:rsidRPr="0055298A">
        <w:rPr>
          <w:rStyle w:val="FootnoteReference"/>
          <w:rFonts w:cs="Times New Roman"/>
        </w:rPr>
        <w:footnoteReference w:id="19"/>
      </w:r>
      <w:r w:rsidRPr="0055298A">
        <w:rPr>
          <w:rFonts w:cs="Times New Roman"/>
        </w:rPr>
        <w:t xml:space="preserve"> We then reviewed historical generic corporate bond</w:t>
      </w:r>
      <w:r>
        <w:rPr>
          <w:rFonts w:cs="Times New Roman"/>
        </w:rPr>
        <w:t xml:space="preserve"> yields for B and BB rated companies. </w:t>
      </w:r>
      <w:r w:rsidRPr="00832FC5">
        <w:rPr>
          <w:rFonts w:cs="Times New Roman"/>
        </w:rPr>
        <w:t>Over the period January 1, 2016 through</w:t>
      </w:r>
      <w:r>
        <w:rPr>
          <w:rFonts w:cs="Times New Roman"/>
        </w:rPr>
        <w:t xml:space="preserve"> August 1, 2016</w:t>
      </w:r>
      <w:r w:rsidRPr="00832FC5">
        <w:rPr>
          <w:rFonts w:cs="Times New Roman"/>
        </w:rPr>
        <w:t xml:space="preserve">, bond yields for </w:t>
      </w:r>
      <w:r>
        <w:rPr>
          <w:rFonts w:cs="Times New Roman"/>
        </w:rPr>
        <w:t xml:space="preserve">companies </w:t>
      </w:r>
      <w:r w:rsidRPr="00832FC5">
        <w:rPr>
          <w:rFonts w:cs="Times New Roman"/>
        </w:rPr>
        <w:t>with a B rating averaged 8.12%</w:t>
      </w:r>
      <w:r w:rsidR="00890DCA">
        <w:rPr>
          <w:rFonts w:cs="Times New Roman"/>
        </w:rPr>
        <w:t>,</w:t>
      </w:r>
      <w:r w:rsidRPr="00832FC5">
        <w:rPr>
          <w:rFonts w:cs="Times New Roman"/>
        </w:rPr>
        <w:t xml:space="preserve"> while yields for </w:t>
      </w:r>
      <w:r>
        <w:rPr>
          <w:rFonts w:cs="Times New Roman"/>
        </w:rPr>
        <w:t xml:space="preserve">companies </w:t>
      </w:r>
      <w:r w:rsidRPr="00832FC5">
        <w:rPr>
          <w:rFonts w:cs="Times New Roman"/>
        </w:rPr>
        <w:t xml:space="preserve">with a BB rating averaged 5.59%.  </w:t>
      </w:r>
    </w:p>
    <w:p w14:paraId="4D0825A2" w14:textId="77777777" w:rsidR="00785783" w:rsidRDefault="00785783">
      <w:pPr>
        <w:spacing w:line="259" w:lineRule="auto"/>
        <w:jc w:val="left"/>
        <w:rPr>
          <w:rFonts w:cs="Times New Roman"/>
        </w:rPr>
      </w:pPr>
      <w:r>
        <w:rPr>
          <w:rFonts w:cs="Times New Roman"/>
        </w:rPr>
        <w:br w:type="page"/>
      </w:r>
    </w:p>
    <w:p w14:paraId="1915CC25" w14:textId="3D43937C" w:rsidR="00785783" w:rsidRPr="008E234D" w:rsidRDefault="00E42DE9" w:rsidP="00D2628D">
      <w:pPr>
        <w:pStyle w:val="Caption"/>
      </w:pPr>
      <w:bookmarkStart w:id="56" w:name="_Toc465433474"/>
      <w:r>
        <w:lastRenderedPageBreak/>
        <w:t xml:space="preserve">Figure </w:t>
      </w:r>
      <w:r w:rsidR="00FA6573">
        <w:fldChar w:fldCharType="begin"/>
      </w:r>
      <w:r w:rsidR="00FA6573">
        <w:instrText xml:space="preserve"> SEQ Figure \* ARABIC </w:instrText>
      </w:r>
      <w:r w:rsidR="00FA6573">
        <w:fldChar w:fldCharType="separate"/>
      </w:r>
      <w:r w:rsidR="006E2301">
        <w:rPr>
          <w:noProof/>
        </w:rPr>
        <w:t>1</w:t>
      </w:r>
      <w:r w:rsidR="00FA6573">
        <w:rPr>
          <w:noProof/>
        </w:rPr>
        <w:fldChar w:fldCharType="end"/>
      </w:r>
      <w:r>
        <w:t xml:space="preserve">: </w:t>
      </w:r>
      <w:r w:rsidRPr="00455D05">
        <w:rPr>
          <w:noProof/>
        </w:rPr>
        <w:t>Generic Corporate Bond Yields</w:t>
      </w:r>
      <w:r w:rsidR="00785783">
        <w:rPr>
          <w:rStyle w:val="FootnoteReference"/>
          <w:b w:val="0"/>
        </w:rPr>
        <w:footnoteReference w:id="20"/>
      </w:r>
      <w:bookmarkEnd w:id="56"/>
    </w:p>
    <w:p w14:paraId="6DFD6A4E" w14:textId="03AC0E4F" w:rsidR="005B0246" w:rsidRPr="00832FC5" w:rsidRDefault="00785783" w:rsidP="005B0246">
      <w:pPr>
        <w:jc w:val="center"/>
        <w:rPr>
          <w:rFonts w:cs="Times New Roman"/>
        </w:rPr>
      </w:pPr>
      <w:r w:rsidRPr="00785783">
        <w:rPr>
          <w:noProof/>
        </w:rPr>
        <w:t xml:space="preserve"> </w:t>
      </w:r>
      <w:r>
        <w:rPr>
          <w:noProof/>
        </w:rPr>
        <w:drawing>
          <wp:inline distT="0" distB="0" distL="0" distR="0" wp14:anchorId="134171C6" wp14:editId="56336197">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0EE2E6" w14:textId="2C46FFF6" w:rsidR="005B0246" w:rsidRPr="009173E7" w:rsidRDefault="005B0246" w:rsidP="005B0246">
      <w:pPr>
        <w:rPr>
          <w:rFonts w:cs="Times New Roman"/>
        </w:rPr>
      </w:pPr>
      <w:r>
        <w:rPr>
          <w:rFonts w:cs="Times New Roman"/>
        </w:rPr>
        <w:t>A longer-term view of generic corporate debt reveals these averages have been steadily increasing in recent years, with levels peaking in early 2016</w:t>
      </w:r>
      <w:r w:rsidR="00890DCA">
        <w:rPr>
          <w:rFonts w:cs="Times New Roman"/>
        </w:rPr>
        <w:t>, as shown in Figure 1</w:t>
      </w:r>
      <w:r>
        <w:rPr>
          <w:rFonts w:cs="Times New Roman"/>
        </w:rPr>
        <w:t>. Longer term average costs of debt are lower than recent averages, at 6.57% for a B rating for the period 2013-2016. Given these trends, and that our peer group credit ratings lie between a BB and B rating, we have assumed a cost of debt of 7.75%. This assessment is at the upper end of the range, and is consistent with the increased risk associated with a merchant generating plant operating without a contract.</w:t>
      </w:r>
    </w:p>
    <w:p w14:paraId="01235332" w14:textId="77777777" w:rsidR="005B0246" w:rsidRPr="004E19C7" w:rsidRDefault="005B0246" w:rsidP="003A3BAF">
      <w:pPr>
        <w:pStyle w:val="Heading4"/>
      </w:pPr>
      <w:r w:rsidRPr="004E19C7">
        <w:t>Capital Structure</w:t>
      </w:r>
    </w:p>
    <w:p w14:paraId="433B5D23" w14:textId="10F2A2D0" w:rsidR="005B0246" w:rsidRDefault="005B0246" w:rsidP="005B0246">
      <w:pPr>
        <w:rPr>
          <w:rFonts w:cs="Times New Roman"/>
        </w:rPr>
      </w:pPr>
      <w:r>
        <w:rPr>
          <w:rFonts w:cs="Times New Roman"/>
        </w:rPr>
        <w:t>C</w:t>
      </w:r>
      <w:r w:rsidRPr="00832FC5">
        <w:rPr>
          <w:rFonts w:cs="Times New Roman"/>
        </w:rPr>
        <w:t>apital structure</w:t>
      </w:r>
      <w:r>
        <w:rPr>
          <w:rFonts w:cs="Times New Roman"/>
        </w:rPr>
        <w:t xml:space="preserve"> is the ratio of debt to equity used </w:t>
      </w:r>
      <w:r w:rsidR="00D521BE">
        <w:rPr>
          <w:rFonts w:cs="Times New Roman"/>
        </w:rPr>
        <w:t xml:space="preserve">to </w:t>
      </w:r>
      <w:r>
        <w:rPr>
          <w:rFonts w:cs="Times New Roman"/>
        </w:rPr>
        <w:t>finance an investment</w:t>
      </w:r>
      <w:r w:rsidRPr="00832FC5">
        <w:rPr>
          <w:rFonts w:cs="Times New Roman"/>
        </w:rPr>
        <w:t>.</w:t>
      </w:r>
      <w:r>
        <w:rPr>
          <w:rFonts w:cs="Times New Roman"/>
        </w:rPr>
        <w:t xml:space="preserve"> The appropriate capital structure for a merchant development project </w:t>
      </w:r>
      <w:r w:rsidR="00890DCA">
        <w:rPr>
          <w:rFonts w:cs="Times New Roman"/>
        </w:rPr>
        <w:t xml:space="preserve">can </w:t>
      </w:r>
      <w:r>
        <w:rPr>
          <w:rFonts w:cs="Times New Roman"/>
        </w:rPr>
        <w:t xml:space="preserve">take many forms depending on its particular financing. </w:t>
      </w:r>
    </w:p>
    <w:p w14:paraId="5770D57E" w14:textId="7D41BB8E" w:rsidR="005B0246" w:rsidRDefault="005B0246" w:rsidP="005B0246">
      <w:pPr>
        <w:rPr>
          <w:rFonts w:cs="Times New Roman"/>
        </w:rPr>
      </w:pPr>
      <w:r>
        <w:rPr>
          <w:rFonts w:cs="Times New Roman"/>
        </w:rPr>
        <w:t>T</w:t>
      </w:r>
      <w:r w:rsidRPr="00832FC5">
        <w:rPr>
          <w:rFonts w:cs="Times New Roman"/>
        </w:rPr>
        <w:t xml:space="preserve">o </w:t>
      </w:r>
      <w:r>
        <w:rPr>
          <w:rFonts w:cs="Times New Roman"/>
        </w:rPr>
        <w:t xml:space="preserve">derive an appropriate capital structure for the </w:t>
      </w:r>
      <w:r w:rsidR="00D521BE">
        <w:rPr>
          <w:rFonts w:cs="Times New Roman"/>
        </w:rPr>
        <w:t>N</w:t>
      </w:r>
      <w:r>
        <w:rPr>
          <w:rFonts w:cs="Times New Roman"/>
        </w:rPr>
        <w:t>et CONE calculation</w:t>
      </w:r>
      <w:r w:rsidRPr="00832FC5">
        <w:rPr>
          <w:rFonts w:cs="Times New Roman"/>
        </w:rPr>
        <w:t xml:space="preserve">, </w:t>
      </w:r>
      <w:r>
        <w:rPr>
          <w:rFonts w:cs="Times New Roman"/>
        </w:rPr>
        <w:t xml:space="preserve">we reviewed </w:t>
      </w:r>
      <w:r w:rsidRPr="00832FC5">
        <w:rPr>
          <w:rFonts w:cs="Times New Roman"/>
        </w:rPr>
        <w:t xml:space="preserve">the capital structures </w:t>
      </w:r>
      <w:r>
        <w:rPr>
          <w:rFonts w:cs="Times New Roman"/>
        </w:rPr>
        <w:t>of the aforementioned peer group</w:t>
      </w:r>
      <w:r w:rsidRPr="00832FC5">
        <w:rPr>
          <w:rFonts w:cs="Times New Roman"/>
        </w:rPr>
        <w:t xml:space="preserve"> of companies </w:t>
      </w:r>
      <w:r>
        <w:rPr>
          <w:rFonts w:cs="Times New Roman"/>
        </w:rPr>
        <w:t>who</w:t>
      </w:r>
      <w:r w:rsidRPr="00832FC5">
        <w:rPr>
          <w:rFonts w:cs="Times New Roman"/>
        </w:rPr>
        <w:t xml:space="preserve"> would be likely to make such an investment.  </w:t>
      </w:r>
      <w:r>
        <w:rPr>
          <w:rFonts w:cs="Times New Roman"/>
        </w:rPr>
        <w:t>S</w:t>
      </w:r>
      <w:r w:rsidRPr="00832FC5">
        <w:rPr>
          <w:rFonts w:cs="Times New Roman"/>
        </w:rPr>
        <w:t xml:space="preserve">ince each company in the peer group is public, their debt weight, </w:t>
      </w:r>
      <w:proofErr w:type="gramStart"/>
      <w:r w:rsidRPr="00832FC5">
        <w:rPr>
          <w:rFonts w:cs="Times New Roman"/>
        </w:rPr>
        <w:t>the</w:t>
      </w:r>
      <w:proofErr w:type="gramEnd"/>
      <w:r w:rsidRPr="00832FC5">
        <w:rPr>
          <w:rFonts w:cs="Times New Roman"/>
        </w:rPr>
        <w:t xml:space="preserve"> total market value of the debt outstanding as a percentage of the market value of their total capital (debt plus equity) is available via their filings with the Securit</w:t>
      </w:r>
      <w:r>
        <w:rPr>
          <w:rFonts w:cs="Times New Roman"/>
        </w:rPr>
        <w:t>ies Exchange Commission (“SEC”).</w:t>
      </w:r>
    </w:p>
    <w:p w14:paraId="1EBB168C" w14:textId="475CC9AC" w:rsidR="005B0246" w:rsidRPr="00832FC5" w:rsidRDefault="005B0246" w:rsidP="005B0246">
      <w:pPr>
        <w:rPr>
          <w:rFonts w:cs="Times New Roman"/>
        </w:rPr>
      </w:pPr>
      <w:r w:rsidRPr="00832FC5">
        <w:rPr>
          <w:rFonts w:cs="Times New Roman"/>
        </w:rPr>
        <w:t xml:space="preserve">Debt weights for each member of the peer group </w:t>
      </w:r>
      <w:r w:rsidR="00890DCA">
        <w:rPr>
          <w:rFonts w:cs="Times New Roman"/>
        </w:rPr>
        <w:t>are</w:t>
      </w:r>
      <w:r w:rsidR="00890DCA" w:rsidRPr="00832FC5">
        <w:rPr>
          <w:rFonts w:cs="Times New Roman"/>
        </w:rPr>
        <w:t xml:space="preserve"> </w:t>
      </w:r>
      <w:r w:rsidRPr="00832FC5">
        <w:rPr>
          <w:rFonts w:cs="Times New Roman"/>
        </w:rPr>
        <w:t>shown below:</w:t>
      </w:r>
      <w:r w:rsidRPr="00832FC5">
        <w:rPr>
          <w:rStyle w:val="FootnoteReference"/>
          <w:rFonts w:cs="Times New Roman"/>
        </w:rPr>
        <w:footnoteReference w:id="21"/>
      </w:r>
    </w:p>
    <w:p w14:paraId="0A5CAF30" w14:textId="6E275EF8" w:rsidR="005B0246" w:rsidRPr="00832FC5" w:rsidRDefault="005B0246" w:rsidP="00D2628D">
      <w:pPr>
        <w:pStyle w:val="Caption"/>
      </w:pPr>
      <w:bookmarkStart w:id="57" w:name="_Ref462345715"/>
      <w:bookmarkStart w:id="58" w:name="_Toc465433475"/>
      <w:r w:rsidRPr="00832FC5">
        <w:lastRenderedPageBreak/>
        <w:t xml:space="preserve">Figure </w:t>
      </w:r>
      <w:r w:rsidR="00FA6573">
        <w:fldChar w:fldCharType="begin"/>
      </w:r>
      <w:r w:rsidR="00FA6573">
        <w:instrText xml:space="preserve"> SEQ Figure \* ARABIC </w:instrText>
      </w:r>
      <w:r w:rsidR="00FA6573">
        <w:fldChar w:fldCharType="separate"/>
      </w:r>
      <w:r w:rsidR="006E2301">
        <w:rPr>
          <w:noProof/>
        </w:rPr>
        <w:t>2</w:t>
      </w:r>
      <w:r w:rsidR="00FA6573">
        <w:rPr>
          <w:noProof/>
        </w:rPr>
        <w:fldChar w:fldCharType="end"/>
      </w:r>
      <w:bookmarkEnd w:id="57"/>
      <w:r w:rsidR="00FE4C1F">
        <w:rPr>
          <w:noProof/>
        </w:rPr>
        <w:t>:</w:t>
      </w:r>
      <w:r w:rsidRPr="00832FC5">
        <w:t xml:space="preserve">  Peer Group Debt Weights</w:t>
      </w:r>
      <w:r w:rsidRPr="00832FC5">
        <w:rPr>
          <w:rStyle w:val="FootnoteReference"/>
          <w:i/>
          <w:szCs w:val="22"/>
        </w:rPr>
        <w:footnoteReference w:id="22"/>
      </w:r>
      <w:bookmarkEnd w:id="58"/>
    </w:p>
    <w:p w14:paraId="20B96C00" w14:textId="0261C95F" w:rsidR="005B0246" w:rsidRPr="00832FC5" w:rsidRDefault="00711A52" w:rsidP="005B0246">
      <w:pPr>
        <w:jc w:val="center"/>
        <w:rPr>
          <w:rFonts w:cs="Times New Roman"/>
        </w:rPr>
      </w:pPr>
      <w:r>
        <w:rPr>
          <w:noProof/>
        </w:rPr>
        <w:drawing>
          <wp:inline distT="0" distB="0" distL="0" distR="0" wp14:anchorId="07E61114" wp14:editId="34F7C69C">
            <wp:extent cx="5267325" cy="3562350"/>
            <wp:effectExtent l="0" t="0" r="952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6548C1" w14:textId="77777777" w:rsidR="00247A10" w:rsidRDefault="00247A10" w:rsidP="005B0246">
      <w:pPr>
        <w:rPr>
          <w:rFonts w:cs="Times New Roman"/>
        </w:rPr>
      </w:pPr>
    </w:p>
    <w:p w14:paraId="00D5B0FD" w14:textId="13C5A6EA" w:rsidR="005B0246" w:rsidRDefault="005B0246" w:rsidP="005B0246">
      <w:pPr>
        <w:rPr>
          <w:rFonts w:cs="Times New Roman"/>
        </w:rPr>
      </w:pPr>
      <w:r w:rsidRPr="00832FC5">
        <w:rPr>
          <w:rFonts w:cs="Times New Roman"/>
        </w:rPr>
        <w:t xml:space="preserve">Over </w:t>
      </w:r>
      <w:r>
        <w:rPr>
          <w:rFonts w:cs="Times New Roman"/>
        </w:rPr>
        <w:t>the 2015-2016</w:t>
      </w:r>
      <w:r w:rsidRPr="00832FC5">
        <w:rPr>
          <w:rFonts w:cs="Times New Roman"/>
        </w:rPr>
        <w:t xml:space="preserve"> </w:t>
      </w:r>
      <w:proofErr w:type="gramStart"/>
      <w:r w:rsidRPr="00832FC5">
        <w:rPr>
          <w:rFonts w:cs="Times New Roman"/>
        </w:rPr>
        <w:t>period</w:t>
      </w:r>
      <w:proofErr w:type="gramEnd"/>
      <w:r w:rsidRPr="00832FC5">
        <w:rPr>
          <w:rFonts w:cs="Times New Roman"/>
        </w:rPr>
        <w:t xml:space="preserve">, </w:t>
      </w:r>
      <w:r>
        <w:rPr>
          <w:rFonts w:cs="Times New Roman"/>
        </w:rPr>
        <w:t>the average capital structure contained</w:t>
      </w:r>
      <w:r w:rsidRPr="00832FC5">
        <w:rPr>
          <w:rFonts w:cs="Times New Roman"/>
        </w:rPr>
        <w:t xml:space="preserve"> a mix of 6</w:t>
      </w:r>
      <w:r>
        <w:rPr>
          <w:rFonts w:cs="Times New Roman"/>
        </w:rPr>
        <w:t>7</w:t>
      </w:r>
      <w:r w:rsidRPr="00832FC5">
        <w:rPr>
          <w:rFonts w:cs="Times New Roman"/>
        </w:rPr>
        <w:t>% debt and 3</w:t>
      </w:r>
      <w:r>
        <w:rPr>
          <w:rFonts w:cs="Times New Roman"/>
        </w:rPr>
        <w:t>3</w:t>
      </w:r>
      <w:r w:rsidRPr="00832FC5">
        <w:rPr>
          <w:rFonts w:cs="Times New Roman"/>
        </w:rPr>
        <w:t>% equity.</w:t>
      </w:r>
      <w:r w:rsidRPr="00832FC5">
        <w:rPr>
          <w:rStyle w:val="FootnoteReference"/>
          <w:rFonts w:cs="Times New Roman"/>
        </w:rPr>
        <w:footnoteReference w:id="23"/>
      </w:r>
      <w:r>
        <w:rPr>
          <w:rFonts w:cs="Times New Roman"/>
        </w:rPr>
        <w:t xml:space="preserve"> More recently, for the </w:t>
      </w:r>
      <w:r w:rsidRPr="00B076B9">
        <w:rPr>
          <w:rFonts w:cs="Times New Roman"/>
        </w:rPr>
        <w:t>first two quarters of 2016</w:t>
      </w:r>
      <w:r>
        <w:rPr>
          <w:rFonts w:cs="Times New Roman"/>
        </w:rPr>
        <w:t xml:space="preserve"> this average amounts to 75% debt and 25% equity</w:t>
      </w:r>
      <w:r w:rsidR="00890DCA">
        <w:rPr>
          <w:rFonts w:cs="Times New Roman"/>
        </w:rPr>
        <w:t>, as shown in Table 26</w:t>
      </w:r>
      <w:r>
        <w:rPr>
          <w:rFonts w:cs="Times New Roman"/>
        </w:rPr>
        <w:t>.</w:t>
      </w:r>
      <w:r>
        <w:rPr>
          <w:rStyle w:val="FootnoteReference"/>
          <w:rFonts w:cs="Times New Roman"/>
        </w:rPr>
        <w:footnoteReference w:id="24"/>
      </w:r>
      <w:r>
        <w:rPr>
          <w:rFonts w:cs="Times New Roman"/>
        </w:rPr>
        <w:t xml:space="preserve"> </w:t>
      </w:r>
    </w:p>
    <w:p w14:paraId="4641359B" w14:textId="054EBA48" w:rsidR="000637A3" w:rsidRDefault="000637A3" w:rsidP="005B0246">
      <w:pPr>
        <w:rPr>
          <w:rFonts w:cs="Times New Roman"/>
        </w:rPr>
      </w:pPr>
    </w:p>
    <w:p w14:paraId="384D1554" w14:textId="667C990E" w:rsidR="000637A3" w:rsidRDefault="000637A3" w:rsidP="005B0246">
      <w:pPr>
        <w:rPr>
          <w:rFonts w:cs="Times New Roman"/>
        </w:rPr>
      </w:pPr>
    </w:p>
    <w:p w14:paraId="5508AEA9" w14:textId="75D94F33" w:rsidR="000637A3" w:rsidRDefault="000637A3" w:rsidP="005B0246">
      <w:pPr>
        <w:rPr>
          <w:rFonts w:cs="Times New Roman"/>
        </w:rPr>
      </w:pPr>
    </w:p>
    <w:p w14:paraId="2CC03F88" w14:textId="7832E103" w:rsidR="000637A3" w:rsidRDefault="000637A3" w:rsidP="005B0246">
      <w:pPr>
        <w:rPr>
          <w:rFonts w:cs="Times New Roman"/>
        </w:rPr>
      </w:pPr>
    </w:p>
    <w:p w14:paraId="52EF21D5" w14:textId="0EA2FE00" w:rsidR="000637A3" w:rsidRDefault="000637A3" w:rsidP="005B0246">
      <w:pPr>
        <w:rPr>
          <w:rFonts w:cs="Times New Roman"/>
        </w:rPr>
      </w:pPr>
    </w:p>
    <w:p w14:paraId="1DF703E5" w14:textId="3D496719" w:rsidR="000637A3" w:rsidRDefault="000637A3" w:rsidP="005B0246">
      <w:pPr>
        <w:rPr>
          <w:rFonts w:cs="Times New Roman"/>
        </w:rPr>
      </w:pPr>
    </w:p>
    <w:p w14:paraId="44050A97" w14:textId="36A3C43A" w:rsidR="000637A3" w:rsidRDefault="000637A3" w:rsidP="005B0246">
      <w:pPr>
        <w:rPr>
          <w:rFonts w:cs="Times New Roman"/>
        </w:rPr>
      </w:pPr>
    </w:p>
    <w:p w14:paraId="43ABC6C7" w14:textId="7BC43C93" w:rsidR="000637A3" w:rsidRDefault="000637A3" w:rsidP="005B0246">
      <w:pPr>
        <w:rPr>
          <w:rFonts w:cs="Times New Roman"/>
        </w:rPr>
      </w:pPr>
    </w:p>
    <w:p w14:paraId="3254DB40" w14:textId="5F80B304" w:rsidR="000637A3" w:rsidRDefault="000637A3" w:rsidP="00D2628D">
      <w:pPr>
        <w:pStyle w:val="Caption"/>
      </w:pPr>
      <w:r>
        <w:lastRenderedPageBreak/>
        <w:t xml:space="preserve">Table </w:t>
      </w:r>
      <w:r w:rsidR="00FA6573">
        <w:fldChar w:fldCharType="begin"/>
      </w:r>
      <w:r w:rsidR="00FA6573">
        <w:instrText xml:space="preserve"> SEQ Table \* ARABIC </w:instrText>
      </w:r>
      <w:r w:rsidR="00FA6573">
        <w:fldChar w:fldCharType="separate"/>
      </w:r>
      <w:r>
        <w:rPr>
          <w:noProof/>
        </w:rPr>
        <w:t>26</w:t>
      </w:r>
      <w:r w:rsidR="00FA6573">
        <w:rPr>
          <w:noProof/>
        </w:rPr>
        <w:fldChar w:fldCharType="end"/>
      </w:r>
      <w:r>
        <w:t>:  Total Debt/Total Capitalization</w:t>
      </w:r>
      <w:r>
        <w:rPr>
          <w:rStyle w:val="FootnoteReference"/>
        </w:rPr>
        <w:footnoteReference w:id="25"/>
      </w:r>
    </w:p>
    <w:tbl>
      <w:tblPr>
        <w:tblStyle w:val="GridTable4-Accent32"/>
        <w:tblW w:w="9370" w:type="dxa"/>
        <w:tblLayout w:type="fixed"/>
        <w:tblCellMar>
          <w:left w:w="29" w:type="dxa"/>
          <w:right w:w="29" w:type="dxa"/>
        </w:tblCellMar>
        <w:tblLook w:val="04A0" w:firstRow="1" w:lastRow="0" w:firstColumn="1" w:lastColumn="0" w:noHBand="0" w:noVBand="1"/>
      </w:tblPr>
      <w:tblGrid>
        <w:gridCol w:w="1075"/>
        <w:gridCol w:w="720"/>
        <w:gridCol w:w="641"/>
        <w:gridCol w:w="736"/>
        <w:gridCol w:w="736"/>
        <w:gridCol w:w="736"/>
        <w:gridCol w:w="736"/>
        <w:gridCol w:w="736"/>
        <w:gridCol w:w="736"/>
        <w:gridCol w:w="736"/>
        <w:gridCol w:w="867"/>
        <w:gridCol w:w="113"/>
        <w:gridCol w:w="802"/>
      </w:tblGrid>
      <w:tr w:rsidR="003001CB" w:rsidRPr="00E42DE9" w14:paraId="094A9B6C" w14:textId="77777777" w:rsidTr="00E42DE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370" w:type="dxa"/>
            <w:gridSpan w:val="13"/>
            <w:noWrap/>
            <w:hideMark/>
          </w:tcPr>
          <w:p w14:paraId="7A25701A" w14:textId="027A2620" w:rsidR="003001CB" w:rsidRPr="00BF404F" w:rsidRDefault="003001CB" w:rsidP="000637A3">
            <w:pPr>
              <w:keepNext/>
              <w:keepLines/>
              <w:spacing w:line="240" w:lineRule="auto"/>
              <w:rPr>
                <w:rFonts w:ascii="Century Gothic" w:eastAsia="Times New Roman" w:hAnsi="Century Gothic" w:cs="Times New Roman"/>
                <w:sz w:val="18"/>
                <w:szCs w:val="16"/>
              </w:rPr>
            </w:pPr>
            <w:r w:rsidRPr="00BF404F">
              <w:rPr>
                <w:rFonts w:ascii="Century Gothic" w:eastAsia="Times New Roman" w:hAnsi="Century Gothic" w:cs="Arial"/>
                <w:color w:val="000000" w:themeColor="text1"/>
                <w:sz w:val="18"/>
                <w:szCs w:val="16"/>
              </w:rPr>
              <w:t>Total Debt/ Total Capitalization (%)</w:t>
            </w:r>
          </w:p>
        </w:tc>
      </w:tr>
      <w:tr w:rsidR="00E42DE9" w:rsidRPr="00890DCA" w14:paraId="0A7479D0" w14:textId="77777777" w:rsidTr="00E42D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75" w:type="dxa"/>
            <w:noWrap/>
            <w:vAlign w:val="center"/>
            <w:hideMark/>
          </w:tcPr>
          <w:p w14:paraId="19B08352" w14:textId="77777777" w:rsidR="005B0246" w:rsidRPr="0006253F" w:rsidRDefault="005B0246" w:rsidP="008E234D">
            <w:pPr>
              <w:keepNext/>
              <w:keepLines/>
              <w:spacing w:line="240" w:lineRule="auto"/>
              <w:jc w:val="left"/>
              <w:rPr>
                <w:rFonts w:ascii="Century Gothic" w:eastAsia="Times New Roman" w:hAnsi="Century Gothic" w:cs="Arial"/>
                <w:sz w:val="16"/>
                <w:szCs w:val="16"/>
              </w:rPr>
            </w:pPr>
            <w:r w:rsidRPr="0006253F">
              <w:rPr>
                <w:rFonts w:ascii="Century Gothic" w:eastAsia="Times New Roman" w:hAnsi="Century Gothic" w:cs="Arial"/>
                <w:sz w:val="16"/>
                <w:szCs w:val="16"/>
              </w:rPr>
              <w:t>Company</w:t>
            </w:r>
          </w:p>
        </w:tc>
        <w:tc>
          <w:tcPr>
            <w:tcW w:w="720" w:type="dxa"/>
            <w:noWrap/>
            <w:vAlign w:val="center"/>
            <w:hideMark/>
          </w:tcPr>
          <w:p w14:paraId="23AAA99F"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2016Q2</w:t>
            </w:r>
          </w:p>
        </w:tc>
        <w:tc>
          <w:tcPr>
            <w:tcW w:w="641" w:type="dxa"/>
            <w:vAlign w:val="center"/>
            <w:hideMark/>
          </w:tcPr>
          <w:p w14:paraId="653A0184"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2016Q1</w:t>
            </w:r>
          </w:p>
        </w:tc>
        <w:tc>
          <w:tcPr>
            <w:tcW w:w="736" w:type="dxa"/>
            <w:vAlign w:val="center"/>
            <w:hideMark/>
          </w:tcPr>
          <w:p w14:paraId="7D590D1A"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2015Q4</w:t>
            </w:r>
          </w:p>
        </w:tc>
        <w:tc>
          <w:tcPr>
            <w:tcW w:w="736" w:type="dxa"/>
            <w:vAlign w:val="center"/>
            <w:hideMark/>
          </w:tcPr>
          <w:p w14:paraId="5C588AB7"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2015Q3</w:t>
            </w:r>
          </w:p>
        </w:tc>
        <w:tc>
          <w:tcPr>
            <w:tcW w:w="736" w:type="dxa"/>
            <w:vAlign w:val="center"/>
            <w:hideMark/>
          </w:tcPr>
          <w:p w14:paraId="4BCE7A74"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2015Q2</w:t>
            </w:r>
          </w:p>
        </w:tc>
        <w:tc>
          <w:tcPr>
            <w:tcW w:w="736" w:type="dxa"/>
            <w:vAlign w:val="center"/>
            <w:hideMark/>
          </w:tcPr>
          <w:p w14:paraId="4B3C842A"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2015Q1</w:t>
            </w:r>
          </w:p>
        </w:tc>
        <w:tc>
          <w:tcPr>
            <w:tcW w:w="736" w:type="dxa"/>
            <w:vAlign w:val="center"/>
            <w:hideMark/>
          </w:tcPr>
          <w:p w14:paraId="6BA718CB"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2014Q4</w:t>
            </w:r>
          </w:p>
        </w:tc>
        <w:tc>
          <w:tcPr>
            <w:tcW w:w="736" w:type="dxa"/>
            <w:vAlign w:val="center"/>
            <w:hideMark/>
          </w:tcPr>
          <w:p w14:paraId="046F2646"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2014Q3</w:t>
            </w:r>
          </w:p>
        </w:tc>
        <w:tc>
          <w:tcPr>
            <w:tcW w:w="736" w:type="dxa"/>
            <w:vAlign w:val="center"/>
            <w:hideMark/>
          </w:tcPr>
          <w:p w14:paraId="371C0F17"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2014Q2</w:t>
            </w:r>
          </w:p>
        </w:tc>
        <w:tc>
          <w:tcPr>
            <w:tcW w:w="867" w:type="dxa"/>
            <w:vAlign w:val="center"/>
            <w:hideMark/>
          </w:tcPr>
          <w:p w14:paraId="4A7BC005"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2014Q1</w:t>
            </w:r>
          </w:p>
        </w:tc>
        <w:tc>
          <w:tcPr>
            <w:tcW w:w="113" w:type="dxa"/>
            <w:noWrap/>
            <w:vAlign w:val="center"/>
            <w:hideMark/>
          </w:tcPr>
          <w:p w14:paraId="0882516B" w14:textId="7C78BE61" w:rsidR="005B0246" w:rsidRPr="0006253F"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p>
        </w:tc>
        <w:tc>
          <w:tcPr>
            <w:tcW w:w="802" w:type="dxa"/>
            <w:vAlign w:val="center"/>
            <w:hideMark/>
          </w:tcPr>
          <w:p w14:paraId="0A7A21EF" w14:textId="77777777" w:rsidR="005B0246" w:rsidRPr="001436DC" w:rsidRDefault="005B0246">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16"/>
                <w:szCs w:val="16"/>
              </w:rPr>
            </w:pPr>
            <w:r w:rsidRPr="001436DC">
              <w:rPr>
                <w:rFonts w:ascii="Century Gothic" w:eastAsia="Times New Roman" w:hAnsi="Century Gothic" w:cs="Arial"/>
                <w:b/>
                <w:sz w:val="16"/>
                <w:szCs w:val="16"/>
              </w:rPr>
              <w:t>Average</w:t>
            </w:r>
          </w:p>
        </w:tc>
      </w:tr>
      <w:tr w:rsidR="00E42DE9" w:rsidRPr="00E42DE9" w14:paraId="7A8D5C97" w14:textId="77777777" w:rsidTr="001436DC">
        <w:trPr>
          <w:trHeight w:val="35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171C594" w14:textId="77777777" w:rsidR="005B0246" w:rsidRPr="0006253F" w:rsidRDefault="005B0246" w:rsidP="008E234D">
            <w:pPr>
              <w:keepNext/>
              <w:keepLines/>
              <w:spacing w:line="240" w:lineRule="auto"/>
              <w:jc w:val="left"/>
              <w:rPr>
                <w:rFonts w:ascii="Century Gothic" w:eastAsia="Times New Roman" w:hAnsi="Century Gothic" w:cs="Arial"/>
                <w:sz w:val="16"/>
                <w:szCs w:val="16"/>
              </w:rPr>
            </w:pPr>
            <w:r w:rsidRPr="0006253F">
              <w:rPr>
                <w:rFonts w:ascii="Century Gothic" w:eastAsia="Times New Roman" w:hAnsi="Century Gothic" w:cs="Arial"/>
                <w:sz w:val="16"/>
                <w:szCs w:val="16"/>
              </w:rPr>
              <w:t>AES</w:t>
            </w:r>
          </w:p>
        </w:tc>
        <w:tc>
          <w:tcPr>
            <w:tcW w:w="0" w:type="dxa"/>
            <w:noWrap/>
            <w:vAlign w:val="center"/>
            <w:hideMark/>
          </w:tcPr>
          <w:p w14:paraId="74B58E43" w14:textId="2D92DC43"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69.8</w:t>
            </w:r>
          </w:p>
        </w:tc>
        <w:tc>
          <w:tcPr>
            <w:tcW w:w="0" w:type="dxa"/>
            <w:vAlign w:val="center"/>
            <w:hideMark/>
          </w:tcPr>
          <w:p w14:paraId="741F95D3" w14:textId="2EC6BF9A"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70.9</w:t>
            </w:r>
          </w:p>
        </w:tc>
        <w:tc>
          <w:tcPr>
            <w:tcW w:w="0" w:type="dxa"/>
            <w:vAlign w:val="center"/>
            <w:hideMark/>
          </w:tcPr>
          <w:p w14:paraId="7AC3B8A9" w14:textId="421904D4"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75.0</w:t>
            </w:r>
          </w:p>
        </w:tc>
        <w:tc>
          <w:tcPr>
            <w:tcW w:w="0" w:type="dxa"/>
            <w:vAlign w:val="center"/>
            <w:hideMark/>
          </w:tcPr>
          <w:p w14:paraId="419012B9" w14:textId="75E1D109"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74.3</w:t>
            </w:r>
          </w:p>
        </w:tc>
        <w:tc>
          <w:tcPr>
            <w:tcW w:w="0" w:type="dxa"/>
            <w:vAlign w:val="center"/>
            <w:hideMark/>
          </w:tcPr>
          <w:p w14:paraId="4F2B0944" w14:textId="42ACFE28"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68.4</w:t>
            </w:r>
          </w:p>
        </w:tc>
        <w:tc>
          <w:tcPr>
            <w:tcW w:w="0" w:type="dxa"/>
            <w:vAlign w:val="center"/>
            <w:hideMark/>
          </w:tcPr>
          <w:p w14:paraId="410F492C" w14:textId="4F3D811E"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68.6</w:t>
            </w:r>
          </w:p>
        </w:tc>
        <w:tc>
          <w:tcPr>
            <w:tcW w:w="0" w:type="dxa"/>
            <w:vAlign w:val="center"/>
            <w:hideMark/>
          </w:tcPr>
          <w:p w14:paraId="0277042A" w14:textId="6080C2A4"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68.1</w:t>
            </w:r>
          </w:p>
        </w:tc>
        <w:tc>
          <w:tcPr>
            <w:tcW w:w="0" w:type="dxa"/>
            <w:vAlign w:val="center"/>
            <w:hideMark/>
          </w:tcPr>
          <w:p w14:paraId="2AE7774E" w14:textId="1BADFD95"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67.3</w:t>
            </w:r>
          </w:p>
        </w:tc>
        <w:tc>
          <w:tcPr>
            <w:tcW w:w="0" w:type="dxa"/>
            <w:vAlign w:val="center"/>
            <w:hideMark/>
          </w:tcPr>
          <w:p w14:paraId="0CD8C016" w14:textId="20DE2759"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65.7</w:t>
            </w:r>
          </w:p>
        </w:tc>
        <w:tc>
          <w:tcPr>
            <w:tcW w:w="0" w:type="dxa"/>
            <w:vAlign w:val="center"/>
            <w:hideMark/>
          </w:tcPr>
          <w:p w14:paraId="724DC0D0" w14:textId="3CBB6906"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67.3</w:t>
            </w:r>
          </w:p>
        </w:tc>
        <w:tc>
          <w:tcPr>
            <w:tcW w:w="0" w:type="dxa"/>
            <w:noWrap/>
            <w:vAlign w:val="center"/>
            <w:hideMark/>
          </w:tcPr>
          <w:p w14:paraId="2BEAEDF0" w14:textId="77777777"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p>
        </w:tc>
        <w:tc>
          <w:tcPr>
            <w:tcW w:w="0" w:type="dxa"/>
            <w:noWrap/>
            <w:vAlign w:val="center"/>
            <w:hideMark/>
          </w:tcPr>
          <w:p w14:paraId="6EB6EC1F" w14:textId="5D2837A0"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69.6</w:t>
            </w:r>
          </w:p>
        </w:tc>
      </w:tr>
      <w:tr w:rsidR="00E42DE9" w:rsidRPr="00E42DE9" w14:paraId="22C720BE" w14:textId="77777777" w:rsidTr="001436D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C260C76" w14:textId="77777777" w:rsidR="005B0246" w:rsidRPr="0006253F" w:rsidRDefault="005B0246" w:rsidP="008E234D">
            <w:pPr>
              <w:keepNext/>
              <w:keepLines/>
              <w:spacing w:line="240" w:lineRule="auto"/>
              <w:jc w:val="left"/>
              <w:rPr>
                <w:rFonts w:ascii="Century Gothic" w:eastAsia="Times New Roman" w:hAnsi="Century Gothic" w:cs="Arial"/>
                <w:sz w:val="16"/>
                <w:szCs w:val="16"/>
              </w:rPr>
            </w:pPr>
            <w:r w:rsidRPr="0006253F">
              <w:rPr>
                <w:rFonts w:ascii="Century Gothic" w:eastAsia="Times New Roman" w:hAnsi="Century Gothic" w:cs="Arial"/>
                <w:sz w:val="16"/>
                <w:szCs w:val="16"/>
              </w:rPr>
              <w:t>CPN</w:t>
            </w:r>
          </w:p>
        </w:tc>
        <w:tc>
          <w:tcPr>
            <w:tcW w:w="0" w:type="dxa"/>
            <w:noWrap/>
            <w:vAlign w:val="center"/>
            <w:hideMark/>
          </w:tcPr>
          <w:p w14:paraId="7AB8CB3A" w14:textId="4CE4AD79"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69.1</w:t>
            </w:r>
          </w:p>
        </w:tc>
        <w:tc>
          <w:tcPr>
            <w:tcW w:w="0" w:type="dxa"/>
            <w:noWrap/>
            <w:vAlign w:val="center"/>
            <w:hideMark/>
          </w:tcPr>
          <w:p w14:paraId="1E597166" w14:textId="5349FAEC"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68.6</w:t>
            </w:r>
          </w:p>
        </w:tc>
        <w:tc>
          <w:tcPr>
            <w:tcW w:w="0" w:type="dxa"/>
            <w:noWrap/>
            <w:vAlign w:val="center"/>
            <w:hideMark/>
          </w:tcPr>
          <w:p w14:paraId="68601D4F" w14:textId="2BD72551"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70.1</w:t>
            </w:r>
          </w:p>
        </w:tc>
        <w:tc>
          <w:tcPr>
            <w:tcW w:w="0" w:type="dxa"/>
            <w:noWrap/>
            <w:vAlign w:val="center"/>
            <w:hideMark/>
          </w:tcPr>
          <w:p w14:paraId="4A5155F0" w14:textId="05FBB81F"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69.1</w:t>
            </w:r>
          </w:p>
        </w:tc>
        <w:tc>
          <w:tcPr>
            <w:tcW w:w="0" w:type="dxa"/>
            <w:noWrap/>
            <w:vAlign w:val="center"/>
            <w:hideMark/>
          </w:tcPr>
          <w:p w14:paraId="2D5AA3CB" w14:textId="53B42355"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64.3</w:t>
            </w:r>
          </w:p>
        </w:tc>
        <w:tc>
          <w:tcPr>
            <w:tcW w:w="0" w:type="dxa"/>
            <w:noWrap/>
            <w:vAlign w:val="center"/>
            <w:hideMark/>
          </w:tcPr>
          <w:p w14:paraId="094A60CA" w14:textId="15937FC6"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57.8</w:t>
            </w:r>
          </w:p>
        </w:tc>
        <w:tc>
          <w:tcPr>
            <w:tcW w:w="0" w:type="dxa"/>
            <w:noWrap/>
            <w:vAlign w:val="center"/>
            <w:hideMark/>
          </w:tcPr>
          <w:p w14:paraId="056FE826" w14:textId="5BCA8ED4"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57.2</w:t>
            </w:r>
          </w:p>
        </w:tc>
        <w:tc>
          <w:tcPr>
            <w:tcW w:w="0" w:type="dxa"/>
            <w:noWrap/>
            <w:vAlign w:val="center"/>
            <w:hideMark/>
          </w:tcPr>
          <w:p w14:paraId="3129A736" w14:textId="2BB324D5"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57.1</w:t>
            </w:r>
          </w:p>
        </w:tc>
        <w:tc>
          <w:tcPr>
            <w:tcW w:w="0" w:type="dxa"/>
            <w:noWrap/>
            <w:vAlign w:val="center"/>
            <w:hideMark/>
          </w:tcPr>
          <w:p w14:paraId="26009F4E" w14:textId="0973B1D1"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53.5</w:t>
            </w:r>
          </w:p>
        </w:tc>
        <w:tc>
          <w:tcPr>
            <w:tcW w:w="0" w:type="dxa"/>
            <w:noWrap/>
            <w:vAlign w:val="center"/>
            <w:hideMark/>
          </w:tcPr>
          <w:p w14:paraId="00EC4144" w14:textId="68973CDD"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56.5</w:t>
            </w:r>
          </w:p>
        </w:tc>
        <w:tc>
          <w:tcPr>
            <w:tcW w:w="0" w:type="dxa"/>
            <w:noWrap/>
            <w:vAlign w:val="center"/>
            <w:hideMark/>
          </w:tcPr>
          <w:p w14:paraId="02907D96"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p>
        </w:tc>
        <w:tc>
          <w:tcPr>
            <w:tcW w:w="0" w:type="dxa"/>
            <w:noWrap/>
            <w:vAlign w:val="center"/>
            <w:hideMark/>
          </w:tcPr>
          <w:p w14:paraId="7C2E9997" w14:textId="589BC5EA"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62.3</w:t>
            </w:r>
          </w:p>
        </w:tc>
      </w:tr>
      <w:tr w:rsidR="00E42DE9" w:rsidRPr="00E42DE9" w14:paraId="4A683365" w14:textId="77777777" w:rsidTr="001436DC">
        <w:trPr>
          <w:trHeight w:val="36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C3FCCF3" w14:textId="77777777" w:rsidR="005B0246" w:rsidRPr="0006253F" w:rsidRDefault="005B0246" w:rsidP="008E234D">
            <w:pPr>
              <w:keepNext/>
              <w:keepLines/>
              <w:spacing w:line="240" w:lineRule="auto"/>
              <w:jc w:val="left"/>
              <w:rPr>
                <w:rFonts w:ascii="Century Gothic" w:eastAsia="Times New Roman" w:hAnsi="Century Gothic" w:cs="Arial"/>
                <w:sz w:val="16"/>
                <w:szCs w:val="16"/>
              </w:rPr>
            </w:pPr>
            <w:r w:rsidRPr="0006253F">
              <w:rPr>
                <w:rFonts w:ascii="Century Gothic" w:eastAsia="Times New Roman" w:hAnsi="Century Gothic" w:cs="Arial"/>
                <w:sz w:val="16"/>
                <w:szCs w:val="16"/>
              </w:rPr>
              <w:t>DYN</w:t>
            </w:r>
          </w:p>
        </w:tc>
        <w:tc>
          <w:tcPr>
            <w:tcW w:w="0" w:type="dxa"/>
            <w:noWrap/>
            <w:vAlign w:val="center"/>
            <w:hideMark/>
          </w:tcPr>
          <w:p w14:paraId="46A65B65" w14:textId="2923A212"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79.7</w:t>
            </w:r>
          </w:p>
        </w:tc>
        <w:tc>
          <w:tcPr>
            <w:tcW w:w="0" w:type="dxa"/>
            <w:noWrap/>
            <w:vAlign w:val="center"/>
            <w:hideMark/>
          </w:tcPr>
          <w:p w14:paraId="770D18B7" w14:textId="358E0666"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76.7</w:t>
            </w:r>
          </w:p>
        </w:tc>
        <w:tc>
          <w:tcPr>
            <w:tcW w:w="0" w:type="dxa"/>
            <w:noWrap/>
            <w:vAlign w:val="center"/>
            <w:hideMark/>
          </w:tcPr>
          <w:p w14:paraId="4C7A1B51" w14:textId="7F679543"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77.5</w:t>
            </w:r>
          </w:p>
        </w:tc>
        <w:tc>
          <w:tcPr>
            <w:tcW w:w="0" w:type="dxa"/>
            <w:noWrap/>
            <w:vAlign w:val="center"/>
            <w:hideMark/>
          </w:tcPr>
          <w:p w14:paraId="0376CF91" w14:textId="07CD6237"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70.5</w:t>
            </w:r>
          </w:p>
        </w:tc>
        <w:tc>
          <w:tcPr>
            <w:tcW w:w="0" w:type="dxa"/>
            <w:noWrap/>
            <w:vAlign w:val="center"/>
            <w:hideMark/>
          </w:tcPr>
          <w:p w14:paraId="000598B0" w14:textId="6E71E9C9"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63.2</w:t>
            </w:r>
          </w:p>
        </w:tc>
        <w:tc>
          <w:tcPr>
            <w:tcW w:w="0" w:type="dxa"/>
            <w:noWrap/>
            <w:vAlign w:val="center"/>
            <w:hideMark/>
          </w:tcPr>
          <w:p w14:paraId="71BF5573" w14:textId="033F84F7"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62.1</w:t>
            </w:r>
          </w:p>
        </w:tc>
        <w:tc>
          <w:tcPr>
            <w:tcW w:w="0" w:type="dxa"/>
            <w:noWrap/>
            <w:vAlign w:val="center"/>
            <w:hideMark/>
          </w:tcPr>
          <w:p w14:paraId="543E21DA" w14:textId="4961D048"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63.1</w:t>
            </w:r>
          </w:p>
        </w:tc>
        <w:tc>
          <w:tcPr>
            <w:tcW w:w="0" w:type="dxa"/>
            <w:noWrap/>
            <w:vAlign w:val="center"/>
            <w:hideMark/>
          </w:tcPr>
          <w:p w14:paraId="6EA58062" w14:textId="7C48AD6C"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41.0</w:t>
            </w:r>
          </w:p>
        </w:tc>
        <w:tc>
          <w:tcPr>
            <w:tcW w:w="0" w:type="dxa"/>
            <w:noWrap/>
            <w:vAlign w:val="center"/>
            <w:hideMark/>
          </w:tcPr>
          <w:p w14:paraId="5E3B27C9" w14:textId="18948CC8"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36.5</w:t>
            </w:r>
          </w:p>
        </w:tc>
        <w:tc>
          <w:tcPr>
            <w:tcW w:w="0" w:type="dxa"/>
            <w:noWrap/>
            <w:vAlign w:val="center"/>
            <w:hideMark/>
          </w:tcPr>
          <w:p w14:paraId="1E723159" w14:textId="3F7C3F75"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44.5</w:t>
            </w:r>
          </w:p>
        </w:tc>
        <w:tc>
          <w:tcPr>
            <w:tcW w:w="0" w:type="dxa"/>
            <w:noWrap/>
            <w:vAlign w:val="center"/>
            <w:hideMark/>
          </w:tcPr>
          <w:p w14:paraId="1DDBE951" w14:textId="77777777"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p>
        </w:tc>
        <w:tc>
          <w:tcPr>
            <w:tcW w:w="0" w:type="dxa"/>
            <w:noWrap/>
            <w:vAlign w:val="center"/>
            <w:hideMark/>
          </w:tcPr>
          <w:p w14:paraId="189294EE" w14:textId="0BABF38D"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61.5</w:t>
            </w:r>
          </w:p>
        </w:tc>
      </w:tr>
      <w:tr w:rsidR="00E42DE9" w:rsidRPr="00E42DE9" w14:paraId="7C828464" w14:textId="77777777" w:rsidTr="001436D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A8887BB" w14:textId="77777777" w:rsidR="005B0246" w:rsidRPr="0006253F" w:rsidRDefault="005B0246" w:rsidP="008E234D">
            <w:pPr>
              <w:keepNext/>
              <w:keepLines/>
              <w:spacing w:line="240" w:lineRule="auto"/>
              <w:jc w:val="left"/>
              <w:rPr>
                <w:rFonts w:ascii="Century Gothic" w:eastAsia="Times New Roman" w:hAnsi="Century Gothic" w:cs="Arial"/>
                <w:sz w:val="16"/>
                <w:szCs w:val="16"/>
              </w:rPr>
            </w:pPr>
            <w:r w:rsidRPr="0006253F">
              <w:rPr>
                <w:rFonts w:ascii="Century Gothic" w:eastAsia="Times New Roman" w:hAnsi="Century Gothic" w:cs="Arial"/>
                <w:sz w:val="16"/>
                <w:szCs w:val="16"/>
              </w:rPr>
              <w:t>NRG</w:t>
            </w:r>
          </w:p>
        </w:tc>
        <w:tc>
          <w:tcPr>
            <w:tcW w:w="0" w:type="dxa"/>
            <w:noWrap/>
            <w:vAlign w:val="center"/>
            <w:hideMark/>
          </w:tcPr>
          <w:p w14:paraId="02CBC2D7" w14:textId="63D424E6"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80.2</w:t>
            </w:r>
          </w:p>
        </w:tc>
        <w:tc>
          <w:tcPr>
            <w:tcW w:w="0" w:type="dxa"/>
            <w:noWrap/>
            <w:vAlign w:val="center"/>
            <w:hideMark/>
          </w:tcPr>
          <w:p w14:paraId="5DFE6488" w14:textId="5F0BF320"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81.3</w:t>
            </w:r>
          </w:p>
        </w:tc>
        <w:tc>
          <w:tcPr>
            <w:tcW w:w="0" w:type="dxa"/>
            <w:noWrap/>
            <w:vAlign w:val="center"/>
            <w:hideMark/>
          </w:tcPr>
          <w:p w14:paraId="0363989E" w14:textId="53A54B29"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82.8</w:t>
            </w:r>
          </w:p>
        </w:tc>
        <w:tc>
          <w:tcPr>
            <w:tcW w:w="0" w:type="dxa"/>
            <w:noWrap/>
            <w:vAlign w:val="center"/>
            <w:hideMark/>
          </w:tcPr>
          <w:p w14:paraId="1EE29C66" w14:textId="70E0D950"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79.9</w:t>
            </w:r>
          </w:p>
        </w:tc>
        <w:tc>
          <w:tcPr>
            <w:tcW w:w="0" w:type="dxa"/>
            <w:noWrap/>
            <w:vAlign w:val="center"/>
            <w:hideMark/>
          </w:tcPr>
          <w:p w14:paraId="7696B4F7" w14:textId="30DCE800"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72.1</w:t>
            </w:r>
          </w:p>
        </w:tc>
        <w:tc>
          <w:tcPr>
            <w:tcW w:w="0" w:type="dxa"/>
            <w:noWrap/>
            <w:vAlign w:val="center"/>
            <w:hideMark/>
          </w:tcPr>
          <w:p w14:paraId="0EA9659D" w14:textId="617221AD"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70.2</w:t>
            </w:r>
          </w:p>
        </w:tc>
        <w:tc>
          <w:tcPr>
            <w:tcW w:w="0" w:type="dxa"/>
            <w:noWrap/>
            <w:vAlign w:val="center"/>
            <w:hideMark/>
          </w:tcPr>
          <w:p w14:paraId="13ABF182" w14:textId="1F82B2A0"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68.2</w:t>
            </w:r>
          </w:p>
        </w:tc>
        <w:tc>
          <w:tcPr>
            <w:tcW w:w="0" w:type="dxa"/>
            <w:noWrap/>
            <w:vAlign w:val="center"/>
            <w:hideMark/>
          </w:tcPr>
          <w:p w14:paraId="465CC7EA" w14:textId="7659D081"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66.3</w:t>
            </w:r>
          </w:p>
        </w:tc>
        <w:tc>
          <w:tcPr>
            <w:tcW w:w="0" w:type="dxa"/>
            <w:noWrap/>
            <w:vAlign w:val="center"/>
            <w:hideMark/>
          </w:tcPr>
          <w:p w14:paraId="706E44FB" w14:textId="2DAE8CDB"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59.7</w:t>
            </w:r>
          </w:p>
        </w:tc>
        <w:tc>
          <w:tcPr>
            <w:tcW w:w="0" w:type="dxa"/>
            <w:noWrap/>
            <w:vAlign w:val="center"/>
            <w:hideMark/>
          </w:tcPr>
          <w:p w14:paraId="51593D61" w14:textId="6E5849EF"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62.3</w:t>
            </w:r>
          </w:p>
        </w:tc>
        <w:tc>
          <w:tcPr>
            <w:tcW w:w="0" w:type="dxa"/>
            <w:noWrap/>
            <w:vAlign w:val="center"/>
            <w:hideMark/>
          </w:tcPr>
          <w:p w14:paraId="6794972A"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p>
        </w:tc>
        <w:tc>
          <w:tcPr>
            <w:tcW w:w="0" w:type="dxa"/>
            <w:noWrap/>
            <w:vAlign w:val="center"/>
            <w:hideMark/>
          </w:tcPr>
          <w:p w14:paraId="4A7819CC" w14:textId="0367D7E6"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72.3</w:t>
            </w:r>
          </w:p>
        </w:tc>
      </w:tr>
      <w:tr w:rsidR="00E42DE9" w:rsidRPr="00E42DE9" w14:paraId="3BC3A204" w14:textId="77777777" w:rsidTr="001436DC">
        <w:trPr>
          <w:trHeight w:val="28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61DF600" w14:textId="77777777" w:rsidR="005B0246" w:rsidRPr="0006253F" w:rsidRDefault="005B0246" w:rsidP="008E234D">
            <w:pPr>
              <w:keepNext/>
              <w:keepLines/>
              <w:spacing w:line="240" w:lineRule="auto"/>
              <w:jc w:val="left"/>
              <w:rPr>
                <w:rFonts w:ascii="Century Gothic" w:eastAsia="Times New Roman" w:hAnsi="Century Gothic" w:cs="Arial"/>
                <w:sz w:val="16"/>
                <w:szCs w:val="16"/>
              </w:rPr>
            </w:pPr>
            <w:r w:rsidRPr="0006253F">
              <w:rPr>
                <w:rFonts w:ascii="Century Gothic" w:eastAsia="Times New Roman" w:hAnsi="Century Gothic" w:cs="Arial"/>
                <w:sz w:val="16"/>
                <w:szCs w:val="16"/>
              </w:rPr>
              <w:t>TLN</w:t>
            </w:r>
          </w:p>
        </w:tc>
        <w:tc>
          <w:tcPr>
            <w:tcW w:w="0" w:type="dxa"/>
            <w:noWrap/>
            <w:vAlign w:val="center"/>
            <w:hideMark/>
          </w:tcPr>
          <w:p w14:paraId="367339A3" w14:textId="380F7286"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70.9</w:t>
            </w:r>
          </w:p>
        </w:tc>
        <w:tc>
          <w:tcPr>
            <w:tcW w:w="0" w:type="dxa"/>
            <w:noWrap/>
            <w:vAlign w:val="center"/>
            <w:hideMark/>
          </w:tcPr>
          <w:p w14:paraId="7D7701AC" w14:textId="4FF577AC"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78.7</w:t>
            </w:r>
          </w:p>
        </w:tc>
        <w:tc>
          <w:tcPr>
            <w:tcW w:w="0" w:type="dxa"/>
            <w:noWrap/>
            <w:vAlign w:val="center"/>
            <w:hideMark/>
          </w:tcPr>
          <w:p w14:paraId="59880D0F" w14:textId="7F3A1C84"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85.7</w:t>
            </w:r>
          </w:p>
        </w:tc>
        <w:tc>
          <w:tcPr>
            <w:tcW w:w="0" w:type="dxa"/>
            <w:noWrap/>
            <w:vAlign w:val="center"/>
            <w:hideMark/>
          </w:tcPr>
          <w:p w14:paraId="5369CFBD" w14:textId="03AC8C36"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75.6</w:t>
            </w:r>
          </w:p>
        </w:tc>
        <w:tc>
          <w:tcPr>
            <w:tcW w:w="0" w:type="dxa"/>
            <w:noWrap/>
            <w:vAlign w:val="center"/>
            <w:hideMark/>
          </w:tcPr>
          <w:p w14:paraId="1D5376F4" w14:textId="3F34B0CF"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64.8</w:t>
            </w:r>
          </w:p>
        </w:tc>
        <w:tc>
          <w:tcPr>
            <w:tcW w:w="0" w:type="dxa"/>
            <w:noWrap/>
            <w:vAlign w:val="center"/>
            <w:hideMark/>
          </w:tcPr>
          <w:p w14:paraId="26073AB2" w14:textId="5207D415"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42.5</w:t>
            </w:r>
          </w:p>
        </w:tc>
        <w:tc>
          <w:tcPr>
            <w:tcW w:w="0" w:type="dxa"/>
            <w:noWrap/>
            <w:vAlign w:val="center"/>
            <w:hideMark/>
          </w:tcPr>
          <w:p w14:paraId="7E638026" w14:textId="2BFBDE0F"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NA</w:t>
            </w:r>
          </w:p>
        </w:tc>
        <w:tc>
          <w:tcPr>
            <w:tcW w:w="0" w:type="dxa"/>
            <w:noWrap/>
            <w:vAlign w:val="center"/>
            <w:hideMark/>
          </w:tcPr>
          <w:p w14:paraId="4A382891" w14:textId="49FA16AD"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NA</w:t>
            </w:r>
          </w:p>
        </w:tc>
        <w:tc>
          <w:tcPr>
            <w:tcW w:w="0" w:type="dxa"/>
            <w:noWrap/>
            <w:vAlign w:val="center"/>
            <w:hideMark/>
          </w:tcPr>
          <w:p w14:paraId="677918C4" w14:textId="5C87D69B"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NA</w:t>
            </w:r>
          </w:p>
        </w:tc>
        <w:tc>
          <w:tcPr>
            <w:tcW w:w="0" w:type="dxa"/>
            <w:noWrap/>
            <w:vAlign w:val="center"/>
            <w:hideMark/>
          </w:tcPr>
          <w:p w14:paraId="2BB80C18" w14:textId="6ED2EA8E"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NA</w:t>
            </w:r>
          </w:p>
        </w:tc>
        <w:tc>
          <w:tcPr>
            <w:tcW w:w="0" w:type="dxa"/>
            <w:noWrap/>
            <w:vAlign w:val="center"/>
            <w:hideMark/>
          </w:tcPr>
          <w:p w14:paraId="4EB4B5FB" w14:textId="77777777"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p>
        </w:tc>
        <w:tc>
          <w:tcPr>
            <w:tcW w:w="0" w:type="dxa"/>
            <w:noWrap/>
            <w:vAlign w:val="center"/>
            <w:hideMark/>
          </w:tcPr>
          <w:p w14:paraId="05B6400B" w14:textId="5D6D9D2A" w:rsidR="005B0246" w:rsidRPr="0006253F" w:rsidRDefault="005B0246" w:rsidP="008E234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rPr>
            </w:pPr>
            <w:r w:rsidRPr="0006253F">
              <w:rPr>
                <w:rFonts w:ascii="Century Gothic" w:eastAsia="Times New Roman" w:hAnsi="Century Gothic" w:cs="Arial"/>
                <w:sz w:val="16"/>
                <w:szCs w:val="16"/>
              </w:rPr>
              <w:t>69.7</w:t>
            </w:r>
          </w:p>
        </w:tc>
      </w:tr>
      <w:tr w:rsidR="00E42DE9" w:rsidRPr="00E42DE9" w14:paraId="04AC2D83" w14:textId="77777777" w:rsidTr="001436D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dxa"/>
            <w:noWrap/>
            <w:hideMark/>
          </w:tcPr>
          <w:p w14:paraId="3264CC74" w14:textId="77777777" w:rsidR="005B0246" w:rsidRPr="0006253F" w:rsidRDefault="005B0246" w:rsidP="008E234D">
            <w:pPr>
              <w:keepNext/>
              <w:keepLines/>
              <w:spacing w:line="240" w:lineRule="auto"/>
              <w:jc w:val="center"/>
              <w:rPr>
                <w:rFonts w:ascii="Century Gothic" w:eastAsia="Times New Roman" w:hAnsi="Century Gothic" w:cs="Times New Roman"/>
                <w:sz w:val="16"/>
                <w:szCs w:val="16"/>
              </w:rPr>
            </w:pPr>
          </w:p>
        </w:tc>
        <w:tc>
          <w:tcPr>
            <w:tcW w:w="0" w:type="dxa"/>
            <w:noWrap/>
            <w:vAlign w:val="center"/>
            <w:hideMark/>
          </w:tcPr>
          <w:p w14:paraId="60044000"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1E18333E"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217292F0"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437BCA9E"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7F18E989"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79C41A50"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73325E7A"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6E5F726B"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5EB555B3"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16"/>
                <w:szCs w:val="16"/>
              </w:rPr>
            </w:pPr>
          </w:p>
        </w:tc>
        <w:tc>
          <w:tcPr>
            <w:tcW w:w="0" w:type="dxa"/>
            <w:noWrap/>
            <w:vAlign w:val="center"/>
            <w:hideMark/>
          </w:tcPr>
          <w:p w14:paraId="6DA5A458"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rPr>
            </w:pPr>
            <w:r w:rsidRPr="0006253F">
              <w:rPr>
                <w:rFonts w:ascii="Century Gothic" w:eastAsia="Times New Roman" w:hAnsi="Century Gothic" w:cs="Arial"/>
                <w:b/>
                <w:bCs/>
                <w:sz w:val="16"/>
                <w:szCs w:val="16"/>
              </w:rPr>
              <w:t>Average</w:t>
            </w:r>
          </w:p>
        </w:tc>
        <w:tc>
          <w:tcPr>
            <w:tcW w:w="0" w:type="dxa"/>
            <w:noWrap/>
            <w:vAlign w:val="center"/>
            <w:hideMark/>
          </w:tcPr>
          <w:p w14:paraId="069EA887" w14:textId="51332F38"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rPr>
            </w:pPr>
          </w:p>
        </w:tc>
        <w:tc>
          <w:tcPr>
            <w:tcW w:w="0" w:type="dxa"/>
            <w:noWrap/>
            <w:vAlign w:val="center"/>
            <w:hideMark/>
          </w:tcPr>
          <w:p w14:paraId="0FB3ED88" w14:textId="77777777" w:rsidR="005B0246" w:rsidRPr="0006253F" w:rsidRDefault="005B0246" w:rsidP="008E234D">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rPr>
            </w:pPr>
            <w:r w:rsidRPr="0006253F">
              <w:rPr>
                <w:rFonts w:ascii="Century Gothic" w:eastAsia="Times New Roman" w:hAnsi="Century Gothic" w:cs="Arial"/>
                <w:b/>
                <w:bCs/>
                <w:sz w:val="16"/>
                <w:szCs w:val="16"/>
              </w:rPr>
              <w:t>67.1</w:t>
            </w:r>
          </w:p>
        </w:tc>
      </w:tr>
    </w:tbl>
    <w:p w14:paraId="7AB96264" w14:textId="77777777" w:rsidR="00906519" w:rsidRDefault="00906519" w:rsidP="005B0246">
      <w:pPr>
        <w:rPr>
          <w:rFonts w:cs="Times New Roman"/>
        </w:rPr>
      </w:pPr>
    </w:p>
    <w:p w14:paraId="1D225BDE" w14:textId="6044BD58" w:rsidR="005B0246" w:rsidRPr="00832FC5" w:rsidRDefault="005B0246" w:rsidP="005B0246">
      <w:pPr>
        <w:rPr>
          <w:rFonts w:cs="Times New Roman"/>
        </w:rPr>
      </w:pPr>
      <w:r w:rsidRPr="00832FC5">
        <w:rPr>
          <w:rFonts w:cs="Times New Roman"/>
        </w:rPr>
        <w:t xml:space="preserve">While the debt weight of the peer group has, on average, been higher over the last year, </w:t>
      </w:r>
      <w:r>
        <w:rPr>
          <w:rFonts w:cs="Times New Roman"/>
        </w:rPr>
        <w:t>we assume this</w:t>
      </w:r>
      <w:r w:rsidRPr="00832FC5">
        <w:rPr>
          <w:rFonts w:cs="Times New Roman"/>
        </w:rPr>
        <w:t xml:space="preserve"> to be a short-duration trend driven by historically low market costs of debt which tend to encourage borrowing over the short term</w:t>
      </w:r>
      <w:r>
        <w:rPr>
          <w:rFonts w:cs="Times New Roman"/>
        </w:rPr>
        <w:t>, and</w:t>
      </w:r>
      <w:r w:rsidRPr="00832FC5">
        <w:rPr>
          <w:rFonts w:cs="Times New Roman"/>
        </w:rPr>
        <w:t xml:space="preserve"> depressed equity values.  As such, a capital structure more consistent with the longer historical period shown in </w:t>
      </w:r>
      <w:r w:rsidRPr="00832FC5">
        <w:rPr>
          <w:rFonts w:cs="Times New Roman"/>
        </w:rPr>
        <w:fldChar w:fldCharType="begin"/>
      </w:r>
      <w:r w:rsidRPr="00832FC5">
        <w:rPr>
          <w:rFonts w:cs="Times New Roman"/>
        </w:rPr>
        <w:instrText xml:space="preserve"> REF _Ref462345715 \h  \* MERGEFORMAT </w:instrText>
      </w:r>
      <w:r w:rsidRPr="00832FC5">
        <w:rPr>
          <w:rFonts w:cs="Times New Roman"/>
        </w:rPr>
      </w:r>
      <w:r w:rsidRPr="00832FC5">
        <w:rPr>
          <w:rFonts w:cs="Times New Roman"/>
        </w:rPr>
        <w:fldChar w:fldCharType="separate"/>
      </w:r>
      <w:r w:rsidR="006E2301" w:rsidRPr="0073024E">
        <w:rPr>
          <w:rFonts w:cs="Times New Roman"/>
        </w:rPr>
        <w:t>Figure 2</w:t>
      </w:r>
      <w:r w:rsidRPr="00832FC5">
        <w:rPr>
          <w:rFonts w:cs="Times New Roman"/>
        </w:rPr>
        <w:fldChar w:fldCharType="end"/>
      </w:r>
      <w:r w:rsidR="00890DCA">
        <w:rPr>
          <w:rFonts w:cs="Times New Roman"/>
        </w:rPr>
        <w:t xml:space="preserve"> </w:t>
      </w:r>
      <w:r w:rsidRPr="00832FC5">
        <w:rPr>
          <w:rFonts w:cs="Times New Roman"/>
        </w:rPr>
        <w:t xml:space="preserve">was assumed. </w:t>
      </w:r>
      <w:r w:rsidR="00D521BE">
        <w:rPr>
          <w:rFonts w:cs="Times New Roman"/>
        </w:rPr>
        <w:t>I</w:t>
      </w:r>
      <w:r>
        <w:rPr>
          <w:rFonts w:cs="Times New Roman"/>
        </w:rPr>
        <w:t>n order to reflect the increased risk of a merchant generator participating in the New England markets, we additionally adjusted the equity weighting upwards to 40% instead of today’s average of 33%. Therefore</w:t>
      </w:r>
      <w:r w:rsidRPr="00832FC5">
        <w:rPr>
          <w:rFonts w:cs="Times New Roman"/>
        </w:rPr>
        <w:t>, a</w:t>
      </w:r>
      <w:r>
        <w:rPr>
          <w:rFonts w:cs="Times New Roman"/>
        </w:rPr>
        <w:t>n overall</w:t>
      </w:r>
      <w:r w:rsidRPr="00832FC5">
        <w:rPr>
          <w:rFonts w:cs="Times New Roman"/>
        </w:rPr>
        <w:t xml:space="preserve"> capital structure of 60% debt and 40% </w:t>
      </w:r>
      <w:r>
        <w:rPr>
          <w:rFonts w:cs="Times New Roman"/>
        </w:rPr>
        <w:t>equity assumes an increased level of return to equity holders</w:t>
      </w:r>
      <w:r w:rsidRPr="00832FC5">
        <w:rPr>
          <w:rFonts w:cs="Times New Roman"/>
        </w:rPr>
        <w:t xml:space="preserve">.  </w:t>
      </w:r>
    </w:p>
    <w:p w14:paraId="4A2B2000" w14:textId="77777777" w:rsidR="005B0246" w:rsidRPr="00BF64E4" w:rsidRDefault="005B0246" w:rsidP="00A12D4D">
      <w:pPr>
        <w:pStyle w:val="Heading3"/>
      </w:pPr>
      <w:r w:rsidRPr="00BF64E4">
        <w:t>WACC Calculation and ATWACC</w:t>
      </w:r>
    </w:p>
    <w:p w14:paraId="73777D5C" w14:textId="77777777" w:rsidR="005B0246" w:rsidRPr="00832FC5" w:rsidRDefault="005B0246" w:rsidP="005B0246">
      <w:pPr>
        <w:rPr>
          <w:rFonts w:cs="Times New Roman"/>
        </w:rPr>
      </w:pPr>
      <w:r w:rsidRPr="00832FC5">
        <w:rPr>
          <w:rFonts w:cs="Times New Roman"/>
        </w:rPr>
        <w:t>By inputting the assumptions for ROE, COD, and capital structure described above into the WACC calculation yields a WACC of 10.0%, as shown below:</w:t>
      </w:r>
    </w:p>
    <w:p w14:paraId="4A1118B3" w14:textId="77777777" w:rsidR="005B0246" w:rsidRPr="00832FC5" w:rsidRDefault="005B0246" w:rsidP="005B0246">
      <w:pPr>
        <w:jc w:val="center"/>
        <w:rPr>
          <w:rFonts w:cs="Times New Roman"/>
          <w:b/>
        </w:rPr>
      </w:pPr>
      <w:r w:rsidRPr="00832FC5">
        <w:rPr>
          <w:rFonts w:cs="Times New Roman"/>
        </w:rPr>
        <w:t>WACC = 13.4% * 40% + 7.75% * 60% = 10.0%</w:t>
      </w:r>
    </w:p>
    <w:p w14:paraId="0CED629F" w14:textId="2B80C977" w:rsidR="005B0246" w:rsidRPr="00832FC5" w:rsidRDefault="005B0246" w:rsidP="005B0246">
      <w:pPr>
        <w:rPr>
          <w:rFonts w:cs="Times New Roman"/>
        </w:rPr>
      </w:pPr>
      <w:r>
        <w:rPr>
          <w:rFonts w:cs="Times New Roman"/>
        </w:rPr>
        <w:t>We translate</w:t>
      </w:r>
      <w:r w:rsidR="00890DCA">
        <w:rPr>
          <w:rFonts w:cs="Times New Roman"/>
        </w:rPr>
        <w:t>d</w:t>
      </w:r>
      <w:r>
        <w:rPr>
          <w:rFonts w:cs="Times New Roman"/>
        </w:rPr>
        <w:t xml:space="preserve"> these components to a discount rate by reflecting the effect of taxes on the cost of debt to derive an after tax WACC of 8.</w:t>
      </w:r>
      <w:r w:rsidR="00DF432F">
        <w:rPr>
          <w:rFonts w:cs="Times New Roman"/>
        </w:rPr>
        <w:t>1</w:t>
      </w:r>
      <w:r>
        <w:rPr>
          <w:rFonts w:cs="Times New Roman"/>
        </w:rPr>
        <w:t xml:space="preserve">%. This rate </w:t>
      </w:r>
      <w:r w:rsidR="00890DCA">
        <w:rPr>
          <w:rFonts w:cs="Times New Roman"/>
        </w:rPr>
        <w:t xml:space="preserve">was </w:t>
      </w:r>
      <w:r>
        <w:rPr>
          <w:rFonts w:cs="Times New Roman"/>
        </w:rPr>
        <w:t>then adjusted for inflation to derive a “real ATWACC” of 6.0%.</w:t>
      </w:r>
    </w:p>
    <w:p w14:paraId="09ED2E34" w14:textId="77777777" w:rsidR="005B0246" w:rsidRPr="00BF64E4" w:rsidRDefault="005B0246" w:rsidP="00A12D4D">
      <w:pPr>
        <w:pStyle w:val="Heading3"/>
      </w:pPr>
      <w:r w:rsidRPr="00BF64E4">
        <w:t>Cost of Capital Comparison</w:t>
      </w:r>
    </w:p>
    <w:p w14:paraId="6B123C75" w14:textId="6EF0D0B4" w:rsidR="005B0246" w:rsidRPr="00832FC5" w:rsidRDefault="005B0246" w:rsidP="005B0246">
      <w:pPr>
        <w:rPr>
          <w:rFonts w:cs="Times New Roman"/>
        </w:rPr>
      </w:pPr>
      <w:r w:rsidRPr="00832FC5">
        <w:rPr>
          <w:rFonts w:cs="Times New Roman"/>
        </w:rPr>
        <w:t xml:space="preserve">The estimate of WACC described above, as well as each of the key inputs, is consistent with findings utilized in the 2013 Net CONE estimate, the most recent calculation of Net CONE conducted by PJM, and the Net CONE </w:t>
      </w:r>
      <w:r w:rsidR="00CE2F1E">
        <w:rPr>
          <w:rFonts w:cs="Times New Roman"/>
        </w:rPr>
        <w:t xml:space="preserve">value recently </w:t>
      </w:r>
      <w:r w:rsidR="0006365E">
        <w:rPr>
          <w:rFonts w:cs="Times New Roman"/>
        </w:rPr>
        <w:t>recommended by NYISO Staff</w:t>
      </w:r>
      <w:r w:rsidRPr="00832FC5">
        <w:rPr>
          <w:rFonts w:cs="Times New Roman"/>
        </w:rPr>
        <w:t>.</w:t>
      </w:r>
      <w:r w:rsidRPr="00832FC5">
        <w:rPr>
          <w:rStyle w:val="FootnoteReference"/>
          <w:rFonts w:cs="Times New Roman"/>
        </w:rPr>
        <w:footnoteReference w:id="26"/>
      </w:r>
      <w:r w:rsidRPr="00832FC5">
        <w:rPr>
          <w:rFonts w:cs="Times New Roman"/>
          <w:vertAlign w:val="superscript"/>
        </w:rPr>
        <w:t>,</w:t>
      </w:r>
      <w:r w:rsidRPr="00832FC5">
        <w:rPr>
          <w:rStyle w:val="FootnoteReference"/>
          <w:rFonts w:cs="Times New Roman"/>
        </w:rPr>
        <w:footnoteReference w:id="27"/>
      </w:r>
      <w:r w:rsidRPr="00832FC5">
        <w:rPr>
          <w:rFonts w:cs="Times New Roman"/>
          <w:vertAlign w:val="superscript"/>
        </w:rPr>
        <w:t>,</w:t>
      </w:r>
      <w:r w:rsidRPr="00832FC5">
        <w:rPr>
          <w:rStyle w:val="FootnoteReference"/>
          <w:rFonts w:cs="Times New Roman"/>
        </w:rPr>
        <w:footnoteReference w:id="28"/>
      </w:r>
      <w:r w:rsidRPr="00832FC5">
        <w:rPr>
          <w:rFonts w:cs="Times New Roman"/>
        </w:rPr>
        <w:t xml:space="preserve">  Those values are shown in </w:t>
      </w:r>
      <w:r w:rsidRPr="00832FC5">
        <w:rPr>
          <w:rFonts w:cs="Times New Roman"/>
        </w:rPr>
        <w:fldChar w:fldCharType="begin"/>
      </w:r>
      <w:r w:rsidRPr="00832FC5">
        <w:rPr>
          <w:rFonts w:cs="Times New Roman"/>
        </w:rPr>
        <w:instrText xml:space="preserve"> REF _Ref462346824 \h  \* MERGEFORMAT </w:instrText>
      </w:r>
      <w:r w:rsidRPr="00832FC5">
        <w:rPr>
          <w:rFonts w:cs="Times New Roman"/>
        </w:rPr>
      </w:r>
      <w:r w:rsidRPr="00832FC5">
        <w:rPr>
          <w:rFonts w:cs="Times New Roman"/>
        </w:rPr>
        <w:fldChar w:fldCharType="separate"/>
      </w:r>
      <w:r w:rsidR="006E2301" w:rsidRPr="0073024E">
        <w:rPr>
          <w:rFonts w:cs="Times New Roman"/>
        </w:rPr>
        <w:t>Table 2</w:t>
      </w:r>
      <w:r w:rsidRPr="00832FC5">
        <w:rPr>
          <w:rFonts w:cs="Times New Roman"/>
        </w:rPr>
        <w:fldChar w:fldCharType="end"/>
      </w:r>
      <w:r w:rsidR="006F5D19">
        <w:rPr>
          <w:rFonts w:cs="Times New Roman"/>
        </w:rPr>
        <w:t>7</w:t>
      </w:r>
      <w:r w:rsidR="00950ACC">
        <w:rPr>
          <w:rFonts w:cs="Times New Roman"/>
        </w:rPr>
        <w:t>.</w:t>
      </w:r>
    </w:p>
    <w:p w14:paraId="35A63DDB" w14:textId="7EB29092" w:rsidR="005B0246" w:rsidRPr="00832FC5" w:rsidRDefault="005B0246" w:rsidP="00D2628D">
      <w:pPr>
        <w:pStyle w:val="Caption"/>
      </w:pPr>
      <w:bookmarkStart w:id="59" w:name="_Ref462346824"/>
      <w:bookmarkStart w:id="60" w:name="_Toc465433451"/>
      <w:proofErr w:type="gramStart"/>
      <w:r w:rsidRPr="00832FC5">
        <w:lastRenderedPageBreak/>
        <w:t xml:space="preserve">Table </w:t>
      </w:r>
      <w:r w:rsidR="00FA6573">
        <w:fldChar w:fldCharType="begin"/>
      </w:r>
      <w:r w:rsidR="00FA6573">
        <w:instrText xml:space="preserve"> SEQ Table \* ARABIC </w:instrText>
      </w:r>
      <w:r w:rsidR="00FA6573">
        <w:fldChar w:fldCharType="separate"/>
      </w:r>
      <w:r w:rsidR="000637A3">
        <w:rPr>
          <w:noProof/>
        </w:rPr>
        <w:t>27</w:t>
      </w:r>
      <w:r w:rsidR="00FA6573">
        <w:rPr>
          <w:noProof/>
        </w:rPr>
        <w:fldChar w:fldCharType="end"/>
      </w:r>
      <w:bookmarkEnd w:id="59"/>
      <w:r w:rsidRPr="00832FC5">
        <w:t>.</w:t>
      </w:r>
      <w:proofErr w:type="gramEnd"/>
      <w:r w:rsidRPr="00832FC5">
        <w:t xml:space="preserve">  Cost of Capital Comparison</w:t>
      </w:r>
      <w:bookmarkEnd w:id="60"/>
    </w:p>
    <w:tbl>
      <w:tblPr>
        <w:tblStyle w:val="GridTable4-Accent32"/>
        <w:tblW w:w="0" w:type="auto"/>
        <w:jc w:val="center"/>
        <w:tblLook w:val="04A0" w:firstRow="1" w:lastRow="0" w:firstColumn="1" w:lastColumn="0" w:noHBand="0" w:noVBand="1"/>
      </w:tblPr>
      <w:tblGrid>
        <w:gridCol w:w="1863"/>
        <w:gridCol w:w="1102"/>
        <w:gridCol w:w="1170"/>
        <w:gridCol w:w="1260"/>
        <w:gridCol w:w="1350"/>
      </w:tblGrid>
      <w:tr w:rsidR="005B0246" w:rsidRPr="004444BD" w14:paraId="3900F4A0" w14:textId="77777777" w:rsidTr="001436DC">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63" w:type="dxa"/>
          </w:tcPr>
          <w:p w14:paraId="459FBD05" w14:textId="77777777" w:rsidR="005B0246" w:rsidRPr="004444BD" w:rsidRDefault="005B0246" w:rsidP="005B0246">
            <w:pPr>
              <w:rPr>
                <w:rFonts w:ascii="Century Gothic" w:hAnsi="Century Gothic" w:cs="Times New Roman"/>
                <w:color w:val="auto"/>
                <w:sz w:val="16"/>
              </w:rPr>
            </w:pPr>
          </w:p>
        </w:tc>
        <w:tc>
          <w:tcPr>
            <w:tcW w:w="1102" w:type="dxa"/>
            <w:vAlign w:val="bottom"/>
          </w:tcPr>
          <w:p w14:paraId="1C234714" w14:textId="77777777" w:rsidR="005B0246" w:rsidRPr="001436DC" w:rsidRDefault="005B024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6"/>
              </w:rPr>
            </w:pPr>
            <w:r w:rsidRPr="001436DC">
              <w:rPr>
                <w:rFonts w:ascii="Century Gothic" w:hAnsi="Century Gothic" w:cs="Times New Roman"/>
                <w:color w:val="000000" w:themeColor="text1"/>
                <w:sz w:val="16"/>
              </w:rPr>
              <w:t>ISO-NE</w:t>
            </w:r>
            <w:r w:rsidRPr="001436DC">
              <w:rPr>
                <w:rFonts w:ascii="Century Gothic" w:hAnsi="Century Gothic" w:cs="Times New Roman"/>
                <w:color w:val="000000" w:themeColor="text1"/>
                <w:sz w:val="16"/>
              </w:rPr>
              <w:br/>
              <w:t>(2013)</w:t>
            </w:r>
          </w:p>
        </w:tc>
        <w:tc>
          <w:tcPr>
            <w:tcW w:w="1170" w:type="dxa"/>
            <w:vAlign w:val="bottom"/>
          </w:tcPr>
          <w:p w14:paraId="106A9113" w14:textId="77777777" w:rsidR="005B0246" w:rsidRPr="001436DC" w:rsidRDefault="005B024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6"/>
              </w:rPr>
            </w:pPr>
            <w:r w:rsidRPr="001436DC">
              <w:rPr>
                <w:rFonts w:ascii="Century Gothic" w:hAnsi="Century Gothic" w:cs="Times New Roman"/>
                <w:color w:val="000000" w:themeColor="text1"/>
                <w:sz w:val="16"/>
              </w:rPr>
              <w:t>PJM</w:t>
            </w:r>
            <w:r w:rsidRPr="001436DC">
              <w:rPr>
                <w:rFonts w:ascii="Century Gothic" w:hAnsi="Century Gothic" w:cs="Times New Roman"/>
                <w:color w:val="000000" w:themeColor="text1"/>
                <w:sz w:val="16"/>
              </w:rPr>
              <w:br/>
              <w:t>(2013)</w:t>
            </w:r>
          </w:p>
        </w:tc>
        <w:tc>
          <w:tcPr>
            <w:tcW w:w="1260" w:type="dxa"/>
            <w:vAlign w:val="bottom"/>
          </w:tcPr>
          <w:p w14:paraId="634C5254" w14:textId="4F00A01C" w:rsidR="005B0246" w:rsidRPr="001436DC" w:rsidRDefault="005B0246" w:rsidP="004444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6"/>
              </w:rPr>
            </w:pPr>
            <w:r w:rsidRPr="001436DC">
              <w:rPr>
                <w:rFonts w:ascii="Century Gothic" w:hAnsi="Century Gothic" w:cs="Times New Roman"/>
                <w:color w:val="000000" w:themeColor="text1"/>
                <w:sz w:val="16"/>
              </w:rPr>
              <w:t>NYISO</w:t>
            </w:r>
            <w:r w:rsidRPr="001436DC">
              <w:rPr>
                <w:rFonts w:ascii="Century Gothic" w:hAnsi="Century Gothic" w:cs="Times New Roman"/>
                <w:color w:val="000000" w:themeColor="text1"/>
                <w:sz w:val="16"/>
              </w:rPr>
              <w:br/>
            </w:r>
            <w:r w:rsidR="004444BD" w:rsidRPr="001436DC">
              <w:rPr>
                <w:rFonts w:ascii="Century Gothic" w:hAnsi="Century Gothic" w:cs="Times New Roman"/>
                <w:color w:val="000000" w:themeColor="text1"/>
                <w:sz w:val="16"/>
              </w:rPr>
              <w:t>(2016)</w:t>
            </w:r>
          </w:p>
        </w:tc>
        <w:tc>
          <w:tcPr>
            <w:tcW w:w="1350" w:type="dxa"/>
            <w:vAlign w:val="bottom"/>
          </w:tcPr>
          <w:p w14:paraId="01FF44D9" w14:textId="77777777" w:rsidR="005B0246" w:rsidRPr="001436DC" w:rsidRDefault="005B024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000000" w:themeColor="text1"/>
                <w:sz w:val="16"/>
              </w:rPr>
            </w:pPr>
            <w:r w:rsidRPr="001436DC">
              <w:rPr>
                <w:rFonts w:ascii="Century Gothic" w:hAnsi="Century Gothic" w:cs="Times New Roman"/>
                <w:color w:val="000000" w:themeColor="text1"/>
                <w:sz w:val="16"/>
              </w:rPr>
              <w:t>ISO-NE</w:t>
            </w:r>
            <w:r w:rsidRPr="001436DC">
              <w:rPr>
                <w:rFonts w:ascii="Century Gothic" w:hAnsi="Century Gothic" w:cs="Times New Roman"/>
                <w:color w:val="000000" w:themeColor="text1"/>
                <w:sz w:val="16"/>
              </w:rPr>
              <w:br/>
              <w:t>(2015)</w:t>
            </w:r>
          </w:p>
        </w:tc>
      </w:tr>
      <w:tr w:rsidR="005B0246" w:rsidRPr="004444BD" w14:paraId="78699D7A" w14:textId="77777777" w:rsidTr="001436DC">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1863" w:type="dxa"/>
            <w:vAlign w:val="center"/>
          </w:tcPr>
          <w:p w14:paraId="74B57604" w14:textId="77777777" w:rsidR="005B0246" w:rsidRPr="0006253F" w:rsidRDefault="005B0246" w:rsidP="004444BD">
            <w:pPr>
              <w:jc w:val="left"/>
              <w:rPr>
                <w:rFonts w:ascii="Century Gothic" w:hAnsi="Century Gothic" w:cs="Times New Roman"/>
                <w:sz w:val="16"/>
              </w:rPr>
            </w:pPr>
            <w:r w:rsidRPr="0006253F">
              <w:rPr>
                <w:rFonts w:ascii="Century Gothic" w:hAnsi="Century Gothic" w:cs="Times New Roman"/>
                <w:sz w:val="16"/>
              </w:rPr>
              <w:t>ROE</w:t>
            </w:r>
          </w:p>
        </w:tc>
        <w:tc>
          <w:tcPr>
            <w:tcW w:w="1102" w:type="dxa"/>
            <w:vAlign w:val="center"/>
          </w:tcPr>
          <w:p w14:paraId="707D6AC4"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13.8%</w:t>
            </w:r>
          </w:p>
        </w:tc>
        <w:tc>
          <w:tcPr>
            <w:tcW w:w="1170" w:type="dxa"/>
            <w:vAlign w:val="center"/>
          </w:tcPr>
          <w:p w14:paraId="1675D006"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13.8%</w:t>
            </w:r>
          </w:p>
        </w:tc>
        <w:tc>
          <w:tcPr>
            <w:tcW w:w="1260" w:type="dxa"/>
            <w:vAlign w:val="center"/>
          </w:tcPr>
          <w:p w14:paraId="40BA4288"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13.4%</w:t>
            </w:r>
          </w:p>
        </w:tc>
        <w:tc>
          <w:tcPr>
            <w:tcW w:w="1350" w:type="dxa"/>
            <w:vAlign w:val="center"/>
          </w:tcPr>
          <w:p w14:paraId="449738C4"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13.4%</w:t>
            </w:r>
          </w:p>
        </w:tc>
      </w:tr>
      <w:tr w:rsidR="005B0246" w:rsidRPr="004444BD" w14:paraId="2226BBF6" w14:textId="77777777" w:rsidTr="001436DC">
        <w:trPr>
          <w:trHeight w:val="287"/>
          <w:jc w:val="center"/>
        </w:trPr>
        <w:tc>
          <w:tcPr>
            <w:cnfStyle w:val="001000000000" w:firstRow="0" w:lastRow="0" w:firstColumn="1" w:lastColumn="0" w:oddVBand="0" w:evenVBand="0" w:oddHBand="0" w:evenHBand="0" w:firstRowFirstColumn="0" w:firstRowLastColumn="0" w:lastRowFirstColumn="0" w:lastRowLastColumn="0"/>
            <w:tcW w:w="1863" w:type="dxa"/>
            <w:vAlign w:val="center"/>
          </w:tcPr>
          <w:p w14:paraId="06CB4F34" w14:textId="77777777" w:rsidR="005B0246" w:rsidRPr="0006253F" w:rsidRDefault="005B0246" w:rsidP="004444BD">
            <w:pPr>
              <w:jc w:val="left"/>
              <w:rPr>
                <w:rFonts w:ascii="Century Gothic" w:hAnsi="Century Gothic" w:cs="Times New Roman"/>
                <w:sz w:val="16"/>
              </w:rPr>
            </w:pPr>
            <w:r w:rsidRPr="0006253F">
              <w:rPr>
                <w:rFonts w:ascii="Century Gothic" w:hAnsi="Century Gothic" w:cs="Times New Roman"/>
                <w:sz w:val="16"/>
              </w:rPr>
              <w:t>COD</w:t>
            </w:r>
          </w:p>
        </w:tc>
        <w:tc>
          <w:tcPr>
            <w:tcW w:w="1102" w:type="dxa"/>
            <w:vAlign w:val="center"/>
          </w:tcPr>
          <w:p w14:paraId="40AA375C"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7.00%</w:t>
            </w:r>
          </w:p>
        </w:tc>
        <w:tc>
          <w:tcPr>
            <w:tcW w:w="1170" w:type="dxa"/>
            <w:vAlign w:val="center"/>
          </w:tcPr>
          <w:p w14:paraId="5D1AAA79"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7.00%</w:t>
            </w:r>
          </w:p>
        </w:tc>
        <w:tc>
          <w:tcPr>
            <w:tcW w:w="1260" w:type="dxa"/>
            <w:vAlign w:val="center"/>
          </w:tcPr>
          <w:p w14:paraId="630ACCEE"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7.75%</w:t>
            </w:r>
          </w:p>
        </w:tc>
        <w:tc>
          <w:tcPr>
            <w:tcW w:w="1350" w:type="dxa"/>
            <w:vAlign w:val="center"/>
          </w:tcPr>
          <w:p w14:paraId="3064B2A9"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7.75%</w:t>
            </w:r>
          </w:p>
        </w:tc>
      </w:tr>
      <w:tr w:rsidR="005B0246" w:rsidRPr="004444BD" w14:paraId="312994E2" w14:textId="77777777" w:rsidTr="001436DC">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863" w:type="dxa"/>
            <w:vAlign w:val="center"/>
          </w:tcPr>
          <w:p w14:paraId="4305998B" w14:textId="01E79C60" w:rsidR="005B0246" w:rsidRPr="0006253F" w:rsidRDefault="005B0246" w:rsidP="004444BD">
            <w:pPr>
              <w:jc w:val="left"/>
              <w:rPr>
                <w:rFonts w:ascii="Century Gothic" w:hAnsi="Century Gothic" w:cs="Times New Roman"/>
                <w:i/>
                <w:sz w:val="16"/>
              </w:rPr>
            </w:pPr>
            <w:r w:rsidRPr="0006253F">
              <w:rPr>
                <w:rFonts w:ascii="Century Gothic" w:hAnsi="Century Gothic" w:cs="Times New Roman"/>
                <w:i/>
                <w:sz w:val="16"/>
              </w:rPr>
              <w:t>Capital structure</w:t>
            </w:r>
            <w:r w:rsidR="00890DCA" w:rsidRPr="001436DC">
              <w:rPr>
                <w:rFonts w:ascii="Century Gothic" w:hAnsi="Century Gothic" w:cs="Times New Roman"/>
                <w:i/>
                <w:sz w:val="16"/>
              </w:rPr>
              <w:t>:</w:t>
            </w:r>
          </w:p>
        </w:tc>
        <w:tc>
          <w:tcPr>
            <w:tcW w:w="1102" w:type="dxa"/>
            <w:vAlign w:val="center"/>
          </w:tcPr>
          <w:p w14:paraId="48E046C8"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p>
        </w:tc>
        <w:tc>
          <w:tcPr>
            <w:tcW w:w="1170" w:type="dxa"/>
            <w:vAlign w:val="center"/>
          </w:tcPr>
          <w:p w14:paraId="5F0845F7"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p>
        </w:tc>
        <w:tc>
          <w:tcPr>
            <w:tcW w:w="1260" w:type="dxa"/>
            <w:vAlign w:val="center"/>
          </w:tcPr>
          <w:p w14:paraId="5B70F05E"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p>
        </w:tc>
        <w:tc>
          <w:tcPr>
            <w:tcW w:w="1350" w:type="dxa"/>
            <w:vAlign w:val="center"/>
          </w:tcPr>
          <w:p w14:paraId="16C2259C"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p>
        </w:tc>
      </w:tr>
      <w:tr w:rsidR="005B0246" w:rsidRPr="004444BD" w14:paraId="20D66944" w14:textId="77777777" w:rsidTr="001436DC">
        <w:trPr>
          <w:trHeight w:val="368"/>
          <w:jc w:val="center"/>
        </w:trPr>
        <w:tc>
          <w:tcPr>
            <w:cnfStyle w:val="001000000000" w:firstRow="0" w:lastRow="0" w:firstColumn="1" w:lastColumn="0" w:oddVBand="0" w:evenVBand="0" w:oddHBand="0" w:evenHBand="0" w:firstRowFirstColumn="0" w:firstRowLastColumn="0" w:lastRowFirstColumn="0" w:lastRowLastColumn="0"/>
            <w:tcW w:w="1863" w:type="dxa"/>
            <w:vAlign w:val="center"/>
          </w:tcPr>
          <w:p w14:paraId="23417952" w14:textId="77777777" w:rsidR="005B0246" w:rsidRPr="0006253F" w:rsidRDefault="005B0246" w:rsidP="004444BD">
            <w:pPr>
              <w:ind w:left="337"/>
              <w:jc w:val="left"/>
              <w:rPr>
                <w:rFonts w:ascii="Century Gothic" w:hAnsi="Century Gothic" w:cs="Times New Roman"/>
                <w:sz w:val="16"/>
              </w:rPr>
            </w:pPr>
            <w:r w:rsidRPr="0006253F">
              <w:rPr>
                <w:rFonts w:ascii="Century Gothic" w:hAnsi="Century Gothic" w:cs="Times New Roman"/>
                <w:sz w:val="16"/>
              </w:rPr>
              <w:t>Debt weight</w:t>
            </w:r>
          </w:p>
        </w:tc>
        <w:tc>
          <w:tcPr>
            <w:tcW w:w="1102" w:type="dxa"/>
            <w:vAlign w:val="center"/>
          </w:tcPr>
          <w:p w14:paraId="21D802C0"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60%</w:t>
            </w:r>
          </w:p>
        </w:tc>
        <w:tc>
          <w:tcPr>
            <w:tcW w:w="1170" w:type="dxa"/>
            <w:vAlign w:val="center"/>
          </w:tcPr>
          <w:p w14:paraId="76EE4FEC"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60%</w:t>
            </w:r>
          </w:p>
        </w:tc>
        <w:tc>
          <w:tcPr>
            <w:tcW w:w="1260" w:type="dxa"/>
            <w:vAlign w:val="center"/>
          </w:tcPr>
          <w:p w14:paraId="2F7CF836"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55%</w:t>
            </w:r>
          </w:p>
        </w:tc>
        <w:tc>
          <w:tcPr>
            <w:tcW w:w="1350" w:type="dxa"/>
            <w:vAlign w:val="center"/>
          </w:tcPr>
          <w:p w14:paraId="684B039C"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60%</w:t>
            </w:r>
          </w:p>
        </w:tc>
      </w:tr>
      <w:tr w:rsidR="005B0246" w:rsidRPr="004444BD" w14:paraId="28BC5F01" w14:textId="77777777" w:rsidTr="001436DC">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863" w:type="dxa"/>
            <w:vAlign w:val="center"/>
          </w:tcPr>
          <w:p w14:paraId="5C911744" w14:textId="77777777" w:rsidR="005B0246" w:rsidRPr="0006253F" w:rsidRDefault="005B0246" w:rsidP="004444BD">
            <w:pPr>
              <w:ind w:left="337"/>
              <w:jc w:val="left"/>
              <w:rPr>
                <w:rFonts w:ascii="Century Gothic" w:hAnsi="Century Gothic" w:cs="Times New Roman"/>
                <w:sz w:val="16"/>
              </w:rPr>
            </w:pPr>
            <w:r w:rsidRPr="0006253F">
              <w:rPr>
                <w:rFonts w:ascii="Century Gothic" w:hAnsi="Century Gothic" w:cs="Times New Roman"/>
                <w:sz w:val="16"/>
              </w:rPr>
              <w:t>Equity weight</w:t>
            </w:r>
          </w:p>
        </w:tc>
        <w:tc>
          <w:tcPr>
            <w:tcW w:w="1102" w:type="dxa"/>
            <w:vAlign w:val="center"/>
          </w:tcPr>
          <w:p w14:paraId="45366312"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40%</w:t>
            </w:r>
          </w:p>
        </w:tc>
        <w:tc>
          <w:tcPr>
            <w:tcW w:w="1170" w:type="dxa"/>
            <w:vAlign w:val="center"/>
          </w:tcPr>
          <w:p w14:paraId="52837B6F"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40%</w:t>
            </w:r>
          </w:p>
        </w:tc>
        <w:tc>
          <w:tcPr>
            <w:tcW w:w="1260" w:type="dxa"/>
            <w:vAlign w:val="center"/>
          </w:tcPr>
          <w:p w14:paraId="19233F9F"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45%</w:t>
            </w:r>
          </w:p>
        </w:tc>
        <w:tc>
          <w:tcPr>
            <w:tcW w:w="1350" w:type="dxa"/>
            <w:vAlign w:val="center"/>
          </w:tcPr>
          <w:p w14:paraId="784C789F" w14:textId="77777777" w:rsidR="005B0246" w:rsidRPr="0006253F" w:rsidRDefault="005B0246" w:rsidP="004444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40%</w:t>
            </w:r>
          </w:p>
        </w:tc>
      </w:tr>
      <w:tr w:rsidR="005B0246" w:rsidRPr="004444BD" w14:paraId="0D0BEE76" w14:textId="77777777" w:rsidTr="001436DC">
        <w:trPr>
          <w:trHeight w:val="260"/>
          <w:jc w:val="center"/>
        </w:trPr>
        <w:tc>
          <w:tcPr>
            <w:cnfStyle w:val="001000000000" w:firstRow="0" w:lastRow="0" w:firstColumn="1" w:lastColumn="0" w:oddVBand="0" w:evenVBand="0" w:oddHBand="0" w:evenHBand="0" w:firstRowFirstColumn="0" w:firstRowLastColumn="0" w:lastRowFirstColumn="0" w:lastRowLastColumn="0"/>
            <w:tcW w:w="1863" w:type="dxa"/>
            <w:vAlign w:val="center"/>
          </w:tcPr>
          <w:p w14:paraId="5D956AED" w14:textId="77777777" w:rsidR="005B0246" w:rsidRPr="0006253F" w:rsidRDefault="005B0246" w:rsidP="004444BD">
            <w:pPr>
              <w:ind w:left="-23"/>
              <w:jc w:val="left"/>
              <w:rPr>
                <w:rFonts w:ascii="Century Gothic" w:hAnsi="Century Gothic" w:cs="Times New Roman"/>
                <w:sz w:val="16"/>
              </w:rPr>
            </w:pPr>
            <w:r w:rsidRPr="0006253F">
              <w:rPr>
                <w:rFonts w:ascii="Century Gothic" w:hAnsi="Century Gothic" w:cs="Times New Roman"/>
                <w:sz w:val="16"/>
              </w:rPr>
              <w:t>WACC</w:t>
            </w:r>
          </w:p>
        </w:tc>
        <w:tc>
          <w:tcPr>
            <w:tcW w:w="1102" w:type="dxa"/>
            <w:vAlign w:val="center"/>
          </w:tcPr>
          <w:p w14:paraId="4833DD77"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9.7%</w:t>
            </w:r>
          </w:p>
        </w:tc>
        <w:tc>
          <w:tcPr>
            <w:tcW w:w="1170" w:type="dxa"/>
            <w:vAlign w:val="center"/>
          </w:tcPr>
          <w:p w14:paraId="08C3F021"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9.7%</w:t>
            </w:r>
          </w:p>
        </w:tc>
        <w:tc>
          <w:tcPr>
            <w:tcW w:w="1260" w:type="dxa"/>
            <w:vAlign w:val="center"/>
          </w:tcPr>
          <w:p w14:paraId="5FDFE9EB"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10.3%</w:t>
            </w:r>
          </w:p>
        </w:tc>
        <w:tc>
          <w:tcPr>
            <w:tcW w:w="1350" w:type="dxa"/>
            <w:vAlign w:val="center"/>
          </w:tcPr>
          <w:p w14:paraId="2C1DC499" w14:textId="77777777" w:rsidR="005B0246" w:rsidRPr="0006253F" w:rsidRDefault="005B0246" w:rsidP="004444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rPr>
            </w:pPr>
            <w:r w:rsidRPr="0006253F">
              <w:rPr>
                <w:rFonts w:ascii="Century Gothic" w:hAnsi="Century Gothic" w:cs="Times New Roman"/>
                <w:sz w:val="16"/>
              </w:rPr>
              <w:t>10.0%</w:t>
            </w:r>
          </w:p>
        </w:tc>
      </w:tr>
    </w:tbl>
    <w:p w14:paraId="47A7E30A" w14:textId="3DCDB992" w:rsidR="00E42DE9" w:rsidRPr="00502160" w:rsidRDefault="00E42DE9" w:rsidP="00456566">
      <w:pPr>
        <w:pStyle w:val="Heading2"/>
      </w:pPr>
      <w:bookmarkStart w:id="61" w:name="_Toc462924350"/>
      <w:bookmarkStart w:id="62" w:name="_Toc468288315"/>
      <w:r w:rsidRPr="004E19C7">
        <w:t>Revenue Offsets</w:t>
      </w:r>
      <w:bookmarkEnd w:id="61"/>
      <w:bookmarkEnd w:id="62"/>
    </w:p>
    <w:p w14:paraId="0EBDC888" w14:textId="77777777" w:rsidR="00E42DE9" w:rsidRPr="004E19C7" w:rsidRDefault="00E42DE9" w:rsidP="000637A3">
      <w:pPr>
        <w:pStyle w:val="Heading3"/>
        <w:numPr>
          <w:ilvl w:val="0"/>
          <w:numId w:val="44"/>
        </w:numPr>
      </w:pPr>
      <w:r>
        <w:t xml:space="preserve">Energy </w:t>
      </w:r>
      <w:r w:rsidRPr="007C13CC">
        <w:t>and</w:t>
      </w:r>
      <w:r>
        <w:t xml:space="preserve"> Ancillary Services Revenues</w:t>
      </w:r>
    </w:p>
    <w:p w14:paraId="21C2D157" w14:textId="77777777" w:rsidR="00E42DE9" w:rsidRPr="00DB2F91" w:rsidRDefault="00E42DE9" w:rsidP="00E42DE9">
      <w:pPr>
        <w:pStyle w:val="Heading4"/>
      </w:pPr>
      <w:r w:rsidRPr="00DB2F91">
        <w:t>Overview</w:t>
      </w:r>
    </w:p>
    <w:p w14:paraId="49E5B878" w14:textId="355D0B07" w:rsidR="00E42DE9" w:rsidRDefault="00E42DE9" w:rsidP="00E42DE9">
      <w:r>
        <w:t xml:space="preserve">The process to estimate the Energy and Ancillary Services (“E&amp;AS”) offset for each </w:t>
      </w:r>
      <w:r w:rsidR="00890DCA">
        <w:t xml:space="preserve">candidate reference </w:t>
      </w:r>
      <w:r>
        <w:t>technology consist</w:t>
      </w:r>
      <w:r w:rsidR="00890DCA">
        <w:t>ed</w:t>
      </w:r>
      <w:r>
        <w:t xml:space="preserve"> of three primary steps.  </w:t>
      </w:r>
      <w:r w:rsidRPr="004211E1">
        <w:rPr>
          <w:i/>
          <w:u w:val="single"/>
        </w:rPr>
        <w:t>First</w:t>
      </w:r>
      <w:r>
        <w:t xml:space="preserve">, in order to estimate energy revenues, a 20-year forecast of locational marginal prices (“LMPs”) for the Southeast Massachusetts (“SEMA”) load zone was developed via simulation.  </w:t>
      </w:r>
      <w:r w:rsidRPr="00A10057">
        <w:rPr>
          <w:i/>
          <w:u w:val="single"/>
        </w:rPr>
        <w:t>Second</w:t>
      </w:r>
      <w:r>
        <w:t xml:space="preserve">, revenues earned from participation in wholesale markets were estimated using an algorithm that estimates revenues from the sale of ancillary services (“AS”) and energy based on a projection of AS payment rates, the LMP forecast, and the variable expenses and operating characteristics of each technology type.  </w:t>
      </w:r>
      <w:r>
        <w:rPr>
          <w:i/>
          <w:u w:val="single"/>
        </w:rPr>
        <w:t>Third</w:t>
      </w:r>
      <w:r>
        <w:t xml:space="preserve">, cash flows from the sale of energy and AS were </w:t>
      </w:r>
      <w:proofErr w:type="spellStart"/>
      <w:r>
        <w:t>levelized</w:t>
      </w:r>
      <w:proofErr w:type="spellEnd"/>
      <w:r>
        <w:t xml:space="preserve"> using the financial model described in Section </w:t>
      </w:r>
      <w:r w:rsidR="00890DCA">
        <w:t>D</w:t>
      </w:r>
      <w:r>
        <w:t xml:space="preserve">.  Details regarding the calculation of the E&amp;AS offset for the candidate reference units are provided below. </w:t>
      </w:r>
      <w:r w:rsidR="0087442D">
        <w:t>Details of major assumptions are shown in Appendix A.</w:t>
      </w:r>
    </w:p>
    <w:p w14:paraId="0CE2A079" w14:textId="77777777" w:rsidR="00E42DE9" w:rsidRPr="00DB2F91" w:rsidRDefault="00E42DE9" w:rsidP="00E42DE9">
      <w:pPr>
        <w:pStyle w:val="Heading4"/>
      </w:pPr>
      <w:r w:rsidRPr="00DB2F91">
        <w:t>LMP Forecast</w:t>
      </w:r>
    </w:p>
    <w:p w14:paraId="6D33035E" w14:textId="5B317A2D" w:rsidR="00E42DE9" w:rsidRDefault="00E42DE9" w:rsidP="00E42DE9">
      <w:r>
        <w:t>LMPs were forecast</w:t>
      </w:r>
      <w:r w:rsidR="00890DCA">
        <w:t>ed</w:t>
      </w:r>
      <w:r>
        <w:t xml:space="preserve"> using </w:t>
      </w:r>
      <w:proofErr w:type="spellStart"/>
      <w:r>
        <w:t>AURORAxmp</w:t>
      </w:r>
      <w:proofErr w:type="spellEnd"/>
      <w:r>
        <w:t xml:space="preserve"> (“AURORA”), a chronological-dispatch simulation model widely used in the energy industry for price forecasting and market analysis.  AURORA, which is licensed by EPIS, Inc., allows for the simulation of wholesale electric markets on an hourly basis on a highly granular level.</w:t>
      </w:r>
      <w:r>
        <w:rPr>
          <w:rStyle w:val="FootnoteReference"/>
        </w:rPr>
        <w:footnoteReference w:id="29"/>
      </w:r>
      <w:r>
        <w:t xml:space="preserve">  Using this tool, prices for all load zones in New England were forecast</w:t>
      </w:r>
      <w:r w:rsidR="00890DCA">
        <w:t>ed</w:t>
      </w:r>
      <w:r>
        <w:t xml:space="preserve"> on an hourly basis for the period 2021-2040. </w:t>
      </w:r>
    </w:p>
    <w:p w14:paraId="59151CF1" w14:textId="40B7BACC" w:rsidR="00E42DE9" w:rsidRDefault="00E42DE9" w:rsidP="00E42DE9">
      <w:r>
        <w:t>Key inputs to the LMP forecast include</w:t>
      </w:r>
      <w:r w:rsidR="00890DCA">
        <w:t>d</w:t>
      </w:r>
      <w:r>
        <w:t xml:space="preserve"> a forecast of delivered gas prices, a forecast of emission allowances for carbon dioxide (“CO</w:t>
      </w:r>
      <w:r w:rsidRPr="008E234D">
        <w:rPr>
          <w:vertAlign w:val="subscript"/>
        </w:rPr>
        <w:t>2</w:t>
      </w:r>
      <w:r>
        <w:t>”), a load forecast, a schedule of plant additions and retirements, and an outlook on the transmission grid serving New England and connecting New England to neighboring regions.</w:t>
      </w:r>
    </w:p>
    <w:p w14:paraId="1A0423B1" w14:textId="77777777" w:rsidR="00E42DE9" w:rsidRDefault="00E42DE9" w:rsidP="00E42DE9">
      <w:pPr>
        <w:pStyle w:val="Heading4"/>
      </w:pPr>
      <w:r>
        <w:lastRenderedPageBreak/>
        <w:t>Gas Price Forecast</w:t>
      </w:r>
    </w:p>
    <w:p w14:paraId="2BDA047C" w14:textId="3AEA44C0" w:rsidR="00E42DE9" w:rsidRDefault="00E42DE9" w:rsidP="00E42DE9">
      <w:r>
        <w:t>The gas price forecast was developed using GPCM, the industry-standard tool for long-term price forecasting and simulation of the natural gas markets.  GPCM is licensed by RBAC, Inc. (“RBAC”)</w:t>
      </w:r>
      <w:r>
        <w:rPr>
          <w:rStyle w:val="FootnoteReference"/>
        </w:rPr>
        <w:footnoteReference w:id="30"/>
      </w:r>
      <w:r>
        <w:t xml:space="preserve">  </w:t>
      </w:r>
      <w:proofErr w:type="gramStart"/>
      <w:r>
        <w:t>The</w:t>
      </w:r>
      <w:proofErr w:type="gramEnd"/>
      <w:r>
        <w:t xml:space="preserve"> forecast is based on RBAC’s 2016Q2 Base Case, which was develop</w:t>
      </w:r>
      <w:r w:rsidR="00890DCA">
        <w:t>ed</w:t>
      </w:r>
      <w:r>
        <w:t xml:space="preserve"> by RBAC and released in spring 2016.  The only change made to the 2016Q2 Base Case was the exclusion of Spectra Energy Corporation’s Access Northeast project.  Access Northeast is a project supported by contracts with Massachusetts Electric Distribution Companies (“EDCs”), which were approved by the Massachusetts Department of Public Utilities (“MA DPU”) in Docket 15-37.  However, the Massachusetts Supreme Judicial Court found in an appellate decision in Docket SJC-12051 that such contracting by the EDCs was not allowable under Massachusetts law.  As a result, it was determined that Access Northeast will likely not be completed, and the project was removed from the GPCM simulation. </w:t>
      </w:r>
    </w:p>
    <w:p w14:paraId="65EAD1F3" w14:textId="17D769B3" w:rsidR="00E42DE9" w:rsidRDefault="00E42DE9" w:rsidP="00E42DE9">
      <w:r>
        <w:t xml:space="preserve">Other project upgrades located in the Northeast U.S. and Canada that </w:t>
      </w:r>
      <w:r w:rsidR="00890DCA">
        <w:t xml:space="preserve">were </w:t>
      </w:r>
      <w:r>
        <w:t>included in the 2016Q2 Base Case and that were not adjusted are shown below:</w:t>
      </w:r>
    </w:p>
    <w:p w14:paraId="7C854D5C" w14:textId="042332D4" w:rsidR="00E42DE9" w:rsidRPr="00647744" w:rsidRDefault="00E42DE9" w:rsidP="00D2628D">
      <w:pPr>
        <w:pStyle w:val="Caption"/>
      </w:pPr>
      <w:bookmarkStart w:id="63" w:name="_Toc465433452"/>
      <w:proofErr w:type="gramStart"/>
      <w:r w:rsidRPr="00647744">
        <w:t xml:space="preserve">Table </w:t>
      </w:r>
      <w:r w:rsidR="00FA6573">
        <w:fldChar w:fldCharType="begin"/>
      </w:r>
      <w:r w:rsidR="00FA6573">
        <w:instrText xml:space="preserve"> SEQ Table \* ARABIC </w:instrText>
      </w:r>
      <w:r w:rsidR="00FA6573">
        <w:fldChar w:fldCharType="separate"/>
      </w:r>
      <w:r w:rsidR="000637A3">
        <w:rPr>
          <w:noProof/>
        </w:rPr>
        <w:t>28</w:t>
      </w:r>
      <w:r w:rsidR="00FA6573">
        <w:rPr>
          <w:noProof/>
        </w:rPr>
        <w:fldChar w:fldCharType="end"/>
      </w:r>
      <w:r w:rsidRPr="00647744">
        <w:t>.</w:t>
      </w:r>
      <w:proofErr w:type="gramEnd"/>
      <w:r w:rsidRPr="00647744">
        <w:t xml:space="preserve">  Selected Pipeline Expansion Projects Included in the 2016 Q2 RBAC Base Case</w:t>
      </w:r>
      <w:bookmarkEnd w:id="63"/>
    </w:p>
    <w:tbl>
      <w:tblPr>
        <w:tblStyle w:val="GridTable4-Accent320"/>
        <w:tblW w:w="0" w:type="auto"/>
        <w:tblLook w:val="04A0" w:firstRow="1" w:lastRow="0" w:firstColumn="1" w:lastColumn="0" w:noHBand="0" w:noVBand="1"/>
      </w:tblPr>
      <w:tblGrid>
        <w:gridCol w:w="4765"/>
        <w:gridCol w:w="3240"/>
        <w:gridCol w:w="1345"/>
      </w:tblGrid>
      <w:tr w:rsidR="00E42DE9" w:rsidRPr="004D0689" w14:paraId="13B80E32" w14:textId="77777777" w:rsidTr="00E42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20F5CCD1" w14:textId="77777777" w:rsidR="00E42DE9" w:rsidRPr="004D0689" w:rsidRDefault="00E42DE9" w:rsidP="00E42DE9">
            <w:pPr>
              <w:jc w:val="center"/>
              <w:rPr>
                <w:rFonts w:ascii="Century Gothic" w:hAnsi="Century Gothic"/>
                <w:smallCaps w:val="0"/>
                <w:color w:val="000000" w:themeColor="text1"/>
                <w:sz w:val="18"/>
              </w:rPr>
            </w:pPr>
            <w:r w:rsidRPr="004D0689">
              <w:rPr>
                <w:rFonts w:ascii="Century Gothic" w:hAnsi="Century Gothic"/>
                <w:smallCaps w:val="0"/>
                <w:color w:val="000000" w:themeColor="text1"/>
                <w:sz w:val="18"/>
              </w:rPr>
              <w:t>Pipeline</w:t>
            </w:r>
          </w:p>
        </w:tc>
        <w:tc>
          <w:tcPr>
            <w:tcW w:w="3240" w:type="dxa"/>
          </w:tcPr>
          <w:p w14:paraId="10BF3449" w14:textId="77777777" w:rsidR="00E42DE9" w:rsidRPr="004D0689" w:rsidRDefault="00E42DE9" w:rsidP="00E42DE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mallCaps w:val="0"/>
                <w:color w:val="000000" w:themeColor="text1"/>
                <w:sz w:val="18"/>
              </w:rPr>
            </w:pPr>
            <w:r w:rsidRPr="004D0689">
              <w:rPr>
                <w:rFonts w:ascii="Century Gothic" w:hAnsi="Century Gothic"/>
                <w:smallCaps w:val="0"/>
                <w:color w:val="000000" w:themeColor="text1"/>
                <w:sz w:val="18"/>
              </w:rPr>
              <w:t>Project</w:t>
            </w:r>
          </w:p>
        </w:tc>
        <w:tc>
          <w:tcPr>
            <w:tcW w:w="1345" w:type="dxa"/>
          </w:tcPr>
          <w:p w14:paraId="12459D81" w14:textId="77777777" w:rsidR="00E42DE9" w:rsidRPr="004D0689" w:rsidRDefault="00E42DE9" w:rsidP="00E42DE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mallCaps w:val="0"/>
                <w:color w:val="000000" w:themeColor="text1"/>
                <w:sz w:val="18"/>
              </w:rPr>
            </w:pPr>
            <w:r w:rsidRPr="004D0689">
              <w:rPr>
                <w:rFonts w:ascii="Century Gothic" w:hAnsi="Century Gothic"/>
                <w:smallCaps w:val="0"/>
                <w:color w:val="000000" w:themeColor="text1"/>
                <w:sz w:val="18"/>
              </w:rPr>
              <w:t>Capacity (</w:t>
            </w:r>
            <w:proofErr w:type="spellStart"/>
            <w:r w:rsidRPr="004D0689">
              <w:rPr>
                <w:rFonts w:ascii="Century Gothic" w:hAnsi="Century Gothic"/>
                <w:smallCaps w:val="0"/>
                <w:color w:val="000000" w:themeColor="text1"/>
                <w:sz w:val="18"/>
              </w:rPr>
              <w:t>MMcf</w:t>
            </w:r>
            <w:proofErr w:type="spellEnd"/>
            <w:r w:rsidRPr="004D0689">
              <w:rPr>
                <w:rFonts w:ascii="Century Gothic" w:hAnsi="Century Gothic"/>
                <w:smallCaps w:val="0"/>
                <w:color w:val="000000" w:themeColor="text1"/>
                <w:sz w:val="18"/>
              </w:rPr>
              <w:t>/d)</w:t>
            </w:r>
          </w:p>
        </w:tc>
      </w:tr>
      <w:tr w:rsidR="00E42DE9" w:rsidRPr="00A12D4D" w14:paraId="3091223B" w14:textId="77777777" w:rsidTr="00E42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17054DB6" w14:textId="77777777" w:rsidR="00E42DE9" w:rsidRPr="001436DC" w:rsidRDefault="00E42DE9" w:rsidP="00E42DE9">
            <w:pPr>
              <w:rPr>
                <w:rFonts w:ascii="Century Gothic" w:hAnsi="Century Gothic"/>
                <w:sz w:val="16"/>
              </w:rPr>
            </w:pPr>
            <w:r w:rsidRPr="001436DC">
              <w:rPr>
                <w:rFonts w:ascii="Century Gothic" w:hAnsi="Century Gothic"/>
                <w:sz w:val="16"/>
              </w:rPr>
              <w:t>Algonquin Gas Transmission / Maritimes &amp; Northeast</w:t>
            </w:r>
          </w:p>
        </w:tc>
        <w:tc>
          <w:tcPr>
            <w:tcW w:w="3240" w:type="dxa"/>
          </w:tcPr>
          <w:p w14:paraId="418305C6" w14:textId="77777777" w:rsidR="00E42DE9" w:rsidRPr="001436DC" w:rsidRDefault="00E42DE9" w:rsidP="00E42DE9">
            <w:pP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Atlantic Bridge</w:t>
            </w:r>
          </w:p>
        </w:tc>
        <w:tc>
          <w:tcPr>
            <w:tcW w:w="1345" w:type="dxa"/>
          </w:tcPr>
          <w:p w14:paraId="5A8161C8" w14:textId="77777777" w:rsidR="00E42DE9" w:rsidRPr="001436DC" w:rsidRDefault="00E42DE9" w:rsidP="00E42DE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600</w:t>
            </w:r>
          </w:p>
        </w:tc>
      </w:tr>
      <w:tr w:rsidR="00E42DE9" w:rsidRPr="00A12D4D" w14:paraId="347060A2" w14:textId="77777777" w:rsidTr="00E42DE9">
        <w:tc>
          <w:tcPr>
            <w:cnfStyle w:val="001000000000" w:firstRow="0" w:lastRow="0" w:firstColumn="1" w:lastColumn="0" w:oddVBand="0" w:evenVBand="0" w:oddHBand="0" w:evenHBand="0" w:firstRowFirstColumn="0" w:firstRowLastColumn="0" w:lastRowFirstColumn="0" w:lastRowLastColumn="0"/>
            <w:tcW w:w="4765" w:type="dxa"/>
          </w:tcPr>
          <w:p w14:paraId="4ADAEC7A" w14:textId="77777777" w:rsidR="00E42DE9" w:rsidRPr="001436DC" w:rsidRDefault="00E42DE9" w:rsidP="00E42DE9">
            <w:pPr>
              <w:rPr>
                <w:rFonts w:ascii="Century Gothic" w:hAnsi="Century Gothic"/>
                <w:sz w:val="16"/>
              </w:rPr>
            </w:pPr>
            <w:r w:rsidRPr="001436DC">
              <w:rPr>
                <w:rFonts w:ascii="Century Gothic" w:hAnsi="Century Gothic"/>
                <w:sz w:val="16"/>
              </w:rPr>
              <w:t>Algonquin Gas Transmission / Maritimes &amp; Northeast</w:t>
            </w:r>
          </w:p>
        </w:tc>
        <w:tc>
          <w:tcPr>
            <w:tcW w:w="3240" w:type="dxa"/>
          </w:tcPr>
          <w:p w14:paraId="4BAEE341" w14:textId="77777777" w:rsidR="00E42DE9" w:rsidRPr="001436DC" w:rsidRDefault="00E42DE9" w:rsidP="00E42DE9">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1436DC">
              <w:rPr>
                <w:rFonts w:ascii="Century Gothic" w:hAnsi="Century Gothic"/>
                <w:sz w:val="16"/>
              </w:rPr>
              <w:t>Salem Lateral</w:t>
            </w:r>
          </w:p>
        </w:tc>
        <w:tc>
          <w:tcPr>
            <w:tcW w:w="1345" w:type="dxa"/>
          </w:tcPr>
          <w:p w14:paraId="0F5113C7" w14:textId="77777777" w:rsidR="00E42DE9" w:rsidRPr="001436DC" w:rsidRDefault="00E42DE9" w:rsidP="00E42DE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1436DC">
              <w:rPr>
                <w:rFonts w:ascii="Century Gothic" w:hAnsi="Century Gothic"/>
                <w:sz w:val="16"/>
              </w:rPr>
              <w:t>115</w:t>
            </w:r>
          </w:p>
        </w:tc>
      </w:tr>
      <w:tr w:rsidR="00E42DE9" w:rsidRPr="00A12D4D" w14:paraId="6D3814C0" w14:textId="77777777" w:rsidTr="00E42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5637E830" w14:textId="77777777" w:rsidR="00E42DE9" w:rsidRPr="001436DC" w:rsidRDefault="00E42DE9" w:rsidP="00E42DE9">
            <w:pPr>
              <w:rPr>
                <w:rFonts w:ascii="Century Gothic" w:hAnsi="Century Gothic"/>
                <w:sz w:val="16"/>
              </w:rPr>
            </w:pPr>
            <w:r w:rsidRPr="001436DC">
              <w:rPr>
                <w:rFonts w:ascii="Century Gothic" w:hAnsi="Century Gothic"/>
                <w:sz w:val="16"/>
              </w:rPr>
              <w:t>Algonquin Gas Transmission</w:t>
            </w:r>
          </w:p>
        </w:tc>
        <w:tc>
          <w:tcPr>
            <w:tcW w:w="3240" w:type="dxa"/>
          </w:tcPr>
          <w:p w14:paraId="39D36243" w14:textId="77777777" w:rsidR="00E42DE9" w:rsidRPr="001436DC" w:rsidRDefault="00E42DE9" w:rsidP="00E42DE9">
            <w:pP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Algonquin Incremental Markets</w:t>
            </w:r>
          </w:p>
        </w:tc>
        <w:tc>
          <w:tcPr>
            <w:tcW w:w="1345" w:type="dxa"/>
          </w:tcPr>
          <w:p w14:paraId="7D6D8299" w14:textId="77777777" w:rsidR="00E42DE9" w:rsidRPr="001436DC" w:rsidRDefault="00E42DE9" w:rsidP="00E42DE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342</w:t>
            </w:r>
          </w:p>
        </w:tc>
      </w:tr>
      <w:tr w:rsidR="00E42DE9" w:rsidRPr="00A12D4D" w14:paraId="76CBB329" w14:textId="77777777" w:rsidTr="00E42DE9">
        <w:tc>
          <w:tcPr>
            <w:cnfStyle w:val="001000000000" w:firstRow="0" w:lastRow="0" w:firstColumn="1" w:lastColumn="0" w:oddVBand="0" w:evenVBand="0" w:oddHBand="0" w:evenHBand="0" w:firstRowFirstColumn="0" w:firstRowLastColumn="0" w:lastRowFirstColumn="0" w:lastRowLastColumn="0"/>
            <w:tcW w:w="4765" w:type="dxa"/>
          </w:tcPr>
          <w:p w14:paraId="1B80FC9E" w14:textId="77777777" w:rsidR="00E42DE9" w:rsidRPr="001436DC" w:rsidRDefault="00E42DE9" w:rsidP="00E42DE9">
            <w:pPr>
              <w:rPr>
                <w:rFonts w:ascii="Century Gothic" w:hAnsi="Century Gothic"/>
                <w:sz w:val="16"/>
              </w:rPr>
            </w:pPr>
            <w:r w:rsidRPr="001436DC">
              <w:rPr>
                <w:rFonts w:ascii="Century Gothic" w:hAnsi="Century Gothic"/>
                <w:sz w:val="16"/>
              </w:rPr>
              <w:t>Constitution</w:t>
            </w:r>
          </w:p>
        </w:tc>
        <w:tc>
          <w:tcPr>
            <w:tcW w:w="3240" w:type="dxa"/>
          </w:tcPr>
          <w:p w14:paraId="3E67FE68" w14:textId="77777777" w:rsidR="00E42DE9" w:rsidRPr="001436DC" w:rsidRDefault="00E42DE9" w:rsidP="00E42DE9">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1436DC">
              <w:rPr>
                <w:rFonts w:ascii="Century Gothic" w:hAnsi="Century Gothic"/>
                <w:sz w:val="16"/>
              </w:rPr>
              <w:t>New pipeline</w:t>
            </w:r>
          </w:p>
        </w:tc>
        <w:tc>
          <w:tcPr>
            <w:tcW w:w="1345" w:type="dxa"/>
          </w:tcPr>
          <w:p w14:paraId="3697C0C9" w14:textId="77777777" w:rsidR="00E42DE9" w:rsidRPr="001436DC" w:rsidRDefault="00E42DE9" w:rsidP="00E42DE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1436DC">
              <w:rPr>
                <w:rFonts w:ascii="Century Gothic" w:hAnsi="Century Gothic"/>
                <w:sz w:val="16"/>
              </w:rPr>
              <w:t>650</w:t>
            </w:r>
          </w:p>
        </w:tc>
      </w:tr>
      <w:tr w:rsidR="00E42DE9" w:rsidRPr="00A12D4D" w14:paraId="225681FE" w14:textId="77777777" w:rsidTr="00E42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7FA52B6B" w14:textId="77777777" w:rsidR="00E42DE9" w:rsidRPr="001436DC" w:rsidRDefault="00E42DE9" w:rsidP="00E42DE9">
            <w:pPr>
              <w:rPr>
                <w:rFonts w:ascii="Century Gothic" w:hAnsi="Century Gothic"/>
                <w:sz w:val="16"/>
              </w:rPr>
            </w:pPr>
            <w:r w:rsidRPr="001436DC">
              <w:rPr>
                <w:rFonts w:ascii="Century Gothic" w:hAnsi="Century Gothic"/>
                <w:sz w:val="16"/>
              </w:rPr>
              <w:t>Iroquois Gas Transmission System</w:t>
            </w:r>
          </w:p>
        </w:tc>
        <w:tc>
          <w:tcPr>
            <w:tcW w:w="3240" w:type="dxa"/>
          </w:tcPr>
          <w:p w14:paraId="7E7FAE10" w14:textId="77777777" w:rsidR="00E42DE9" w:rsidRPr="001436DC" w:rsidRDefault="00E42DE9" w:rsidP="00E42DE9">
            <w:pP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South-to-North Project</w:t>
            </w:r>
          </w:p>
        </w:tc>
        <w:tc>
          <w:tcPr>
            <w:tcW w:w="1345" w:type="dxa"/>
          </w:tcPr>
          <w:p w14:paraId="0345A84F" w14:textId="77777777" w:rsidR="00E42DE9" w:rsidRPr="001436DC" w:rsidRDefault="00E42DE9" w:rsidP="00E42DE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650</w:t>
            </w:r>
          </w:p>
        </w:tc>
      </w:tr>
      <w:tr w:rsidR="00E42DE9" w:rsidRPr="00A12D4D" w14:paraId="38AD052B" w14:textId="77777777" w:rsidTr="00E42DE9">
        <w:tc>
          <w:tcPr>
            <w:cnfStyle w:val="001000000000" w:firstRow="0" w:lastRow="0" w:firstColumn="1" w:lastColumn="0" w:oddVBand="0" w:evenVBand="0" w:oddHBand="0" w:evenHBand="0" w:firstRowFirstColumn="0" w:firstRowLastColumn="0" w:lastRowFirstColumn="0" w:lastRowLastColumn="0"/>
            <w:tcW w:w="4765" w:type="dxa"/>
          </w:tcPr>
          <w:p w14:paraId="6BC5B5F4" w14:textId="77777777" w:rsidR="00E42DE9" w:rsidRPr="001436DC" w:rsidRDefault="00E42DE9" w:rsidP="00E42DE9">
            <w:pPr>
              <w:rPr>
                <w:rFonts w:ascii="Century Gothic" w:hAnsi="Century Gothic"/>
                <w:sz w:val="16"/>
              </w:rPr>
            </w:pPr>
            <w:r w:rsidRPr="001436DC">
              <w:rPr>
                <w:rFonts w:ascii="Century Gothic" w:hAnsi="Century Gothic"/>
                <w:sz w:val="16"/>
              </w:rPr>
              <w:t>Iroquois Gas Transmission System</w:t>
            </w:r>
          </w:p>
        </w:tc>
        <w:tc>
          <w:tcPr>
            <w:tcW w:w="3240" w:type="dxa"/>
          </w:tcPr>
          <w:p w14:paraId="1AE249D4" w14:textId="77777777" w:rsidR="00E42DE9" w:rsidRPr="001436DC" w:rsidRDefault="00E42DE9" w:rsidP="00E42DE9">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1436DC">
              <w:rPr>
                <w:rFonts w:ascii="Century Gothic" w:hAnsi="Century Gothic"/>
                <w:sz w:val="16"/>
              </w:rPr>
              <w:t>Wright Interconnect Project</w:t>
            </w:r>
          </w:p>
        </w:tc>
        <w:tc>
          <w:tcPr>
            <w:tcW w:w="1345" w:type="dxa"/>
          </w:tcPr>
          <w:p w14:paraId="76370AFA" w14:textId="77777777" w:rsidR="00E42DE9" w:rsidRPr="001436DC" w:rsidRDefault="00E42DE9" w:rsidP="00E42DE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1436DC">
              <w:rPr>
                <w:rFonts w:ascii="Century Gothic" w:hAnsi="Century Gothic"/>
                <w:sz w:val="16"/>
              </w:rPr>
              <w:t>650</w:t>
            </w:r>
          </w:p>
        </w:tc>
      </w:tr>
      <w:tr w:rsidR="00E42DE9" w:rsidRPr="00A12D4D" w14:paraId="6890D637" w14:textId="77777777" w:rsidTr="00E42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60AC0F45" w14:textId="77777777" w:rsidR="00E42DE9" w:rsidRPr="001436DC" w:rsidRDefault="00E42DE9" w:rsidP="00E42DE9">
            <w:pPr>
              <w:rPr>
                <w:rFonts w:ascii="Century Gothic" w:hAnsi="Century Gothic"/>
                <w:sz w:val="16"/>
              </w:rPr>
            </w:pPr>
            <w:r w:rsidRPr="001436DC">
              <w:rPr>
                <w:rFonts w:ascii="Century Gothic" w:hAnsi="Century Gothic"/>
                <w:sz w:val="16"/>
              </w:rPr>
              <w:t>Portland Natural Gas Transmission System</w:t>
            </w:r>
          </w:p>
        </w:tc>
        <w:tc>
          <w:tcPr>
            <w:tcW w:w="3240" w:type="dxa"/>
          </w:tcPr>
          <w:p w14:paraId="43D2C34D" w14:textId="77777777" w:rsidR="00E42DE9" w:rsidRPr="001436DC" w:rsidRDefault="00E42DE9" w:rsidP="00E42DE9">
            <w:pP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Coast-to-coast</w:t>
            </w:r>
          </w:p>
        </w:tc>
        <w:tc>
          <w:tcPr>
            <w:tcW w:w="1345" w:type="dxa"/>
          </w:tcPr>
          <w:p w14:paraId="079B36C5" w14:textId="77777777" w:rsidR="00E42DE9" w:rsidRPr="001436DC" w:rsidRDefault="00E42DE9" w:rsidP="00E42DE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300</w:t>
            </w:r>
          </w:p>
        </w:tc>
      </w:tr>
      <w:tr w:rsidR="00E42DE9" w:rsidRPr="00A12D4D" w14:paraId="6B100A9E" w14:textId="77777777" w:rsidTr="00E42DE9">
        <w:tc>
          <w:tcPr>
            <w:cnfStyle w:val="001000000000" w:firstRow="0" w:lastRow="0" w:firstColumn="1" w:lastColumn="0" w:oddVBand="0" w:evenVBand="0" w:oddHBand="0" w:evenHBand="0" w:firstRowFirstColumn="0" w:firstRowLastColumn="0" w:lastRowFirstColumn="0" w:lastRowLastColumn="0"/>
            <w:tcW w:w="4765" w:type="dxa"/>
          </w:tcPr>
          <w:p w14:paraId="1776F418" w14:textId="77777777" w:rsidR="00E42DE9" w:rsidRPr="001436DC" w:rsidRDefault="00E42DE9" w:rsidP="00E42DE9">
            <w:pPr>
              <w:rPr>
                <w:rFonts w:ascii="Century Gothic" w:hAnsi="Century Gothic"/>
                <w:sz w:val="16"/>
              </w:rPr>
            </w:pPr>
            <w:r w:rsidRPr="001436DC">
              <w:rPr>
                <w:rFonts w:ascii="Century Gothic" w:hAnsi="Century Gothic"/>
                <w:sz w:val="16"/>
              </w:rPr>
              <w:t>Tennessee Gas Pipeline</w:t>
            </w:r>
          </w:p>
        </w:tc>
        <w:tc>
          <w:tcPr>
            <w:tcW w:w="3240" w:type="dxa"/>
          </w:tcPr>
          <w:p w14:paraId="497EF6B7" w14:textId="77777777" w:rsidR="00E42DE9" w:rsidRPr="001436DC" w:rsidRDefault="00E42DE9" w:rsidP="00E42DE9">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1436DC">
              <w:rPr>
                <w:rFonts w:ascii="Century Gothic" w:hAnsi="Century Gothic"/>
                <w:sz w:val="16"/>
              </w:rPr>
              <w:t>Connecticut Expansion</w:t>
            </w:r>
          </w:p>
        </w:tc>
        <w:tc>
          <w:tcPr>
            <w:tcW w:w="1345" w:type="dxa"/>
          </w:tcPr>
          <w:p w14:paraId="26CB9496" w14:textId="77777777" w:rsidR="00E42DE9" w:rsidRPr="001436DC" w:rsidRDefault="00E42DE9" w:rsidP="00E42DE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1436DC">
              <w:rPr>
                <w:rFonts w:ascii="Century Gothic" w:hAnsi="Century Gothic"/>
                <w:sz w:val="16"/>
              </w:rPr>
              <w:t>72</w:t>
            </w:r>
          </w:p>
        </w:tc>
      </w:tr>
      <w:tr w:rsidR="00E42DE9" w:rsidRPr="00A12D4D" w14:paraId="60AED475" w14:textId="77777777" w:rsidTr="00E42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61743E37" w14:textId="77777777" w:rsidR="00E42DE9" w:rsidRPr="001436DC" w:rsidRDefault="00E42DE9" w:rsidP="00E42DE9">
            <w:pPr>
              <w:rPr>
                <w:rFonts w:ascii="Century Gothic" w:hAnsi="Century Gothic"/>
                <w:sz w:val="16"/>
              </w:rPr>
            </w:pPr>
            <w:r w:rsidRPr="001436DC">
              <w:rPr>
                <w:rFonts w:ascii="Century Gothic" w:hAnsi="Century Gothic"/>
                <w:sz w:val="16"/>
              </w:rPr>
              <w:t>TransCanada</w:t>
            </w:r>
          </w:p>
        </w:tc>
        <w:tc>
          <w:tcPr>
            <w:tcW w:w="3240" w:type="dxa"/>
          </w:tcPr>
          <w:p w14:paraId="4383B6B2" w14:textId="77777777" w:rsidR="00E42DE9" w:rsidRPr="001436DC" w:rsidRDefault="00E42DE9" w:rsidP="00E42DE9">
            <w:pP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Eastern Mainline Expansion</w:t>
            </w:r>
          </w:p>
        </w:tc>
        <w:tc>
          <w:tcPr>
            <w:tcW w:w="1345" w:type="dxa"/>
          </w:tcPr>
          <w:p w14:paraId="2F04A807" w14:textId="77777777" w:rsidR="00E42DE9" w:rsidRPr="001436DC" w:rsidRDefault="00E42DE9" w:rsidP="00E42DE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1436DC">
              <w:rPr>
                <w:rFonts w:ascii="Century Gothic" w:hAnsi="Century Gothic"/>
                <w:sz w:val="16"/>
              </w:rPr>
              <w:t>1,203</w:t>
            </w:r>
          </w:p>
        </w:tc>
      </w:tr>
    </w:tbl>
    <w:p w14:paraId="2E196406" w14:textId="77777777" w:rsidR="00E42DE9" w:rsidRDefault="00E42DE9" w:rsidP="00E42DE9"/>
    <w:p w14:paraId="1F1EF3A7" w14:textId="21250183" w:rsidR="00E42DE9" w:rsidRDefault="00E42DE9" w:rsidP="00E42DE9">
      <w:r>
        <w:t xml:space="preserve">All projects </w:t>
      </w:r>
      <w:r w:rsidR="00B47502">
        <w:t xml:space="preserve">were assumed to </w:t>
      </w:r>
      <w:r>
        <w:t xml:space="preserve">enter service before the start of the forecast period in 2021. </w:t>
      </w:r>
    </w:p>
    <w:p w14:paraId="01760D5C" w14:textId="3CDE212C" w:rsidR="00E42DE9" w:rsidRDefault="00E42DE9" w:rsidP="00E42DE9">
      <w:r>
        <w:t xml:space="preserve">The delivered price for the Algonquin </w:t>
      </w:r>
      <w:proofErr w:type="spellStart"/>
      <w:r>
        <w:t>Citygates</w:t>
      </w:r>
      <w:proofErr w:type="spellEnd"/>
      <w:r>
        <w:t xml:space="preserve"> (</w:t>
      </w:r>
      <w:r w:rsidR="00B47502">
        <w:t>“</w:t>
      </w:r>
      <w:r>
        <w:t>Algonquin CG</w:t>
      </w:r>
      <w:r w:rsidR="00B47502">
        <w:t>”</w:t>
      </w:r>
      <w:r>
        <w:t xml:space="preserve">), the pricing index most relevant to generators in SEMA, is shown below. </w:t>
      </w:r>
    </w:p>
    <w:p w14:paraId="28EB4509" w14:textId="7F2A12AB" w:rsidR="00E42DE9" w:rsidRPr="00833857" w:rsidRDefault="00E42DE9" w:rsidP="00D2628D">
      <w:pPr>
        <w:pStyle w:val="Caption"/>
      </w:pPr>
      <w:bookmarkStart w:id="64" w:name="_Toc462845012"/>
      <w:bookmarkStart w:id="65" w:name="_Toc465433476"/>
      <w:r w:rsidRPr="00833857">
        <w:lastRenderedPageBreak/>
        <w:t xml:space="preserve">Figure </w:t>
      </w:r>
      <w:r w:rsidR="00FA6573">
        <w:fldChar w:fldCharType="begin"/>
      </w:r>
      <w:r w:rsidR="00FA6573">
        <w:instrText xml:space="preserve"> SEQ Figure \* ARABIC </w:instrText>
      </w:r>
      <w:r w:rsidR="00FA6573">
        <w:fldChar w:fldCharType="separate"/>
      </w:r>
      <w:r w:rsidR="006E2301">
        <w:rPr>
          <w:noProof/>
        </w:rPr>
        <w:t>3</w:t>
      </w:r>
      <w:r w:rsidR="00FA6573">
        <w:rPr>
          <w:noProof/>
        </w:rPr>
        <w:fldChar w:fldCharType="end"/>
      </w:r>
      <w:r w:rsidR="00FE4C1F">
        <w:rPr>
          <w:noProof/>
        </w:rPr>
        <w:t>:</w:t>
      </w:r>
      <w:r w:rsidRPr="00833857">
        <w:t xml:space="preserve">  Algonquin CG Price Forecast</w:t>
      </w:r>
      <w:bookmarkEnd w:id="64"/>
      <w:bookmarkEnd w:id="65"/>
    </w:p>
    <w:p w14:paraId="64C4301A" w14:textId="77777777" w:rsidR="00E42DE9" w:rsidRDefault="00E42DE9" w:rsidP="00E42DE9">
      <w:pPr>
        <w:jc w:val="center"/>
      </w:pPr>
      <w:r>
        <w:rPr>
          <w:noProof/>
        </w:rPr>
        <w:drawing>
          <wp:inline distT="0" distB="0" distL="0" distR="0" wp14:anchorId="0288278F" wp14:editId="0EDDEB04">
            <wp:extent cx="4407408" cy="3200400"/>
            <wp:effectExtent l="19050" t="19050" r="1270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7408" cy="3200400"/>
                    </a:xfrm>
                    <a:prstGeom prst="rect">
                      <a:avLst/>
                    </a:prstGeom>
                    <a:solidFill>
                      <a:schemeClr val="tx1"/>
                    </a:solidFill>
                    <a:ln>
                      <a:solidFill>
                        <a:schemeClr val="tx1"/>
                      </a:solidFill>
                    </a:ln>
                  </pic:spPr>
                </pic:pic>
              </a:graphicData>
            </a:graphic>
          </wp:inline>
        </w:drawing>
      </w:r>
    </w:p>
    <w:p w14:paraId="557645E0" w14:textId="77777777" w:rsidR="00E42DE9" w:rsidRDefault="00E42DE9" w:rsidP="00E42DE9"/>
    <w:p w14:paraId="35637E3D" w14:textId="77777777" w:rsidR="00E42DE9" w:rsidRDefault="00E42DE9" w:rsidP="00E42DE9">
      <w:r>
        <w:t>The forecast indicates gas prices growing at an average rate of approximately 4.3% per year, on a nominal basis (approximately 2.2%, expressed on a real basis), with more rapid increases in prices observed in the second half of the forecast.  Drivers behind rising prices beginning in the early 2030s include upward pressure on the cost of shale gas supply in the Appalachian producing regions, New England’s primary source of gas supply since the late 2000’s, and increasing levels of constraint on the pipelines serving the region as gas demand in New England continues to grow while no major new pipeline expansion projects are added during the forecast period.</w:t>
      </w:r>
    </w:p>
    <w:p w14:paraId="44EEB829" w14:textId="610856AC" w:rsidR="00E42DE9" w:rsidRDefault="00E42DE9" w:rsidP="00E42DE9">
      <w:r>
        <w:t xml:space="preserve">Concentric has compared this forecast to other available indices in the public arena and has concluded that it is reasonable.  One such comparison is shown </w:t>
      </w:r>
      <w:r w:rsidRPr="00582225">
        <w:t xml:space="preserve">in </w:t>
      </w:r>
      <w:r w:rsidR="001B528B" w:rsidRPr="00582225">
        <w:t>Figure 4</w:t>
      </w:r>
      <w:r w:rsidRPr="00582225">
        <w:t xml:space="preserve">, </w:t>
      </w:r>
      <w:r>
        <w:t>which compares the Algonquin CG forecast to the Energy Information Administration’s (“EIA”) forecast of delivered gas prices for electric power generators in New England, published in the 2016 Annual Energy Outlook.</w:t>
      </w:r>
      <w:r>
        <w:rPr>
          <w:rStyle w:val="FootnoteReference"/>
        </w:rPr>
        <w:footnoteReference w:id="31"/>
      </w:r>
      <w:r w:rsidRPr="00EA1A5A">
        <w:rPr>
          <w:vertAlign w:val="superscript"/>
        </w:rPr>
        <w:t>,</w:t>
      </w:r>
      <w:r>
        <w:rPr>
          <w:rStyle w:val="FootnoteReference"/>
        </w:rPr>
        <w:footnoteReference w:id="32"/>
      </w:r>
    </w:p>
    <w:p w14:paraId="151BDA1C" w14:textId="6E65C58C" w:rsidR="00E42DE9" w:rsidRPr="00EA1A5A" w:rsidRDefault="00E42DE9" w:rsidP="00D2628D">
      <w:pPr>
        <w:pStyle w:val="Caption"/>
      </w:pPr>
      <w:bookmarkStart w:id="66" w:name="_Toc462845013"/>
      <w:bookmarkStart w:id="67" w:name="_Toc465433477"/>
      <w:r w:rsidRPr="00EA1A5A">
        <w:lastRenderedPageBreak/>
        <w:t xml:space="preserve">Figure </w:t>
      </w:r>
      <w:r w:rsidR="00FA6573">
        <w:fldChar w:fldCharType="begin"/>
      </w:r>
      <w:r w:rsidR="00FA6573">
        <w:instrText xml:space="preserve"> SEQ Figure \* ARABIC </w:instrText>
      </w:r>
      <w:r w:rsidR="00FA6573">
        <w:fldChar w:fldCharType="separate"/>
      </w:r>
      <w:r w:rsidR="006E2301">
        <w:rPr>
          <w:noProof/>
        </w:rPr>
        <w:t>4</w:t>
      </w:r>
      <w:r w:rsidR="00FA6573">
        <w:rPr>
          <w:noProof/>
        </w:rPr>
        <w:fldChar w:fldCharType="end"/>
      </w:r>
      <w:r>
        <w:t>:</w:t>
      </w:r>
      <w:r w:rsidRPr="00EA1A5A">
        <w:t xml:space="preserve"> Comparison of Gas Price Forecast to 2016 AEO</w:t>
      </w:r>
      <w:r w:rsidRPr="00A31ABB">
        <w:rPr>
          <w:rStyle w:val="FootnoteReference"/>
          <w:i/>
        </w:rPr>
        <w:footnoteReference w:id="33"/>
      </w:r>
      <w:bookmarkEnd w:id="66"/>
      <w:bookmarkEnd w:id="67"/>
    </w:p>
    <w:p w14:paraId="688B1626" w14:textId="77777777" w:rsidR="00E42DE9" w:rsidRDefault="00E42DE9" w:rsidP="00E42DE9">
      <w:pPr>
        <w:jc w:val="center"/>
      </w:pPr>
      <w:r>
        <w:rPr>
          <w:noProof/>
        </w:rPr>
        <w:drawing>
          <wp:inline distT="0" distB="0" distL="0" distR="0" wp14:anchorId="225CE04D" wp14:editId="28C1D669">
            <wp:extent cx="4407408" cy="3200400"/>
            <wp:effectExtent l="19050" t="19050" r="1270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7408" cy="3200400"/>
                    </a:xfrm>
                    <a:prstGeom prst="rect">
                      <a:avLst/>
                    </a:prstGeom>
                    <a:noFill/>
                    <a:ln>
                      <a:solidFill>
                        <a:schemeClr val="tx1"/>
                      </a:solidFill>
                    </a:ln>
                  </pic:spPr>
                </pic:pic>
              </a:graphicData>
            </a:graphic>
          </wp:inline>
        </w:drawing>
      </w:r>
    </w:p>
    <w:p w14:paraId="3ADD8F90" w14:textId="17F1E046" w:rsidR="00E42DE9" w:rsidRDefault="00E42DE9" w:rsidP="00E42DE9">
      <w:r>
        <w:t xml:space="preserve">Average prices in the two forecasts are within 10% of each other.  The Concentric forecast averages $5.20/MMBtu on a real ($2016) basis for the forecast; the EIA outlook is </w:t>
      </w:r>
      <w:r w:rsidR="00B47502">
        <w:t xml:space="preserve">approximately </w:t>
      </w:r>
      <w:r>
        <w:t>8% higher, averaging $5.65/MMBtu.</w:t>
      </w:r>
    </w:p>
    <w:p w14:paraId="60D96665" w14:textId="77777777" w:rsidR="00E42DE9" w:rsidRDefault="00E42DE9" w:rsidP="00E42DE9">
      <w:pPr>
        <w:pStyle w:val="Heading4"/>
      </w:pPr>
      <w:r>
        <w:t>CO</w:t>
      </w:r>
      <w:r w:rsidRPr="001436DC">
        <w:rPr>
          <w:vertAlign w:val="subscript"/>
        </w:rPr>
        <w:t>2</w:t>
      </w:r>
      <w:r>
        <w:t xml:space="preserve"> Allowance Price Forecast</w:t>
      </w:r>
    </w:p>
    <w:p w14:paraId="0F3A1DCA" w14:textId="3535A476" w:rsidR="00E42DE9" w:rsidRDefault="00E42DE9" w:rsidP="00E42DE9">
      <w:r w:rsidRPr="0027107E">
        <w:t xml:space="preserve">For </w:t>
      </w:r>
      <w:r>
        <w:t xml:space="preserve">the </w:t>
      </w:r>
      <w:r w:rsidRPr="0027107E">
        <w:t>CO</w:t>
      </w:r>
      <w:r w:rsidRPr="008E234D">
        <w:rPr>
          <w:vertAlign w:val="subscript"/>
        </w:rPr>
        <w:t>2</w:t>
      </w:r>
      <w:r w:rsidRPr="0027107E">
        <w:t xml:space="preserve"> allowance price forecast, Concentric relied on a projection prepared by the vendor of the </w:t>
      </w:r>
      <w:proofErr w:type="spellStart"/>
      <w:r w:rsidRPr="0027107E">
        <w:t>AURORAxmp</w:t>
      </w:r>
      <w:proofErr w:type="spellEnd"/>
      <w:r w:rsidRPr="0027107E">
        <w:t xml:space="preserve"> model, EPIS.  For New England, EPIS modeled the Regional Greenhouse Gas Initiative (</w:t>
      </w:r>
      <w:r>
        <w:t>“</w:t>
      </w:r>
      <w:r w:rsidRPr="0027107E">
        <w:t>RGGI</w:t>
      </w:r>
      <w:r>
        <w:t>”</w:t>
      </w:r>
      <w:r w:rsidRPr="0027107E">
        <w:t>) regional budget for the power sector to obtain a RGGI participating state projection of CO</w:t>
      </w:r>
      <w:r w:rsidRPr="00A12D4D">
        <w:rPr>
          <w:vertAlign w:val="subscript"/>
        </w:rPr>
        <w:t xml:space="preserve">2 </w:t>
      </w:r>
      <w:r w:rsidRPr="0027107E">
        <w:t>allowance prices</w:t>
      </w:r>
      <w:r w:rsidR="00B47502">
        <w:t>, as shown in Figure 5</w:t>
      </w:r>
      <w:r w:rsidRPr="0027107E">
        <w:t>.</w:t>
      </w:r>
      <w:r w:rsidRPr="0027107E">
        <w:rPr>
          <w:rStyle w:val="FootnoteReference"/>
        </w:rPr>
        <w:footnoteReference w:id="34"/>
      </w:r>
      <w:r w:rsidRPr="0027107E">
        <w:rPr>
          <w:vertAlign w:val="superscript"/>
        </w:rPr>
        <w:t>,</w:t>
      </w:r>
      <w:r w:rsidRPr="0027107E">
        <w:rPr>
          <w:rStyle w:val="FootnoteReference"/>
        </w:rPr>
        <w:footnoteReference w:id="35"/>
      </w:r>
    </w:p>
    <w:p w14:paraId="439593D7" w14:textId="6FFAC11C" w:rsidR="00E42DE9" w:rsidRPr="00224B41" w:rsidRDefault="00E42DE9" w:rsidP="00D2628D">
      <w:pPr>
        <w:pStyle w:val="Caption"/>
      </w:pPr>
      <w:bookmarkStart w:id="68" w:name="_Toc462845014"/>
      <w:bookmarkStart w:id="69" w:name="_Toc465433478"/>
      <w:r w:rsidRPr="00224B41">
        <w:lastRenderedPageBreak/>
        <w:t xml:space="preserve">Figure </w:t>
      </w:r>
      <w:r w:rsidR="00FA6573">
        <w:fldChar w:fldCharType="begin"/>
      </w:r>
      <w:r w:rsidR="00FA6573">
        <w:instrText xml:space="preserve"> SEQ Figure \* ARABIC </w:instrText>
      </w:r>
      <w:r w:rsidR="00FA6573">
        <w:fldChar w:fldCharType="separate"/>
      </w:r>
      <w:r w:rsidR="006E2301">
        <w:rPr>
          <w:noProof/>
        </w:rPr>
        <w:t>5</w:t>
      </w:r>
      <w:r w:rsidR="00FA6573">
        <w:rPr>
          <w:noProof/>
        </w:rPr>
        <w:fldChar w:fldCharType="end"/>
      </w:r>
      <w:r w:rsidR="00582225">
        <w:rPr>
          <w:noProof/>
        </w:rPr>
        <w:t>:</w:t>
      </w:r>
      <w:r w:rsidRPr="00224B41">
        <w:t xml:space="preserve">  Forecast of CO</w:t>
      </w:r>
      <w:r w:rsidRPr="00A12D4D">
        <w:rPr>
          <w:rFonts w:cstheme="minorBidi"/>
          <w:sz w:val="20"/>
          <w:szCs w:val="20"/>
          <w:vertAlign w:val="subscript"/>
        </w:rPr>
        <w:t>2</w:t>
      </w:r>
      <w:r w:rsidRPr="00224B41">
        <w:t xml:space="preserve"> Allowance Prices</w:t>
      </w:r>
      <w:bookmarkEnd w:id="68"/>
      <w:bookmarkEnd w:id="69"/>
    </w:p>
    <w:p w14:paraId="5C55878E" w14:textId="77777777" w:rsidR="00E42DE9" w:rsidRPr="00224B41" w:rsidRDefault="00E42DE9" w:rsidP="00E42DE9">
      <w:pPr>
        <w:jc w:val="center"/>
      </w:pPr>
      <w:r>
        <w:rPr>
          <w:noProof/>
        </w:rPr>
        <w:drawing>
          <wp:inline distT="0" distB="0" distL="0" distR="0" wp14:anchorId="38F28EB1" wp14:editId="2D96A2D0">
            <wp:extent cx="4407408" cy="3200400"/>
            <wp:effectExtent l="19050" t="19050" r="1270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7408" cy="3200400"/>
                    </a:xfrm>
                    <a:prstGeom prst="rect">
                      <a:avLst/>
                    </a:prstGeom>
                    <a:noFill/>
                    <a:ln>
                      <a:solidFill>
                        <a:schemeClr val="tx1"/>
                      </a:solidFill>
                    </a:ln>
                  </pic:spPr>
                </pic:pic>
              </a:graphicData>
            </a:graphic>
          </wp:inline>
        </w:drawing>
      </w:r>
    </w:p>
    <w:p w14:paraId="583E345E" w14:textId="77777777" w:rsidR="00E42DE9" w:rsidRPr="003A4B43" w:rsidRDefault="00E42DE9" w:rsidP="00E42DE9">
      <w:pPr>
        <w:pStyle w:val="Heading4"/>
      </w:pPr>
      <w:r w:rsidRPr="003A4B43">
        <w:t>Load Forecast</w:t>
      </w:r>
    </w:p>
    <w:p w14:paraId="656BD58F" w14:textId="65F32432" w:rsidR="00E42DE9" w:rsidRDefault="00E42DE9" w:rsidP="00E42DE9">
      <w:r>
        <w:t xml:space="preserve">The forecast of peak loads </w:t>
      </w:r>
      <w:r w:rsidR="001E2AF3">
        <w:t xml:space="preserve">was </w:t>
      </w:r>
      <w:r>
        <w:t>based on the 2016 Capacity, Energy, Load, and Transmission (“2016 CELT”) report, published by ISO-NE.  For that forecast, ISO-NE develops a forecast of total electric demand, which is then adjusted downward to account for Passive Demand Response (“PDR”) as well as “behind the meter” photovoltaic (“BTM PV”) capacity.</w:t>
      </w:r>
      <w:r>
        <w:rPr>
          <w:rStyle w:val="FootnoteReference"/>
        </w:rPr>
        <w:footnoteReference w:id="36"/>
      </w:r>
      <w:r>
        <w:t xml:space="preserve">  Those forecasts are shown below:</w:t>
      </w:r>
    </w:p>
    <w:p w14:paraId="74ECBFDD" w14:textId="71CAA144" w:rsidR="00E42DE9" w:rsidRPr="00EF39BA" w:rsidRDefault="00E42DE9" w:rsidP="00D2628D">
      <w:pPr>
        <w:pStyle w:val="Caption"/>
      </w:pPr>
      <w:bookmarkStart w:id="70" w:name="_Toc462845015"/>
      <w:bookmarkStart w:id="71" w:name="_Toc465433479"/>
      <w:r w:rsidRPr="00EF39BA">
        <w:lastRenderedPageBreak/>
        <w:t xml:space="preserve">Figure </w:t>
      </w:r>
      <w:r w:rsidR="00FA6573">
        <w:fldChar w:fldCharType="begin"/>
      </w:r>
      <w:r w:rsidR="00FA6573">
        <w:instrText xml:space="preserve"> SEQ Figure \* ARABIC </w:instrText>
      </w:r>
      <w:r w:rsidR="00FA6573">
        <w:fldChar w:fldCharType="separate"/>
      </w:r>
      <w:r w:rsidR="006E2301">
        <w:rPr>
          <w:noProof/>
        </w:rPr>
        <w:t>6</w:t>
      </w:r>
      <w:r w:rsidR="00FA6573">
        <w:rPr>
          <w:noProof/>
        </w:rPr>
        <w:fldChar w:fldCharType="end"/>
      </w:r>
      <w:r w:rsidR="00582225">
        <w:rPr>
          <w:noProof/>
        </w:rPr>
        <w:t>:</w:t>
      </w:r>
      <w:r w:rsidRPr="00EF39BA">
        <w:t xml:space="preserve">  CELT 2016 Load Forecast</w:t>
      </w:r>
      <w:bookmarkEnd w:id="70"/>
      <w:bookmarkEnd w:id="71"/>
    </w:p>
    <w:p w14:paraId="39897739" w14:textId="77777777" w:rsidR="00E42DE9" w:rsidRDefault="00E42DE9" w:rsidP="00E42DE9">
      <w:pPr>
        <w:jc w:val="center"/>
      </w:pPr>
      <w:r>
        <w:rPr>
          <w:noProof/>
        </w:rPr>
        <w:drawing>
          <wp:inline distT="0" distB="0" distL="0" distR="0" wp14:anchorId="0946F304" wp14:editId="22A51C01">
            <wp:extent cx="4407408" cy="3200400"/>
            <wp:effectExtent l="19050" t="19050" r="1270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7408" cy="3200400"/>
                    </a:xfrm>
                    <a:prstGeom prst="rect">
                      <a:avLst/>
                    </a:prstGeom>
                    <a:noFill/>
                    <a:ln>
                      <a:solidFill>
                        <a:schemeClr val="tx1"/>
                      </a:solidFill>
                    </a:ln>
                  </pic:spPr>
                </pic:pic>
              </a:graphicData>
            </a:graphic>
          </wp:inline>
        </w:drawing>
      </w:r>
    </w:p>
    <w:p w14:paraId="69AF9BF3" w14:textId="6574150D" w:rsidR="00E42DE9" w:rsidRPr="0027107E" w:rsidRDefault="00E42DE9" w:rsidP="00E42DE9">
      <w:r>
        <w:t xml:space="preserve">For purposes of the market simulation, the load forecast that is adjusted for BTM PV and PDR </w:t>
      </w:r>
      <w:r w:rsidR="001E2AF3">
        <w:t xml:space="preserve">was </w:t>
      </w:r>
      <w:r>
        <w:t xml:space="preserve">utilized.  The 2016 CELT provides a forecast through 2025.  Thereafter, the forecast </w:t>
      </w:r>
      <w:r w:rsidR="001E2AF3">
        <w:t xml:space="preserve">was </w:t>
      </w:r>
      <w:r>
        <w:t xml:space="preserve">adjusted for by linear </w:t>
      </w:r>
      <w:r w:rsidRPr="0027107E">
        <w:t>extrapolation.  The extrapolation calls for annual load growth, net of BTM PV and PDR, of approximately -0.2% beginning in 2026.</w:t>
      </w:r>
    </w:p>
    <w:p w14:paraId="10FE95BE" w14:textId="77777777" w:rsidR="00E42DE9" w:rsidRDefault="00E42DE9" w:rsidP="00E42DE9">
      <w:r w:rsidRPr="0027107E">
        <w:t>The hourly loads, which are required for the LMP forecast, were obtained by modifying (recent year) hourly load shapes to reflect the forecast energy and peak load forecasts.</w:t>
      </w:r>
      <w:r w:rsidRPr="003D4E15">
        <w:t xml:space="preserve">  </w:t>
      </w:r>
      <w:r>
        <w:t xml:space="preserve"> </w:t>
      </w:r>
    </w:p>
    <w:p w14:paraId="11C3530C" w14:textId="77777777" w:rsidR="00E42DE9" w:rsidRPr="005877E7" w:rsidRDefault="00E42DE9" w:rsidP="00E42DE9">
      <w:pPr>
        <w:pStyle w:val="Heading4"/>
      </w:pPr>
      <w:r>
        <w:t>New generation additions</w:t>
      </w:r>
    </w:p>
    <w:p w14:paraId="0D55AF9B" w14:textId="77777777" w:rsidR="00E42DE9" w:rsidRDefault="00E42DE9" w:rsidP="00E42DE9">
      <w:r>
        <w:t xml:space="preserve">Plants were added to the simulation based on one of several criteria.  </w:t>
      </w:r>
      <w:r w:rsidRPr="00706D40">
        <w:rPr>
          <w:i/>
          <w:u w:val="single"/>
        </w:rPr>
        <w:t>First</w:t>
      </w:r>
      <w:r>
        <w:t xml:space="preserve">, plants that had already cleared a capacity auction and had a Capacity Supply Obligation (“CSO”) were added to the generation supply.  These plants include the Salem Harbor CC, the West Medway Peaker, the Canal 3 unit, and others.  All such plants were added prior to the start of the forecast period. </w:t>
      </w:r>
    </w:p>
    <w:p w14:paraId="2B3E8249" w14:textId="3158876A" w:rsidR="00E42DE9" w:rsidRDefault="00E42DE9" w:rsidP="00E42DE9">
      <w:r w:rsidRPr="00706D40">
        <w:rPr>
          <w:i/>
          <w:u w:val="single"/>
        </w:rPr>
        <w:t>Second</w:t>
      </w:r>
      <w:r>
        <w:t>, renewable resources are added over the forecast</w:t>
      </w:r>
      <w:r w:rsidR="00950ACC">
        <w:t xml:space="preserve"> period</w:t>
      </w:r>
      <w:r>
        <w:t xml:space="preserve">.  For </w:t>
      </w:r>
      <w:r w:rsidR="001E2AF3">
        <w:t>photovoltaic (“</w:t>
      </w:r>
      <w:r>
        <w:t>PV</w:t>
      </w:r>
      <w:r w:rsidR="001E2AF3">
        <w:t>”)</w:t>
      </w:r>
      <w:r>
        <w:t xml:space="preserve"> resources, utility-scale plants that have CSOs were added to the generation mix.  Following 2019/20, wind capacity was deemed to be more economical than PV for utility-side generation; thus, beginning in 2020/21, all incremental PV was assumed to be added on a BTM basis and was assumed to grow at the same rate as demand. </w:t>
      </w:r>
    </w:p>
    <w:p w14:paraId="1818EE1C" w14:textId="141DFEC1" w:rsidR="00E42DE9" w:rsidRDefault="00E42DE9" w:rsidP="00E42DE9">
      <w:r>
        <w:t xml:space="preserve">For wind resources, those plants that had CSOs were added to the generation mix.  Additionally, Concentric sought to address the legislative mandate in Massachusetts for EDCs to solicit up to </w:t>
      </w:r>
      <w:r>
        <w:lastRenderedPageBreak/>
        <w:t xml:space="preserve">1,600 MW of </w:t>
      </w:r>
      <w:r w:rsidRPr="0055298A">
        <w:t>offshore wind, provided that such resources are “cost effective”.</w:t>
      </w:r>
      <w:r w:rsidRPr="0055298A">
        <w:rPr>
          <w:rStyle w:val="FootnoteReference"/>
        </w:rPr>
        <w:footnoteReference w:id="37"/>
      </w:r>
      <w:r w:rsidRPr="0055298A">
        <w:t xml:space="preserve">  Based on previous experience in Massachusetts</w:t>
      </w:r>
      <w:r w:rsidR="00A12D4D" w:rsidRPr="0055298A">
        <w:t xml:space="preserve"> and </w:t>
      </w:r>
      <w:r w:rsidRPr="0055298A">
        <w:t>experience in other states, we have determined that a successful solicitation of the full amount authorized is unlikely.</w:t>
      </w:r>
      <w:r w:rsidRPr="0055298A">
        <w:rPr>
          <w:rStyle w:val="FootnoteReference"/>
        </w:rPr>
        <w:footnoteReference w:id="38"/>
      </w:r>
      <w:r w:rsidRPr="0055298A">
        <w:t xml:space="preserve">  Instead, we have added an offshore wind facility to the generation mix based on an existing</w:t>
      </w:r>
      <w:r>
        <w:t xml:space="preserve"> project currently in development whose size is approximately 25% of the total offshore capacity authorized in Massachusetts legislation.  The offshore facility was added at the beginning of the 2027/28 delivery period, the date mandated by the legislation.</w:t>
      </w:r>
    </w:p>
    <w:p w14:paraId="0F735582" w14:textId="46704222" w:rsidR="00E42DE9" w:rsidRDefault="00E42DE9" w:rsidP="00E42DE9">
      <w:r>
        <w:t>Other wind resources are added over the forecast period to meet load growth.</w:t>
      </w:r>
      <w:r>
        <w:rPr>
          <w:rStyle w:val="FootnoteReference"/>
        </w:rPr>
        <w:footnoteReference w:id="39"/>
      </w:r>
      <w:r>
        <w:t xml:space="preserve">  This assumption recognizes two important realities – </w:t>
      </w:r>
      <w:proofErr w:type="spellStart"/>
      <w:r>
        <w:t>i</w:t>
      </w:r>
      <w:proofErr w:type="spellEnd"/>
      <w:r>
        <w:t xml:space="preserve">) the degree to which state Renewable Portfolio Standards (“RPS”) targets are achieved is not simply a function </w:t>
      </w:r>
      <w:r w:rsidR="001B528B" w:rsidRPr="0055298A">
        <w:t xml:space="preserve">of </w:t>
      </w:r>
      <w:r w:rsidRPr="0055298A">
        <w:t>state</w:t>
      </w:r>
      <w:r>
        <w:t xml:space="preserve"> mandates, but rather a combination of forces that can affect the ability of states to meet the mandated RPS requirement in any particular year, as shown in Figure </w:t>
      </w:r>
      <w:r w:rsidR="006F5D19">
        <w:t>7</w:t>
      </w:r>
      <w:r>
        <w:t xml:space="preserve"> below; and ii) there are ways to meet the RPS mandates that don’t necessarily involve building renewable facilities so assuming that mandates will be met with new renewable facilities will likely overstate the amount of renewable capacity coming into the market over the forecast period.</w:t>
      </w:r>
    </w:p>
    <w:p w14:paraId="56A40B95" w14:textId="57FF2DC3" w:rsidR="00E42DE9" w:rsidRPr="00706D40" w:rsidRDefault="00E42DE9" w:rsidP="00D2628D">
      <w:pPr>
        <w:pStyle w:val="Caption"/>
      </w:pPr>
      <w:bookmarkStart w:id="72" w:name="_Toc465433480"/>
      <w:r w:rsidRPr="00706D40">
        <w:lastRenderedPageBreak/>
        <w:t xml:space="preserve">Figure </w:t>
      </w:r>
      <w:r w:rsidR="00FA6573">
        <w:fldChar w:fldCharType="begin"/>
      </w:r>
      <w:r w:rsidR="00FA6573">
        <w:instrText xml:space="preserve"> SEQ Figure \* ARABIC </w:instrText>
      </w:r>
      <w:r w:rsidR="00FA6573">
        <w:fldChar w:fldCharType="separate"/>
      </w:r>
      <w:r w:rsidR="006E2301">
        <w:rPr>
          <w:noProof/>
        </w:rPr>
        <w:t>7</w:t>
      </w:r>
      <w:r w:rsidR="00FA6573">
        <w:rPr>
          <w:noProof/>
        </w:rPr>
        <w:fldChar w:fldCharType="end"/>
      </w:r>
      <w:r w:rsidR="00A12D4D">
        <w:rPr>
          <w:noProof/>
        </w:rPr>
        <w:t>:</w:t>
      </w:r>
      <w:r w:rsidRPr="00706D40">
        <w:t xml:space="preserve"> Total New England RPS Achievement</w:t>
      </w:r>
      <w:bookmarkEnd w:id="72"/>
    </w:p>
    <w:p w14:paraId="6E5D252C" w14:textId="77777777" w:rsidR="00E42DE9" w:rsidRDefault="00E42DE9" w:rsidP="00E42DE9">
      <w:pPr>
        <w:jc w:val="center"/>
      </w:pPr>
      <w:r w:rsidRPr="004A1B55">
        <w:rPr>
          <w:noProof/>
        </w:rPr>
        <w:drawing>
          <wp:inline distT="0" distB="0" distL="0" distR="0" wp14:anchorId="6020DADB" wp14:editId="6778E1BE">
            <wp:extent cx="5333311" cy="2933065"/>
            <wp:effectExtent l="19050" t="19050" r="2032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6049" cy="2940071"/>
                    </a:xfrm>
                    <a:prstGeom prst="rect">
                      <a:avLst/>
                    </a:prstGeom>
                    <a:noFill/>
                    <a:ln w="12700">
                      <a:solidFill>
                        <a:schemeClr val="tx1"/>
                      </a:solidFill>
                    </a:ln>
                  </pic:spPr>
                </pic:pic>
              </a:graphicData>
            </a:graphic>
          </wp:inline>
        </w:drawing>
      </w:r>
    </w:p>
    <w:p w14:paraId="06680538" w14:textId="77777777" w:rsidR="00E42DE9" w:rsidRDefault="00E42DE9" w:rsidP="00E42DE9"/>
    <w:p w14:paraId="5F9CEF1D" w14:textId="77777777" w:rsidR="00E42DE9" w:rsidRDefault="00E42DE9" w:rsidP="00E42DE9"/>
    <w:p w14:paraId="228E071A" w14:textId="77777777" w:rsidR="00E42DE9" w:rsidRPr="00706D40" w:rsidRDefault="00E42DE9" w:rsidP="00E42DE9">
      <w:r>
        <w:rPr>
          <w:i/>
          <w:u w:val="single"/>
        </w:rPr>
        <w:t>Third</w:t>
      </w:r>
      <w:r>
        <w:rPr>
          <w:i/>
        </w:rPr>
        <w:t xml:space="preserve">, </w:t>
      </w:r>
      <w:r>
        <w:t>in later years of the forecast, generic gas-fired generation was added to the capacity mix to maintain a reserve margin of 15% in each load zone for reliability purposes.  Such resources were added in 2021, 2023, 2025, 2026, 2030, 2031, 2033, 2036, and 2037.</w:t>
      </w:r>
    </w:p>
    <w:p w14:paraId="3DB32293" w14:textId="77777777" w:rsidR="00E42DE9" w:rsidRDefault="00E42DE9" w:rsidP="00E42DE9">
      <w:pPr>
        <w:pStyle w:val="Heading4"/>
      </w:pPr>
      <w:r>
        <w:t>Plant Retirements</w:t>
      </w:r>
    </w:p>
    <w:p w14:paraId="1C4228BD" w14:textId="77777777" w:rsidR="00E42DE9" w:rsidRDefault="00E42DE9" w:rsidP="00E42DE9">
      <w:r>
        <w:t xml:space="preserve">The retirement of plants is also a multi-step process.  </w:t>
      </w:r>
      <w:r>
        <w:rPr>
          <w:i/>
          <w:u w:val="single"/>
        </w:rPr>
        <w:t>First</w:t>
      </w:r>
      <w:r>
        <w:t>, those plants that have announced their intention to retire and do not have a CSO for a future commitment period were removed from the generation mix.  These included Bridgeport Harbor, Brayton Point, and the Pilgrim Nuclear Generation Station, and others, all of which retire prior to the beginning of the forecast.</w:t>
      </w:r>
    </w:p>
    <w:p w14:paraId="31218B24" w14:textId="77777777" w:rsidR="00E42DE9" w:rsidRDefault="00E42DE9" w:rsidP="00E42DE9">
      <w:r w:rsidRPr="00126C11">
        <w:rPr>
          <w:i/>
          <w:u w:val="single"/>
        </w:rPr>
        <w:t>Second</w:t>
      </w:r>
      <w:r>
        <w:t>, older nuclear plants were retired at the end of the current operating licenses.  These include Seabrook and Millstone 2.</w:t>
      </w:r>
      <w:r>
        <w:rPr>
          <w:rStyle w:val="FootnoteReference"/>
        </w:rPr>
        <w:footnoteReference w:id="40"/>
      </w:r>
    </w:p>
    <w:p w14:paraId="6EE3AB8F" w14:textId="2C4FB25E" w:rsidR="00E42DE9" w:rsidRPr="00126C11" w:rsidRDefault="00E42DE9" w:rsidP="00E42DE9">
      <w:r w:rsidRPr="00126C11">
        <w:rPr>
          <w:i/>
          <w:u w:val="single"/>
        </w:rPr>
        <w:t>Third</w:t>
      </w:r>
      <w:r>
        <w:rPr>
          <w:i/>
        </w:rPr>
        <w:t xml:space="preserve">, </w:t>
      </w:r>
      <w:r>
        <w:t>later in the forecast, plants were retired for economic reasons.  AURORA includes an iterative, endogenous retirement function that compares the avoidable, going-forward cost of owning and operating a facility to the net revenues (</w:t>
      </w:r>
      <w:r>
        <w:rPr>
          <w:i/>
        </w:rPr>
        <w:t xml:space="preserve">e.g. </w:t>
      </w:r>
      <w:r>
        <w:t xml:space="preserve">energy revenues minus costs) to be earned by the facility based on the market outlook contained in the forecast.  If going-forward costs are expected to be greater than net revenues on a present value basis, the plant is retired.  Typically, </w:t>
      </w:r>
      <w:r>
        <w:lastRenderedPageBreak/>
        <w:t>such retirements are applied to older, non-gas units</w:t>
      </w:r>
      <w:r w:rsidR="004625C9">
        <w:t>.  T</w:t>
      </w:r>
      <w:r>
        <w:t>hese included Canal 1 and Canal 2, Mystic 7, Yarmouth 1-4, and others.</w:t>
      </w:r>
    </w:p>
    <w:p w14:paraId="2F3971BB" w14:textId="77777777" w:rsidR="00E42DE9" w:rsidRDefault="00E42DE9" w:rsidP="00E42DE9">
      <w:pPr>
        <w:pStyle w:val="Heading4"/>
      </w:pPr>
      <w:r>
        <w:t>Transmission Topology</w:t>
      </w:r>
    </w:p>
    <w:p w14:paraId="49CCD23F" w14:textId="77777777" w:rsidR="00E42DE9" w:rsidRDefault="00E42DE9" w:rsidP="00E42DE9">
      <w:r>
        <w:t>For purposes of the price forecast, the simulation model was run in a zonal configuration reflecting the New England load zones.  A map of the zones is shown below:</w:t>
      </w:r>
    </w:p>
    <w:p w14:paraId="51AAA762" w14:textId="26C37D6A" w:rsidR="00E42DE9" w:rsidRPr="00633FE5" w:rsidRDefault="00E42DE9" w:rsidP="00D2628D">
      <w:pPr>
        <w:pStyle w:val="Caption"/>
      </w:pPr>
      <w:bookmarkStart w:id="73" w:name="_Toc462845016"/>
      <w:bookmarkStart w:id="74" w:name="_Toc465433481"/>
      <w:r w:rsidRPr="00633FE5">
        <w:t xml:space="preserve">Figure </w:t>
      </w:r>
      <w:r>
        <w:fldChar w:fldCharType="begin"/>
      </w:r>
      <w:r w:rsidRPr="00633FE5">
        <w:instrText xml:space="preserve"> SEQ Figure \* ARABIC </w:instrText>
      </w:r>
      <w:r>
        <w:fldChar w:fldCharType="separate"/>
      </w:r>
      <w:r w:rsidR="006E2301" w:rsidRPr="00633FE5">
        <w:rPr>
          <w:noProof/>
        </w:rPr>
        <w:t>8</w:t>
      </w:r>
      <w:r>
        <w:rPr>
          <w:noProof/>
        </w:rPr>
        <w:fldChar w:fldCharType="end"/>
      </w:r>
      <w:r w:rsidRPr="00633FE5">
        <w:t>:  ISO-NE Load Zones</w:t>
      </w:r>
      <w:r w:rsidRPr="00F4466A">
        <w:rPr>
          <w:rStyle w:val="FootnoteReference"/>
          <w:i/>
        </w:rPr>
        <w:footnoteReference w:id="41"/>
      </w:r>
      <w:bookmarkEnd w:id="73"/>
      <w:bookmarkEnd w:id="74"/>
    </w:p>
    <w:p w14:paraId="1AE4350B" w14:textId="77777777" w:rsidR="00E42DE9" w:rsidRDefault="00E42DE9" w:rsidP="00E42DE9">
      <w:pPr>
        <w:jc w:val="center"/>
      </w:pPr>
      <w:r>
        <w:rPr>
          <w:noProof/>
        </w:rPr>
        <w:drawing>
          <wp:inline distT="0" distB="0" distL="0" distR="0" wp14:anchorId="2379333B" wp14:editId="273F6013">
            <wp:extent cx="2889250" cy="2908300"/>
            <wp:effectExtent l="19050" t="19050" r="25400" b="25400"/>
            <wp:docPr id="31" name="Picture 31" descr="https://www.iso-ne.com/static-assets/img/ISO038-new-england-load-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o-ne.com/static-assets/img/ISO038-new-england-load-map3.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902277" cy="29214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FD3A3B0" w14:textId="3F8A6C4C" w:rsidR="00E42DE9" w:rsidRDefault="00E42DE9" w:rsidP="00E42DE9">
      <w:r>
        <w:t xml:space="preserve">Transfer limits between zones are based on </w:t>
      </w:r>
      <w:r w:rsidRPr="0027107E">
        <w:t>data obtained from ISO-NE</w:t>
      </w:r>
      <w:r>
        <w:t xml:space="preserve">, which are shown in </w:t>
      </w:r>
      <w:r w:rsidR="00F12DBD">
        <w:t>Table 2</w:t>
      </w:r>
      <w:r w:rsidR="000637A3">
        <w:t>9</w:t>
      </w:r>
      <w:r>
        <w:fldChar w:fldCharType="begin"/>
      </w:r>
      <w:r>
        <w:instrText xml:space="preserve"> REF _Ref462557595 \h  \* MERGEFORMAT </w:instrText>
      </w:r>
      <w:r>
        <w:fldChar w:fldCharType="end"/>
      </w:r>
      <w:r>
        <w:t>.</w:t>
      </w:r>
    </w:p>
    <w:p w14:paraId="353B75B9" w14:textId="46B60A4F" w:rsidR="00E42DE9" w:rsidRPr="00706D40" w:rsidRDefault="00E42DE9" w:rsidP="00D2628D">
      <w:pPr>
        <w:pStyle w:val="Caption"/>
      </w:pPr>
      <w:bookmarkStart w:id="75" w:name="_Toc465433453"/>
      <w:proofErr w:type="gramStart"/>
      <w:r w:rsidRPr="00706D40">
        <w:lastRenderedPageBreak/>
        <w:t xml:space="preserve">Table </w:t>
      </w:r>
      <w:r w:rsidR="00FA6573">
        <w:fldChar w:fldCharType="begin"/>
      </w:r>
      <w:r w:rsidR="00FA6573">
        <w:instrText xml:space="preserve"> SEQ Table \* ARABIC </w:instrText>
      </w:r>
      <w:r w:rsidR="00FA6573">
        <w:fldChar w:fldCharType="separate"/>
      </w:r>
      <w:r w:rsidR="000637A3">
        <w:rPr>
          <w:noProof/>
        </w:rPr>
        <w:t>29</w:t>
      </w:r>
      <w:r w:rsidR="00FA6573">
        <w:rPr>
          <w:noProof/>
        </w:rPr>
        <w:fldChar w:fldCharType="end"/>
      </w:r>
      <w:r w:rsidRPr="00706D40">
        <w:t>.</w:t>
      </w:r>
      <w:proofErr w:type="gramEnd"/>
      <w:r w:rsidRPr="00706D40">
        <w:t xml:space="preserve">  Transfer Limits </w:t>
      </w:r>
      <w:proofErr w:type="gramStart"/>
      <w:r w:rsidRPr="00706D40">
        <w:t>Between</w:t>
      </w:r>
      <w:proofErr w:type="gramEnd"/>
      <w:r w:rsidRPr="00706D40">
        <w:t xml:space="preserve"> Load Zones</w:t>
      </w:r>
      <w:bookmarkEnd w:id="75"/>
    </w:p>
    <w:tbl>
      <w:tblPr>
        <w:tblStyle w:val="GridTable4-Accent320"/>
        <w:tblW w:w="0" w:type="auto"/>
        <w:jc w:val="center"/>
        <w:tblLook w:val="04A0" w:firstRow="1" w:lastRow="0" w:firstColumn="1" w:lastColumn="0" w:noHBand="0" w:noVBand="1"/>
      </w:tblPr>
      <w:tblGrid>
        <w:gridCol w:w="1445"/>
        <w:gridCol w:w="1116"/>
        <w:gridCol w:w="222"/>
        <w:gridCol w:w="1363"/>
        <w:gridCol w:w="1059"/>
      </w:tblGrid>
      <w:tr w:rsidR="00E42DE9" w:rsidRPr="00F12DBD" w14:paraId="6D8EF986" w14:textId="77777777" w:rsidTr="00E42DE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200B6E" w14:textId="77777777" w:rsidR="00E42DE9" w:rsidRPr="00BF404F" w:rsidRDefault="00E42DE9" w:rsidP="00E42DE9">
            <w:pPr>
              <w:keepNext/>
              <w:keepLines/>
              <w:spacing w:line="240" w:lineRule="auto"/>
              <w:jc w:val="center"/>
              <w:rPr>
                <w:rFonts w:ascii="Century Gothic" w:eastAsia="Times New Roman" w:hAnsi="Century Gothic" w:cs="Times New Roman"/>
                <w:smallCaps w:val="0"/>
                <w:color w:val="000000" w:themeColor="text1"/>
                <w:sz w:val="18"/>
                <w:szCs w:val="20"/>
              </w:rPr>
            </w:pPr>
            <w:r w:rsidRPr="00BF404F">
              <w:rPr>
                <w:rFonts w:ascii="Century Gothic" w:eastAsia="Times New Roman" w:hAnsi="Century Gothic" w:cs="Times New Roman"/>
                <w:smallCaps w:val="0"/>
                <w:color w:val="000000" w:themeColor="text1"/>
                <w:sz w:val="18"/>
                <w:szCs w:val="20"/>
              </w:rPr>
              <w:t>Interface</w:t>
            </w:r>
          </w:p>
        </w:tc>
        <w:tc>
          <w:tcPr>
            <w:tcW w:w="0" w:type="auto"/>
            <w:noWrap/>
            <w:hideMark/>
          </w:tcPr>
          <w:p w14:paraId="796350E7" w14:textId="77777777" w:rsidR="00E42DE9" w:rsidRPr="00BF404F" w:rsidRDefault="00E42DE9" w:rsidP="00E42DE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mallCaps w:val="0"/>
                <w:color w:val="000000" w:themeColor="text1"/>
                <w:sz w:val="18"/>
                <w:szCs w:val="20"/>
              </w:rPr>
            </w:pPr>
            <w:r w:rsidRPr="00BF404F">
              <w:rPr>
                <w:rFonts w:ascii="Century Gothic" w:eastAsia="Times New Roman" w:hAnsi="Century Gothic" w:cs="Times New Roman"/>
                <w:smallCaps w:val="0"/>
                <w:color w:val="000000" w:themeColor="text1"/>
                <w:sz w:val="18"/>
                <w:szCs w:val="20"/>
              </w:rPr>
              <w:t>Limit (MW)</w:t>
            </w:r>
          </w:p>
        </w:tc>
        <w:tc>
          <w:tcPr>
            <w:tcW w:w="0" w:type="auto"/>
            <w:noWrap/>
            <w:hideMark/>
          </w:tcPr>
          <w:p w14:paraId="722394DE" w14:textId="77777777" w:rsidR="00E42DE9" w:rsidRPr="00BF404F" w:rsidRDefault="00E42DE9" w:rsidP="00E42DE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mallCaps w:val="0"/>
                <w:color w:val="000000" w:themeColor="text1"/>
                <w:sz w:val="18"/>
                <w:szCs w:val="20"/>
              </w:rPr>
            </w:pPr>
          </w:p>
        </w:tc>
        <w:tc>
          <w:tcPr>
            <w:tcW w:w="0" w:type="auto"/>
            <w:noWrap/>
            <w:hideMark/>
          </w:tcPr>
          <w:p w14:paraId="5A12F8AA" w14:textId="77777777" w:rsidR="00E42DE9" w:rsidRPr="00BF404F" w:rsidRDefault="00E42DE9" w:rsidP="00E42DE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mallCaps w:val="0"/>
                <w:color w:val="000000" w:themeColor="text1"/>
                <w:sz w:val="18"/>
                <w:szCs w:val="20"/>
              </w:rPr>
            </w:pPr>
            <w:r w:rsidRPr="00BF404F">
              <w:rPr>
                <w:rFonts w:ascii="Century Gothic" w:eastAsia="Times New Roman" w:hAnsi="Century Gothic" w:cs="Times New Roman"/>
                <w:smallCaps w:val="0"/>
                <w:color w:val="000000" w:themeColor="text1"/>
                <w:sz w:val="18"/>
                <w:szCs w:val="20"/>
              </w:rPr>
              <w:t>Interface</w:t>
            </w:r>
          </w:p>
        </w:tc>
        <w:tc>
          <w:tcPr>
            <w:tcW w:w="0" w:type="auto"/>
            <w:noWrap/>
            <w:hideMark/>
          </w:tcPr>
          <w:p w14:paraId="24DA80E1" w14:textId="77777777" w:rsidR="00E42DE9" w:rsidRPr="001436DC" w:rsidRDefault="00E42DE9" w:rsidP="00E42DE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mallCaps w:val="0"/>
                <w:color w:val="000000" w:themeColor="text1"/>
                <w:sz w:val="18"/>
                <w:szCs w:val="20"/>
              </w:rPr>
            </w:pPr>
            <w:r w:rsidRPr="001436DC">
              <w:rPr>
                <w:rFonts w:ascii="Century Gothic" w:eastAsia="Times New Roman" w:hAnsi="Century Gothic" w:cs="Times New Roman"/>
                <w:color w:val="000000" w:themeColor="text1"/>
                <w:sz w:val="18"/>
                <w:szCs w:val="20"/>
              </w:rPr>
              <w:t>Limit (MW)</w:t>
            </w:r>
          </w:p>
        </w:tc>
      </w:tr>
      <w:tr w:rsidR="00E42DE9" w:rsidRPr="0006253F" w14:paraId="6093E57C" w14:textId="77777777" w:rsidTr="00E42DE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210775F4" w14:textId="77777777" w:rsidR="00E42DE9" w:rsidRPr="001436DC" w:rsidRDefault="00E42DE9" w:rsidP="00E42DE9">
            <w:pPr>
              <w:keepNext/>
              <w:keepLines/>
              <w:spacing w:line="240" w:lineRule="auto"/>
              <w:jc w:val="center"/>
              <w:rPr>
                <w:rFonts w:ascii="Century Gothic" w:eastAsia="Times New Roman" w:hAnsi="Century Gothic" w:cs="Times New Roman"/>
                <w:color w:val="000000"/>
                <w:sz w:val="16"/>
                <w:szCs w:val="18"/>
              </w:rPr>
            </w:pPr>
            <w:proofErr w:type="spellStart"/>
            <w:r w:rsidRPr="001436DC">
              <w:rPr>
                <w:rFonts w:ascii="Century Gothic" w:eastAsia="Times New Roman" w:hAnsi="Century Gothic" w:cs="Times New Roman"/>
                <w:color w:val="000000"/>
                <w:sz w:val="16"/>
                <w:szCs w:val="18"/>
              </w:rPr>
              <w:t>Boston_Import</w:t>
            </w:r>
            <w:proofErr w:type="spellEnd"/>
            <w:r w:rsidRPr="001436DC">
              <w:rPr>
                <w:rFonts w:ascii="Century Gothic" w:eastAsia="Times New Roman" w:hAnsi="Century Gothic" w:cs="Times New Roman"/>
                <w:color w:val="000000"/>
                <w:sz w:val="16"/>
                <w:szCs w:val="18"/>
                <w:vertAlign w:val="superscript"/>
              </w:rPr>
              <w:t>(I)</w:t>
            </w:r>
          </w:p>
        </w:tc>
        <w:tc>
          <w:tcPr>
            <w:tcW w:w="0" w:type="auto"/>
            <w:noWrap/>
            <w:vAlign w:val="bottom"/>
            <w:hideMark/>
          </w:tcPr>
          <w:p w14:paraId="3644D740"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5700</w:t>
            </w:r>
          </w:p>
        </w:tc>
        <w:tc>
          <w:tcPr>
            <w:tcW w:w="0" w:type="auto"/>
            <w:noWrap/>
            <w:vAlign w:val="bottom"/>
            <w:hideMark/>
          </w:tcPr>
          <w:p w14:paraId="0A028247"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p>
        </w:tc>
        <w:tc>
          <w:tcPr>
            <w:tcW w:w="0" w:type="auto"/>
            <w:noWrap/>
            <w:vAlign w:val="bottom"/>
            <w:hideMark/>
          </w:tcPr>
          <w:p w14:paraId="1D4C90F9"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16"/>
                <w:szCs w:val="18"/>
              </w:rPr>
            </w:pPr>
            <w:r w:rsidRPr="001436DC">
              <w:rPr>
                <w:rFonts w:ascii="Century Gothic" w:eastAsia="Times New Roman" w:hAnsi="Century Gothic" w:cs="Times New Roman"/>
                <w:b/>
                <w:color w:val="000000"/>
                <w:sz w:val="16"/>
                <w:szCs w:val="18"/>
              </w:rPr>
              <w:t>NH_VT</w:t>
            </w:r>
            <w:r w:rsidRPr="001436DC">
              <w:rPr>
                <w:rFonts w:ascii="Century Gothic" w:eastAsia="Times New Roman" w:hAnsi="Century Gothic" w:cs="Times New Roman"/>
                <w:b/>
                <w:color w:val="000000"/>
                <w:sz w:val="16"/>
                <w:szCs w:val="18"/>
                <w:vertAlign w:val="superscript"/>
              </w:rPr>
              <w:t>(II)</w:t>
            </w:r>
          </w:p>
        </w:tc>
        <w:tc>
          <w:tcPr>
            <w:tcW w:w="0" w:type="auto"/>
            <w:noWrap/>
            <w:vAlign w:val="bottom"/>
            <w:hideMark/>
          </w:tcPr>
          <w:p w14:paraId="1D625642"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1025</w:t>
            </w:r>
          </w:p>
        </w:tc>
      </w:tr>
      <w:tr w:rsidR="00E42DE9" w:rsidRPr="0006253F" w14:paraId="73C039EC" w14:textId="77777777" w:rsidTr="00E42DE9">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24D7B924" w14:textId="77777777" w:rsidR="00E42DE9" w:rsidRPr="001436DC" w:rsidRDefault="00E42DE9" w:rsidP="00E42DE9">
            <w:pPr>
              <w:keepNext/>
              <w:keepLines/>
              <w:spacing w:line="240" w:lineRule="auto"/>
              <w:jc w:val="center"/>
              <w:rPr>
                <w:rFonts w:ascii="Century Gothic" w:eastAsia="Times New Roman" w:hAnsi="Century Gothic" w:cs="Times New Roman"/>
                <w:color w:val="000000"/>
                <w:sz w:val="16"/>
                <w:szCs w:val="18"/>
              </w:rPr>
            </w:pPr>
            <w:proofErr w:type="spellStart"/>
            <w:r w:rsidRPr="001436DC">
              <w:rPr>
                <w:rFonts w:ascii="Century Gothic" w:eastAsia="Times New Roman" w:hAnsi="Century Gothic" w:cs="Times New Roman"/>
                <w:color w:val="000000"/>
                <w:sz w:val="16"/>
                <w:szCs w:val="18"/>
              </w:rPr>
              <w:t>SEMA_RI_Export</w:t>
            </w:r>
            <w:proofErr w:type="spellEnd"/>
          </w:p>
        </w:tc>
        <w:tc>
          <w:tcPr>
            <w:tcW w:w="0" w:type="auto"/>
            <w:noWrap/>
            <w:vAlign w:val="bottom"/>
            <w:hideMark/>
          </w:tcPr>
          <w:p w14:paraId="02E64D8F"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3400</w:t>
            </w:r>
          </w:p>
        </w:tc>
        <w:tc>
          <w:tcPr>
            <w:tcW w:w="0" w:type="auto"/>
            <w:noWrap/>
            <w:vAlign w:val="bottom"/>
            <w:hideMark/>
          </w:tcPr>
          <w:p w14:paraId="583A1242"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p>
        </w:tc>
        <w:tc>
          <w:tcPr>
            <w:tcW w:w="0" w:type="auto"/>
            <w:noWrap/>
            <w:vAlign w:val="bottom"/>
            <w:hideMark/>
          </w:tcPr>
          <w:p w14:paraId="46DB475E"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16"/>
                <w:szCs w:val="18"/>
              </w:rPr>
            </w:pPr>
            <w:r w:rsidRPr="001436DC">
              <w:rPr>
                <w:rFonts w:ascii="Century Gothic" w:eastAsia="Times New Roman" w:hAnsi="Century Gothic" w:cs="Times New Roman"/>
                <w:b/>
                <w:color w:val="000000"/>
                <w:sz w:val="16"/>
                <w:szCs w:val="18"/>
              </w:rPr>
              <w:t>WCMA_CT</w:t>
            </w:r>
            <w:r w:rsidRPr="001436DC">
              <w:rPr>
                <w:rFonts w:ascii="Century Gothic" w:eastAsia="Times New Roman" w:hAnsi="Century Gothic" w:cs="Times New Roman"/>
                <w:b/>
                <w:color w:val="000000"/>
                <w:sz w:val="16"/>
                <w:szCs w:val="18"/>
                <w:vertAlign w:val="superscript"/>
              </w:rPr>
              <w:t>(III)</w:t>
            </w:r>
          </w:p>
        </w:tc>
        <w:tc>
          <w:tcPr>
            <w:tcW w:w="0" w:type="auto"/>
            <w:noWrap/>
            <w:vAlign w:val="bottom"/>
            <w:hideMark/>
          </w:tcPr>
          <w:p w14:paraId="654DC660"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930</w:t>
            </w:r>
          </w:p>
        </w:tc>
      </w:tr>
      <w:tr w:rsidR="00E42DE9" w:rsidRPr="0006253F" w14:paraId="41741AFE" w14:textId="77777777" w:rsidTr="00E42DE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307B05E7" w14:textId="77777777" w:rsidR="00E42DE9" w:rsidRPr="001436DC" w:rsidRDefault="00E42DE9" w:rsidP="00E42DE9">
            <w:pPr>
              <w:keepNext/>
              <w:keepLines/>
              <w:spacing w:line="240" w:lineRule="auto"/>
              <w:jc w:val="center"/>
              <w:rPr>
                <w:rFonts w:ascii="Century Gothic" w:eastAsia="Times New Roman" w:hAnsi="Century Gothic" w:cs="Times New Roman"/>
                <w:color w:val="000000"/>
                <w:sz w:val="16"/>
                <w:szCs w:val="18"/>
              </w:rPr>
            </w:pPr>
            <w:proofErr w:type="spellStart"/>
            <w:r w:rsidRPr="001436DC">
              <w:rPr>
                <w:rFonts w:ascii="Century Gothic" w:eastAsia="Times New Roman" w:hAnsi="Century Gothic" w:cs="Times New Roman"/>
                <w:color w:val="000000"/>
                <w:sz w:val="16"/>
                <w:szCs w:val="18"/>
              </w:rPr>
              <w:t>SEMA_RI_Import</w:t>
            </w:r>
            <w:proofErr w:type="spellEnd"/>
          </w:p>
        </w:tc>
        <w:tc>
          <w:tcPr>
            <w:tcW w:w="0" w:type="auto"/>
            <w:noWrap/>
            <w:vAlign w:val="bottom"/>
            <w:hideMark/>
          </w:tcPr>
          <w:p w14:paraId="7A9E296F"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1280</w:t>
            </w:r>
          </w:p>
        </w:tc>
        <w:tc>
          <w:tcPr>
            <w:tcW w:w="0" w:type="auto"/>
            <w:noWrap/>
            <w:vAlign w:val="bottom"/>
            <w:hideMark/>
          </w:tcPr>
          <w:p w14:paraId="20A88235"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p>
        </w:tc>
        <w:tc>
          <w:tcPr>
            <w:tcW w:w="0" w:type="auto"/>
            <w:noWrap/>
            <w:vAlign w:val="bottom"/>
            <w:hideMark/>
          </w:tcPr>
          <w:p w14:paraId="7B9800E5"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16"/>
                <w:szCs w:val="18"/>
              </w:rPr>
            </w:pPr>
            <w:r w:rsidRPr="001436DC">
              <w:rPr>
                <w:rFonts w:ascii="Century Gothic" w:eastAsia="Times New Roman" w:hAnsi="Century Gothic" w:cs="Times New Roman"/>
                <w:b/>
                <w:color w:val="000000"/>
                <w:sz w:val="16"/>
                <w:szCs w:val="18"/>
              </w:rPr>
              <w:t>RI_CT</w:t>
            </w:r>
          </w:p>
        </w:tc>
        <w:tc>
          <w:tcPr>
            <w:tcW w:w="0" w:type="auto"/>
            <w:noWrap/>
            <w:vAlign w:val="bottom"/>
            <w:hideMark/>
          </w:tcPr>
          <w:p w14:paraId="116742A3"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750</w:t>
            </w:r>
          </w:p>
        </w:tc>
      </w:tr>
      <w:tr w:rsidR="00E42DE9" w:rsidRPr="0006253F" w14:paraId="3C217426" w14:textId="77777777" w:rsidTr="00E42DE9">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1E3C4975" w14:textId="77777777" w:rsidR="00E42DE9" w:rsidRPr="001436DC" w:rsidRDefault="00E42DE9" w:rsidP="00E42DE9">
            <w:pPr>
              <w:keepNext/>
              <w:keepLines/>
              <w:spacing w:line="240" w:lineRule="auto"/>
              <w:jc w:val="center"/>
              <w:rPr>
                <w:rFonts w:ascii="Century Gothic" w:eastAsia="Times New Roman" w:hAnsi="Century Gothic" w:cs="Times New Roman"/>
                <w:color w:val="000000"/>
                <w:sz w:val="16"/>
                <w:szCs w:val="18"/>
              </w:rPr>
            </w:pPr>
            <w:proofErr w:type="spellStart"/>
            <w:r w:rsidRPr="001436DC">
              <w:rPr>
                <w:rFonts w:ascii="Century Gothic" w:eastAsia="Times New Roman" w:hAnsi="Century Gothic" w:cs="Times New Roman"/>
                <w:color w:val="000000"/>
                <w:sz w:val="16"/>
                <w:szCs w:val="18"/>
              </w:rPr>
              <w:t>CT_Import</w:t>
            </w:r>
            <w:proofErr w:type="spellEnd"/>
          </w:p>
        </w:tc>
        <w:tc>
          <w:tcPr>
            <w:tcW w:w="0" w:type="auto"/>
            <w:noWrap/>
            <w:vAlign w:val="bottom"/>
            <w:hideMark/>
          </w:tcPr>
          <w:p w14:paraId="09DAD66A"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2950</w:t>
            </w:r>
          </w:p>
        </w:tc>
        <w:tc>
          <w:tcPr>
            <w:tcW w:w="0" w:type="auto"/>
            <w:noWrap/>
            <w:vAlign w:val="bottom"/>
            <w:hideMark/>
          </w:tcPr>
          <w:p w14:paraId="2B6049DF"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p>
        </w:tc>
        <w:tc>
          <w:tcPr>
            <w:tcW w:w="0" w:type="auto"/>
            <w:noWrap/>
            <w:vAlign w:val="bottom"/>
            <w:hideMark/>
          </w:tcPr>
          <w:p w14:paraId="27FEADAE"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16"/>
                <w:szCs w:val="18"/>
              </w:rPr>
            </w:pPr>
            <w:r w:rsidRPr="001436DC">
              <w:rPr>
                <w:rFonts w:ascii="Century Gothic" w:eastAsia="Times New Roman" w:hAnsi="Century Gothic" w:cs="Times New Roman"/>
                <w:b/>
                <w:color w:val="000000"/>
                <w:sz w:val="16"/>
                <w:szCs w:val="18"/>
              </w:rPr>
              <w:t>NEMA_SEMA</w:t>
            </w:r>
            <w:r w:rsidRPr="001436DC">
              <w:rPr>
                <w:rFonts w:ascii="Century Gothic" w:eastAsia="Times New Roman" w:hAnsi="Century Gothic" w:cs="Times New Roman"/>
                <w:b/>
                <w:color w:val="000000"/>
                <w:sz w:val="16"/>
                <w:szCs w:val="18"/>
                <w:vertAlign w:val="superscript"/>
              </w:rPr>
              <w:t>(IV)</w:t>
            </w:r>
          </w:p>
        </w:tc>
        <w:tc>
          <w:tcPr>
            <w:tcW w:w="0" w:type="auto"/>
            <w:noWrap/>
            <w:vAlign w:val="bottom"/>
            <w:hideMark/>
          </w:tcPr>
          <w:p w14:paraId="7059B27E"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1500</w:t>
            </w:r>
          </w:p>
        </w:tc>
      </w:tr>
      <w:tr w:rsidR="00E42DE9" w:rsidRPr="0006253F" w14:paraId="22566587" w14:textId="77777777" w:rsidTr="00E42DE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A71B0B1" w14:textId="77777777" w:rsidR="00E42DE9" w:rsidRPr="001436DC" w:rsidRDefault="00E42DE9" w:rsidP="00E42DE9">
            <w:pPr>
              <w:keepNext/>
              <w:keepLines/>
              <w:spacing w:line="240" w:lineRule="auto"/>
              <w:jc w:val="center"/>
              <w:rPr>
                <w:rFonts w:ascii="Century Gothic" w:eastAsia="Times New Roman" w:hAnsi="Century Gothic" w:cs="Times New Roman"/>
                <w:color w:val="000000"/>
                <w:sz w:val="16"/>
                <w:szCs w:val="18"/>
                <w:vertAlign w:val="superscript"/>
              </w:rPr>
            </w:pPr>
            <w:proofErr w:type="spellStart"/>
            <w:r w:rsidRPr="001436DC">
              <w:rPr>
                <w:rFonts w:ascii="Century Gothic" w:eastAsia="Times New Roman" w:hAnsi="Century Gothic" w:cs="Times New Roman"/>
                <w:color w:val="000000"/>
                <w:sz w:val="16"/>
                <w:szCs w:val="18"/>
              </w:rPr>
              <w:t>North_South</w:t>
            </w:r>
            <w:proofErr w:type="spellEnd"/>
            <w:r w:rsidRPr="001436DC">
              <w:rPr>
                <w:rFonts w:ascii="Century Gothic" w:eastAsia="Times New Roman" w:hAnsi="Century Gothic" w:cs="Times New Roman"/>
                <w:color w:val="000000"/>
                <w:sz w:val="16"/>
                <w:szCs w:val="18"/>
                <w:vertAlign w:val="superscript"/>
              </w:rPr>
              <w:t>(I)</w:t>
            </w:r>
          </w:p>
        </w:tc>
        <w:tc>
          <w:tcPr>
            <w:tcW w:w="0" w:type="auto"/>
            <w:noWrap/>
            <w:vAlign w:val="bottom"/>
            <w:hideMark/>
          </w:tcPr>
          <w:p w14:paraId="26945CCE"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2675</w:t>
            </w:r>
          </w:p>
        </w:tc>
        <w:tc>
          <w:tcPr>
            <w:tcW w:w="0" w:type="auto"/>
            <w:noWrap/>
            <w:vAlign w:val="bottom"/>
            <w:hideMark/>
          </w:tcPr>
          <w:p w14:paraId="24B910E5"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p>
        </w:tc>
        <w:tc>
          <w:tcPr>
            <w:tcW w:w="0" w:type="auto"/>
            <w:noWrap/>
            <w:vAlign w:val="bottom"/>
            <w:hideMark/>
          </w:tcPr>
          <w:p w14:paraId="6AC9F4A9"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16"/>
                <w:szCs w:val="18"/>
              </w:rPr>
            </w:pPr>
            <w:r w:rsidRPr="001436DC">
              <w:rPr>
                <w:rFonts w:ascii="Century Gothic" w:eastAsia="Times New Roman" w:hAnsi="Century Gothic" w:cs="Times New Roman"/>
                <w:b/>
                <w:color w:val="000000"/>
                <w:sz w:val="16"/>
                <w:szCs w:val="18"/>
              </w:rPr>
              <w:t>WCMA_NEMA</w:t>
            </w:r>
          </w:p>
        </w:tc>
        <w:tc>
          <w:tcPr>
            <w:tcW w:w="0" w:type="auto"/>
            <w:noWrap/>
            <w:vAlign w:val="bottom"/>
            <w:hideMark/>
          </w:tcPr>
          <w:p w14:paraId="60BBDE92" w14:textId="77777777" w:rsidR="00E42DE9" w:rsidRPr="001436DC" w:rsidRDefault="00E42DE9" w:rsidP="00E42DE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2500</w:t>
            </w:r>
          </w:p>
        </w:tc>
      </w:tr>
      <w:tr w:rsidR="00E42DE9" w:rsidRPr="0006253F" w14:paraId="0171AB94" w14:textId="77777777" w:rsidTr="00E42DE9">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781A164" w14:textId="77777777" w:rsidR="00E42DE9" w:rsidRPr="001436DC" w:rsidRDefault="00E42DE9" w:rsidP="00E42DE9">
            <w:pPr>
              <w:keepNext/>
              <w:keepLines/>
              <w:spacing w:line="240" w:lineRule="auto"/>
              <w:jc w:val="center"/>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ME_NH</w:t>
            </w:r>
          </w:p>
        </w:tc>
        <w:tc>
          <w:tcPr>
            <w:tcW w:w="0" w:type="auto"/>
            <w:noWrap/>
            <w:vAlign w:val="bottom"/>
            <w:hideMark/>
          </w:tcPr>
          <w:p w14:paraId="73195FC1"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2000</w:t>
            </w:r>
          </w:p>
        </w:tc>
        <w:tc>
          <w:tcPr>
            <w:tcW w:w="0" w:type="auto"/>
            <w:noWrap/>
            <w:vAlign w:val="bottom"/>
            <w:hideMark/>
          </w:tcPr>
          <w:p w14:paraId="2F7B5491"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p>
        </w:tc>
        <w:tc>
          <w:tcPr>
            <w:tcW w:w="0" w:type="auto"/>
            <w:noWrap/>
            <w:vAlign w:val="bottom"/>
            <w:hideMark/>
          </w:tcPr>
          <w:p w14:paraId="2968166B"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16"/>
                <w:szCs w:val="18"/>
              </w:rPr>
            </w:pPr>
            <w:r w:rsidRPr="001436DC">
              <w:rPr>
                <w:rFonts w:ascii="Century Gothic" w:eastAsia="Times New Roman" w:hAnsi="Century Gothic" w:cs="Times New Roman"/>
                <w:b/>
                <w:color w:val="000000"/>
                <w:sz w:val="16"/>
                <w:szCs w:val="18"/>
              </w:rPr>
              <w:t>WCMA_VT</w:t>
            </w:r>
          </w:p>
        </w:tc>
        <w:tc>
          <w:tcPr>
            <w:tcW w:w="0" w:type="auto"/>
            <w:noWrap/>
            <w:vAlign w:val="bottom"/>
            <w:hideMark/>
          </w:tcPr>
          <w:p w14:paraId="1930D540" w14:textId="77777777" w:rsidR="00E42DE9" w:rsidRPr="001436DC" w:rsidRDefault="00E42DE9" w:rsidP="00E42DE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18"/>
              </w:rPr>
            </w:pPr>
            <w:r w:rsidRPr="001436DC">
              <w:rPr>
                <w:rFonts w:ascii="Century Gothic" w:eastAsia="Times New Roman" w:hAnsi="Century Gothic" w:cs="Times New Roman"/>
                <w:color w:val="000000"/>
                <w:sz w:val="16"/>
                <w:szCs w:val="18"/>
              </w:rPr>
              <w:t>900</w:t>
            </w:r>
          </w:p>
        </w:tc>
      </w:tr>
      <w:tr w:rsidR="00E42DE9" w:rsidRPr="0006253F" w14:paraId="4915E022" w14:textId="77777777" w:rsidTr="00E42DE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5"/>
            <w:noWrap/>
            <w:vAlign w:val="bottom"/>
            <w:hideMark/>
          </w:tcPr>
          <w:p w14:paraId="00D01081" w14:textId="77777777" w:rsidR="00E42DE9" w:rsidRPr="00BF404F" w:rsidRDefault="00E42DE9" w:rsidP="00E42DE9">
            <w:pPr>
              <w:keepNext/>
              <w:keepLines/>
              <w:spacing w:line="240" w:lineRule="auto"/>
              <w:jc w:val="center"/>
              <w:rPr>
                <w:rFonts w:ascii="Century Gothic" w:eastAsia="Times New Roman" w:hAnsi="Century Gothic" w:cs="Times New Roman"/>
                <w:b w:val="0"/>
                <w:color w:val="000000"/>
                <w:sz w:val="16"/>
                <w:szCs w:val="18"/>
              </w:rPr>
            </w:pPr>
            <w:r w:rsidRPr="00BF404F">
              <w:rPr>
                <w:rFonts w:ascii="Century Gothic" w:eastAsia="Times New Roman" w:hAnsi="Century Gothic" w:cs="Times New Roman"/>
                <w:b w:val="0"/>
                <w:color w:val="000000"/>
                <w:sz w:val="16"/>
                <w:szCs w:val="18"/>
                <w:vertAlign w:val="superscript"/>
              </w:rPr>
              <w:t>(I)</w:t>
            </w:r>
            <w:r w:rsidRPr="00BF404F">
              <w:rPr>
                <w:rFonts w:ascii="Century Gothic" w:eastAsia="Times New Roman" w:hAnsi="Century Gothic" w:cs="Times New Roman"/>
                <w:b w:val="0"/>
                <w:color w:val="000000"/>
                <w:sz w:val="16"/>
                <w:szCs w:val="18"/>
              </w:rPr>
              <w:t xml:space="preserve"> After the Boston Upgrade Project completion</w:t>
            </w:r>
          </w:p>
        </w:tc>
      </w:tr>
      <w:tr w:rsidR="00E42DE9" w:rsidRPr="0006253F" w14:paraId="42F0CDFF" w14:textId="77777777" w:rsidTr="00E42DE9">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auto"/>
            <w:noWrap/>
            <w:vAlign w:val="bottom"/>
            <w:hideMark/>
          </w:tcPr>
          <w:p w14:paraId="67445153" w14:textId="77777777" w:rsidR="00E42DE9" w:rsidRPr="00BF404F" w:rsidRDefault="00E42DE9" w:rsidP="00E42DE9">
            <w:pPr>
              <w:keepNext/>
              <w:keepLines/>
              <w:spacing w:line="240" w:lineRule="auto"/>
              <w:jc w:val="center"/>
              <w:rPr>
                <w:rFonts w:ascii="Century Gothic" w:eastAsia="Times New Roman" w:hAnsi="Century Gothic" w:cs="Times New Roman"/>
                <w:b w:val="0"/>
                <w:color w:val="000000"/>
                <w:sz w:val="16"/>
                <w:szCs w:val="18"/>
              </w:rPr>
            </w:pPr>
            <w:r w:rsidRPr="00BF404F">
              <w:rPr>
                <w:rFonts w:ascii="Century Gothic" w:eastAsia="Times New Roman" w:hAnsi="Century Gothic" w:cs="Times New Roman"/>
                <w:b w:val="0"/>
                <w:color w:val="000000"/>
                <w:sz w:val="16"/>
                <w:szCs w:val="18"/>
                <w:vertAlign w:val="superscript"/>
              </w:rPr>
              <w:t>(II)</w:t>
            </w:r>
            <w:r w:rsidRPr="00BF404F">
              <w:rPr>
                <w:rFonts w:ascii="Century Gothic" w:eastAsia="Times New Roman" w:hAnsi="Century Gothic" w:cs="Times New Roman"/>
                <w:b w:val="0"/>
                <w:color w:val="000000"/>
                <w:sz w:val="16"/>
                <w:szCs w:val="18"/>
              </w:rPr>
              <w:t xml:space="preserve"> Not rated in the opposite direction</w:t>
            </w:r>
          </w:p>
        </w:tc>
      </w:tr>
      <w:tr w:rsidR="00E42DE9" w:rsidRPr="0006253F" w14:paraId="57E0BCBC" w14:textId="77777777" w:rsidTr="00E42DE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5"/>
            <w:noWrap/>
            <w:vAlign w:val="bottom"/>
            <w:hideMark/>
          </w:tcPr>
          <w:p w14:paraId="2B1B783E" w14:textId="77777777" w:rsidR="00E42DE9" w:rsidRPr="00BF404F" w:rsidRDefault="00E42DE9" w:rsidP="00E42DE9">
            <w:pPr>
              <w:keepNext/>
              <w:keepLines/>
              <w:spacing w:line="240" w:lineRule="auto"/>
              <w:jc w:val="center"/>
              <w:rPr>
                <w:rFonts w:ascii="Century Gothic" w:eastAsia="Times New Roman" w:hAnsi="Century Gothic" w:cs="Times New Roman"/>
                <w:b w:val="0"/>
                <w:color w:val="000000"/>
                <w:sz w:val="16"/>
                <w:szCs w:val="18"/>
              </w:rPr>
            </w:pPr>
            <w:r w:rsidRPr="00BF404F">
              <w:rPr>
                <w:rFonts w:ascii="Century Gothic" w:eastAsia="Times New Roman" w:hAnsi="Century Gothic" w:cs="Times New Roman"/>
                <w:b w:val="0"/>
                <w:color w:val="000000"/>
                <w:sz w:val="16"/>
                <w:szCs w:val="18"/>
                <w:vertAlign w:val="superscript"/>
              </w:rPr>
              <w:t>(III)</w:t>
            </w:r>
            <w:r w:rsidRPr="00BF404F">
              <w:rPr>
                <w:rFonts w:ascii="Century Gothic" w:eastAsia="Times New Roman" w:hAnsi="Century Gothic" w:cs="Times New Roman"/>
                <w:b w:val="0"/>
                <w:color w:val="000000"/>
                <w:sz w:val="16"/>
                <w:szCs w:val="18"/>
              </w:rPr>
              <w:t xml:space="preserve"> 1030 MW in the opposite direction</w:t>
            </w:r>
          </w:p>
        </w:tc>
      </w:tr>
      <w:tr w:rsidR="00E42DE9" w:rsidRPr="0006253F" w14:paraId="421C2C59" w14:textId="77777777" w:rsidTr="00E42DE9">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auto"/>
            <w:noWrap/>
            <w:vAlign w:val="bottom"/>
            <w:hideMark/>
          </w:tcPr>
          <w:p w14:paraId="63B56CCF" w14:textId="77777777" w:rsidR="00E42DE9" w:rsidRPr="00BF404F" w:rsidRDefault="00E42DE9" w:rsidP="00E42DE9">
            <w:pPr>
              <w:keepNext/>
              <w:keepLines/>
              <w:spacing w:line="240" w:lineRule="auto"/>
              <w:jc w:val="center"/>
              <w:rPr>
                <w:rFonts w:ascii="Century Gothic" w:eastAsia="Times New Roman" w:hAnsi="Century Gothic" w:cs="Times New Roman"/>
                <w:b w:val="0"/>
                <w:sz w:val="16"/>
                <w:szCs w:val="18"/>
              </w:rPr>
            </w:pPr>
            <w:r w:rsidRPr="00BF404F">
              <w:rPr>
                <w:rFonts w:ascii="Century Gothic" w:eastAsia="Times New Roman" w:hAnsi="Century Gothic" w:cs="Times New Roman"/>
                <w:b w:val="0"/>
                <w:color w:val="000000"/>
                <w:sz w:val="16"/>
                <w:szCs w:val="18"/>
                <w:vertAlign w:val="superscript"/>
              </w:rPr>
              <w:t>(IV)</w:t>
            </w:r>
            <w:r w:rsidRPr="00BF404F">
              <w:rPr>
                <w:rFonts w:ascii="Century Gothic" w:eastAsia="Times New Roman" w:hAnsi="Century Gothic" w:cs="Times New Roman"/>
                <w:b w:val="0"/>
                <w:color w:val="000000"/>
                <w:sz w:val="16"/>
                <w:szCs w:val="18"/>
              </w:rPr>
              <w:t xml:space="preserve"> 750 MW in the opposite direction</w:t>
            </w:r>
          </w:p>
        </w:tc>
      </w:tr>
    </w:tbl>
    <w:p w14:paraId="4DDE226E" w14:textId="77777777" w:rsidR="00E42DE9" w:rsidRDefault="00E42DE9" w:rsidP="00E42DE9">
      <w:pPr>
        <w:rPr>
          <w:highlight w:val="yellow"/>
        </w:rPr>
      </w:pPr>
    </w:p>
    <w:p w14:paraId="5DDBB678" w14:textId="77777777" w:rsidR="00E42DE9" w:rsidRPr="0027107E" w:rsidRDefault="00E42DE9" w:rsidP="00E42DE9">
      <w:r w:rsidRPr="0027107E">
        <w:t xml:space="preserve">The Greater Boston Upgrades project </w:t>
      </w:r>
      <w:r>
        <w:t>was</w:t>
      </w:r>
      <w:r w:rsidRPr="0027107E">
        <w:t xml:space="preserve"> assumed to be in place in 2019, with a net increase of 850 MW on the Boston Import interface (N-1), and 575 MW increase on the North-South Interface.</w:t>
      </w:r>
      <w:r w:rsidRPr="0027107E">
        <w:rPr>
          <w:rStyle w:val="FootnoteReference"/>
        </w:rPr>
        <w:footnoteReference w:id="42"/>
      </w:r>
      <w:r w:rsidRPr="0027107E">
        <w:t xml:space="preserve">  </w:t>
      </w:r>
    </w:p>
    <w:p w14:paraId="50F3F1A2" w14:textId="0D15B8F0" w:rsidR="00E42DE9" w:rsidRDefault="00E42DE9" w:rsidP="00E42DE9">
      <w:r w:rsidRPr="0027107E">
        <w:t xml:space="preserve">In addition, transmission links with neighboring regions outside of </w:t>
      </w:r>
      <w:r>
        <w:t xml:space="preserve">New England </w:t>
      </w:r>
      <w:r w:rsidRPr="0027107E">
        <w:t xml:space="preserve">were modeled.  For the forecast, all external transmission links were held constant with one exception, the addition of a 1,000 MW transmission line between New </w:t>
      </w:r>
      <w:r w:rsidRPr="0055298A">
        <w:t>Hampshire and Quebec, consistent with Section 83C</w:t>
      </w:r>
      <w:r w:rsidR="001B528B" w:rsidRPr="0055298A">
        <w:t xml:space="preserve"> of the Massachusetts Green Communities Act</w:t>
      </w:r>
      <w:r w:rsidRPr="0055298A">
        <w:t xml:space="preserve">, which </w:t>
      </w:r>
      <w:r w:rsidRPr="0055298A">
        <w:rPr>
          <w:i/>
        </w:rPr>
        <w:t>authorizes</w:t>
      </w:r>
      <w:r w:rsidRPr="0055298A">
        <w:t xml:space="preserve"> the Massachusetts EDCs to contract for offshore</w:t>
      </w:r>
      <w:r>
        <w:t xml:space="preserve"> wind provided that doing so is cost effective but </w:t>
      </w:r>
      <w:r>
        <w:rPr>
          <w:i/>
        </w:rPr>
        <w:t xml:space="preserve">requires </w:t>
      </w:r>
      <w:r>
        <w:t>contracting for 1,200 MW of land-based renewables.  Based on an analysis of market options as well as a review of existing proposed transmission projects, it was determined that the most likely avenue of compliance for the EDCs was the development of a transmission asset to import renewable energy from Canada, where hydroelectric power is abundant and inexpensive.  Additionally, significant commercial interest in such projects predates the enactment of Section 83C.</w:t>
      </w:r>
    </w:p>
    <w:p w14:paraId="3989BE1A" w14:textId="77777777" w:rsidR="00E42DE9" w:rsidRDefault="00E42DE9" w:rsidP="00E42DE9">
      <w:r>
        <w:t xml:space="preserve">The 1,000 MW line is installed at the beginning of the forecast as an “energy-only” resource.  That is to say that there is no capacity associated with the line that contributes to the region’s ability to maintain reserve margins.  There </w:t>
      </w:r>
      <w:proofErr w:type="gramStart"/>
      <w:r>
        <w:t>are</w:t>
      </w:r>
      <w:proofErr w:type="gramEnd"/>
      <w:r>
        <w:t xml:space="preserve"> no transmission upgrades associated with the project that would affect transfer limits between the zones within New England.</w:t>
      </w:r>
      <w:r>
        <w:rPr>
          <w:rStyle w:val="FootnoteReference"/>
        </w:rPr>
        <w:footnoteReference w:id="43"/>
      </w:r>
    </w:p>
    <w:p w14:paraId="744EB4A6" w14:textId="77777777" w:rsidR="00E42DE9" w:rsidRDefault="00E42DE9" w:rsidP="00E42DE9">
      <w:pPr>
        <w:keepNext/>
        <w:keepLines/>
      </w:pPr>
      <w:r>
        <w:lastRenderedPageBreak/>
        <w:t>Based on the above assumptions, a forecast of LMPs for SEMA was developed, as shown below:</w:t>
      </w:r>
    </w:p>
    <w:p w14:paraId="0A752FE8" w14:textId="14D19DD4" w:rsidR="00E42DE9" w:rsidRPr="00A1357D" w:rsidRDefault="00E42DE9" w:rsidP="00D2628D">
      <w:pPr>
        <w:pStyle w:val="Caption"/>
      </w:pPr>
      <w:bookmarkStart w:id="76" w:name="_Toc462845017"/>
      <w:bookmarkStart w:id="77" w:name="_Toc465433482"/>
      <w:r w:rsidRPr="00A1357D">
        <w:t xml:space="preserve">Figure </w:t>
      </w:r>
      <w:r w:rsidR="00FA6573">
        <w:fldChar w:fldCharType="begin"/>
      </w:r>
      <w:r w:rsidR="00FA6573">
        <w:instrText xml:space="preserve"> SEQ Figure \* ARABIC </w:instrText>
      </w:r>
      <w:r w:rsidR="00FA6573">
        <w:fldChar w:fldCharType="separate"/>
      </w:r>
      <w:r w:rsidR="006E2301">
        <w:rPr>
          <w:noProof/>
        </w:rPr>
        <w:t>9</w:t>
      </w:r>
      <w:r w:rsidR="00FA6573">
        <w:rPr>
          <w:noProof/>
        </w:rPr>
        <w:fldChar w:fldCharType="end"/>
      </w:r>
      <w:r w:rsidR="00F12DBD">
        <w:t>:</w:t>
      </w:r>
      <w:r w:rsidRPr="00A1357D">
        <w:t xml:space="preserve">  SEMA LMP Forecast</w:t>
      </w:r>
      <w:bookmarkEnd w:id="76"/>
      <w:bookmarkEnd w:id="77"/>
    </w:p>
    <w:p w14:paraId="4CBB8476" w14:textId="77777777" w:rsidR="00E42DE9" w:rsidRDefault="00E42DE9" w:rsidP="00E42DE9">
      <w:pPr>
        <w:jc w:val="center"/>
      </w:pPr>
      <w:r>
        <w:rPr>
          <w:noProof/>
        </w:rPr>
        <w:drawing>
          <wp:inline distT="0" distB="0" distL="0" distR="0" wp14:anchorId="094E66CA" wp14:editId="71EDF2FF">
            <wp:extent cx="4416552" cy="3200400"/>
            <wp:effectExtent l="19050" t="19050" r="2222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6552" cy="3200400"/>
                    </a:xfrm>
                    <a:prstGeom prst="rect">
                      <a:avLst/>
                    </a:prstGeom>
                    <a:noFill/>
                    <a:ln>
                      <a:solidFill>
                        <a:schemeClr val="tx1"/>
                      </a:solidFill>
                    </a:ln>
                  </pic:spPr>
                </pic:pic>
              </a:graphicData>
            </a:graphic>
          </wp:inline>
        </w:drawing>
      </w:r>
    </w:p>
    <w:p w14:paraId="709C6B23" w14:textId="77777777" w:rsidR="000637A3" w:rsidRDefault="000637A3" w:rsidP="00E42DE9"/>
    <w:p w14:paraId="50D59103" w14:textId="14C8A357" w:rsidR="00E42DE9" w:rsidRDefault="00F12DBD" w:rsidP="00E42DE9">
      <w:r>
        <w:t>Generally,</w:t>
      </w:r>
      <w:r w:rsidR="00E42DE9">
        <w:t xml:space="preserve"> the forecast follows the contours of the gas price forecast shown in </w:t>
      </w:r>
      <w:r>
        <w:t>Figure 3</w:t>
      </w:r>
      <w:r w:rsidR="00E42DE9">
        <w:fldChar w:fldCharType="begin"/>
      </w:r>
      <w:r w:rsidR="00E42DE9">
        <w:instrText xml:space="preserve"> REF _Ref462560633 \h  \* MERGEFORMAT </w:instrText>
      </w:r>
      <w:r w:rsidR="00E42DE9">
        <w:fldChar w:fldCharType="end"/>
      </w:r>
      <w:r w:rsidR="00E42DE9">
        <w:t xml:space="preserve">.  Prices rise moderately through approximately 2030, </w:t>
      </w:r>
      <w:r w:rsidR="004625C9">
        <w:t>and</w:t>
      </w:r>
      <w:r w:rsidR="00634F79">
        <w:t xml:space="preserve"> </w:t>
      </w:r>
      <w:r w:rsidR="00E42DE9">
        <w:t xml:space="preserve">more rapidly thereafter, following the same trend in the gas price forecast.  </w:t>
      </w:r>
    </w:p>
    <w:p w14:paraId="2C28FA61" w14:textId="77777777" w:rsidR="00E42DE9" w:rsidRPr="004211E1" w:rsidRDefault="00E42DE9" w:rsidP="00E42DE9">
      <w:pPr>
        <w:pStyle w:val="Heading4"/>
      </w:pPr>
      <w:r>
        <w:t>Forecast Validation</w:t>
      </w:r>
    </w:p>
    <w:p w14:paraId="3B1A305C" w14:textId="0369EB65" w:rsidR="00E42DE9" w:rsidRDefault="00E42DE9" w:rsidP="00E42DE9">
      <w:r>
        <w:t xml:space="preserve">The forecast indicates an expectation of winter-peaking prices, with a smaller peak during the summer months.  This is a departure from historical pricing patterns in New England, in which prices were generally higher in the summer, and are primarily due to higher levels of seasonal price differentials in the gas price.  This finding has been validated by review of settlements for New England LMP indices in the forward market, which reflect the same expectation in the market.  </w:t>
      </w:r>
      <w:r w:rsidR="00BB4D46">
        <w:t>Figure 10</w:t>
      </w:r>
      <w:r w:rsidR="001A08AE" w:rsidRPr="0055298A">
        <w:t xml:space="preserve"> </w:t>
      </w:r>
      <w:r w:rsidRPr="0055298A">
        <w:t>shows the</w:t>
      </w:r>
      <w:r>
        <w:t xml:space="preserve"> curve for 2017 settlements for on-peak LMPs in SEMA traded on the Intercontinental Exchange (“ICE”) on September 23, 2016.</w:t>
      </w:r>
      <w:r>
        <w:rPr>
          <w:rStyle w:val="FootnoteReference"/>
        </w:rPr>
        <w:footnoteReference w:id="44"/>
      </w:r>
      <w:r>
        <w:t xml:space="preserve">  Note the significant peak in the winter months and a smaller peak during July and August. </w:t>
      </w:r>
    </w:p>
    <w:p w14:paraId="76BDFA15" w14:textId="1A0B56EF" w:rsidR="00E42DE9" w:rsidRPr="00A3102E" w:rsidRDefault="00E42DE9" w:rsidP="00D2628D">
      <w:pPr>
        <w:pStyle w:val="Caption"/>
      </w:pPr>
      <w:bookmarkStart w:id="78" w:name="_Toc462845018"/>
      <w:bookmarkStart w:id="79" w:name="_Toc465433483"/>
      <w:r w:rsidRPr="00A3102E">
        <w:lastRenderedPageBreak/>
        <w:t xml:space="preserve">Figure </w:t>
      </w:r>
      <w:r w:rsidR="00FA6573">
        <w:fldChar w:fldCharType="begin"/>
      </w:r>
      <w:r w:rsidR="00FA6573">
        <w:instrText xml:space="preserve"> SEQ Figure \* ARABIC </w:instrText>
      </w:r>
      <w:r w:rsidR="00FA6573">
        <w:fldChar w:fldCharType="separate"/>
      </w:r>
      <w:r w:rsidR="006E2301">
        <w:rPr>
          <w:noProof/>
        </w:rPr>
        <w:t>10</w:t>
      </w:r>
      <w:r w:rsidR="00FA6573">
        <w:rPr>
          <w:noProof/>
        </w:rPr>
        <w:fldChar w:fldCharType="end"/>
      </w:r>
      <w:r w:rsidR="00F12DBD">
        <w:t>:</w:t>
      </w:r>
      <w:r w:rsidRPr="00A3102E">
        <w:t xml:space="preserve">  2017 Settlements for On-Peak SEMA LMPs</w:t>
      </w:r>
      <w:bookmarkEnd w:id="78"/>
      <w:bookmarkEnd w:id="79"/>
    </w:p>
    <w:p w14:paraId="712FEE76" w14:textId="77777777" w:rsidR="00E42DE9" w:rsidRDefault="00E42DE9" w:rsidP="00E42DE9">
      <w:pPr>
        <w:jc w:val="center"/>
      </w:pPr>
      <w:r>
        <w:rPr>
          <w:noProof/>
        </w:rPr>
        <w:drawing>
          <wp:inline distT="0" distB="0" distL="0" distR="0" wp14:anchorId="263C232A" wp14:editId="3F1B0093">
            <wp:extent cx="4407408" cy="3200400"/>
            <wp:effectExtent l="19050" t="19050" r="1270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7408" cy="3200400"/>
                    </a:xfrm>
                    <a:prstGeom prst="rect">
                      <a:avLst/>
                    </a:prstGeom>
                    <a:noFill/>
                    <a:ln>
                      <a:solidFill>
                        <a:schemeClr val="tx1"/>
                      </a:solidFill>
                    </a:ln>
                  </pic:spPr>
                </pic:pic>
              </a:graphicData>
            </a:graphic>
          </wp:inline>
        </w:drawing>
      </w:r>
    </w:p>
    <w:p w14:paraId="56DC285E" w14:textId="2431A37A" w:rsidR="00E42DE9" w:rsidRDefault="00E42DE9" w:rsidP="00E42DE9">
      <w:r>
        <w:t>An analysis of System Heat Rates (“SHRs”) was utilized to further validate the forecast.  SHRs are the relationship between market gas and market power prices.  For any hour, the SHR is equal to the ratio of the LMP, in $/MWh, and the gas price, in $/MMBtu.</w:t>
      </w:r>
      <w:r>
        <w:rPr>
          <w:rStyle w:val="FootnoteReference"/>
        </w:rPr>
        <w:footnoteReference w:id="45"/>
      </w:r>
      <w:r>
        <w:t xml:space="preserve">  </w:t>
      </w:r>
      <w:r w:rsidR="00F12DBD">
        <w:t>Figure 11</w:t>
      </w:r>
      <w:r>
        <w:t xml:space="preserve"> shows the comparison of historical SHRs for SEMA, calculated using the ratio of the average monthly SEMA price to the average monthly Algonquin CG price, to the forecast SHRs, </w:t>
      </w:r>
      <w:proofErr w:type="gramStart"/>
      <w:r>
        <w:t>calculated by the same ratio using the price curves shown in </w:t>
      </w:r>
      <w:r w:rsidR="00F12DBD">
        <w:t>Figure 3</w:t>
      </w:r>
      <w:r>
        <w:fldChar w:fldCharType="begin"/>
      </w:r>
      <w:r>
        <w:instrText xml:space="preserve"> REF _Ref462560633 \h  \* MERGEFORMAT </w:instrText>
      </w:r>
      <w:r>
        <w:fldChar w:fldCharType="end"/>
      </w:r>
      <w:r>
        <w:t xml:space="preserve"> and </w:t>
      </w:r>
      <w:r w:rsidR="00F12DBD">
        <w:fldChar w:fldCharType="begin"/>
      </w:r>
      <w:r w:rsidR="00F12DBD">
        <w:instrText xml:space="preserve"> REF _Ref462562543 \h  \* MERGEFORMAT </w:instrText>
      </w:r>
      <w:r w:rsidR="00F12DBD">
        <w:fldChar w:fldCharType="separate"/>
      </w:r>
      <w:r w:rsidR="00F12DBD" w:rsidRPr="00A1357D">
        <w:t>Figure</w:t>
      </w:r>
      <w:proofErr w:type="gramEnd"/>
      <w:r w:rsidR="00F12DBD" w:rsidRPr="00A1357D">
        <w:t xml:space="preserve"> </w:t>
      </w:r>
      <w:r w:rsidR="00F12DBD">
        <w:rPr>
          <w:noProof/>
        </w:rPr>
        <w:t>9</w:t>
      </w:r>
      <w:r w:rsidR="00F12DBD">
        <w:fldChar w:fldCharType="end"/>
      </w:r>
      <w:r>
        <w:t>.</w:t>
      </w:r>
      <w:r>
        <w:rPr>
          <w:rStyle w:val="FootnoteReference"/>
        </w:rPr>
        <w:footnoteReference w:id="46"/>
      </w:r>
    </w:p>
    <w:p w14:paraId="57056F98" w14:textId="3C63C30B" w:rsidR="00E42DE9" w:rsidRPr="004211E1" w:rsidRDefault="00E42DE9" w:rsidP="00D2628D">
      <w:pPr>
        <w:pStyle w:val="Caption"/>
      </w:pPr>
      <w:bookmarkStart w:id="80" w:name="_Toc462845019"/>
      <w:bookmarkStart w:id="81" w:name="_Toc465433484"/>
      <w:r w:rsidRPr="004211E1">
        <w:lastRenderedPageBreak/>
        <w:t xml:space="preserve">Figure </w:t>
      </w:r>
      <w:r w:rsidR="00FA6573">
        <w:fldChar w:fldCharType="begin"/>
      </w:r>
      <w:r w:rsidR="00FA6573">
        <w:instrText xml:space="preserve"> SEQ Figure \* ARABIC </w:instrText>
      </w:r>
      <w:r w:rsidR="00FA6573">
        <w:fldChar w:fldCharType="separate"/>
      </w:r>
      <w:r w:rsidR="006E2301">
        <w:rPr>
          <w:noProof/>
        </w:rPr>
        <w:t>11</w:t>
      </w:r>
      <w:r w:rsidR="00FA6573">
        <w:rPr>
          <w:noProof/>
        </w:rPr>
        <w:fldChar w:fldCharType="end"/>
      </w:r>
      <w:r w:rsidR="00582225">
        <w:t>:</w:t>
      </w:r>
      <w:r w:rsidRPr="004211E1">
        <w:t xml:space="preserve">  Comparison of Historical to Forecast SHRs</w:t>
      </w:r>
      <w:bookmarkEnd w:id="80"/>
      <w:bookmarkEnd w:id="81"/>
    </w:p>
    <w:p w14:paraId="06970512" w14:textId="77777777" w:rsidR="00E42DE9" w:rsidRDefault="00E42DE9" w:rsidP="00E42DE9">
      <w:pPr>
        <w:jc w:val="center"/>
      </w:pPr>
      <w:r>
        <w:rPr>
          <w:noProof/>
        </w:rPr>
        <w:drawing>
          <wp:inline distT="0" distB="0" distL="0" distR="0" wp14:anchorId="4AE8BDEF" wp14:editId="1BA8AA43">
            <wp:extent cx="4416552" cy="3200400"/>
            <wp:effectExtent l="19050" t="19050" r="2222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6552" cy="3200400"/>
                    </a:xfrm>
                    <a:prstGeom prst="rect">
                      <a:avLst/>
                    </a:prstGeom>
                    <a:noFill/>
                    <a:ln>
                      <a:solidFill>
                        <a:schemeClr val="tx1"/>
                      </a:solidFill>
                    </a:ln>
                  </pic:spPr>
                </pic:pic>
              </a:graphicData>
            </a:graphic>
          </wp:inline>
        </w:drawing>
      </w:r>
    </w:p>
    <w:p w14:paraId="6AAA37C3" w14:textId="1CF24957" w:rsidR="00E42DE9" w:rsidRDefault="00E42DE9" w:rsidP="00E42DE9">
      <w:r>
        <w:t xml:space="preserve">The historical period shows a trend of rising SHRs, indicating a “tightening” market in which demand is growing more quickly than generation supply.  SHRs in the beginning of the forecast are generally consistent with those observed at the end of the historical period, and remain so through the late 2020s.  Thereafter, SHRs begin to fall due to three factors.  First, renewables, primarily in the form of new wind entry and BTM PV are added over the course of the forecast, providing an inexpensive source of energy.  Second, as older, inefficient plants retire, as described above, they are replaced with new, modern, gas-fired units, which are more economical and increase the efficiency of the market.  Third, load growth, net of the adjustments described above is lower than historical rates throughout the forecast. </w:t>
      </w:r>
    </w:p>
    <w:p w14:paraId="1F2A24D6" w14:textId="77777777" w:rsidR="00E42DE9" w:rsidRPr="0033281A" w:rsidRDefault="00E42DE9" w:rsidP="00E42DE9">
      <w:pPr>
        <w:pStyle w:val="Heading4"/>
      </w:pPr>
      <w:r w:rsidRPr="0033281A">
        <w:t>Ancillary Services</w:t>
      </w:r>
      <w:r>
        <w:t xml:space="preserve"> Payment Rates</w:t>
      </w:r>
    </w:p>
    <w:p w14:paraId="2ED3D5EC" w14:textId="6C3BA88F" w:rsidR="00E42DE9" w:rsidRDefault="00E42DE9" w:rsidP="00E42DE9">
      <w:r>
        <w:t>Generators in New England can receive payments for voltage regulation, Net Commitment Period Compensation (</w:t>
      </w:r>
      <w:r w:rsidR="004625C9">
        <w:t>“</w:t>
      </w:r>
      <w:r>
        <w:t>NCPC</w:t>
      </w:r>
      <w:r w:rsidR="004625C9">
        <w:t>”</w:t>
      </w:r>
      <w:r>
        <w:t>), Forward Reserves (</w:t>
      </w:r>
      <w:r w:rsidR="004625C9">
        <w:t>“</w:t>
      </w:r>
      <w:r>
        <w:t>FR</w:t>
      </w:r>
      <w:r w:rsidR="004625C9">
        <w:t>”</w:t>
      </w:r>
      <w:r>
        <w:t>), and Real-time Reserves (</w:t>
      </w:r>
      <w:r w:rsidR="004625C9">
        <w:t>“</w:t>
      </w:r>
      <w:r>
        <w:t>RTR</w:t>
      </w:r>
      <w:r w:rsidR="004625C9">
        <w:t>”</w:t>
      </w:r>
      <w:r>
        <w:t>).  A gas turbine will not be expected to receive payments for regulation; therefore, this revenue stream is excluded from the estimate ancillary service (</w:t>
      </w:r>
      <w:r w:rsidR="004625C9">
        <w:t>“</w:t>
      </w:r>
      <w:r>
        <w:t>AS</w:t>
      </w:r>
      <w:r w:rsidR="004625C9">
        <w:t>”</w:t>
      </w:r>
      <w:r>
        <w:t xml:space="preserve">) revenues.  </w:t>
      </w:r>
      <w:r w:rsidR="004625C9">
        <w:t xml:space="preserve">Simple Cycle </w:t>
      </w:r>
      <w:r>
        <w:t xml:space="preserve">GTs are likely to receive NCPC payments; however, these are “make whole” payments designed to compensate generators who are dispatched out of economic merit to provide reliability services to the market, thus incurring losses.  Since our LMP and revenue forecasts are developed on an hourly basis and do not dispatch facilities out of merit, no such losses are incurred.  Therefore, NCPC payments are excluded from the estimate of AS revenues. </w:t>
      </w:r>
    </w:p>
    <w:p w14:paraId="53CA81A3" w14:textId="77777777" w:rsidR="00950ACC" w:rsidRDefault="00E42DE9" w:rsidP="00950ACC">
      <w:r>
        <w:lastRenderedPageBreak/>
        <w:t xml:space="preserve">A new </w:t>
      </w:r>
      <w:r w:rsidR="004625C9">
        <w:t xml:space="preserve">Simple Cycle </w:t>
      </w:r>
      <w:r>
        <w:t>GT will be expected to provide FR and RTR and thus receive compensation from the market for these services.</w:t>
      </w:r>
      <w:r w:rsidR="00950ACC">
        <w:t xml:space="preserve">  To estimate the rates at which a GT would be paid for the services, average payment rates were developed based on historical clearing prices in the reserve markets.  </w:t>
      </w:r>
    </w:p>
    <w:p w14:paraId="1ADC3AFC" w14:textId="57825569" w:rsidR="00950ACC" w:rsidRPr="00765652" w:rsidRDefault="00950ACC" w:rsidP="001436DC">
      <w:pPr>
        <w:tabs>
          <w:tab w:val="num" w:pos="1440"/>
          <w:tab w:val="num" w:pos="2160"/>
        </w:tabs>
        <w:rPr>
          <w:rFonts w:asciiTheme="minorHAnsi" w:hAnsiTheme="minorHAnsi"/>
        </w:rPr>
      </w:pPr>
      <w:r w:rsidRPr="005331B3">
        <w:rPr>
          <w:b/>
          <w:i/>
        </w:rPr>
        <w:t>Locational Forward Reserve Market</w:t>
      </w:r>
      <w:r>
        <w:t xml:space="preserve">:  </w:t>
      </w:r>
      <w:r w:rsidRPr="001436DC">
        <w:t>For each of the five commitment periods beginning with 2011/2012 through 2015/2016, a seasonal-weighted average clearing price was calculated for each product using the Rest of System Clearing Prices (the location of the reference unit).   The Forward Capacity Market Clearing Price was then subtracted from this result to obtain an annual average LFRM price, in units of $ per MW-month.  This annual average LFRM price was then divided by the average on-peak hours each month to give the average annual LFRM price in units of $ per MWh.  The results for each of the five commitment periods are shown below.  Consistent with prior treatments, we c</w:t>
      </w:r>
      <w:r w:rsidR="00822299">
        <w:t xml:space="preserve">omputed a final ‘Mid-3’ annual </w:t>
      </w:r>
      <w:r w:rsidRPr="001436DC">
        <w:t>average by taking the average of the three annual values after excluding the highest and lowest outliers.  The resulting values are shown in the tables below.</w:t>
      </w:r>
    </w:p>
    <w:p w14:paraId="6FE7C468" w14:textId="77777777" w:rsidR="00950ACC" w:rsidRDefault="00950ACC" w:rsidP="00950ACC">
      <w:pPr>
        <w:tabs>
          <w:tab w:val="num" w:pos="1440"/>
          <w:tab w:val="num" w:pos="2160"/>
        </w:tabs>
        <w:jc w:val="center"/>
        <w:rPr>
          <w:rFonts w:ascii="Calibri" w:hAnsi="Calibri"/>
          <w:bCs/>
          <w:i/>
          <w:color w:val="000000"/>
        </w:rPr>
      </w:pPr>
      <w:r w:rsidRPr="008461F1">
        <w:rPr>
          <w:rFonts w:ascii="Calibri" w:hAnsi="Calibri"/>
          <w:b/>
          <w:bCs/>
          <w:color w:val="000000"/>
          <w:sz w:val="24"/>
        </w:rPr>
        <w:t>Forward Reserve S</w:t>
      </w:r>
      <w:r>
        <w:rPr>
          <w:rFonts w:ascii="Calibri" w:hAnsi="Calibri"/>
          <w:b/>
          <w:bCs/>
          <w:color w:val="000000"/>
          <w:sz w:val="24"/>
        </w:rPr>
        <w:t>easonal Average Clearing Prices in</w:t>
      </w:r>
      <w:r w:rsidRPr="008461F1">
        <w:rPr>
          <w:rFonts w:ascii="Calibri" w:hAnsi="Calibri"/>
          <w:b/>
          <w:bCs/>
          <w:color w:val="000000"/>
          <w:sz w:val="24"/>
        </w:rPr>
        <w:t xml:space="preserve"> $/</w:t>
      </w:r>
      <w:proofErr w:type="gramStart"/>
      <w:r w:rsidRPr="008461F1">
        <w:rPr>
          <w:rFonts w:ascii="Calibri" w:hAnsi="Calibri"/>
          <w:b/>
          <w:bCs/>
          <w:color w:val="000000"/>
          <w:sz w:val="24"/>
        </w:rPr>
        <w:t>MWh</w:t>
      </w:r>
      <w:proofErr w:type="gramEnd"/>
      <w:r>
        <w:rPr>
          <w:rFonts w:ascii="Calibri" w:hAnsi="Calibri"/>
          <w:b/>
          <w:bCs/>
          <w:color w:val="000000"/>
          <w:sz w:val="24"/>
        </w:rPr>
        <w:br/>
      </w:r>
      <w:r w:rsidRPr="008461F1">
        <w:rPr>
          <w:rFonts w:ascii="Calibri" w:hAnsi="Calibri"/>
          <w:bCs/>
          <w:i/>
          <w:color w:val="000000"/>
        </w:rPr>
        <w:t>(</w:t>
      </w:r>
      <w:r>
        <w:rPr>
          <w:rFonts w:ascii="Calibri" w:hAnsi="Calibri"/>
          <w:bCs/>
          <w:i/>
          <w:color w:val="000000"/>
        </w:rPr>
        <w:t>bold</w:t>
      </w:r>
      <w:r w:rsidRPr="008461F1">
        <w:rPr>
          <w:rFonts w:ascii="Calibri" w:hAnsi="Calibri"/>
          <w:bCs/>
          <w:i/>
          <w:color w:val="000000"/>
        </w:rPr>
        <w:t xml:space="preserve"> values used in the “Mid-3 Average)</w:t>
      </w:r>
    </w:p>
    <w:tbl>
      <w:tblPr>
        <w:tblW w:w="5285" w:type="dxa"/>
        <w:jc w:val="center"/>
        <w:tblLook w:val="04A0" w:firstRow="1" w:lastRow="0" w:firstColumn="1" w:lastColumn="0" w:noHBand="0" w:noVBand="1"/>
      </w:tblPr>
      <w:tblGrid>
        <w:gridCol w:w="1995"/>
        <w:gridCol w:w="1645"/>
        <w:gridCol w:w="1645"/>
      </w:tblGrid>
      <w:tr w:rsidR="00950ACC" w:rsidRPr="008461F1" w14:paraId="0174C782" w14:textId="77777777" w:rsidTr="001436DC">
        <w:trPr>
          <w:trHeight w:val="510"/>
          <w:jc w:val="center"/>
        </w:trPr>
        <w:tc>
          <w:tcPr>
            <w:tcW w:w="19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590CF30" w14:textId="77777777" w:rsidR="00950ACC" w:rsidRPr="001436DC" w:rsidRDefault="00950ACC" w:rsidP="00634F79">
            <w:pPr>
              <w:jc w:val="left"/>
              <w:rPr>
                <w:rFonts w:ascii="Century Gothic" w:hAnsi="Century Gothic"/>
                <w:b/>
                <w:bCs/>
                <w:color w:val="000000"/>
                <w:sz w:val="18"/>
              </w:rPr>
            </w:pPr>
            <w:r w:rsidRPr="001436DC">
              <w:rPr>
                <w:rFonts w:ascii="Century Gothic" w:hAnsi="Century Gothic"/>
                <w:b/>
                <w:bCs/>
                <w:color w:val="000000"/>
                <w:sz w:val="18"/>
              </w:rPr>
              <w:t>Period</w:t>
            </w:r>
          </w:p>
        </w:tc>
        <w:tc>
          <w:tcPr>
            <w:tcW w:w="164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F695713" w14:textId="77777777" w:rsidR="00950ACC" w:rsidRPr="001436DC" w:rsidRDefault="00950ACC" w:rsidP="00634F79">
            <w:pPr>
              <w:jc w:val="center"/>
              <w:rPr>
                <w:rFonts w:ascii="Century Gothic" w:hAnsi="Century Gothic"/>
                <w:b/>
                <w:bCs/>
                <w:color w:val="000000"/>
                <w:sz w:val="18"/>
              </w:rPr>
            </w:pPr>
            <w:r w:rsidRPr="001436DC">
              <w:rPr>
                <w:rFonts w:ascii="Century Gothic" w:hAnsi="Century Gothic"/>
                <w:b/>
                <w:bCs/>
                <w:color w:val="000000"/>
                <w:sz w:val="18"/>
              </w:rPr>
              <w:t>LFRM TMNSR ($/MWh)</w:t>
            </w:r>
          </w:p>
        </w:tc>
        <w:tc>
          <w:tcPr>
            <w:tcW w:w="164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073E70A9" w14:textId="77777777" w:rsidR="00950ACC" w:rsidRPr="001436DC" w:rsidRDefault="00950ACC" w:rsidP="00634F79">
            <w:pPr>
              <w:jc w:val="center"/>
              <w:rPr>
                <w:rFonts w:ascii="Century Gothic" w:hAnsi="Century Gothic"/>
                <w:b/>
                <w:bCs/>
                <w:color w:val="000000"/>
                <w:sz w:val="18"/>
              </w:rPr>
            </w:pPr>
            <w:r w:rsidRPr="001436DC">
              <w:rPr>
                <w:rFonts w:ascii="Century Gothic" w:hAnsi="Century Gothic"/>
                <w:b/>
                <w:bCs/>
                <w:color w:val="000000"/>
                <w:sz w:val="18"/>
              </w:rPr>
              <w:t>LFRM TMOR ($/MWh)</w:t>
            </w:r>
          </w:p>
        </w:tc>
      </w:tr>
      <w:tr w:rsidR="00950ACC" w:rsidRPr="008461F1" w14:paraId="3AC9A3A1"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78167DF8" w14:textId="77777777" w:rsidR="00950ACC" w:rsidRPr="00BF404F" w:rsidRDefault="00950ACC" w:rsidP="00634F79">
            <w:pPr>
              <w:jc w:val="left"/>
              <w:rPr>
                <w:rFonts w:ascii="Century Gothic" w:hAnsi="Century Gothic"/>
                <w:b/>
                <w:color w:val="000000"/>
                <w:sz w:val="16"/>
                <w:szCs w:val="16"/>
              </w:rPr>
            </w:pPr>
            <w:r w:rsidRPr="00BF404F">
              <w:rPr>
                <w:rFonts w:ascii="Century Gothic" w:hAnsi="Century Gothic"/>
                <w:b/>
                <w:color w:val="000000"/>
                <w:sz w:val="16"/>
                <w:szCs w:val="16"/>
              </w:rPr>
              <w:t>2011-12</w:t>
            </w:r>
          </w:p>
        </w:tc>
        <w:tc>
          <w:tcPr>
            <w:tcW w:w="1645" w:type="dxa"/>
            <w:tcBorders>
              <w:top w:val="nil"/>
              <w:left w:val="nil"/>
              <w:bottom w:val="single" w:sz="4" w:space="0" w:color="auto"/>
              <w:right w:val="single" w:sz="4" w:space="0" w:color="auto"/>
            </w:tcBorders>
            <w:shd w:val="clear" w:color="auto" w:fill="auto"/>
            <w:noWrap/>
            <w:vAlign w:val="bottom"/>
            <w:hideMark/>
          </w:tcPr>
          <w:p w14:paraId="11EB98B2" w14:textId="77777777" w:rsidR="00950ACC" w:rsidRPr="001436DC" w:rsidRDefault="00950ACC" w:rsidP="00634F79">
            <w:pPr>
              <w:jc w:val="center"/>
              <w:rPr>
                <w:rFonts w:ascii="Century Gothic" w:hAnsi="Century Gothic"/>
                <w:sz w:val="16"/>
                <w:szCs w:val="16"/>
              </w:rPr>
            </w:pPr>
            <w:r w:rsidRPr="001436DC">
              <w:rPr>
                <w:rFonts w:ascii="Century Gothic" w:hAnsi="Century Gothic"/>
                <w:sz w:val="16"/>
                <w:szCs w:val="16"/>
              </w:rPr>
              <w:t>2.38</w:t>
            </w:r>
          </w:p>
        </w:tc>
        <w:tc>
          <w:tcPr>
            <w:tcW w:w="1645" w:type="dxa"/>
            <w:tcBorders>
              <w:top w:val="nil"/>
              <w:left w:val="nil"/>
              <w:bottom w:val="single" w:sz="4" w:space="0" w:color="auto"/>
              <w:right w:val="single" w:sz="4" w:space="0" w:color="auto"/>
            </w:tcBorders>
            <w:vAlign w:val="bottom"/>
          </w:tcPr>
          <w:p w14:paraId="164D9E96" w14:textId="77777777" w:rsidR="00950ACC" w:rsidRPr="001436DC" w:rsidRDefault="00950ACC" w:rsidP="00634F79">
            <w:pPr>
              <w:jc w:val="center"/>
              <w:rPr>
                <w:rFonts w:ascii="Century Gothic" w:hAnsi="Century Gothic"/>
                <w:sz w:val="16"/>
                <w:szCs w:val="16"/>
              </w:rPr>
            </w:pPr>
            <w:r w:rsidRPr="001436DC">
              <w:rPr>
                <w:rFonts w:ascii="Century Gothic" w:hAnsi="Century Gothic"/>
                <w:sz w:val="16"/>
                <w:szCs w:val="16"/>
              </w:rPr>
              <w:t>2.38</w:t>
            </w:r>
          </w:p>
        </w:tc>
      </w:tr>
      <w:tr w:rsidR="00950ACC" w:rsidRPr="008461F1" w14:paraId="5DBEB849"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649727BC" w14:textId="77777777" w:rsidR="00950ACC" w:rsidRPr="00BF404F" w:rsidRDefault="00950ACC" w:rsidP="00634F79">
            <w:pPr>
              <w:jc w:val="left"/>
              <w:rPr>
                <w:rFonts w:ascii="Century Gothic" w:hAnsi="Century Gothic"/>
                <w:b/>
                <w:color w:val="000000"/>
                <w:sz w:val="16"/>
                <w:szCs w:val="16"/>
              </w:rPr>
            </w:pPr>
            <w:r w:rsidRPr="00BF404F">
              <w:rPr>
                <w:rFonts w:ascii="Century Gothic" w:hAnsi="Century Gothic"/>
                <w:b/>
                <w:color w:val="000000"/>
                <w:sz w:val="16"/>
                <w:szCs w:val="16"/>
              </w:rPr>
              <w:t>2012-13</w:t>
            </w:r>
          </w:p>
        </w:tc>
        <w:tc>
          <w:tcPr>
            <w:tcW w:w="1645" w:type="dxa"/>
            <w:tcBorders>
              <w:top w:val="nil"/>
              <w:left w:val="nil"/>
              <w:bottom w:val="single" w:sz="4" w:space="0" w:color="auto"/>
              <w:right w:val="single" w:sz="4" w:space="0" w:color="auto"/>
            </w:tcBorders>
            <w:shd w:val="clear" w:color="auto" w:fill="auto"/>
            <w:noWrap/>
            <w:vAlign w:val="bottom"/>
            <w:hideMark/>
          </w:tcPr>
          <w:p w14:paraId="15DC45BE" w14:textId="77777777" w:rsidR="00950ACC" w:rsidRPr="001436DC" w:rsidRDefault="00950ACC" w:rsidP="00634F79">
            <w:pPr>
              <w:jc w:val="center"/>
              <w:rPr>
                <w:rFonts w:ascii="Century Gothic" w:hAnsi="Century Gothic"/>
                <w:color w:val="000000"/>
                <w:sz w:val="16"/>
                <w:szCs w:val="16"/>
              </w:rPr>
            </w:pPr>
            <w:r w:rsidRPr="001436DC">
              <w:rPr>
                <w:rFonts w:ascii="Century Gothic" w:hAnsi="Century Gothic"/>
                <w:color w:val="000000"/>
                <w:sz w:val="16"/>
                <w:szCs w:val="16"/>
              </w:rPr>
              <w:t>1.19</w:t>
            </w:r>
          </w:p>
        </w:tc>
        <w:tc>
          <w:tcPr>
            <w:tcW w:w="1645" w:type="dxa"/>
            <w:tcBorders>
              <w:top w:val="nil"/>
              <w:left w:val="nil"/>
              <w:bottom w:val="single" w:sz="4" w:space="0" w:color="auto"/>
              <w:right w:val="single" w:sz="4" w:space="0" w:color="auto"/>
            </w:tcBorders>
            <w:vAlign w:val="bottom"/>
          </w:tcPr>
          <w:p w14:paraId="3E6C59D3" w14:textId="77777777" w:rsidR="00950ACC" w:rsidRPr="001436DC" w:rsidRDefault="00950ACC" w:rsidP="00634F79">
            <w:pPr>
              <w:jc w:val="center"/>
              <w:rPr>
                <w:rFonts w:ascii="Century Gothic" w:hAnsi="Century Gothic"/>
                <w:color w:val="000000"/>
                <w:sz w:val="16"/>
                <w:szCs w:val="16"/>
              </w:rPr>
            </w:pPr>
            <w:r w:rsidRPr="001436DC">
              <w:rPr>
                <w:rFonts w:ascii="Century Gothic" w:hAnsi="Century Gothic"/>
                <w:color w:val="000000"/>
                <w:sz w:val="16"/>
                <w:szCs w:val="16"/>
              </w:rPr>
              <w:t>1.19</w:t>
            </w:r>
          </w:p>
        </w:tc>
      </w:tr>
      <w:tr w:rsidR="00950ACC" w:rsidRPr="008461F1" w14:paraId="58BF6EE1"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78B0B10B" w14:textId="77777777" w:rsidR="00950ACC" w:rsidRPr="00BF404F" w:rsidRDefault="00950ACC" w:rsidP="00634F79">
            <w:pPr>
              <w:jc w:val="left"/>
              <w:rPr>
                <w:rFonts w:ascii="Century Gothic" w:hAnsi="Century Gothic"/>
                <w:b/>
                <w:color w:val="000000"/>
                <w:sz w:val="16"/>
                <w:szCs w:val="16"/>
              </w:rPr>
            </w:pPr>
            <w:r w:rsidRPr="00BF404F">
              <w:rPr>
                <w:rFonts w:ascii="Century Gothic" w:hAnsi="Century Gothic"/>
                <w:b/>
                <w:color w:val="000000"/>
                <w:sz w:val="16"/>
                <w:szCs w:val="16"/>
              </w:rPr>
              <w:t>2013-14</w:t>
            </w:r>
          </w:p>
        </w:tc>
        <w:tc>
          <w:tcPr>
            <w:tcW w:w="1645" w:type="dxa"/>
            <w:tcBorders>
              <w:top w:val="nil"/>
              <w:left w:val="nil"/>
              <w:bottom w:val="single" w:sz="4" w:space="0" w:color="auto"/>
              <w:right w:val="single" w:sz="4" w:space="0" w:color="auto"/>
            </w:tcBorders>
            <w:shd w:val="clear" w:color="auto" w:fill="auto"/>
            <w:noWrap/>
            <w:vAlign w:val="bottom"/>
            <w:hideMark/>
          </w:tcPr>
          <w:p w14:paraId="2D84DBBF" w14:textId="77777777" w:rsidR="00950ACC" w:rsidRPr="001436DC" w:rsidRDefault="00950ACC" w:rsidP="00634F79">
            <w:pPr>
              <w:jc w:val="center"/>
              <w:rPr>
                <w:rFonts w:ascii="Century Gothic" w:hAnsi="Century Gothic"/>
                <w:sz w:val="16"/>
                <w:szCs w:val="16"/>
              </w:rPr>
            </w:pPr>
            <w:r w:rsidRPr="001436DC">
              <w:rPr>
                <w:rFonts w:ascii="Century Gothic" w:hAnsi="Century Gothic"/>
                <w:sz w:val="16"/>
                <w:szCs w:val="16"/>
              </w:rPr>
              <w:t>13.88</w:t>
            </w:r>
          </w:p>
        </w:tc>
        <w:tc>
          <w:tcPr>
            <w:tcW w:w="1645" w:type="dxa"/>
            <w:tcBorders>
              <w:top w:val="nil"/>
              <w:left w:val="nil"/>
              <w:bottom w:val="single" w:sz="4" w:space="0" w:color="auto"/>
              <w:right w:val="single" w:sz="4" w:space="0" w:color="auto"/>
            </w:tcBorders>
            <w:vAlign w:val="bottom"/>
          </w:tcPr>
          <w:p w14:paraId="5CEF05D4" w14:textId="77777777" w:rsidR="00950ACC" w:rsidRPr="001436DC" w:rsidRDefault="00950ACC" w:rsidP="00634F79">
            <w:pPr>
              <w:jc w:val="center"/>
              <w:rPr>
                <w:rFonts w:ascii="Century Gothic" w:hAnsi="Century Gothic"/>
                <w:sz w:val="16"/>
                <w:szCs w:val="16"/>
              </w:rPr>
            </w:pPr>
            <w:r w:rsidRPr="001436DC">
              <w:rPr>
                <w:rFonts w:ascii="Century Gothic" w:hAnsi="Century Gothic"/>
                <w:sz w:val="16"/>
                <w:szCs w:val="16"/>
              </w:rPr>
              <w:t>9.60</w:t>
            </w:r>
          </w:p>
        </w:tc>
      </w:tr>
      <w:tr w:rsidR="00950ACC" w:rsidRPr="008461F1" w14:paraId="3554CDC5"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430D97E9" w14:textId="77777777" w:rsidR="00950ACC" w:rsidRPr="00BF404F" w:rsidRDefault="00950ACC" w:rsidP="00634F79">
            <w:pPr>
              <w:jc w:val="left"/>
              <w:rPr>
                <w:rFonts w:ascii="Century Gothic" w:hAnsi="Century Gothic"/>
                <w:b/>
                <w:color w:val="000000"/>
                <w:sz w:val="16"/>
                <w:szCs w:val="16"/>
              </w:rPr>
            </w:pPr>
            <w:r w:rsidRPr="00BF404F">
              <w:rPr>
                <w:rFonts w:ascii="Century Gothic" w:hAnsi="Century Gothic"/>
                <w:b/>
                <w:color w:val="000000"/>
                <w:sz w:val="16"/>
                <w:szCs w:val="16"/>
              </w:rPr>
              <w:t>2014-15</w:t>
            </w:r>
          </w:p>
        </w:tc>
        <w:tc>
          <w:tcPr>
            <w:tcW w:w="1645" w:type="dxa"/>
            <w:tcBorders>
              <w:top w:val="nil"/>
              <w:left w:val="nil"/>
              <w:bottom w:val="single" w:sz="4" w:space="0" w:color="auto"/>
              <w:right w:val="single" w:sz="4" w:space="0" w:color="auto"/>
            </w:tcBorders>
            <w:shd w:val="clear" w:color="auto" w:fill="auto"/>
            <w:noWrap/>
            <w:vAlign w:val="bottom"/>
            <w:hideMark/>
          </w:tcPr>
          <w:p w14:paraId="7B89AE3E" w14:textId="77777777" w:rsidR="00950ACC" w:rsidRPr="001436DC" w:rsidRDefault="00950ACC" w:rsidP="00634F79">
            <w:pPr>
              <w:jc w:val="center"/>
              <w:rPr>
                <w:rFonts w:ascii="Century Gothic" w:hAnsi="Century Gothic"/>
                <w:color w:val="000000"/>
                <w:sz w:val="16"/>
                <w:szCs w:val="16"/>
              </w:rPr>
            </w:pPr>
            <w:r w:rsidRPr="001436DC">
              <w:rPr>
                <w:rFonts w:ascii="Century Gothic" w:hAnsi="Century Gothic"/>
                <w:color w:val="000000"/>
                <w:sz w:val="16"/>
                <w:szCs w:val="16"/>
              </w:rPr>
              <w:t>20.89</w:t>
            </w:r>
          </w:p>
        </w:tc>
        <w:tc>
          <w:tcPr>
            <w:tcW w:w="1645" w:type="dxa"/>
            <w:tcBorders>
              <w:top w:val="nil"/>
              <w:left w:val="nil"/>
              <w:bottom w:val="single" w:sz="4" w:space="0" w:color="auto"/>
              <w:right w:val="single" w:sz="4" w:space="0" w:color="auto"/>
            </w:tcBorders>
            <w:vAlign w:val="bottom"/>
          </w:tcPr>
          <w:p w14:paraId="6BEE703D" w14:textId="77777777" w:rsidR="00950ACC" w:rsidRPr="001436DC" w:rsidRDefault="00950ACC" w:rsidP="00634F79">
            <w:pPr>
              <w:jc w:val="center"/>
              <w:rPr>
                <w:rFonts w:ascii="Century Gothic" w:hAnsi="Century Gothic"/>
                <w:color w:val="000000"/>
                <w:sz w:val="16"/>
                <w:szCs w:val="16"/>
              </w:rPr>
            </w:pPr>
            <w:r w:rsidRPr="001436DC">
              <w:rPr>
                <w:rFonts w:ascii="Century Gothic" w:hAnsi="Century Gothic"/>
                <w:color w:val="000000"/>
                <w:sz w:val="16"/>
                <w:szCs w:val="16"/>
              </w:rPr>
              <w:t>20.89</w:t>
            </w:r>
          </w:p>
        </w:tc>
      </w:tr>
      <w:tr w:rsidR="00950ACC" w:rsidRPr="008461F1" w14:paraId="7A29615A"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1166D0EA" w14:textId="77777777" w:rsidR="00950ACC" w:rsidRPr="00BF404F" w:rsidRDefault="00950ACC" w:rsidP="00634F79">
            <w:pPr>
              <w:jc w:val="left"/>
              <w:rPr>
                <w:rFonts w:ascii="Century Gothic" w:hAnsi="Century Gothic"/>
                <w:b/>
                <w:color w:val="000000"/>
                <w:sz w:val="16"/>
                <w:szCs w:val="16"/>
              </w:rPr>
            </w:pPr>
            <w:r w:rsidRPr="00BF404F">
              <w:rPr>
                <w:rFonts w:ascii="Century Gothic" w:hAnsi="Century Gothic"/>
                <w:b/>
                <w:color w:val="000000"/>
                <w:sz w:val="16"/>
                <w:szCs w:val="16"/>
              </w:rPr>
              <w:t>2015-16</w:t>
            </w:r>
          </w:p>
        </w:tc>
        <w:tc>
          <w:tcPr>
            <w:tcW w:w="1645" w:type="dxa"/>
            <w:tcBorders>
              <w:top w:val="nil"/>
              <w:left w:val="nil"/>
              <w:bottom w:val="single" w:sz="4" w:space="0" w:color="auto"/>
              <w:right w:val="single" w:sz="4" w:space="0" w:color="auto"/>
            </w:tcBorders>
            <w:shd w:val="clear" w:color="auto" w:fill="auto"/>
            <w:noWrap/>
            <w:vAlign w:val="bottom"/>
            <w:hideMark/>
          </w:tcPr>
          <w:p w14:paraId="30696C63" w14:textId="77777777" w:rsidR="00950ACC" w:rsidRPr="001436DC" w:rsidRDefault="00950ACC" w:rsidP="00634F79">
            <w:pPr>
              <w:jc w:val="center"/>
              <w:rPr>
                <w:rFonts w:ascii="Century Gothic" w:hAnsi="Century Gothic"/>
                <w:sz w:val="16"/>
                <w:szCs w:val="16"/>
              </w:rPr>
            </w:pPr>
            <w:r w:rsidRPr="001436DC">
              <w:rPr>
                <w:rFonts w:ascii="Century Gothic" w:hAnsi="Century Gothic"/>
                <w:sz w:val="16"/>
                <w:szCs w:val="16"/>
              </w:rPr>
              <w:t>6.35</w:t>
            </w:r>
          </w:p>
        </w:tc>
        <w:tc>
          <w:tcPr>
            <w:tcW w:w="1645" w:type="dxa"/>
            <w:tcBorders>
              <w:top w:val="nil"/>
              <w:left w:val="nil"/>
              <w:bottom w:val="single" w:sz="4" w:space="0" w:color="auto"/>
              <w:right w:val="single" w:sz="4" w:space="0" w:color="auto"/>
            </w:tcBorders>
            <w:vAlign w:val="bottom"/>
          </w:tcPr>
          <w:p w14:paraId="576FE176" w14:textId="77777777" w:rsidR="00950ACC" w:rsidRPr="001436DC" w:rsidRDefault="00950ACC" w:rsidP="00634F79">
            <w:pPr>
              <w:jc w:val="center"/>
              <w:rPr>
                <w:rFonts w:ascii="Century Gothic" w:hAnsi="Century Gothic"/>
                <w:sz w:val="16"/>
                <w:szCs w:val="16"/>
              </w:rPr>
            </w:pPr>
            <w:r w:rsidRPr="001436DC">
              <w:rPr>
                <w:rFonts w:ascii="Century Gothic" w:hAnsi="Century Gothic"/>
                <w:sz w:val="16"/>
                <w:szCs w:val="16"/>
              </w:rPr>
              <w:t>6.35</w:t>
            </w:r>
          </w:p>
        </w:tc>
      </w:tr>
      <w:tr w:rsidR="00950ACC" w:rsidRPr="008461F1" w14:paraId="7C4EE384" w14:textId="77777777" w:rsidTr="00634F79">
        <w:trPr>
          <w:trHeight w:val="30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2088B2B5" w14:textId="77777777" w:rsidR="00950ACC" w:rsidRPr="001436DC" w:rsidRDefault="00950ACC" w:rsidP="00634F79">
            <w:pPr>
              <w:jc w:val="left"/>
              <w:rPr>
                <w:rFonts w:ascii="Century Gothic" w:hAnsi="Century Gothic"/>
                <w:b/>
                <w:bCs/>
                <w:color w:val="000000"/>
                <w:sz w:val="16"/>
                <w:szCs w:val="16"/>
              </w:rPr>
            </w:pPr>
            <w:r w:rsidRPr="001436DC">
              <w:rPr>
                <w:rFonts w:ascii="Century Gothic" w:hAnsi="Century Gothic"/>
                <w:b/>
                <w:bCs/>
                <w:color w:val="000000"/>
                <w:sz w:val="16"/>
                <w:szCs w:val="16"/>
              </w:rPr>
              <w:t>Mid-3 Average</w:t>
            </w:r>
          </w:p>
        </w:tc>
        <w:tc>
          <w:tcPr>
            <w:tcW w:w="1645" w:type="dxa"/>
            <w:tcBorders>
              <w:top w:val="nil"/>
              <w:left w:val="nil"/>
              <w:bottom w:val="single" w:sz="4" w:space="0" w:color="auto"/>
              <w:right w:val="single" w:sz="4" w:space="0" w:color="auto"/>
            </w:tcBorders>
            <w:shd w:val="clear" w:color="auto" w:fill="auto"/>
            <w:noWrap/>
            <w:vAlign w:val="bottom"/>
            <w:hideMark/>
          </w:tcPr>
          <w:p w14:paraId="373C8AB8" w14:textId="77777777" w:rsidR="00950ACC" w:rsidRPr="001436DC" w:rsidRDefault="00950ACC" w:rsidP="00634F79">
            <w:pPr>
              <w:jc w:val="center"/>
              <w:rPr>
                <w:rFonts w:ascii="Century Gothic" w:hAnsi="Century Gothic"/>
                <w:b/>
                <w:bCs/>
                <w:color w:val="000000"/>
                <w:sz w:val="16"/>
                <w:szCs w:val="16"/>
              </w:rPr>
            </w:pPr>
            <w:r w:rsidRPr="001436DC">
              <w:rPr>
                <w:rFonts w:ascii="Century Gothic" w:hAnsi="Century Gothic"/>
                <w:b/>
                <w:bCs/>
                <w:color w:val="000000"/>
                <w:sz w:val="16"/>
                <w:szCs w:val="16"/>
              </w:rPr>
              <w:t>7.54</w:t>
            </w:r>
          </w:p>
        </w:tc>
        <w:tc>
          <w:tcPr>
            <w:tcW w:w="1645" w:type="dxa"/>
            <w:tcBorders>
              <w:top w:val="nil"/>
              <w:left w:val="nil"/>
              <w:bottom w:val="single" w:sz="4" w:space="0" w:color="auto"/>
              <w:right w:val="single" w:sz="4" w:space="0" w:color="auto"/>
            </w:tcBorders>
            <w:vAlign w:val="bottom"/>
          </w:tcPr>
          <w:p w14:paraId="28A27AD4" w14:textId="77777777" w:rsidR="00950ACC" w:rsidRPr="001436DC" w:rsidRDefault="00950ACC" w:rsidP="00634F79">
            <w:pPr>
              <w:jc w:val="center"/>
              <w:rPr>
                <w:rFonts w:ascii="Century Gothic" w:hAnsi="Century Gothic"/>
                <w:b/>
                <w:bCs/>
                <w:color w:val="000000"/>
                <w:sz w:val="16"/>
                <w:szCs w:val="16"/>
              </w:rPr>
            </w:pPr>
            <w:r w:rsidRPr="001436DC">
              <w:rPr>
                <w:rFonts w:ascii="Century Gothic" w:hAnsi="Century Gothic"/>
                <w:b/>
                <w:bCs/>
                <w:color w:val="000000"/>
                <w:sz w:val="16"/>
                <w:szCs w:val="16"/>
              </w:rPr>
              <w:t>6.11</w:t>
            </w:r>
          </w:p>
        </w:tc>
      </w:tr>
    </w:tbl>
    <w:p w14:paraId="797B2A3F" w14:textId="77777777" w:rsidR="00950ACC" w:rsidRDefault="00950ACC" w:rsidP="00950ACC"/>
    <w:p w14:paraId="0510B74A" w14:textId="44E51D37" w:rsidR="00950ACC" w:rsidRDefault="00950ACC" w:rsidP="00950ACC">
      <w:r w:rsidRPr="001436DC">
        <w:t>Prior to applying the rates above in the E&amp;AS model, an adjustment was made to account for penalties in the Forward Reserve Market.  The E&amp;AS model does adjust revenues to account for expected unit availability – for example, it is assumed that the unit will not be 100% available for dispatch over the life of the unit.  However, this does not fully account for Failure to Reserve penalties due to other conditions.  Actual FRM penalties assessed to participants with GT resources that regularly participate in the LFRM were analyzed over the five</w:t>
      </w:r>
      <w:r w:rsidR="00D106BF">
        <w:t>-</w:t>
      </w:r>
      <w:r w:rsidRPr="001436DC">
        <w:t>year study period (corresponding to the total period covered in the tables above).  The Failure to Reserve MWh averaged 2.1% of the total FRM Obligation MWh for the LFRM participants using (only) GT resources to meet their FRM Obligations.  The average penalty charges (in dollars) were 3.5</w:t>
      </w:r>
      <w:r w:rsidRPr="001436DC">
        <w:footnoteReference w:id="47"/>
      </w:r>
      <w:r w:rsidRPr="001436DC">
        <w:t>.  Accordingly, the LFRM average revenue values described in the tables immediately above were adjusted by 3.5% to account for the penalties that could be reasonably expected in the Forward Reserve market.</w:t>
      </w:r>
    </w:p>
    <w:p w14:paraId="6D5443DC" w14:textId="77777777" w:rsidR="00950ACC" w:rsidRDefault="00950ACC" w:rsidP="00950ACC"/>
    <w:p w14:paraId="54BC2EAE" w14:textId="77777777" w:rsidR="00950ACC" w:rsidRPr="001436DC" w:rsidRDefault="00950ACC" w:rsidP="001436DC">
      <w:pPr>
        <w:tabs>
          <w:tab w:val="num" w:pos="1440"/>
          <w:tab w:val="num" w:pos="2160"/>
        </w:tabs>
        <w:jc w:val="left"/>
      </w:pPr>
      <w:r>
        <w:rPr>
          <w:b/>
          <w:i/>
        </w:rPr>
        <w:t>Real-Time Reserve Market:</w:t>
      </w:r>
      <w:r>
        <w:rPr>
          <w:b/>
        </w:rPr>
        <w:t xml:space="preserve">  </w:t>
      </w:r>
      <w:r w:rsidRPr="001436DC">
        <w:t>For each of the five commitment periods beginning with 2011/2012 through 2015/2016, an average RTR clearing price was calculated for each RTR product for all off-peak hours.</w:t>
      </w:r>
      <w:r w:rsidRPr="001436DC">
        <w:footnoteReference w:id="48"/>
      </w:r>
      <w:r w:rsidRPr="001436DC">
        <w:t xml:space="preserve">  Consistent with the LFRM calculations, a ‘Mid-3’ annual average was calculated using the three annual values that exclude the highest and lowest outliers.  The resulting values are shown in the Tables below, in both $/MWh and $/kW-month, and were applied in the E&amp;AS model.</w:t>
      </w:r>
    </w:p>
    <w:p w14:paraId="07E5F216" w14:textId="77777777" w:rsidR="00950ACC" w:rsidRDefault="00950ACC" w:rsidP="00950ACC">
      <w:pPr>
        <w:keepNext/>
        <w:keepLines/>
        <w:tabs>
          <w:tab w:val="num" w:pos="1440"/>
          <w:tab w:val="num" w:pos="2160"/>
        </w:tabs>
        <w:jc w:val="center"/>
        <w:rPr>
          <w:rFonts w:ascii="Calibri" w:hAnsi="Calibri"/>
          <w:bCs/>
          <w:i/>
          <w:color w:val="000000"/>
        </w:rPr>
      </w:pPr>
      <w:r>
        <w:rPr>
          <w:rFonts w:ascii="Calibri" w:hAnsi="Calibri"/>
          <w:b/>
          <w:bCs/>
          <w:color w:val="000000"/>
          <w:sz w:val="24"/>
        </w:rPr>
        <w:t>Real-Time</w:t>
      </w:r>
      <w:r w:rsidRPr="008461F1">
        <w:rPr>
          <w:rFonts w:ascii="Calibri" w:hAnsi="Calibri"/>
          <w:b/>
          <w:bCs/>
          <w:color w:val="000000"/>
          <w:sz w:val="24"/>
        </w:rPr>
        <w:t xml:space="preserve"> Reserve </w:t>
      </w:r>
      <w:r>
        <w:rPr>
          <w:rFonts w:ascii="Calibri" w:hAnsi="Calibri"/>
          <w:b/>
          <w:bCs/>
          <w:color w:val="000000"/>
          <w:sz w:val="24"/>
        </w:rPr>
        <w:t>Average Clearing Prices in</w:t>
      </w:r>
      <w:r w:rsidRPr="008461F1">
        <w:rPr>
          <w:rFonts w:ascii="Calibri" w:hAnsi="Calibri"/>
          <w:b/>
          <w:bCs/>
          <w:color w:val="000000"/>
          <w:sz w:val="24"/>
        </w:rPr>
        <w:t xml:space="preserve"> $/</w:t>
      </w:r>
      <w:proofErr w:type="gramStart"/>
      <w:r w:rsidRPr="008461F1">
        <w:rPr>
          <w:rFonts w:ascii="Calibri" w:hAnsi="Calibri"/>
          <w:b/>
          <w:bCs/>
          <w:color w:val="000000"/>
          <w:sz w:val="24"/>
        </w:rPr>
        <w:t>MWh</w:t>
      </w:r>
      <w:proofErr w:type="gramEnd"/>
      <w:r>
        <w:rPr>
          <w:rFonts w:ascii="Calibri" w:hAnsi="Calibri"/>
          <w:b/>
          <w:bCs/>
          <w:color w:val="000000"/>
          <w:sz w:val="24"/>
        </w:rPr>
        <w:br/>
      </w:r>
      <w:r w:rsidRPr="008461F1">
        <w:rPr>
          <w:rFonts w:ascii="Calibri" w:hAnsi="Calibri"/>
          <w:bCs/>
          <w:i/>
          <w:color w:val="000000"/>
        </w:rPr>
        <w:t>(</w:t>
      </w:r>
      <w:r>
        <w:rPr>
          <w:rFonts w:ascii="Calibri" w:hAnsi="Calibri"/>
          <w:bCs/>
          <w:i/>
          <w:color w:val="000000"/>
        </w:rPr>
        <w:t>bold</w:t>
      </w:r>
      <w:r w:rsidRPr="008461F1">
        <w:rPr>
          <w:rFonts w:ascii="Calibri" w:hAnsi="Calibri"/>
          <w:bCs/>
          <w:i/>
          <w:color w:val="000000"/>
        </w:rPr>
        <w:t xml:space="preserve"> values used in the “Mid-3 Average)</w:t>
      </w:r>
    </w:p>
    <w:tbl>
      <w:tblPr>
        <w:tblW w:w="5415" w:type="dxa"/>
        <w:jc w:val="center"/>
        <w:tblLook w:val="04A0" w:firstRow="1" w:lastRow="0" w:firstColumn="1" w:lastColumn="0" w:noHBand="0" w:noVBand="1"/>
      </w:tblPr>
      <w:tblGrid>
        <w:gridCol w:w="1995"/>
        <w:gridCol w:w="1800"/>
        <w:gridCol w:w="1620"/>
      </w:tblGrid>
      <w:tr w:rsidR="00950ACC" w:rsidRPr="008461F1" w14:paraId="1A738FA3" w14:textId="77777777" w:rsidTr="001436DC">
        <w:trPr>
          <w:trHeight w:val="510"/>
          <w:jc w:val="center"/>
        </w:trPr>
        <w:tc>
          <w:tcPr>
            <w:tcW w:w="19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6732174" w14:textId="77777777" w:rsidR="00950ACC" w:rsidRPr="001436DC" w:rsidRDefault="00950ACC" w:rsidP="00634F79">
            <w:pPr>
              <w:jc w:val="center"/>
              <w:rPr>
                <w:rFonts w:ascii="Century Gothic" w:hAnsi="Century Gothic"/>
                <w:b/>
                <w:bCs/>
                <w:color w:val="000000"/>
                <w:sz w:val="18"/>
              </w:rPr>
            </w:pPr>
            <w:r w:rsidRPr="001436DC">
              <w:rPr>
                <w:rFonts w:ascii="Century Gothic" w:hAnsi="Century Gothic"/>
                <w:b/>
                <w:bCs/>
                <w:color w:val="000000"/>
                <w:sz w:val="18"/>
              </w:rPr>
              <w:t xml:space="preserve">Average Off-Peak Clearing Price </w:t>
            </w:r>
          </w:p>
        </w:tc>
        <w:tc>
          <w:tcPr>
            <w:tcW w:w="180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9D739E2" w14:textId="77777777" w:rsidR="00950ACC" w:rsidRPr="001436DC" w:rsidRDefault="00950ACC" w:rsidP="00634F79">
            <w:pPr>
              <w:jc w:val="center"/>
              <w:rPr>
                <w:rFonts w:ascii="Century Gothic" w:hAnsi="Century Gothic"/>
                <w:b/>
                <w:bCs/>
                <w:color w:val="000000"/>
                <w:sz w:val="18"/>
              </w:rPr>
            </w:pPr>
            <w:r w:rsidRPr="001436DC">
              <w:rPr>
                <w:rFonts w:ascii="Century Gothic" w:hAnsi="Century Gothic"/>
                <w:b/>
                <w:bCs/>
                <w:color w:val="000000"/>
                <w:sz w:val="18"/>
              </w:rPr>
              <w:t xml:space="preserve">RTR TMNSR </w:t>
            </w:r>
            <w:r w:rsidRPr="001436DC">
              <w:rPr>
                <w:rFonts w:ascii="Century Gothic" w:hAnsi="Century Gothic"/>
                <w:b/>
                <w:bCs/>
                <w:color w:val="000000"/>
                <w:sz w:val="18"/>
              </w:rPr>
              <w:br/>
              <w:t>($/MWh)</w:t>
            </w:r>
          </w:p>
        </w:tc>
        <w:tc>
          <w:tcPr>
            <w:tcW w:w="16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0D4454D" w14:textId="77777777" w:rsidR="00950ACC" w:rsidRPr="001436DC" w:rsidRDefault="00950ACC" w:rsidP="00634F79">
            <w:pPr>
              <w:jc w:val="center"/>
              <w:rPr>
                <w:rFonts w:ascii="Century Gothic" w:hAnsi="Century Gothic"/>
                <w:b/>
                <w:bCs/>
                <w:color w:val="000000"/>
                <w:sz w:val="18"/>
              </w:rPr>
            </w:pPr>
            <w:r w:rsidRPr="001436DC">
              <w:rPr>
                <w:rFonts w:ascii="Century Gothic" w:hAnsi="Century Gothic"/>
                <w:b/>
                <w:bCs/>
                <w:color w:val="000000"/>
                <w:sz w:val="18"/>
              </w:rPr>
              <w:t xml:space="preserve">RTR TMOR </w:t>
            </w:r>
            <w:r w:rsidRPr="001436DC">
              <w:rPr>
                <w:rFonts w:ascii="Century Gothic" w:hAnsi="Century Gothic"/>
                <w:b/>
                <w:bCs/>
                <w:color w:val="000000"/>
                <w:sz w:val="18"/>
              </w:rPr>
              <w:br/>
              <w:t>($/MWh)</w:t>
            </w:r>
          </w:p>
        </w:tc>
      </w:tr>
      <w:tr w:rsidR="00950ACC" w:rsidRPr="008461F1" w14:paraId="76CFDACF"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5E5A3302" w14:textId="77777777" w:rsidR="00950ACC" w:rsidRPr="00BF404F" w:rsidRDefault="00950ACC" w:rsidP="00634F79">
            <w:pPr>
              <w:jc w:val="left"/>
              <w:rPr>
                <w:rFonts w:ascii="Century Gothic" w:hAnsi="Century Gothic"/>
                <w:b/>
                <w:color w:val="000000"/>
                <w:sz w:val="18"/>
              </w:rPr>
            </w:pPr>
            <w:r w:rsidRPr="00BF404F">
              <w:rPr>
                <w:rFonts w:ascii="Century Gothic" w:hAnsi="Century Gothic"/>
                <w:b/>
                <w:color w:val="000000"/>
                <w:sz w:val="18"/>
              </w:rPr>
              <w:t>2011/12</w:t>
            </w:r>
          </w:p>
        </w:tc>
        <w:tc>
          <w:tcPr>
            <w:tcW w:w="1800" w:type="dxa"/>
            <w:tcBorders>
              <w:top w:val="nil"/>
              <w:left w:val="nil"/>
              <w:bottom w:val="single" w:sz="4" w:space="0" w:color="auto"/>
              <w:right w:val="single" w:sz="4" w:space="0" w:color="auto"/>
            </w:tcBorders>
            <w:shd w:val="clear" w:color="auto" w:fill="auto"/>
            <w:noWrap/>
            <w:vAlign w:val="bottom"/>
            <w:hideMark/>
          </w:tcPr>
          <w:p w14:paraId="4563C8EA" w14:textId="77777777" w:rsidR="00950ACC" w:rsidRPr="001436DC" w:rsidRDefault="00950ACC" w:rsidP="00634F79">
            <w:pPr>
              <w:jc w:val="center"/>
              <w:rPr>
                <w:rFonts w:ascii="Century Gothic" w:hAnsi="Century Gothic"/>
                <w:color w:val="000000"/>
                <w:sz w:val="18"/>
              </w:rPr>
            </w:pPr>
            <w:r w:rsidRPr="001436DC">
              <w:rPr>
                <w:rFonts w:ascii="Century Gothic" w:hAnsi="Century Gothic"/>
                <w:color w:val="000000"/>
                <w:sz w:val="18"/>
              </w:rPr>
              <w:t>0.05</w:t>
            </w:r>
          </w:p>
        </w:tc>
        <w:tc>
          <w:tcPr>
            <w:tcW w:w="1620" w:type="dxa"/>
            <w:tcBorders>
              <w:top w:val="nil"/>
              <w:left w:val="nil"/>
              <w:bottom w:val="single" w:sz="4" w:space="0" w:color="auto"/>
              <w:right w:val="single" w:sz="4" w:space="0" w:color="auto"/>
            </w:tcBorders>
            <w:shd w:val="clear" w:color="auto" w:fill="auto"/>
            <w:noWrap/>
            <w:vAlign w:val="bottom"/>
            <w:hideMark/>
          </w:tcPr>
          <w:p w14:paraId="201F9625" w14:textId="77777777" w:rsidR="00950ACC" w:rsidRPr="001436DC" w:rsidRDefault="00950ACC" w:rsidP="00634F79">
            <w:pPr>
              <w:jc w:val="center"/>
              <w:rPr>
                <w:rFonts w:ascii="Century Gothic" w:hAnsi="Century Gothic"/>
                <w:color w:val="000000"/>
                <w:sz w:val="18"/>
              </w:rPr>
            </w:pPr>
            <w:r w:rsidRPr="001436DC">
              <w:rPr>
                <w:rFonts w:ascii="Century Gothic" w:hAnsi="Century Gothic"/>
                <w:color w:val="000000"/>
                <w:sz w:val="18"/>
              </w:rPr>
              <w:t>0.05</w:t>
            </w:r>
          </w:p>
        </w:tc>
      </w:tr>
      <w:tr w:rsidR="00950ACC" w:rsidRPr="008461F1" w14:paraId="12C62DAD"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1F0A4172" w14:textId="77777777" w:rsidR="00950ACC" w:rsidRPr="00BF404F" w:rsidRDefault="00950ACC" w:rsidP="00634F79">
            <w:pPr>
              <w:jc w:val="left"/>
              <w:rPr>
                <w:rFonts w:ascii="Century Gothic" w:hAnsi="Century Gothic"/>
                <w:b/>
                <w:color w:val="000000"/>
                <w:sz w:val="18"/>
              </w:rPr>
            </w:pPr>
            <w:r w:rsidRPr="00BF404F">
              <w:rPr>
                <w:rFonts w:ascii="Century Gothic" w:hAnsi="Century Gothic"/>
                <w:b/>
                <w:color w:val="000000"/>
                <w:sz w:val="18"/>
              </w:rPr>
              <w:t>2012/13</w:t>
            </w:r>
          </w:p>
        </w:tc>
        <w:tc>
          <w:tcPr>
            <w:tcW w:w="1800" w:type="dxa"/>
            <w:tcBorders>
              <w:top w:val="nil"/>
              <w:left w:val="nil"/>
              <w:bottom w:val="single" w:sz="4" w:space="0" w:color="auto"/>
              <w:right w:val="single" w:sz="4" w:space="0" w:color="auto"/>
            </w:tcBorders>
            <w:shd w:val="clear" w:color="auto" w:fill="auto"/>
            <w:noWrap/>
            <w:vAlign w:val="bottom"/>
            <w:hideMark/>
          </w:tcPr>
          <w:p w14:paraId="677D6AD5" w14:textId="77777777" w:rsidR="00950ACC" w:rsidRPr="001436DC" w:rsidRDefault="00950ACC" w:rsidP="00634F79">
            <w:pPr>
              <w:jc w:val="center"/>
              <w:rPr>
                <w:rFonts w:ascii="Century Gothic" w:hAnsi="Century Gothic"/>
                <w:sz w:val="18"/>
              </w:rPr>
            </w:pPr>
            <w:r w:rsidRPr="001436DC">
              <w:rPr>
                <w:rFonts w:ascii="Century Gothic" w:hAnsi="Century Gothic"/>
                <w:sz w:val="18"/>
              </w:rPr>
              <w:t>0.67</w:t>
            </w:r>
          </w:p>
        </w:tc>
        <w:tc>
          <w:tcPr>
            <w:tcW w:w="1620" w:type="dxa"/>
            <w:tcBorders>
              <w:top w:val="nil"/>
              <w:left w:val="nil"/>
              <w:bottom w:val="single" w:sz="4" w:space="0" w:color="auto"/>
              <w:right w:val="single" w:sz="4" w:space="0" w:color="auto"/>
            </w:tcBorders>
            <w:shd w:val="clear" w:color="auto" w:fill="auto"/>
            <w:noWrap/>
            <w:vAlign w:val="bottom"/>
            <w:hideMark/>
          </w:tcPr>
          <w:p w14:paraId="517864F7" w14:textId="77777777" w:rsidR="00950ACC" w:rsidRPr="001436DC" w:rsidRDefault="00950ACC" w:rsidP="00634F79">
            <w:pPr>
              <w:jc w:val="center"/>
              <w:rPr>
                <w:rFonts w:ascii="Century Gothic" w:hAnsi="Century Gothic"/>
                <w:sz w:val="18"/>
              </w:rPr>
            </w:pPr>
            <w:r w:rsidRPr="001436DC">
              <w:rPr>
                <w:rFonts w:ascii="Century Gothic" w:hAnsi="Century Gothic"/>
                <w:sz w:val="18"/>
              </w:rPr>
              <w:t>0.66</w:t>
            </w:r>
          </w:p>
        </w:tc>
      </w:tr>
      <w:tr w:rsidR="00950ACC" w:rsidRPr="008461F1" w14:paraId="04A8C5B6"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57D3066F" w14:textId="77777777" w:rsidR="00950ACC" w:rsidRPr="00BF404F" w:rsidRDefault="00950ACC" w:rsidP="00634F79">
            <w:pPr>
              <w:jc w:val="left"/>
              <w:rPr>
                <w:rFonts w:ascii="Century Gothic" w:hAnsi="Century Gothic"/>
                <w:b/>
                <w:color w:val="000000"/>
                <w:sz w:val="18"/>
              </w:rPr>
            </w:pPr>
            <w:r w:rsidRPr="00BF404F">
              <w:rPr>
                <w:rFonts w:ascii="Century Gothic" w:hAnsi="Century Gothic"/>
                <w:b/>
                <w:color w:val="000000"/>
                <w:sz w:val="18"/>
              </w:rPr>
              <w:t>2013/14</w:t>
            </w:r>
          </w:p>
        </w:tc>
        <w:tc>
          <w:tcPr>
            <w:tcW w:w="1800" w:type="dxa"/>
            <w:tcBorders>
              <w:top w:val="nil"/>
              <w:left w:val="nil"/>
              <w:bottom w:val="single" w:sz="4" w:space="0" w:color="auto"/>
              <w:right w:val="single" w:sz="4" w:space="0" w:color="auto"/>
            </w:tcBorders>
            <w:shd w:val="clear" w:color="auto" w:fill="auto"/>
            <w:noWrap/>
            <w:vAlign w:val="bottom"/>
            <w:hideMark/>
          </w:tcPr>
          <w:p w14:paraId="55AAC031" w14:textId="77777777" w:rsidR="00950ACC" w:rsidRPr="001436DC" w:rsidRDefault="00950ACC" w:rsidP="00634F79">
            <w:pPr>
              <w:jc w:val="center"/>
              <w:rPr>
                <w:rFonts w:ascii="Century Gothic" w:hAnsi="Century Gothic"/>
                <w:color w:val="000000"/>
                <w:sz w:val="18"/>
              </w:rPr>
            </w:pPr>
            <w:r w:rsidRPr="001436DC">
              <w:rPr>
                <w:rFonts w:ascii="Century Gothic" w:hAnsi="Century Gothic"/>
                <w:color w:val="000000"/>
                <w:sz w:val="18"/>
              </w:rPr>
              <w:t>1.97</w:t>
            </w:r>
          </w:p>
        </w:tc>
        <w:tc>
          <w:tcPr>
            <w:tcW w:w="1620" w:type="dxa"/>
            <w:tcBorders>
              <w:top w:val="nil"/>
              <w:left w:val="nil"/>
              <w:bottom w:val="single" w:sz="4" w:space="0" w:color="auto"/>
              <w:right w:val="single" w:sz="4" w:space="0" w:color="auto"/>
            </w:tcBorders>
            <w:shd w:val="clear" w:color="auto" w:fill="auto"/>
            <w:noWrap/>
            <w:vAlign w:val="bottom"/>
            <w:hideMark/>
          </w:tcPr>
          <w:p w14:paraId="129BF8E9" w14:textId="77777777" w:rsidR="00950ACC" w:rsidRPr="001436DC" w:rsidRDefault="00950ACC" w:rsidP="00634F79">
            <w:pPr>
              <w:jc w:val="center"/>
              <w:rPr>
                <w:rFonts w:ascii="Century Gothic" w:hAnsi="Century Gothic"/>
                <w:color w:val="000000"/>
                <w:sz w:val="18"/>
              </w:rPr>
            </w:pPr>
            <w:r w:rsidRPr="001436DC">
              <w:rPr>
                <w:rFonts w:ascii="Century Gothic" w:hAnsi="Century Gothic"/>
                <w:color w:val="000000"/>
                <w:sz w:val="18"/>
              </w:rPr>
              <w:t>1.70</w:t>
            </w:r>
          </w:p>
        </w:tc>
      </w:tr>
      <w:tr w:rsidR="00950ACC" w:rsidRPr="008461F1" w14:paraId="6D6673C1"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59B57A08" w14:textId="77777777" w:rsidR="00950ACC" w:rsidRPr="00BF404F" w:rsidRDefault="00950ACC" w:rsidP="00634F79">
            <w:pPr>
              <w:jc w:val="left"/>
              <w:rPr>
                <w:rFonts w:ascii="Century Gothic" w:hAnsi="Century Gothic"/>
                <w:b/>
                <w:color w:val="000000"/>
                <w:sz w:val="18"/>
              </w:rPr>
            </w:pPr>
            <w:r w:rsidRPr="00BF404F">
              <w:rPr>
                <w:rFonts w:ascii="Century Gothic" w:hAnsi="Century Gothic"/>
                <w:b/>
                <w:color w:val="000000"/>
                <w:sz w:val="18"/>
              </w:rPr>
              <w:t>2014/15</w:t>
            </w:r>
          </w:p>
        </w:tc>
        <w:tc>
          <w:tcPr>
            <w:tcW w:w="1800" w:type="dxa"/>
            <w:tcBorders>
              <w:top w:val="nil"/>
              <w:left w:val="nil"/>
              <w:bottom w:val="single" w:sz="4" w:space="0" w:color="auto"/>
              <w:right w:val="single" w:sz="4" w:space="0" w:color="auto"/>
            </w:tcBorders>
            <w:shd w:val="clear" w:color="auto" w:fill="auto"/>
            <w:noWrap/>
            <w:vAlign w:val="bottom"/>
            <w:hideMark/>
          </w:tcPr>
          <w:p w14:paraId="22177779" w14:textId="77777777" w:rsidR="00950ACC" w:rsidRPr="001436DC" w:rsidRDefault="00950ACC" w:rsidP="00634F79">
            <w:pPr>
              <w:jc w:val="center"/>
              <w:rPr>
                <w:rFonts w:ascii="Century Gothic" w:hAnsi="Century Gothic"/>
                <w:sz w:val="18"/>
              </w:rPr>
            </w:pPr>
            <w:r w:rsidRPr="001436DC">
              <w:rPr>
                <w:rFonts w:ascii="Century Gothic" w:hAnsi="Century Gothic"/>
                <w:sz w:val="18"/>
              </w:rPr>
              <w:t>0.96</w:t>
            </w:r>
          </w:p>
        </w:tc>
        <w:tc>
          <w:tcPr>
            <w:tcW w:w="1620" w:type="dxa"/>
            <w:tcBorders>
              <w:top w:val="nil"/>
              <w:left w:val="nil"/>
              <w:bottom w:val="single" w:sz="4" w:space="0" w:color="auto"/>
              <w:right w:val="single" w:sz="4" w:space="0" w:color="auto"/>
            </w:tcBorders>
            <w:shd w:val="clear" w:color="auto" w:fill="auto"/>
            <w:noWrap/>
            <w:vAlign w:val="bottom"/>
            <w:hideMark/>
          </w:tcPr>
          <w:p w14:paraId="794F2C61" w14:textId="77777777" w:rsidR="00950ACC" w:rsidRPr="001436DC" w:rsidRDefault="00950ACC" w:rsidP="00634F79">
            <w:pPr>
              <w:jc w:val="center"/>
              <w:rPr>
                <w:rFonts w:ascii="Century Gothic" w:hAnsi="Century Gothic"/>
                <w:sz w:val="18"/>
              </w:rPr>
            </w:pPr>
            <w:r w:rsidRPr="001436DC">
              <w:rPr>
                <w:rFonts w:ascii="Century Gothic" w:hAnsi="Century Gothic"/>
                <w:sz w:val="18"/>
              </w:rPr>
              <w:t>0.96</w:t>
            </w:r>
          </w:p>
        </w:tc>
      </w:tr>
      <w:tr w:rsidR="00950ACC" w:rsidRPr="008461F1" w14:paraId="04A3E5F7" w14:textId="77777777" w:rsidTr="00634F79">
        <w:trPr>
          <w:trHeight w:val="255"/>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0E73B052" w14:textId="77777777" w:rsidR="00950ACC" w:rsidRPr="00BF404F" w:rsidRDefault="00950ACC" w:rsidP="00634F79">
            <w:pPr>
              <w:jc w:val="left"/>
              <w:rPr>
                <w:rFonts w:ascii="Century Gothic" w:hAnsi="Century Gothic"/>
                <w:b/>
                <w:color w:val="000000"/>
                <w:sz w:val="18"/>
              </w:rPr>
            </w:pPr>
            <w:r w:rsidRPr="00BF404F">
              <w:rPr>
                <w:rFonts w:ascii="Century Gothic" w:hAnsi="Century Gothic"/>
                <w:b/>
                <w:color w:val="000000"/>
                <w:sz w:val="18"/>
              </w:rPr>
              <w:t>2015/16</w:t>
            </w:r>
          </w:p>
        </w:tc>
        <w:tc>
          <w:tcPr>
            <w:tcW w:w="1800" w:type="dxa"/>
            <w:tcBorders>
              <w:top w:val="nil"/>
              <w:left w:val="nil"/>
              <w:bottom w:val="single" w:sz="4" w:space="0" w:color="auto"/>
              <w:right w:val="single" w:sz="4" w:space="0" w:color="auto"/>
            </w:tcBorders>
            <w:shd w:val="clear" w:color="auto" w:fill="auto"/>
            <w:noWrap/>
            <w:vAlign w:val="bottom"/>
            <w:hideMark/>
          </w:tcPr>
          <w:p w14:paraId="07400159" w14:textId="77777777" w:rsidR="00950ACC" w:rsidRPr="001436DC" w:rsidRDefault="00950ACC" w:rsidP="00634F79">
            <w:pPr>
              <w:jc w:val="center"/>
              <w:rPr>
                <w:rFonts w:ascii="Century Gothic" w:hAnsi="Century Gothic"/>
                <w:sz w:val="18"/>
              </w:rPr>
            </w:pPr>
            <w:r w:rsidRPr="001436DC">
              <w:rPr>
                <w:rFonts w:ascii="Century Gothic" w:hAnsi="Century Gothic"/>
                <w:sz w:val="18"/>
              </w:rPr>
              <w:t>0.39</w:t>
            </w:r>
          </w:p>
        </w:tc>
        <w:tc>
          <w:tcPr>
            <w:tcW w:w="1620" w:type="dxa"/>
            <w:tcBorders>
              <w:top w:val="nil"/>
              <w:left w:val="nil"/>
              <w:bottom w:val="single" w:sz="4" w:space="0" w:color="auto"/>
              <w:right w:val="single" w:sz="4" w:space="0" w:color="auto"/>
            </w:tcBorders>
            <w:shd w:val="clear" w:color="auto" w:fill="auto"/>
            <w:noWrap/>
            <w:vAlign w:val="bottom"/>
            <w:hideMark/>
          </w:tcPr>
          <w:p w14:paraId="3D8078B7" w14:textId="77777777" w:rsidR="00950ACC" w:rsidRPr="001436DC" w:rsidRDefault="00950ACC" w:rsidP="00634F79">
            <w:pPr>
              <w:jc w:val="center"/>
              <w:rPr>
                <w:rFonts w:ascii="Century Gothic" w:hAnsi="Century Gothic"/>
                <w:sz w:val="18"/>
              </w:rPr>
            </w:pPr>
            <w:r w:rsidRPr="001436DC">
              <w:rPr>
                <w:rFonts w:ascii="Century Gothic" w:hAnsi="Century Gothic"/>
                <w:sz w:val="18"/>
              </w:rPr>
              <w:t>0.39</w:t>
            </w:r>
          </w:p>
        </w:tc>
      </w:tr>
      <w:tr w:rsidR="00950ACC" w:rsidRPr="008461F1" w14:paraId="1FE59D48" w14:textId="77777777" w:rsidTr="00634F79">
        <w:trPr>
          <w:trHeight w:val="30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1EB9F446" w14:textId="77777777" w:rsidR="00950ACC" w:rsidRPr="001436DC" w:rsidRDefault="00950ACC" w:rsidP="00634F79">
            <w:pPr>
              <w:jc w:val="left"/>
              <w:rPr>
                <w:rFonts w:ascii="Century Gothic" w:hAnsi="Century Gothic"/>
                <w:b/>
                <w:bCs/>
                <w:color w:val="000000"/>
                <w:sz w:val="18"/>
              </w:rPr>
            </w:pPr>
            <w:r w:rsidRPr="001436DC">
              <w:rPr>
                <w:rFonts w:ascii="Century Gothic" w:hAnsi="Century Gothic"/>
                <w:b/>
                <w:bCs/>
                <w:color w:val="000000"/>
                <w:sz w:val="18"/>
              </w:rPr>
              <w:t>Mid-3 Average</w:t>
            </w:r>
          </w:p>
        </w:tc>
        <w:tc>
          <w:tcPr>
            <w:tcW w:w="1800" w:type="dxa"/>
            <w:tcBorders>
              <w:top w:val="nil"/>
              <w:left w:val="nil"/>
              <w:bottom w:val="single" w:sz="4" w:space="0" w:color="auto"/>
              <w:right w:val="single" w:sz="4" w:space="0" w:color="auto"/>
            </w:tcBorders>
            <w:shd w:val="clear" w:color="auto" w:fill="auto"/>
            <w:noWrap/>
            <w:vAlign w:val="bottom"/>
            <w:hideMark/>
          </w:tcPr>
          <w:p w14:paraId="5EDCD61A" w14:textId="77777777" w:rsidR="00950ACC" w:rsidRPr="001436DC" w:rsidRDefault="00950ACC" w:rsidP="00634F79">
            <w:pPr>
              <w:jc w:val="center"/>
              <w:rPr>
                <w:rFonts w:ascii="Century Gothic" w:hAnsi="Century Gothic"/>
                <w:b/>
                <w:bCs/>
                <w:color w:val="000000"/>
                <w:sz w:val="18"/>
              </w:rPr>
            </w:pPr>
            <w:r w:rsidRPr="001436DC">
              <w:rPr>
                <w:rFonts w:ascii="Century Gothic" w:hAnsi="Century Gothic"/>
                <w:b/>
                <w:bCs/>
                <w:color w:val="000000"/>
                <w:sz w:val="18"/>
              </w:rPr>
              <w:t>0.67</w:t>
            </w:r>
          </w:p>
        </w:tc>
        <w:tc>
          <w:tcPr>
            <w:tcW w:w="1620" w:type="dxa"/>
            <w:tcBorders>
              <w:top w:val="nil"/>
              <w:left w:val="nil"/>
              <w:bottom w:val="single" w:sz="4" w:space="0" w:color="auto"/>
              <w:right w:val="single" w:sz="4" w:space="0" w:color="auto"/>
            </w:tcBorders>
            <w:shd w:val="clear" w:color="auto" w:fill="auto"/>
            <w:noWrap/>
            <w:vAlign w:val="bottom"/>
            <w:hideMark/>
          </w:tcPr>
          <w:p w14:paraId="590E97E2" w14:textId="77777777" w:rsidR="00950ACC" w:rsidRPr="001436DC" w:rsidRDefault="00950ACC" w:rsidP="00634F79">
            <w:pPr>
              <w:jc w:val="center"/>
              <w:rPr>
                <w:rFonts w:ascii="Century Gothic" w:hAnsi="Century Gothic"/>
                <w:b/>
                <w:bCs/>
                <w:color w:val="000000"/>
                <w:sz w:val="18"/>
              </w:rPr>
            </w:pPr>
            <w:r w:rsidRPr="001436DC">
              <w:rPr>
                <w:rFonts w:ascii="Century Gothic" w:hAnsi="Century Gothic"/>
                <w:b/>
                <w:bCs/>
                <w:color w:val="000000"/>
                <w:sz w:val="18"/>
              </w:rPr>
              <w:t>0.67</w:t>
            </w:r>
          </w:p>
        </w:tc>
      </w:tr>
    </w:tbl>
    <w:p w14:paraId="1ACA420E" w14:textId="7E34792E" w:rsidR="00E42DE9" w:rsidRDefault="00E42DE9" w:rsidP="00950ACC"/>
    <w:p w14:paraId="5C54D22D" w14:textId="3E19CDC6" w:rsidR="00E42DE9" w:rsidRPr="00A10057" w:rsidRDefault="00E42DE9" w:rsidP="00E42DE9">
      <w:pPr>
        <w:pStyle w:val="Heading4"/>
      </w:pPr>
      <w:r w:rsidRPr="00A10057">
        <w:t>Revenue Forecast</w:t>
      </w:r>
      <w:r w:rsidR="00200819">
        <w:t xml:space="preserve"> </w:t>
      </w:r>
      <w:r w:rsidR="004625C9">
        <w:t xml:space="preserve">- Simple Cycle </w:t>
      </w:r>
      <w:r w:rsidR="00200819">
        <w:t>GT</w:t>
      </w:r>
    </w:p>
    <w:p w14:paraId="3D0FDFF0" w14:textId="0A02D0DB" w:rsidR="00E42DE9" w:rsidRDefault="00E42DE9" w:rsidP="00E42DE9">
      <w:r>
        <w:t xml:space="preserve">Revenues for the </w:t>
      </w:r>
      <w:r w:rsidR="004625C9">
        <w:t xml:space="preserve">Simple Cycle </w:t>
      </w:r>
      <w:r>
        <w:t>GT were estimated using a calculation that approximates a simplified dispatch regime for the facility.  In any hour, the GT can receive payments for the sale of one of more of FR, energy, and/or RTR.  Derivation of expected sales and net revenues for each payment stream are described below:</w:t>
      </w:r>
    </w:p>
    <w:p w14:paraId="250EE0FE" w14:textId="77777777" w:rsidR="00E42DE9" w:rsidRPr="00FB587B" w:rsidRDefault="00E42DE9" w:rsidP="001436DC">
      <w:pPr>
        <w:ind w:left="1440" w:firstLine="720"/>
        <w:rPr>
          <w:i/>
          <w:u w:val="single"/>
        </w:rPr>
      </w:pPr>
      <w:r w:rsidRPr="00FB587B">
        <w:rPr>
          <w:i/>
          <w:u w:val="single"/>
        </w:rPr>
        <w:t>Forward Reserve</w:t>
      </w:r>
    </w:p>
    <w:p w14:paraId="154D940C" w14:textId="7EFE772D" w:rsidR="00DB405B" w:rsidRPr="00DB405B" w:rsidRDefault="004625C9" w:rsidP="00DB405B">
      <w:r w:rsidRPr="00DB405B">
        <w:t xml:space="preserve">Simple Cycle </w:t>
      </w:r>
      <w:r w:rsidR="00E42DE9" w:rsidRPr="00DB405B">
        <w:t xml:space="preserve">GTs are paid for FR during weekday, on-peak hours, excluding NERC holidays (hereinafter “FR hours”).  On-peak hours are defined as the 16 hours beginning with the eighth hour of the day and ending with the twenty-third hour of the day.  </w:t>
      </w:r>
      <w:r w:rsidR="00DB405B" w:rsidRPr="00DB405B">
        <w:t xml:space="preserve"> </w:t>
      </w:r>
      <w:r w:rsidR="00DB405B" w:rsidRPr="001436DC">
        <w:t xml:space="preserve">In consultation with experts at the General Electric Company (the vendor of the reference GT technology), it was determined that 30% of the unit’s 338 MW unit capability can be delivered from a cold start in 10 minutes and the remaining capability can be delivered in 30 minutes.  Therefore, in </w:t>
      </w:r>
      <w:r w:rsidR="00DB405B" w:rsidRPr="00DB405B">
        <w:t>each eligible FR hour</w:t>
      </w:r>
      <w:r w:rsidR="00822299">
        <w:t>,</w:t>
      </w:r>
      <w:r w:rsidR="00DB405B" w:rsidRPr="00DB405B">
        <w:t xml:space="preserve"> a GT is expected to receive a payment of $7.54/MWh for 100 MW of 10-minute non-spinning res</w:t>
      </w:r>
      <w:r w:rsidR="00D743EA">
        <w:t>erve and $6.11 for 238 MW of 30-</w:t>
      </w:r>
      <w:r w:rsidR="00DB405B" w:rsidRPr="00DB405B">
        <w:t>minute operating reserve, adjusted for inflation, multiplied by its capacity, multiplied by its availability, which is assumed to be 97%.</w:t>
      </w:r>
    </w:p>
    <w:p w14:paraId="3AD0C075" w14:textId="77777777" w:rsidR="00E42DE9" w:rsidRPr="00FB587B" w:rsidRDefault="00E42DE9" w:rsidP="001436DC">
      <w:pPr>
        <w:ind w:left="2160"/>
        <w:rPr>
          <w:i/>
          <w:u w:val="single"/>
        </w:rPr>
      </w:pPr>
      <w:r w:rsidRPr="00FB587B">
        <w:rPr>
          <w:i/>
          <w:u w:val="single"/>
        </w:rPr>
        <w:t>Energy</w:t>
      </w:r>
    </w:p>
    <w:p w14:paraId="75740AD0" w14:textId="7AED9262" w:rsidR="00E42DE9" w:rsidRDefault="00E42DE9" w:rsidP="00E42DE9">
      <w:r>
        <w:lastRenderedPageBreak/>
        <w:t xml:space="preserve">During FR hours, a </w:t>
      </w:r>
      <w:r w:rsidR="004625C9">
        <w:t xml:space="preserve">Simple Cycle </w:t>
      </w:r>
      <w:r>
        <w:t xml:space="preserve">GT is required to offer its energy into the market at a price equal to or greater than the Threshold Daily Price.  The Threshold Daily Price is a function of the natural gas price and the Forward Reserve Heat Rate, which is calculated and published by ISO-NE.  </w:t>
      </w:r>
    </w:p>
    <w:p w14:paraId="7FCFC43F" w14:textId="7EF80CB4" w:rsidR="00E42DE9" w:rsidRDefault="00E42DE9" w:rsidP="00E42DE9">
      <w:r>
        <w:t xml:space="preserve">For the revenue estimate, the latest available Forward Reserve Heat Rates were held constant for the forecast period.  Those heat rates are shown </w:t>
      </w:r>
      <w:r w:rsidR="004625C9">
        <w:t>in Table 31</w:t>
      </w:r>
      <w:r>
        <w:t>:</w:t>
      </w:r>
    </w:p>
    <w:p w14:paraId="60A89A4C" w14:textId="4CA80915" w:rsidR="00E42DE9" w:rsidRDefault="00E42DE9" w:rsidP="00D2628D">
      <w:pPr>
        <w:pStyle w:val="Caption"/>
      </w:pPr>
      <w:bookmarkStart w:id="82" w:name="_Toc465433455"/>
      <w:r>
        <w:t xml:space="preserve">Table </w:t>
      </w:r>
      <w:r w:rsidR="00FA6573">
        <w:fldChar w:fldCharType="begin"/>
      </w:r>
      <w:r w:rsidR="00FA6573">
        <w:instrText xml:space="preserve"> SEQ Table \* ARABIC </w:instrText>
      </w:r>
      <w:r w:rsidR="00FA6573">
        <w:fldChar w:fldCharType="separate"/>
      </w:r>
      <w:r w:rsidR="000637A3">
        <w:rPr>
          <w:noProof/>
        </w:rPr>
        <w:t>31</w:t>
      </w:r>
      <w:r w:rsidR="00FA6573">
        <w:rPr>
          <w:noProof/>
        </w:rPr>
        <w:fldChar w:fldCharType="end"/>
      </w:r>
      <w:r w:rsidR="00582225">
        <w:t>:</w:t>
      </w:r>
      <w:r>
        <w:t xml:space="preserve">  Forward Reserve Heat Rates</w:t>
      </w:r>
      <w:bookmarkEnd w:id="82"/>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240"/>
      </w:tblGrid>
      <w:tr w:rsidR="00E42DE9" w14:paraId="33C0B9BE" w14:textId="77777777" w:rsidTr="00E42DE9">
        <w:trPr>
          <w:jc w:val="center"/>
        </w:trPr>
        <w:tc>
          <w:tcPr>
            <w:tcW w:w="1525" w:type="dxa"/>
            <w:tcBorders>
              <w:top w:val="single" w:sz="12" w:space="0" w:color="auto"/>
              <w:bottom w:val="single" w:sz="6" w:space="0" w:color="auto"/>
            </w:tcBorders>
            <w:vAlign w:val="center"/>
          </w:tcPr>
          <w:p w14:paraId="3F3447BA" w14:textId="77777777" w:rsidR="00E42DE9" w:rsidRPr="001436DC" w:rsidRDefault="00E42DE9" w:rsidP="00E42DE9">
            <w:pPr>
              <w:spacing w:after="0"/>
              <w:jc w:val="center"/>
              <w:rPr>
                <w:rFonts w:ascii="Century Gothic" w:hAnsi="Century Gothic"/>
                <w:b/>
              </w:rPr>
            </w:pPr>
            <w:r w:rsidRPr="001436DC">
              <w:rPr>
                <w:rFonts w:ascii="Century Gothic" w:hAnsi="Century Gothic"/>
                <w:b/>
                <w:sz w:val="20"/>
              </w:rPr>
              <w:t>Season</w:t>
            </w:r>
            <w:r w:rsidRPr="001436DC">
              <w:rPr>
                <w:rStyle w:val="FootnoteReference"/>
                <w:rFonts w:ascii="Century Gothic" w:hAnsi="Century Gothic"/>
              </w:rPr>
              <w:footnoteReference w:id="49"/>
            </w:r>
          </w:p>
        </w:tc>
        <w:tc>
          <w:tcPr>
            <w:tcW w:w="3240" w:type="dxa"/>
            <w:tcBorders>
              <w:top w:val="single" w:sz="12" w:space="0" w:color="auto"/>
              <w:bottom w:val="single" w:sz="6" w:space="0" w:color="auto"/>
            </w:tcBorders>
            <w:vAlign w:val="center"/>
          </w:tcPr>
          <w:p w14:paraId="53B0768C" w14:textId="77777777" w:rsidR="00E42DE9" w:rsidRPr="001436DC" w:rsidRDefault="00E42DE9" w:rsidP="00E42DE9">
            <w:pPr>
              <w:spacing w:after="0"/>
              <w:jc w:val="center"/>
              <w:rPr>
                <w:rFonts w:ascii="Century Gothic" w:hAnsi="Century Gothic"/>
                <w:b/>
              </w:rPr>
            </w:pPr>
            <w:r w:rsidRPr="001436DC">
              <w:rPr>
                <w:rFonts w:ascii="Century Gothic" w:hAnsi="Century Gothic"/>
                <w:b/>
                <w:sz w:val="20"/>
              </w:rPr>
              <w:t>Forward Reserve Heat Rate</w:t>
            </w:r>
            <w:r w:rsidRPr="001436DC">
              <w:rPr>
                <w:rFonts w:ascii="Century Gothic" w:hAnsi="Century Gothic"/>
                <w:b/>
                <w:sz w:val="18"/>
              </w:rPr>
              <w:br/>
            </w:r>
            <w:r w:rsidRPr="001436DC">
              <w:rPr>
                <w:rFonts w:ascii="Century Gothic" w:hAnsi="Century Gothic"/>
                <w:i/>
                <w:sz w:val="18"/>
              </w:rPr>
              <w:t>(</w:t>
            </w:r>
            <w:proofErr w:type="spellStart"/>
            <w:r w:rsidRPr="001436DC">
              <w:rPr>
                <w:rFonts w:ascii="Century Gothic" w:hAnsi="Century Gothic"/>
                <w:i/>
                <w:sz w:val="18"/>
              </w:rPr>
              <w:t>btu</w:t>
            </w:r>
            <w:proofErr w:type="spellEnd"/>
            <w:r w:rsidRPr="001436DC">
              <w:rPr>
                <w:rFonts w:ascii="Century Gothic" w:hAnsi="Century Gothic"/>
                <w:i/>
                <w:sz w:val="18"/>
              </w:rPr>
              <w:t>/kWh)</w:t>
            </w:r>
          </w:p>
        </w:tc>
      </w:tr>
      <w:tr w:rsidR="00E42DE9" w14:paraId="481B0428" w14:textId="77777777" w:rsidTr="00E42DE9">
        <w:trPr>
          <w:jc w:val="center"/>
        </w:trPr>
        <w:tc>
          <w:tcPr>
            <w:tcW w:w="1525" w:type="dxa"/>
            <w:tcBorders>
              <w:top w:val="single" w:sz="6" w:space="0" w:color="auto"/>
            </w:tcBorders>
            <w:vAlign w:val="center"/>
          </w:tcPr>
          <w:p w14:paraId="03A2828C" w14:textId="77777777" w:rsidR="00E42DE9" w:rsidRPr="001436DC" w:rsidRDefault="00E42DE9" w:rsidP="00E42DE9">
            <w:pPr>
              <w:spacing w:after="0"/>
              <w:jc w:val="center"/>
              <w:rPr>
                <w:sz w:val="20"/>
              </w:rPr>
            </w:pPr>
            <w:r w:rsidRPr="001436DC">
              <w:rPr>
                <w:sz w:val="20"/>
              </w:rPr>
              <w:t>Summer</w:t>
            </w:r>
          </w:p>
        </w:tc>
        <w:tc>
          <w:tcPr>
            <w:tcW w:w="3240" w:type="dxa"/>
            <w:tcBorders>
              <w:top w:val="single" w:sz="6" w:space="0" w:color="auto"/>
            </w:tcBorders>
            <w:vAlign w:val="center"/>
          </w:tcPr>
          <w:p w14:paraId="0C76E425" w14:textId="77777777" w:rsidR="00E42DE9" w:rsidRPr="001436DC" w:rsidRDefault="00E42DE9" w:rsidP="00E42DE9">
            <w:pPr>
              <w:spacing w:after="0"/>
              <w:jc w:val="center"/>
              <w:rPr>
                <w:sz w:val="20"/>
              </w:rPr>
            </w:pPr>
            <w:r w:rsidRPr="001436DC">
              <w:rPr>
                <w:sz w:val="20"/>
              </w:rPr>
              <w:t>17,539</w:t>
            </w:r>
          </w:p>
        </w:tc>
      </w:tr>
      <w:tr w:rsidR="00E42DE9" w14:paraId="77737A3E" w14:textId="77777777" w:rsidTr="00E42DE9">
        <w:trPr>
          <w:jc w:val="center"/>
        </w:trPr>
        <w:tc>
          <w:tcPr>
            <w:tcW w:w="1525" w:type="dxa"/>
            <w:vAlign w:val="center"/>
          </w:tcPr>
          <w:p w14:paraId="4F7B4C85" w14:textId="77777777" w:rsidR="00E42DE9" w:rsidRPr="001436DC" w:rsidRDefault="00E42DE9" w:rsidP="00E42DE9">
            <w:pPr>
              <w:spacing w:after="0"/>
              <w:jc w:val="center"/>
              <w:rPr>
                <w:sz w:val="20"/>
              </w:rPr>
            </w:pPr>
            <w:r w:rsidRPr="001436DC">
              <w:rPr>
                <w:sz w:val="20"/>
              </w:rPr>
              <w:t>Winter</w:t>
            </w:r>
          </w:p>
        </w:tc>
        <w:tc>
          <w:tcPr>
            <w:tcW w:w="3240" w:type="dxa"/>
            <w:vAlign w:val="center"/>
          </w:tcPr>
          <w:p w14:paraId="483369ED" w14:textId="77777777" w:rsidR="00E42DE9" w:rsidRPr="001436DC" w:rsidRDefault="00E42DE9" w:rsidP="00E42DE9">
            <w:pPr>
              <w:spacing w:after="0"/>
              <w:jc w:val="center"/>
              <w:rPr>
                <w:sz w:val="20"/>
              </w:rPr>
            </w:pPr>
            <w:r w:rsidRPr="001436DC">
              <w:rPr>
                <w:sz w:val="20"/>
              </w:rPr>
              <w:t>19,935</w:t>
            </w:r>
          </w:p>
        </w:tc>
      </w:tr>
    </w:tbl>
    <w:p w14:paraId="242591DD" w14:textId="77777777" w:rsidR="00E42DE9" w:rsidRDefault="00E42DE9" w:rsidP="00E42DE9"/>
    <w:p w14:paraId="50599025" w14:textId="77777777" w:rsidR="00E42DE9" w:rsidRDefault="00E42DE9" w:rsidP="00E42DE9">
      <w:r>
        <w:t xml:space="preserve">Thus, for each day of the forecast, the Threshold Daily Price is calculated as the product of the applicable Forward Reserve Heat Rate and the gas price in SEMA. </w:t>
      </w:r>
    </w:p>
    <w:p w14:paraId="16FBB283" w14:textId="2AC6F637" w:rsidR="00E42DE9" w:rsidRPr="0055298A" w:rsidRDefault="00E42DE9" w:rsidP="00E42DE9">
      <w:r>
        <w:t xml:space="preserve">The unit </w:t>
      </w:r>
      <w:r w:rsidR="004625C9">
        <w:t xml:space="preserve">is assumed to </w:t>
      </w:r>
      <w:r>
        <w:t xml:space="preserve">sell energy and receive revenues during FR hours if the LMP is higher than the </w:t>
      </w:r>
      <w:r w:rsidRPr="0055298A">
        <w:t xml:space="preserve">Threshold Daily price </w:t>
      </w:r>
      <w:r w:rsidRPr="0055298A">
        <w:rPr>
          <w:i/>
        </w:rPr>
        <w:t>and</w:t>
      </w:r>
      <w:r w:rsidRPr="0055298A">
        <w:t xml:space="preserve"> if the LMP is high enough to cover the unit’s operating costs, which include the gas cost, its cost of CO</w:t>
      </w:r>
      <w:r w:rsidRPr="0055298A">
        <w:rPr>
          <w:vertAlign w:val="subscript"/>
        </w:rPr>
        <w:t>2</w:t>
      </w:r>
      <w:r w:rsidRPr="0055298A">
        <w:t>, and its VOM.  Each unit’s gas cost is calculated as the gas price multiplied by its operating heat rate (rather than the Forward Reserve Heat Rate).</w:t>
      </w:r>
    </w:p>
    <w:p w14:paraId="50FC019D" w14:textId="77777777" w:rsidR="00E42DE9" w:rsidRPr="0055298A" w:rsidRDefault="00E42DE9" w:rsidP="00E42DE9">
      <w:r w:rsidRPr="0055298A">
        <w:t>During non-FR hours, the unit will sell energy and receive revenues in any hour in which its operating costs are lower than the LMP.  During non-FR hours, there is no requirement that the unit offer energy at the Threshold Daily Price.</w:t>
      </w:r>
    </w:p>
    <w:p w14:paraId="6ED6BC73" w14:textId="2DE0632A" w:rsidR="00E42DE9" w:rsidRDefault="00E42DE9" w:rsidP="00E42DE9">
      <w:r w:rsidRPr="0055298A">
        <w:t xml:space="preserve">In any hour in which the plant sells energy, its revenues are equal to the difference of the LMP less </w:t>
      </w:r>
      <w:r w:rsidR="0050506B" w:rsidRPr="001436DC">
        <w:t>its</w:t>
      </w:r>
      <w:r w:rsidRPr="0055298A">
        <w:t xml:space="preserve"> operating costs (natural gas, VOM, and CO</w:t>
      </w:r>
      <w:r w:rsidRPr="0055298A">
        <w:rPr>
          <w:vertAlign w:val="subscript"/>
        </w:rPr>
        <w:t>2</w:t>
      </w:r>
      <w:r w:rsidRPr="0055298A">
        <w:t>), multiplied by its capacity multiplied by its availability.  Revenues</w:t>
      </w:r>
      <w:r>
        <w:t xml:space="preserve"> are based on the unit’s actual operating heat rate rather than the Forward Reserve Heat Rate.</w:t>
      </w:r>
    </w:p>
    <w:p w14:paraId="3F086E81" w14:textId="77777777" w:rsidR="00E42DE9" w:rsidRDefault="00E42DE9" w:rsidP="001436DC">
      <w:pPr>
        <w:ind w:left="1440" w:firstLine="720"/>
        <w:rPr>
          <w:i/>
          <w:u w:val="single"/>
        </w:rPr>
      </w:pPr>
      <w:r>
        <w:rPr>
          <w:i/>
          <w:u w:val="single"/>
        </w:rPr>
        <w:t>Real-time Reserve</w:t>
      </w:r>
    </w:p>
    <w:p w14:paraId="418425E7" w14:textId="31824F06" w:rsidR="00E42DE9" w:rsidRDefault="00E42DE9" w:rsidP="00E42DE9">
      <w:r w:rsidRPr="00200819">
        <w:t xml:space="preserve">For any non-FR hour, the plant will be paid for RT reserves if it is not operating in the energy market. </w:t>
      </w:r>
      <w:proofErr w:type="gramStart"/>
      <w:r w:rsidRPr="00200819">
        <w:t>Payments for such hours is</w:t>
      </w:r>
      <w:proofErr w:type="gramEnd"/>
      <w:r w:rsidRPr="00200819">
        <w:t xml:space="preserve"> equal to the </w:t>
      </w:r>
      <w:r w:rsidR="00DB405B">
        <w:t xml:space="preserve">applicable </w:t>
      </w:r>
      <w:r w:rsidRPr="00200819">
        <w:t>RT payment rate multiplied by its capacity</w:t>
      </w:r>
      <w:r w:rsidR="00DB405B">
        <w:t xml:space="preserve"> for each product (10-minute or 30-minute)</w:t>
      </w:r>
      <w:r w:rsidRPr="00200819">
        <w:t xml:space="preserve"> multiplied by its availability.  </w:t>
      </w:r>
    </w:p>
    <w:p w14:paraId="160F17FF" w14:textId="0AC1F22F" w:rsidR="00200819" w:rsidRPr="00A10057" w:rsidRDefault="00200819" w:rsidP="00200819">
      <w:pPr>
        <w:pStyle w:val="Heading4"/>
      </w:pPr>
      <w:r w:rsidRPr="00A10057">
        <w:t>Revenue Forecast</w:t>
      </w:r>
      <w:r>
        <w:t xml:space="preserve"> – Combined Cycle, Aero, &amp; Hybrid</w:t>
      </w:r>
    </w:p>
    <w:p w14:paraId="2CCB52E2" w14:textId="14490B2B" w:rsidR="00200819" w:rsidRPr="00BB4D46" w:rsidRDefault="00200819" w:rsidP="00200819">
      <w:r w:rsidRPr="00BB4D46">
        <w:t>The process by which the E&amp;A</w:t>
      </w:r>
      <w:r>
        <w:t>S offset is calculated for other candidate reference technologies</w:t>
      </w:r>
      <w:r w:rsidRPr="00BB4D46">
        <w:t xml:space="preserve"> is similar to the calculation for the </w:t>
      </w:r>
      <w:r w:rsidR="004625C9">
        <w:t xml:space="preserve">Simple Cycle </w:t>
      </w:r>
      <w:r>
        <w:t>GT</w:t>
      </w:r>
      <w:r w:rsidRPr="00BB4D46">
        <w:t xml:space="preserve">.  The same LMP and gas forecasts are used, the gas-turbines are dispatched in the same manner, and the process by which the cash flows are </w:t>
      </w:r>
      <w:proofErr w:type="spellStart"/>
      <w:r w:rsidRPr="00BB4D46">
        <w:t>levelized</w:t>
      </w:r>
      <w:proofErr w:type="spellEnd"/>
      <w:r w:rsidRPr="00BB4D46">
        <w:t xml:space="preserve"> to calculate the offset remains the same.  Variations in the procedure for each technology are described below.</w:t>
      </w:r>
    </w:p>
    <w:p w14:paraId="0F3777FA" w14:textId="289C1582" w:rsidR="00200819" w:rsidRPr="00BB4D46" w:rsidRDefault="00200819" w:rsidP="00200819">
      <w:r w:rsidRPr="00BB4D46">
        <w:rPr>
          <w:i/>
        </w:rPr>
        <w:lastRenderedPageBreak/>
        <w:t xml:space="preserve">Combined Cycle – </w:t>
      </w:r>
      <w:r w:rsidRPr="00BB4D46">
        <w:t xml:space="preserve">The combined cycle unit has different operating characteristics than the simple cycle units, which are input into the energy revenues algorithm.  Additionally, analysis of historical data indicates that combined cycle units earn the wide majority of their revenues from the sale of energy, rather than from the sale of AS, and that AS revenues are reasonably predictable if energy revenues are known.  </w:t>
      </w:r>
      <w:r w:rsidR="0055298A">
        <w:t xml:space="preserve">Based on this analysis, </w:t>
      </w:r>
      <w:r w:rsidRPr="00BB4D46">
        <w:t xml:space="preserve">the AS adder for a CC is assumed to be equal to </w:t>
      </w:r>
      <w:r w:rsidR="0055298A">
        <w:t>0.9%</w:t>
      </w:r>
      <w:r w:rsidR="004625C9">
        <w:t xml:space="preserve"> </w:t>
      </w:r>
      <w:r w:rsidRPr="00BB4D46">
        <w:t xml:space="preserve">of its energy revenues. </w:t>
      </w:r>
    </w:p>
    <w:p w14:paraId="5E027D6C" w14:textId="77777777" w:rsidR="00200819" w:rsidRPr="001436DC" w:rsidRDefault="00200819" w:rsidP="00200819">
      <w:r w:rsidRPr="001436DC">
        <w:rPr>
          <w:i/>
        </w:rPr>
        <w:t>LM6000 and LMS100</w:t>
      </w:r>
      <w:r w:rsidRPr="001436DC">
        <w:t xml:space="preserve"> – Both the LM6000 and LMS100 have different operating characteristics than the simple cycle frame unit, which are input into the energy revenues algorithm.  </w:t>
      </w:r>
      <w:proofErr w:type="gramStart"/>
      <w:r w:rsidRPr="001436DC">
        <w:t>The AS assumption for each is the same as for the simple cycle frame unit.</w:t>
      </w:r>
      <w:proofErr w:type="gramEnd"/>
      <w:r w:rsidRPr="001436DC">
        <w:t xml:space="preserve"> </w:t>
      </w:r>
    </w:p>
    <w:p w14:paraId="4E647DF8" w14:textId="7DA7DAAA" w:rsidR="00EE1FB9" w:rsidRPr="00611926" w:rsidRDefault="00EE1FB9" w:rsidP="00A12D4D">
      <w:pPr>
        <w:pStyle w:val="Heading3"/>
        <w:rPr>
          <w:rFonts w:eastAsia="MS Mincho"/>
          <w:caps/>
        </w:rPr>
      </w:pPr>
      <w:r w:rsidRPr="00611926">
        <w:t xml:space="preserve">Pay </w:t>
      </w:r>
      <w:r w:rsidRPr="00CD6CF6">
        <w:t>for</w:t>
      </w:r>
      <w:r w:rsidRPr="00611926">
        <w:t xml:space="preserve"> Performance</w:t>
      </w:r>
    </w:p>
    <w:p w14:paraId="0428D2E6" w14:textId="77777777" w:rsidR="00EE1FB9" w:rsidRPr="001436DC" w:rsidRDefault="00EE1FB9" w:rsidP="00EE1FB9">
      <w:pPr>
        <w:pStyle w:val="03100BodyText"/>
        <w:spacing w:line="276" w:lineRule="auto"/>
        <w:rPr>
          <w:rFonts w:ascii="Cambria" w:hAnsi="Cambria" w:cs="Times New Roman"/>
          <w:shd w:val="clear" w:color="auto" w:fill="FFFFFF"/>
        </w:rPr>
      </w:pPr>
      <w:r w:rsidRPr="001436DC">
        <w:rPr>
          <w:rFonts w:ascii="Cambria" w:hAnsi="Cambria" w:cs="Times New Roman"/>
          <w:shd w:val="clear" w:color="auto" w:fill="FFFFFF"/>
        </w:rPr>
        <w:t xml:space="preserve">ISO-NE’s pay for performance” (“PFP”) mechanism is designed to encourage resource performance consistent with its assumed capacity obligation.   Under PFP, a resource that underperforms will forfeit some or all capacity payments awarded in a FCA.  Resources that perform in its place will receive these capacity payments.  Exposing resource owners to the risk of forfeiting capacity payments for underperformance, as well as providing them the opportunity to receive more compensation for over performance, is designed to incent resource owners to make investments that ensure their resource can perform. </w:t>
      </w:r>
    </w:p>
    <w:p w14:paraId="2D2F75DB" w14:textId="513E19FB" w:rsidR="00EE1FB9" w:rsidRPr="001436DC" w:rsidRDefault="00EE1FB9" w:rsidP="00EE1FB9">
      <w:pPr>
        <w:pStyle w:val="03100BodyText"/>
        <w:spacing w:line="276" w:lineRule="auto"/>
        <w:rPr>
          <w:rFonts w:ascii="Cambria" w:hAnsi="Cambria" w:cs="Times New Roman"/>
          <w:shd w:val="clear" w:color="auto" w:fill="FFFFFF"/>
        </w:rPr>
      </w:pPr>
      <w:r w:rsidRPr="001436DC">
        <w:rPr>
          <w:rFonts w:ascii="Cambria" w:hAnsi="Cambria" w:cs="Times New Roman"/>
          <w:shd w:val="clear" w:color="auto" w:fill="FFFFFF"/>
        </w:rPr>
        <w:t>In calculating expected compensation for CONE technologies, we consulted with ISO-NE and stakeholders, and reviewed and discussed ISO-NE’s most recent study on expected system conditions and shortage hours over the life of the generating facilities.  A review of historical data shows relative</w:t>
      </w:r>
      <w:r w:rsidR="00DA7745" w:rsidRPr="001436DC">
        <w:rPr>
          <w:rFonts w:ascii="Cambria" w:hAnsi="Cambria" w:cs="Times New Roman"/>
          <w:shd w:val="clear" w:color="auto" w:fill="FFFFFF"/>
        </w:rPr>
        <w:t>ly</w:t>
      </w:r>
      <w:r w:rsidRPr="001436DC">
        <w:rPr>
          <w:rFonts w:ascii="Cambria" w:hAnsi="Cambria" w:cs="Times New Roman"/>
          <w:shd w:val="clear" w:color="auto" w:fill="FFFFFF"/>
        </w:rPr>
        <w:t xml:space="preserve"> few shortage hours since the PFP mechanism was implemented.  However, it is important to note that the objective of the CONE/Net CONE analysis is to calculate what a merchant developer would need to enter the market given reasonable expectations of future system conditions.  Historical data reflects a system that has enjoyed substantial excess capacity of approximately 3,000</w:t>
      </w:r>
      <w:r w:rsidR="00A80E34" w:rsidRPr="001436DC">
        <w:rPr>
          <w:rFonts w:ascii="Cambria" w:hAnsi="Cambria" w:cs="Times New Roman"/>
          <w:shd w:val="clear" w:color="auto" w:fill="FFFFFF"/>
        </w:rPr>
        <w:t xml:space="preserve"> </w:t>
      </w:r>
      <w:r w:rsidRPr="001436DC">
        <w:rPr>
          <w:rFonts w:ascii="Cambria" w:hAnsi="Cambria" w:cs="Times New Roman"/>
          <w:shd w:val="clear" w:color="auto" w:fill="FFFFFF"/>
        </w:rPr>
        <w:t>MW, so that using this data to extrapolate future system conditions is not appropriate</w:t>
      </w:r>
      <w:r w:rsidR="006229B7" w:rsidRPr="00947A63">
        <w:rPr>
          <w:rFonts w:ascii="Cambria" w:hAnsi="Cambria" w:cs="Times New Roman"/>
          <w:shd w:val="clear" w:color="auto" w:fill="FFFFFF"/>
        </w:rPr>
        <w:t>.</w:t>
      </w:r>
    </w:p>
    <w:p w14:paraId="10C92429" w14:textId="565C2A8E" w:rsidR="00EE1FB9" w:rsidRDefault="00EE1FB9" w:rsidP="00EE1FB9">
      <w:pPr>
        <w:rPr>
          <w:rFonts w:cs="Times New Roman"/>
          <w:shd w:val="clear" w:color="auto" w:fill="FFFFFF"/>
        </w:rPr>
      </w:pPr>
      <w:r>
        <w:rPr>
          <w:rFonts w:cs="Times New Roman"/>
          <w:shd w:val="clear" w:color="auto" w:fill="FFFFFF"/>
        </w:rPr>
        <w:t xml:space="preserve">In fact, ISO-NE’s recently released shortage hour event analysis shows relatively few shortage hours </w:t>
      </w:r>
      <w:r w:rsidRPr="004270FB">
        <w:rPr>
          <w:rFonts w:cs="Times New Roman"/>
          <w:shd w:val="clear" w:color="auto" w:fill="FFFFFF"/>
        </w:rPr>
        <w:t>in the near term.  However, it is expected that much of the existing capacity excess, which began to dissipate over the most recent three capacity auctions and now stands at 1,</w:t>
      </w:r>
      <w:r>
        <w:rPr>
          <w:rFonts w:cs="Times New Roman"/>
          <w:shd w:val="clear" w:color="auto" w:fill="FFFFFF"/>
        </w:rPr>
        <w:t xml:space="preserve">416 </w:t>
      </w:r>
      <w:r w:rsidRPr="004270FB">
        <w:rPr>
          <w:rFonts w:cs="Times New Roman"/>
          <w:shd w:val="clear" w:color="auto" w:fill="FFFFFF"/>
        </w:rPr>
        <w:t>MW, will con</w:t>
      </w:r>
      <w:r>
        <w:rPr>
          <w:rFonts w:cs="Times New Roman"/>
          <w:shd w:val="clear" w:color="auto" w:fill="FFFFFF"/>
        </w:rPr>
        <w:t>tinue to decrease over time</w:t>
      </w:r>
      <w:r w:rsidR="00DA7745">
        <w:rPr>
          <w:rFonts w:cs="Times New Roman"/>
          <w:shd w:val="clear" w:color="auto" w:fill="FFFFFF"/>
        </w:rPr>
        <w:t xml:space="preserve">. </w:t>
      </w:r>
      <w:r>
        <w:rPr>
          <w:rFonts w:cs="Times New Roman"/>
          <w:shd w:val="clear" w:color="auto" w:fill="FFFFFF"/>
        </w:rPr>
        <w:t xml:space="preserve">   Beyond year three, ISO-NE does not expect current excess capacity conditions </w:t>
      </w:r>
      <w:r w:rsidRPr="004270FB">
        <w:rPr>
          <w:rFonts w:cs="Times New Roman"/>
          <w:shd w:val="clear" w:color="auto" w:fill="FFFFFF"/>
        </w:rPr>
        <w:t>to persis</w:t>
      </w:r>
      <w:r>
        <w:rPr>
          <w:rFonts w:cs="Times New Roman"/>
          <w:shd w:val="clear" w:color="auto" w:fill="FFFFFF"/>
        </w:rPr>
        <w:t xml:space="preserve">t and is modeling a system at equilibrium after the three-year transition period ends. This is consistent with our started assumption of calculating CONE/Net CONE </w:t>
      </w:r>
      <w:r w:rsidRPr="00133D3A">
        <w:rPr>
          <w:rFonts w:cs="Times New Roman"/>
          <w:shd w:val="clear" w:color="auto" w:fill="FFFFFF"/>
        </w:rPr>
        <w:t>under long-term equilibrium conditions</w:t>
      </w:r>
      <w:r>
        <w:rPr>
          <w:rFonts w:cs="Times New Roman"/>
          <w:shd w:val="clear" w:color="auto" w:fill="FFFFFF"/>
        </w:rPr>
        <w:t>.</w:t>
      </w:r>
    </w:p>
    <w:p w14:paraId="0F7CE4F5" w14:textId="57077934" w:rsidR="00EE1FB9" w:rsidRDefault="00DA7745" w:rsidP="00EE1FB9">
      <w:pPr>
        <w:rPr>
          <w:rFonts w:cs="Times New Roman"/>
          <w:shd w:val="clear" w:color="auto" w:fill="FFFFFF"/>
        </w:rPr>
      </w:pPr>
      <w:r>
        <w:rPr>
          <w:rFonts w:cs="Times New Roman"/>
          <w:shd w:val="clear" w:color="auto" w:fill="FFFFFF"/>
        </w:rPr>
        <w:t>Based on ISO-NE’s most recently published analysis,</w:t>
      </w:r>
      <w:r w:rsidR="00EE1FB9">
        <w:rPr>
          <w:rFonts w:cs="Times New Roman"/>
          <w:shd w:val="clear" w:color="auto" w:fill="FFFFFF"/>
        </w:rPr>
        <w:t xml:space="preserve"> we have assumed six shortage hours for years one through three by extrapolating between the shortage </w:t>
      </w:r>
      <w:proofErr w:type="gramStart"/>
      <w:r w:rsidR="00EE1FB9">
        <w:rPr>
          <w:rFonts w:cs="Times New Roman"/>
          <w:shd w:val="clear" w:color="auto" w:fill="FFFFFF"/>
        </w:rPr>
        <w:t>hour</w:t>
      </w:r>
      <w:proofErr w:type="gramEnd"/>
      <w:r w:rsidR="00EE1FB9">
        <w:rPr>
          <w:rFonts w:cs="Times New Roman"/>
          <w:shd w:val="clear" w:color="auto" w:fill="FFFFFF"/>
        </w:rPr>
        <w:t xml:space="preserve"> values at a capacity surplus of 1,200 MW and 1,600 MW as shown in the ISO-NE analysis</w:t>
      </w:r>
      <w:r w:rsidR="005D76BC">
        <w:rPr>
          <w:rFonts w:cs="Times New Roman"/>
          <w:shd w:val="clear" w:color="auto" w:fill="FFFFFF"/>
        </w:rPr>
        <w:t>.</w:t>
      </w:r>
      <w:r w:rsidR="00A34EE4">
        <w:rPr>
          <w:rStyle w:val="FootnoteReference"/>
          <w:rFonts w:cs="Times New Roman"/>
          <w:shd w:val="clear" w:color="auto" w:fill="FFFFFF"/>
        </w:rPr>
        <w:footnoteReference w:id="50"/>
      </w:r>
      <w:r w:rsidR="00EE1FB9">
        <w:rPr>
          <w:rFonts w:cs="Times New Roman"/>
          <w:shd w:val="clear" w:color="auto" w:fill="FFFFFF"/>
        </w:rPr>
        <w:t xml:space="preserve">   For years four and beyond, we have assumed a system at equilibrium with assumed shortage events at 11.3 hours per year. We have </w:t>
      </w:r>
      <w:r w:rsidR="00EE1FB9">
        <w:rPr>
          <w:rFonts w:cs="Times New Roman"/>
          <w:shd w:val="clear" w:color="auto" w:fill="FFFFFF"/>
        </w:rPr>
        <w:lastRenderedPageBreak/>
        <w:t>assumed penalty rates of $3,500/</w:t>
      </w:r>
      <w:r w:rsidR="005D76BC">
        <w:rPr>
          <w:rFonts w:cs="Times New Roman"/>
          <w:shd w:val="clear" w:color="auto" w:fill="FFFFFF"/>
        </w:rPr>
        <w:t>M</w:t>
      </w:r>
      <w:r w:rsidR="00EE1FB9">
        <w:rPr>
          <w:rFonts w:cs="Times New Roman"/>
          <w:shd w:val="clear" w:color="auto" w:fill="FFFFFF"/>
        </w:rPr>
        <w:t>Wh for years one through three, and $5,455/</w:t>
      </w:r>
      <w:r w:rsidR="005D76BC">
        <w:rPr>
          <w:rFonts w:cs="Times New Roman"/>
          <w:shd w:val="clear" w:color="auto" w:fill="FFFFFF"/>
        </w:rPr>
        <w:t>M</w:t>
      </w:r>
      <w:r w:rsidR="00EE1FB9">
        <w:rPr>
          <w:rFonts w:cs="Times New Roman"/>
          <w:shd w:val="clear" w:color="auto" w:fill="FFFFFF"/>
        </w:rPr>
        <w:t xml:space="preserve">Wh beginning in year four </w:t>
      </w:r>
      <w:r w:rsidR="00EE1FB9" w:rsidRPr="00285A77">
        <w:rPr>
          <w:rFonts w:cs="Times New Roman"/>
          <w:shd w:val="clear" w:color="auto" w:fill="FFFFFF"/>
        </w:rPr>
        <w:t>consistent with rates filed and accepted by the FERC in ISO-NE’s PFP filing.</w:t>
      </w:r>
      <w:r w:rsidR="00EE1FB9" w:rsidRPr="00285A77">
        <w:rPr>
          <w:rStyle w:val="FootnoteReference"/>
          <w:rFonts w:cs="Times New Roman"/>
          <w:shd w:val="clear" w:color="auto" w:fill="FFFFFF"/>
        </w:rPr>
        <w:footnoteReference w:id="51"/>
      </w:r>
      <w:r w:rsidR="00EE1FB9" w:rsidRPr="00285A77">
        <w:rPr>
          <w:rFonts w:cs="Times New Roman"/>
          <w:shd w:val="clear" w:color="auto" w:fill="FFFFFF"/>
        </w:rPr>
        <w:t xml:space="preserve"> </w:t>
      </w:r>
      <w:r w:rsidR="00F02D28" w:rsidRPr="00285A77">
        <w:rPr>
          <w:rFonts w:cs="Times New Roman"/>
          <w:shd w:val="clear" w:color="auto" w:fill="FFFFFF"/>
        </w:rPr>
        <w:t xml:space="preserve">This penalty rate was not recalculated based on the new shortage hour analysis since it is not a formulaic rate but rather a filed rate with the FERC.   Therefore, a recalculation would be high speculative at this time.  </w:t>
      </w:r>
      <w:r w:rsidR="00EE1FB9" w:rsidRPr="00285A77">
        <w:rPr>
          <w:rFonts w:cs="Times New Roman"/>
          <w:shd w:val="clear" w:color="auto" w:fill="FFFFFF"/>
        </w:rPr>
        <w:t xml:space="preserve">A balancing ratio of 0.85 </w:t>
      </w:r>
      <w:r w:rsidR="0050506B" w:rsidRPr="00285A77">
        <w:rPr>
          <w:rFonts w:cs="Times New Roman"/>
          <w:shd w:val="clear" w:color="auto" w:fill="FFFFFF"/>
        </w:rPr>
        <w:t xml:space="preserve">was used, </w:t>
      </w:r>
      <w:r w:rsidR="00EE1FB9" w:rsidRPr="00285A77">
        <w:rPr>
          <w:rFonts w:cs="Times New Roman"/>
          <w:shd w:val="clear" w:color="auto" w:fill="FFFFFF"/>
        </w:rPr>
        <w:t>consistent</w:t>
      </w:r>
      <w:r w:rsidR="00EE1FB9">
        <w:rPr>
          <w:rFonts w:cs="Times New Roman"/>
          <w:shd w:val="clear" w:color="auto" w:fill="FFFFFF"/>
        </w:rPr>
        <w:t xml:space="preserve"> with previous ISO-NE analysis. </w:t>
      </w:r>
    </w:p>
    <w:p w14:paraId="456836FD" w14:textId="3AC6619B" w:rsidR="00EE1FB9" w:rsidRDefault="00EE1FB9" w:rsidP="00EE1FB9">
      <w:pPr>
        <w:rPr>
          <w:rFonts w:cs="Times New Roman"/>
          <w:shd w:val="clear" w:color="auto" w:fill="FFFFFF"/>
        </w:rPr>
      </w:pPr>
      <w:r>
        <w:rPr>
          <w:rFonts w:cs="Times New Roman"/>
          <w:shd w:val="clear" w:color="auto" w:fill="FFFFFF"/>
        </w:rPr>
        <w:t>We have assumed a performance score of 0.92 for a combined-cycle generator based on ISO-NE analysis this technology.</w:t>
      </w:r>
      <w:r>
        <w:rPr>
          <w:rStyle w:val="FootnoteReference"/>
          <w:rFonts w:cs="Times New Roman"/>
          <w:shd w:val="clear" w:color="auto" w:fill="FFFFFF"/>
        </w:rPr>
        <w:footnoteReference w:id="52"/>
      </w:r>
      <w:r>
        <w:rPr>
          <w:rFonts w:cs="Times New Roman"/>
          <w:shd w:val="clear" w:color="auto" w:fill="FFFFFF"/>
        </w:rPr>
        <w:t xml:space="preserve"> For a simple cycle generator, we have assumed a performance score of </w:t>
      </w:r>
      <w:r w:rsidR="005D76BC">
        <w:rPr>
          <w:rFonts w:cs="Times New Roman"/>
          <w:shd w:val="clear" w:color="auto" w:fill="FFFFFF"/>
        </w:rPr>
        <w:t xml:space="preserve">0.98 consistent with the expected forced outage rate for this technology </w:t>
      </w:r>
      <w:r w:rsidR="008B1462">
        <w:rPr>
          <w:rFonts w:cs="Times New Roman"/>
          <w:shd w:val="clear" w:color="auto" w:fill="FFFFFF"/>
        </w:rPr>
        <w:t xml:space="preserve">based on consultation with MM </w:t>
      </w:r>
      <w:r>
        <w:rPr>
          <w:rFonts w:cs="Times New Roman"/>
          <w:shd w:val="clear" w:color="auto" w:fill="FFFFFF"/>
        </w:rPr>
        <w:t>and the assumption that a state</w:t>
      </w:r>
      <w:r w:rsidR="00562D14">
        <w:rPr>
          <w:rFonts w:cs="Times New Roman"/>
          <w:shd w:val="clear" w:color="auto" w:fill="FFFFFF"/>
        </w:rPr>
        <w:t>-</w:t>
      </w:r>
      <w:r>
        <w:rPr>
          <w:rFonts w:cs="Times New Roman"/>
          <w:shd w:val="clear" w:color="auto" w:fill="FFFFFF"/>
        </w:rPr>
        <w:t>of</w:t>
      </w:r>
      <w:r w:rsidR="00562D14">
        <w:rPr>
          <w:rFonts w:cs="Times New Roman"/>
          <w:shd w:val="clear" w:color="auto" w:fill="FFFFFF"/>
        </w:rPr>
        <w:t>-</w:t>
      </w:r>
      <w:r>
        <w:rPr>
          <w:rFonts w:cs="Times New Roman"/>
          <w:shd w:val="clear" w:color="auto" w:fill="FFFFFF"/>
        </w:rPr>
        <w:t>the</w:t>
      </w:r>
      <w:r w:rsidR="00562D14">
        <w:rPr>
          <w:rFonts w:cs="Times New Roman"/>
          <w:shd w:val="clear" w:color="auto" w:fill="FFFFFF"/>
        </w:rPr>
        <w:t>-</w:t>
      </w:r>
      <w:r>
        <w:rPr>
          <w:rFonts w:cs="Times New Roman"/>
          <w:shd w:val="clear" w:color="auto" w:fill="FFFFFF"/>
        </w:rPr>
        <w:t>art fast</w:t>
      </w:r>
      <w:r w:rsidR="00562D14">
        <w:rPr>
          <w:rFonts w:cs="Times New Roman"/>
          <w:shd w:val="clear" w:color="auto" w:fill="FFFFFF"/>
        </w:rPr>
        <w:t>-</w:t>
      </w:r>
      <w:r>
        <w:rPr>
          <w:rFonts w:cs="Times New Roman"/>
          <w:shd w:val="clear" w:color="auto" w:fill="FFFFFF"/>
        </w:rPr>
        <w:t>start unit would generally be expected to capture s</w:t>
      </w:r>
      <w:r w:rsidR="000868CC">
        <w:rPr>
          <w:rFonts w:cs="Times New Roman"/>
          <w:shd w:val="clear" w:color="auto" w:fill="FFFFFF"/>
        </w:rPr>
        <w:t xml:space="preserve">hortage </w:t>
      </w:r>
      <w:r>
        <w:rPr>
          <w:rFonts w:cs="Times New Roman"/>
          <w:shd w:val="clear" w:color="auto" w:fill="FFFFFF"/>
        </w:rPr>
        <w:t>hour revenues unless on an outage. Our short</w:t>
      </w:r>
      <w:r w:rsidR="00BB4D46">
        <w:rPr>
          <w:rFonts w:cs="Times New Roman"/>
          <w:shd w:val="clear" w:color="auto" w:fill="FFFFFF"/>
        </w:rPr>
        <w:t xml:space="preserve">age hour assumptions are shown in Table 32 </w:t>
      </w:r>
      <w:r>
        <w:rPr>
          <w:rFonts w:cs="Times New Roman"/>
          <w:shd w:val="clear" w:color="auto" w:fill="FFFFFF"/>
        </w:rPr>
        <w:t>below.</w:t>
      </w:r>
    </w:p>
    <w:p w14:paraId="399EAD38" w14:textId="6B4D21E1" w:rsidR="00EE1FB9" w:rsidRPr="00976D6E" w:rsidRDefault="000868CC" w:rsidP="00D2628D">
      <w:pPr>
        <w:pStyle w:val="Caption"/>
        <w:rPr>
          <w:shd w:val="clear" w:color="auto" w:fill="FFFFFF"/>
        </w:rPr>
      </w:pPr>
      <w:bookmarkStart w:id="83" w:name="_Ref462665993"/>
      <w:bookmarkStart w:id="84" w:name="_Toc465433456"/>
      <w:r w:rsidRPr="00976D6E">
        <w:t xml:space="preserve">Table </w:t>
      </w:r>
      <w:r w:rsidR="009F1FE8" w:rsidRPr="008E234D">
        <w:fldChar w:fldCharType="begin"/>
      </w:r>
      <w:r w:rsidR="009F1FE8" w:rsidRPr="00976D6E">
        <w:instrText xml:space="preserve"> SEQ Table \* ARABIC </w:instrText>
      </w:r>
      <w:r w:rsidR="009F1FE8" w:rsidRPr="008E234D">
        <w:fldChar w:fldCharType="separate"/>
      </w:r>
      <w:r w:rsidR="000637A3">
        <w:rPr>
          <w:noProof/>
        </w:rPr>
        <w:t>32</w:t>
      </w:r>
      <w:r w:rsidR="009F1FE8" w:rsidRPr="008E234D">
        <w:rPr>
          <w:noProof/>
        </w:rPr>
        <w:fldChar w:fldCharType="end"/>
      </w:r>
      <w:bookmarkEnd w:id="83"/>
      <w:r w:rsidRPr="00976D6E">
        <w:t>: Shortage Hour Assumptions</w:t>
      </w:r>
      <w:bookmarkEnd w:id="84"/>
    </w:p>
    <w:tbl>
      <w:tblPr>
        <w:tblW w:w="0" w:type="auto"/>
        <w:tblInd w:w="-410" w:type="dxa"/>
        <w:tblLook w:val="04A0" w:firstRow="1" w:lastRow="0" w:firstColumn="1" w:lastColumn="0" w:noHBand="0" w:noVBand="1"/>
      </w:tblPr>
      <w:tblGrid>
        <w:gridCol w:w="1576"/>
        <w:gridCol w:w="999"/>
        <w:gridCol w:w="1763"/>
        <w:gridCol w:w="1702"/>
        <w:gridCol w:w="1429"/>
        <w:gridCol w:w="1799"/>
        <w:gridCol w:w="718"/>
      </w:tblGrid>
      <w:tr w:rsidR="00AD732B" w:rsidRPr="00AD732B" w14:paraId="0D67EB3C" w14:textId="77777777" w:rsidTr="001436DC">
        <w:trPr>
          <w:trHeight w:val="944"/>
        </w:trPr>
        <w:tc>
          <w:tcPr>
            <w:tcW w:w="1575" w:type="dxa"/>
            <w:tcBorders>
              <w:top w:val="single" w:sz="4" w:space="0" w:color="auto"/>
              <w:left w:val="single" w:sz="4" w:space="0" w:color="auto"/>
              <w:bottom w:val="single" w:sz="4" w:space="0" w:color="auto"/>
              <w:right w:val="nil"/>
            </w:tcBorders>
            <w:shd w:val="clear" w:color="000000" w:fill="BFBFBF"/>
            <w:hideMark/>
          </w:tcPr>
          <w:p w14:paraId="418F10B1" w14:textId="77777777" w:rsidR="00AD732B" w:rsidRPr="001436DC" w:rsidRDefault="00AD732B" w:rsidP="00AD732B">
            <w:pPr>
              <w:spacing w:after="0" w:line="240" w:lineRule="auto"/>
              <w:jc w:val="center"/>
              <w:rPr>
                <w:rFonts w:ascii="Century Gothic" w:eastAsia="Times New Roman" w:hAnsi="Century Gothic" w:cs="Times New Roman"/>
                <w:b/>
                <w:bCs/>
                <w:color w:val="000000"/>
                <w:sz w:val="18"/>
                <w:szCs w:val="18"/>
              </w:rPr>
            </w:pPr>
            <w:r w:rsidRPr="001436DC">
              <w:rPr>
                <w:rFonts w:ascii="Century Gothic" w:eastAsia="Times New Roman" w:hAnsi="Century Gothic" w:cs="Times New Roman"/>
                <w:b/>
                <w:bCs/>
                <w:color w:val="000000"/>
                <w:sz w:val="18"/>
                <w:szCs w:val="18"/>
              </w:rPr>
              <w:t>Technology</w:t>
            </w:r>
          </w:p>
        </w:tc>
        <w:tc>
          <w:tcPr>
            <w:tcW w:w="999" w:type="dxa"/>
            <w:tcBorders>
              <w:top w:val="single" w:sz="4" w:space="0" w:color="auto"/>
              <w:left w:val="nil"/>
              <w:bottom w:val="single" w:sz="4" w:space="0" w:color="auto"/>
              <w:right w:val="nil"/>
            </w:tcBorders>
            <w:shd w:val="clear" w:color="000000" w:fill="BFBFBF"/>
            <w:hideMark/>
          </w:tcPr>
          <w:p w14:paraId="2880280D" w14:textId="77777777" w:rsidR="00AD732B" w:rsidRPr="001436DC" w:rsidRDefault="00AD732B" w:rsidP="00AD732B">
            <w:pPr>
              <w:spacing w:after="0" w:line="240" w:lineRule="auto"/>
              <w:jc w:val="center"/>
              <w:rPr>
                <w:rFonts w:ascii="Century Gothic" w:eastAsia="Times New Roman" w:hAnsi="Century Gothic" w:cs="Times New Roman"/>
                <w:b/>
                <w:bCs/>
                <w:color w:val="000000"/>
                <w:sz w:val="18"/>
                <w:szCs w:val="18"/>
              </w:rPr>
            </w:pPr>
            <w:r w:rsidRPr="001436DC">
              <w:rPr>
                <w:rFonts w:ascii="Century Gothic" w:eastAsia="Times New Roman" w:hAnsi="Century Gothic" w:cs="Times New Roman"/>
                <w:b/>
                <w:bCs/>
                <w:color w:val="000000"/>
                <w:sz w:val="18"/>
                <w:szCs w:val="18"/>
              </w:rPr>
              <w:t>Scarcity Hours at Criteria (</w:t>
            </w:r>
            <w:proofErr w:type="spellStart"/>
            <w:r w:rsidRPr="001436DC">
              <w:rPr>
                <w:rFonts w:ascii="Century Gothic" w:eastAsia="Times New Roman" w:hAnsi="Century Gothic" w:cs="Times New Roman"/>
                <w:b/>
                <w:bCs/>
                <w:color w:val="000000"/>
                <w:sz w:val="18"/>
                <w:szCs w:val="18"/>
              </w:rPr>
              <w:t>hrs</w:t>
            </w:r>
            <w:proofErr w:type="spellEnd"/>
            <w:r w:rsidRPr="001436DC">
              <w:rPr>
                <w:rFonts w:ascii="Century Gothic" w:eastAsia="Times New Roman" w:hAnsi="Century Gothic" w:cs="Times New Roman"/>
                <w:b/>
                <w:bCs/>
                <w:color w:val="000000"/>
                <w:sz w:val="18"/>
                <w:szCs w:val="18"/>
              </w:rPr>
              <w:t>)</w:t>
            </w:r>
          </w:p>
        </w:tc>
        <w:tc>
          <w:tcPr>
            <w:tcW w:w="0" w:type="auto"/>
            <w:tcBorders>
              <w:top w:val="single" w:sz="4" w:space="0" w:color="auto"/>
              <w:left w:val="nil"/>
              <w:bottom w:val="single" w:sz="4" w:space="0" w:color="auto"/>
              <w:right w:val="nil"/>
            </w:tcBorders>
            <w:shd w:val="clear" w:color="000000" w:fill="BFBFBF"/>
            <w:hideMark/>
          </w:tcPr>
          <w:p w14:paraId="578D34B7" w14:textId="77777777" w:rsidR="00AD732B" w:rsidRPr="001436DC" w:rsidRDefault="00AD732B" w:rsidP="00AD732B">
            <w:pPr>
              <w:spacing w:after="0" w:line="240" w:lineRule="auto"/>
              <w:jc w:val="center"/>
              <w:rPr>
                <w:rFonts w:ascii="Century Gothic" w:eastAsia="Times New Roman" w:hAnsi="Century Gothic" w:cs="Times New Roman"/>
                <w:b/>
                <w:bCs/>
                <w:color w:val="000000"/>
                <w:sz w:val="18"/>
                <w:szCs w:val="18"/>
              </w:rPr>
            </w:pPr>
            <w:r w:rsidRPr="001436DC">
              <w:rPr>
                <w:rFonts w:ascii="Century Gothic" w:eastAsia="Times New Roman" w:hAnsi="Century Gothic" w:cs="Times New Roman"/>
                <w:b/>
                <w:bCs/>
                <w:color w:val="000000"/>
                <w:sz w:val="18"/>
                <w:szCs w:val="18"/>
              </w:rPr>
              <w:t>Performance Payment Rate ($/</w:t>
            </w:r>
            <w:proofErr w:type="spellStart"/>
            <w:r w:rsidRPr="001436DC">
              <w:rPr>
                <w:rFonts w:ascii="Century Gothic" w:eastAsia="Times New Roman" w:hAnsi="Century Gothic" w:cs="Times New Roman"/>
                <w:b/>
                <w:bCs/>
                <w:color w:val="000000"/>
                <w:sz w:val="18"/>
                <w:szCs w:val="18"/>
              </w:rPr>
              <w:t>mWh</w:t>
            </w:r>
            <w:proofErr w:type="spellEnd"/>
            <w:r w:rsidRPr="001436DC">
              <w:rPr>
                <w:rFonts w:ascii="Century Gothic" w:eastAsia="Times New Roman" w:hAnsi="Century Gothic" w:cs="Times New Roman"/>
                <w:b/>
                <w:bCs/>
                <w:color w:val="000000"/>
                <w:sz w:val="18"/>
                <w:szCs w:val="18"/>
              </w:rPr>
              <w:t>)</w:t>
            </w:r>
          </w:p>
        </w:tc>
        <w:tc>
          <w:tcPr>
            <w:tcW w:w="0" w:type="auto"/>
            <w:tcBorders>
              <w:top w:val="single" w:sz="4" w:space="0" w:color="auto"/>
              <w:left w:val="nil"/>
              <w:bottom w:val="single" w:sz="4" w:space="0" w:color="auto"/>
              <w:right w:val="nil"/>
            </w:tcBorders>
            <w:shd w:val="clear" w:color="000000" w:fill="BFBFBF"/>
            <w:hideMark/>
          </w:tcPr>
          <w:p w14:paraId="5F2C40F2" w14:textId="77777777" w:rsidR="00AD732B" w:rsidRPr="001436DC" w:rsidRDefault="00AD732B" w:rsidP="00AD732B">
            <w:pPr>
              <w:spacing w:after="0" w:line="240" w:lineRule="auto"/>
              <w:jc w:val="center"/>
              <w:rPr>
                <w:rFonts w:ascii="Century Gothic" w:eastAsia="Times New Roman" w:hAnsi="Century Gothic" w:cs="Times New Roman"/>
                <w:b/>
                <w:bCs/>
                <w:color w:val="000000"/>
                <w:sz w:val="18"/>
                <w:szCs w:val="18"/>
              </w:rPr>
            </w:pPr>
            <w:r w:rsidRPr="001436DC">
              <w:rPr>
                <w:rFonts w:ascii="Century Gothic" w:eastAsia="Times New Roman" w:hAnsi="Century Gothic" w:cs="Times New Roman"/>
                <w:b/>
                <w:bCs/>
                <w:color w:val="000000"/>
                <w:sz w:val="18"/>
                <w:szCs w:val="18"/>
              </w:rPr>
              <w:t>Average Actual Performance (%)</w:t>
            </w:r>
          </w:p>
        </w:tc>
        <w:tc>
          <w:tcPr>
            <w:tcW w:w="0" w:type="auto"/>
            <w:tcBorders>
              <w:top w:val="single" w:sz="4" w:space="0" w:color="auto"/>
              <w:left w:val="nil"/>
              <w:bottom w:val="single" w:sz="4" w:space="0" w:color="auto"/>
              <w:right w:val="nil"/>
            </w:tcBorders>
            <w:shd w:val="clear" w:color="000000" w:fill="BFBFBF"/>
            <w:hideMark/>
          </w:tcPr>
          <w:p w14:paraId="3FC47668" w14:textId="77777777" w:rsidR="00AD732B" w:rsidRPr="001436DC" w:rsidRDefault="00AD732B" w:rsidP="00AD732B">
            <w:pPr>
              <w:spacing w:after="0" w:line="240" w:lineRule="auto"/>
              <w:jc w:val="center"/>
              <w:rPr>
                <w:rFonts w:ascii="Century Gothic" w:eastAsia="Times New Roman" w:hAnsi="Century Gothic" w:cs="Times New Roman"/>
                <w:b/>
                <w:bCs/>
                <w:color w:val="000000"/>
                <w:sz w:val="18"/>
                <w:szCs w:val="18"/>
              </w:rPr>
            </w:pPr>
            <w:r w:rsidRPr="001436DC">
              <w:rPr>
                <w:rFonts w:ascii="Century Gothic" w:eastAsia="Times New Roman" w:hAnsi="Century Gothic" w:cs="Times New Roman"/>
                <w:b/>
                <w:bCs/>
                <w:color w:val="000000"/>
                <w:sz w:val="18"/>
                <w:szCs w:val="18"/>
              </w:rPr>
              <w:t>Average Balancing Ratio (%)</w:t>
            </w:r>
          </w:p>
        </w:tc>
        <w:tc>
          <w:tcPr>
            <w:tcW w:w="0" w:type="auto"/>
            <w:tcBorders>
              <w:top w:val="single" w:sz="4" w:space="0" w:color="auto"/>
              <w:left w:val="nil"/>
              <w:bottom w:val="single" w:sz="4" w:space="0" w:color="auto"/>
              <w:right w:val="nil"/>
            </w:tcBorders>
            <w:shd w:val="clear" w:color="000000" w:fill="BFBFBF"/>
            <w:hideMark/>
          </w:tcPr>
          <w:p w14:paraId="6EFF3C3C" w14:textId="77777777" w:rsidR="00AD732B" w:rsidRPr="001436DC" w:rsidRDefault="00AD732B" w:rsidP="00AD732B">
            <w:pPr>
              <w:spacing w:after="0" w:line="240" w:lineRule="auto"/>
              <w:jc w:val="center"/>
              <w:rPr>
                <w:rFonts w:ascii="Century Gothic" w:eastAsia="Times New Roman" w:hAnsi="Century Gothic" w:cs="Times New Roman"/>
                <w:b/>
                <w:bCs/>
                <w:color w:val="000000"/>
                <w:sz w:val="18"/>
                <w:szCs w:val="18"/>
              </w:rPr>
            </w:pPr>
            <w:r w:rsidRPr="001436DC">
              <w:rPr>
                <w:rFonts w:ascii="Century Gothic" w:eastAsia="Times New Roman" w:hAnsi="Century Gothic" w:cs="Times New Roman"/>
                <w:b/>
                <w:bCs/>
                <w:color w:val="000000"/>
                <w:sz w:val="18"/>
                <w:szCs w:val="18"/>
              </w:rPr>
              <w:t>Net Performance Payments ($/kW-</w:t>
            </w:r>
            <w:proofErr w:type="spellStart"/>
            <w:r w:rsidRPr="001436DC">
              <w:rPr>
                <w:rFonts w:ascii="Century Gothic" w:eastAsia="Times New Roman" w:hAnsi="Century Gothic" w:cs="Times New Roman"/>
                <w:b/>
                <w:bCs/>
                <w:color w:val="000000"/>
                <w:sz w:val="18"/>
                <w:szCs w:val="18"/>
              </w:rPr>
              <w:t>mo</w:t>
            </w:r>
            <w:proofErr w:type="spellEnd"/>
            <w:r w:rsidRPr="001436DC">
              <w:rPr>
                <w:rFonts w:ascii="Century Gothic" w:eastAsia="Times New Roman" w:hAnsi="Century Gothic" w:cs="Times New Roman"/>
                <w:b/>
                <w:bCs/>
                <w:color w:val="000000"/>
                <w:sz w:val="18"/>
                <w:szCs w:val="18"/>
              </w:rPr>
              <w:t>)</w:t>
            </w:r>
          </w:p>
        </w:tc>
        <w:tc>
          <w:tcPr>
            <w:tcW w:w="0" w:type="auto"/>
            <w:tcBorders>
              <w:top w:val="single" w:sz="4" w:space="0" w:color="auto"/>
              <w:left w:val="nil"/>
              <w:bottom w:val="single" w:sz="4" w:space="0" w:color="auto"/>
              <w:right w:val="single" w:sz="4" w:space="0" w:color="auto"/>
            </w:tcBorders>
            <w:shd w:val="clear" w:color="000000" w:fill="BFBFBF"/>
            <w:hideMark/>
          </w:tcPr>
          <w:p w14:paraId="50B6BC70" w14:textId="77777777" w:rsidR="00AD732B" w:rsidRPr="00AD732B" w:rsidRDefault="00AD732B" w:rsidP="00AD732B">
            <w:pPr>
              <w:spacing w:after="0" w:line="240" w:lineRule="auto"/>
              <w:jc w:val="center"/>
              <w:rPr>
                <w:rFonts w:ascii="Century Gothic" w:eastAsia="Times New Roman" w:hAnsi="Century Gothic" w:cs="Times New Roman"/>
                <w:b/>
                <w:bCs/>
                <w:color w:val="000000"/>
              </w:rPr>
            </w:pPr>
            <w:r w:rsidRPr="00AD732B">
              <w:rPr>
                <w:rFonts w:ascii="Century Gothic" w:eastAsia="Times New Roman" w:hAnsi="Century Gothic" w:cs="Times New Roman"/>
                <w:b/>
                <w:bCs/>
                <w:color w:val="000000"/>
              </w:rPr>
              <w:t> </w:t>
            </w:r>
          </w:p>
        </w:tc>
      </w:tr>
      <w:tr w:rsidR="00212079" w:rsidRPr="00AD732B" w14:paraId="002E0402" w14:textId="77777777" w:rsidTr="00AD732B">
        <w:trPr>
          <w:trHeight w:val="285"/>
        </w:trPr>
        <w:tc>
          <w:tcPr>
            <w:tcW w:w="1575" w:type="dxa"/>
            <w:tcBorders>
              <w:top w:val="nil"/>
              <w:left w:val="single" w:sz="4" w:space="0" w:color="auto"/>
              <w:bottom w:val="nil"/>
              <w:right w:val="nil"/>
            </w:tcBorders>
            <w:shd w:val="clear" w:color="000000" w:fill="FFFFFF"/>
            <w:vAlign w:val="bottom"/>
            <w:hideMark/>
          </w:tcPr>
          <w:p w14:paraId="66B80867"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Combined Cycle</w:t>
            </w:r>
          </w:p>
        </w:tc>
        <w:tc>
          <w:tcPr>
            <w:tcW w:w="999" w:type="dxa"/>
            <w:vMerge w:val="restart"/>
            <w:tcBorders>
              <w:top w:val="nil"/>
              <w:left w:val="nil"/>
              <w:bottom w:val="single" w:sz="4" w:space="0" w:color="000000"/>
              <w:right w:val="nil"/>
            </w:tcBorders>
            <w:shd w:val="clear" w:color="000000" w:fill="FFFFFF"/>
            <w:vAlign w:val="center"/>
            <w:hideMark/>
          </w:tcPr>
          <w:p w14:paraId="3D274CAE"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11.3</w:t>
            </w:r>
          </w:p>
        </w:tc>
        <w:tc>
          <w:tcPr>
            <w:tcW w:w="0" w:type="auto"/>
            <w:vMerge w:val="restart"/>
            <w:tcBorders>
              <w:top w:val="nil"/>
              <w:left w:val="nil"/>
              <w:bottom w:val="single" w:sz="4" w:space="0" w:color="000000"/>
              <w:right w:val="nil"/>
            </w:tcBorders>
            <w:shd w:val="clear" w:color="000000" w:fill="FFFFFF"/>
            <w:vAlign w:val="center"/>
            <w:hideMark/>
          </w:tcPr>
          <w:p w14:paraId="27B59351"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 xml:space="preserve">$5,455 </w:t>
            </w:r>
          </w:p>
        </w:tc>
        <w:tc>
          <w:tcPr>
            <w:tcW w:w="0" w:type="auto"/>
            <w:tcBorders>
              <w:top w:val="nil"/>
              <w:left w:val="nil"/>
              <w:bottom w:val="nil"/>
              <w:right w:val="nil"/>
            </w:tcBorders>
            <w:shd w:val="clear" w:color="000000" w:fill="FFFFFF"/>
            <w:vAlign w:val="bottom"/>
            <w:hideMark/>
          </w:tcPr>
          <w:p w14:paraId="7BE157AC"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0.92</w:t>
            </w:r>
          </w:p>
        </w:tc>
        <w:tc>
          <w:tcPr>
            <w:tcW w:w="0" w:type="auto"/>
            <w:vMerge w:val="restart"/>
            <w:tcBorders>
              <w:top w:val="nil"/>
              <w:left w:val="nil"/>
              <w:bottom w:val="single" w:sz="4" w:space="0" w:color="000000"/>
              <w:right w:val="nil"/>
            </w:tcBorders>
            <w:shd w:val="clear" w:color="000000" w:fill="FFFFFF"/>
            <w:vAlign w:val="center"/>
            <w:hideMark/>
          </w:tcPr>
          <w:p w14:paraId="0EED6C1B"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0.85</w:t>
            </w:r>
          </w:p>
        </w:tc>
        <w:tc>
          <w:tcPr>
            <w:tcW w:w="0" w:type="auto"/>
            <w:tcBorders>
              <w:top w:val="nil"/>
              <w:left w:val="nil"/>
              <w:bottom w:val="nil"/>
              <w:right w:val="nil"/>
            </w:tcBorders>
            <w:shd w:val="clear" w:color="000000" w:fill="FFFFFF"/>
            <w:vAlign w:val="bottom"/>
            <w:hideMark/>
          </w:tcPr>
          <w:p w14:paraId="4558FCC8"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0.36</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01E66E9C"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years 4 - 20</w:t>
            </w:r>
          </w:p>
        </w:tc>
      </w:tr>
      <w:tr w:rsidR="00AD732B" w:rsidRPr="00AD732B" w14:paraId="797AAC9B" w14:textId="77777777" w:rsidTr="001436DC">
        <w:trPr>
          <w:trHeight w:val="285"/>
        </w:trPr>
        <w:tc>
          <w:tcPr>
            <w:tcW w:w="1575" w:type="dxa"/>
            <w:tcBorders>
              <w:top w:val="nil"/>
              <w:left w:val="single" w:sz="4" w:space="0" w:color="auto"/>
              <w:bottom w:val="single" w:sz="4" w:space="0" w:color="auto"/>
              <w:right w:val="nil"/>
            </w:tcBorders>
            <w:shd w:val="clear" w:color="000000" w:fill="FFFFFF"/>
            <w:vAlign w:val="bottom"/>
            <w:hideMark/>
          </w:tcPr>
          <w:p w14:paraId="005C7016"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Combustion Turbine</w:t>
            </w:r>
          </w:p>
        </w:tc>
        <w:tc>
          <w:tcPr>
            <w:tcW w:w="999" w:type="dxa"/>
            <w:vMerge/>
            <w:tcBorders>
              <w:top w:val="nil"/>
              <w:left w:val="nil"/>
              <w:bottom w:val="single" w:sz="4" w:space="0" w:color="000000"/>
              <w:right w:val="nil"/>
            </w:tcBorders>
            <w:vAlign w:val="center"/>
            <w:hideMark/>
          </w:tcPr>
          <w:p w14:paraId="7544BEAB" w14:textId="77777777" w:rsidR="00AD732B" w:rsidRPr="001436DC" w:rsidRDefault="00AD732B" w:rsidP="00AD732B">
            <w:pPr>
              <w:spacing w:after="0" w:line="240" w:lineRule="auto"/>
              <w:jc w:val="left"/>
              <w:rPr>
                <w:rFonts w:ascii="Century Gothic" w:eastAsia="Times New Roman" w:hAnsi="Century Gothic" w:cs="Times New Roman"/>
                <w:color w:val="000000"/>
                <w:sz w:val="16"/>
                <w:szCs w:val="16"/>
              </w:rPr>
            </w:pPr>
          </w:p>
        </w:tc>
        <w:tc>
          <w:tcPr>
            <w:tcW w:w="0" w:type="auto"/>
            <w:vMerge/>
            <w:tcBorders>
              <w:top w:val="nil"/>
              <w:left w:val="nil"/>
              <w:bottom w:val="single" w:sz="4" w:space="0" w:color="000000"/>
              <w:right w:val="nil"/>
            </w:tcBorders>
            <w:vAlign w:val="center"/>
            <w:hideMark/>
          </w:tcPr>
          <w:p w14:paraId="6953AF65" w14:textId="77777777" w:rsidR="00AD732B" w:rsidRPr="001436DC" w:rsidRDefault="00AD732B" w:rsidP="00AD732B">
            <w:pPr>
              <w:spacing w:after="0" w:line="240" w:lineRule="auto"/>
              <w:jc w:val="left"/>
              <w:rPr>
                <w:rFonts w:ascii="Century Gothic" w:eastAsia="Times New Roman" w:hAnsi="Century Gothic" w:cs="Times New Roman"/>
                <w:color w:val="000000"/>
                <w:sz w:val="16"/>
                <w:szCs w:val="16"/>
              </w:rPr>
            </w:pPr>
          </w:p>
        </w:tc>
        <w:tc>
          <w:tcPr>
            <w:tcW w:w="0" w:type="auto"/>
            <w:tcBorders>
              <w:top w:val="nil"/>
              <w:left w:val="nil"/>
              <w:bottom w:val="single" w:sz="4" w:space="0" w:color="auto"/>
              <w:right w:val="nil"/>
            </w:tcBorders>
            <w:shd w:val="clear" w:color="000000" w:fill="FFFFFF"/>
            <w:vAlign w:val="bottom"/>
            <w:hideMark/>
          </w:tcPr>
          <w:p w14:paraId="4A7CB67E"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0.98</w:t>
            </w:r>
          </w:p>
        </w:tc>
        <w:tc>
          <w:tcPr>
            <w:tcW w:w="0" w:type="auto"/>
            <w:vMerge/>
            <w:tcBorders>
              <w:top w:val="nil"/>
              <w:left w:val="nil"/>
              <w:bottom w:val="single" w:sz="4" w:space="0" w:color="000000"/>
              <w:right w:val="nil"/>
            </w:tcBorders>
            <w:vAlign w:val="center"/>
            <w:hideMark/>
          </w:tcPr>
          <w:p w14:paraId="2D71E2D5" w14:textId="77777777" w:rsidR="00AD732B" w:rsidRPr="001436DC" w:rsidRDefault="00AD732B" w:rsidP="00AD732B">
            <w:pPr>
              <w:spacing w:after="0" w:line="240" w:lineRule="auto"/>
              <w:jc w:val="left"/>
              <w:rPr>
                <w:rFonts w:ascii="Century Gothic" w:eastAsia="Times New Roman" w:hAnsi="Century Gothic" w:cs="Times New Roman"/>
                <w:color w:val="000000"/>
                <w:sz w:val="16"/>
                <w:szCs w:val="16"/>
              </w:rPr>
            </w:pPr>
          </w:p>
        </w:tc>
        <w:tc>
          <w:tcPr>
            <w:tcW w:w="0" w:type="auto"/>
            <w:tcBorders>
              <w:top w:val="nil"/>
              <w:left w:val="nil"/>
              <w:bottom w:val="single" w:sz="4" w:space="0" w:color="auto"/>
              <w:right w:val="nil"/>
            </w:tcBorders>
            <w:shd w:val="clear" w:color="000000" w:fill="FFFFFF"/>
            <w:vAlign w:val="bottom"/>
            <w:hideMark/>
          </w:tcPr>
          <w:p w14:paraId="0517BDCE"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0.67</w:t>
            </w:r>
          </w:p>
        </w:tc>
        <w:tc>
          <w:tcPr>
            <w:tcW w:w="0" w:type="auto"/>
            <w:vMerge/>
            <w:tcBorders>
              <w:top w:val="nil"/>
              <w:left w:val="nil"/>
              <w:bottom w:val="single" w:sz="4" w:space="0" w:color="000000"/>
              <w:right w:val="single" w:sz="4" w:space="0" w:color="auto"/>
            </w:tcBorders>
            <w:vAlign w:val="center"/>
            <w:hideMark/>
          </w:tcPr>
          <w:p w14:paraId="7AD932B1" w14:textId="77777777" w:rsidR="00AD732B" w:rsidRPr="001436DC" w:rsidRDefault="00AD732B" w:rsidP="00AD732B">
            <w:pPr>
              <w:spacing w:after="0" w:line="240" w:lineRule="auto"/>
              <w:jc w:val="left"/>
              <w:rPr>
                <w:rFonts w:ascii="Century Gothic" w:eastAsia="Times New Roman" w:hAnsi="Century Gothic" w:cs="Times New Roman"/>
                <w:color w:val="000000"/>
                <w:sz w:val="16"/>
                <w:szCs w:val="16"/>
              </w:rPr>
            </w:pPr>
          </w:p>
        </w:tc>
      </w:tr>
      <w:tr w:rsidR="00212079" w:rsidRPr="00AD732B" w14:paraId="70A5A00C" w14:textId="77777777" w:rsidTr="00AD732B">
        <w:trPr>
          <w:trHeight w:val="285"/>
        </w:trPr>
        <w:tc>
          <w:tcPr>
            <w:tcW w:w="1575" w:type="dxa"/>
            <w:tcBorders>
              <w:top w:val="nil"/>
              <w:left w:val="single" w:sz="4" w:space="0" w:color="auto"/>
              <w:bottom w:val="nil"/>
              <w:right w:val="nil"/>
            </w:tcBorders>
            <w:shd w:val="clear" w:color="000000" w:fill="FFFFFF"/>
            <w:vAlign w:val="bottom"/>
            <w:hideMark/>
          </w:tcPr>
          <w:p w14:paraId="723C9D55"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Combined Cycle</w:t>
            </w:r>
          </w:p>
        </w:tc>
        <w:tc>
          <w:tcPr>
            <w:tcW w:w="999" w:type="dxa"/>
            <w:vMerge w:val="restart"/>
            <w:tcBorders>
              <w:top w:val="nil"/>
              <w:left w:val="nil"/>
              <w:bottom w:val="single" w:sz="4" w:space="0" w:color="000000"/>
              <w:right w:val="nil"/>
            </w:tcBorders>
            <w:shd w:val="clear" w:color="000000" w:fill="FFFFFF"/>
            <w:vAlign w:val="center"/>
            <w:hideMark/>
          </w:tcPr>
          <w:p w14:paraId="1A6CBCCB"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6</w:t>
            </w:r>
          </w:p>
        </w:tc>
        <w:tc>
          <w:tcPr>
            <w:tcW w:w="0" w:type="auto"/>
            <w:vMerge w:val="restart"/>
            <w:tcBorders>
              <w:top w:val="nil"/>
              <w:left w:val="nil"/>
              <w:bottom w:val="single" w:sz="4" w:space="0" w:color="000000"/>
              <w:right w:val="nil"/>
            </w:tcBorders>
            <w:shd w:val="clear" w:color="000000" w:fill="FFFFFF"/>
            <w:vAlign w:val="center"/>
            <w:hideMark/>
          </w:tcPr>
          <w:p w14:paraId="58937569"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 xml:space="preserve">$3,500 </w:t>
            </w:r>
          </w:p>
        </w:tc>
        <w:tc>
          <w:tcPr>
            <w:tcW w:w="0" w:type="auto"/>
            <w:tcBorders>
              <w:top w:val="nil"/>
              <w:left w:val="nil"/>
              <w:bottom w:val="nil"/>
              <w:right w:val="nil"/>
            </w:tcBorders>
            <w:shd w:val="clear" w:color="000000" w:fill="FFFFFF"/>
            <w:vAlign w:val="bottom"/>
            <w:hideMark/>
          </w:tcPr>
          <w:p w14:paraId="2C0C29CB"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0.92</w:t>
            </w:r>
          </w:p>
        </w:tc>
        <w:tc>
          <w:tcPr>
            <w:tcW w:w="0" w:type="auto"/>
            <w:vMerge w:val="restart"/>
            <w:tcBorders>
              <w:top w:val="nil"/>
              <w:left w:val="nil"/>
              <w:bottom w:val="single" w:sz="4" w:space="0" w:color="000000"/>
              <w:right w:val="nil"/>
            </w:tcBorders>
            <w:shd w:val="clear" w:color="000000" w:fill="FFFFFF"/>
            <w:vAlign w:val="center"/>
            <w:hideMark/>
          </w:tcPr>
          <w:p w14:paraId="69AC12C1"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0.85</w:t>
            </w:r>
          </w:p>
        </w:tc>
        <w:tc>
          <w:tcPr>
            <w:tcW w:w="0" w:type="auto"/>
            <w:tcBorders>
              <w:top w:val="nil"/>
              <w:left w:val="nil"/>
              <w:bottom w:val="nil"/>
              <w:right w:val="nil"/>
            </w:tcBorders>
            <w:shd w:val="clear" w:color="000000" w:fill="FFFFFF"/>
            <w:vAlign w:val="bottom"/>
            <w:hideMark/>
          </w:tcPr>
          <w:p w14:paraId="0958774B"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0.12</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21E5316B"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years 1-3</w:t>
            </w:r>
          </w:p>
        </w:tc>
      </w:tr>
      <w:tr w:rsidR="00AD732B" w:rsidRPr="00AD732B" w14:paraId="4A02FA4B" w14:textId="77777777" w:rsidTr="001436DC">
        <w:trPr>
          <w:trHeight w:val="296"/>
        </w:trPr>
        <w:tc>
          <w:tcPr>
            <w:tcW w:w="1575" w:type="dxa"/>
            <w:tcBorders>
              <w:top w:val="nil"/>
              <w:left w:val="single" w:sz="4" w:space="0" w:color="auto"/>
              <w:bottom w:val="single" w:sz="4" w:space="0" w:color="auto"/>
              <w:right w:val="nil"/>
            </w:tcBorders>
            <w:shd w:val="clear" w:color="000000" w:fill="FFFFFF"/>
            <w:vAlign w:val="bottom"/>
            <w:hideMark/>
          </w:tcPr>
          <w:p w14:paraId="1CF9E5D2"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Combustion Turbine</w:t>
            </w:r>
          </w:p>
        </w:tc>
        <w:tc>
          <w:tcPr>
            <w:tcW w:w="999" w:type="dxa"/>
            <w:vMerge/>
            <w:tcBorders>
              <w:top w:val="nil"/>
              <w:left w:val="nil"/>
              <w:bottom w:val="single" w:sz="4" w:space="0" w:color="000000"/>
              <w:right w:val="nil"/>
            </w:tcBorders>
            <w:vAlign w:val="center"/>
            <w:hideMark/>
          </w:tcPr>
          <w:p w14:paraId="39F26DB3" w14:textId="77777777" w:rsidR="00AD732B" w:rsidRPr="001436DC" w:rsidRDefault="00AD732B" w:rsidP="00AD732B">
            <w:pPr>
              <w:spacing w:after="0" w:line="240" w:lineRule="auto"/>
              <w:jc w:val="left"/>
              <w:rPr>
                <w:rFonts w:ascii="Century Gothic" w:eastAsia="Times New Roman" w:hAnsi="Century Gothic" w:cs="Times New Roman"/>
                <w:color w:val="000000"/>
                <w:sz w:val="16"/>
                <w:szCs w:val="16"/>
              </w:rPr>
            </w:pPr>
          </w:p>
        </w:tc>
        <w:tc>
          <w:tcPr>
            <w:tcW w:w="0" w:type="auto"/>
            <w:vMerge/>
            <w:tcBorders>
              <w:top w:val="nil"/>
              <w:left w:val="nil"/>
              <w:bottom w:val="single" w:sz="4" w:space="0" w:color="000000"/>
              <w:right w:val="nil"/>
            </w:tcBorders>
            <w:vAlign w:val="center"/>
            <w:hideMark/>
          </w:tcPr>
          <w:p w14:paraId="24673FA6" w14:textId="77777777" w:rsidR="00AD732B" w:rsidRPr="001436DC" w:rsidRDefault="00AD732B" w:rsidP="00AD732B">
            <w:pPr>
              <w:spacing w:after="0" w:line="240" w:lineRule="auto"/>
              <w:jc w:val="left"/>
              <w:rPr>
                <w:rFonts w:ascii="Century Gothic" w:eastAsia="Times New Roman" w:hAnsi="Century Gothic" w:cs="Times New Roman"/>
                <w:color w:val="000000"/>
                <w:sz w:val="16"/>
                <w:szCs w:val="16"/>
              </w:rPr>
            </w:pPr>
          </w:p>
        </w:tc>
        <w:tc>
          <w:tcPr>
            <w:tcW w:w="0" w:type="auto"/>
            <w:tcBorders>
              <w:top w:val="nil"/>
              <w:left w:val="nil"/>
              <w:bottom w:val="single" w:sz="4" w:space="0" w:color="auto"/>
              <w:right w:val="nil"/>
            </w:tcBorders>
            <w:shd w:val="clear" w:color="000000" w:fill="FFFFFF"/>
            <w:vAlign w:val="bottom"/>
            <w:hideMark/>
          </w:tcPr>
          <w:p w14:paraId="2801920E"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0.98</w:t>
            </w:r>
          </w:p>
        </w:tc>
        <w:tc>
          <w:tcPr>
            <w:tcW w:w="0" w:type="auto"/>
            <w:vMerge/>
            <w:tcBorders>
              <w:top w:val="nil"/>
              <w:left w:val="nil"/>
              <w:bottom w:val="single" w:sz="4" w:space="0" w:color="000000"/>
              <w:right w:val="nil"/>
            </w:tcBorders>
            <w:vAlign w:val="center"/>
            <w:hideMark/>
          </w:tcPr>
          <w:p w14:paraId="5F4CF940" w14:textId="77777777" w:rsidR="00AD732B" w:rsidRPr="001436DC" w:rsidRDefault="00AD732B" w:rsidP="00AD732B">
            <w:pPr>
              <w:spacing w:after="0" w:line="240" w:lineRule="auto"/>
              <w:jc w:val="left"/>
              <w:rPr>
                <w:rFonts w:ascii="Century Gothic" w:eastAsia="Times New Roman" w:hAnsi="Century Gothic" w:cs="Times New Roman"/>
                <w:color w:val="000000"/>
                <w:sz w:val="16"/>
                <w:szCs w:val="16"/>
              </w:rPr>
            </w:pPr>
          </w:p>
        </w:tc>
        <w:tc>
          <w:tcPr>
            <w:tcW w:w="0" w:type="auto"/>
            <w:tcBorders>
              <w:top w:val="nil"/>
              <w:left w:val="nil"/>
              <w:bottom w:val="single" w:sz="4" w:space="0" w:color="auto"/>
              <w:right w:val="nil"/>
            </w:tcBorders>
            <w:shd w:val="clear" w:color="000000" w:fill="FFFFFF"/>
            <w:vAlign w:val="bottom"/>
            <w:hideMark/>
          </w:tcPr>
          <w:p w14:paraId="2703081C" w14:textId="77777777" w:rsidR="00AD732B" w:rsidRPr="001436DC" w:rsidRDefault="00AD732B" w:rsidP="00AD732B">
            <w:pPr>
              <w:spacing w:after="0" w:line="240" w:lineRule="auto"/>
              <w:jc w:val="center"/>
              <w:rPr>
                <w:rFonts w:ascii="Century Gothic" w:eastAsia="Times New Roman" w:hAnsi="Century Gothic" w:cs="Times New Roman"/>
                <w:color w:val="000000"/>
                <w:sz w:val="16"/>
                <w:szCs w:val="16"/>
              </w:rPr>
            </w:pPr>
            <w:r w:rsidRPr="001436DC">
              <w:rPr>
                <w:rFonts w:ascii="Century Gothic" w:eastAsia="Times New Roman" w:hAnsi="Century Gothic" w:cs="Times New Roman"/>
                <w:color w:val="000000"/>
                <w:sz w:val="16"/>
                <w:szCs w:val="16"/>
              </w:rPr>
              <w:t>0.23</w:t>
            </w:r>
          </w:p>
        </w:tc>
        <w:tc>
          <w:tcPr>
            <w:tcW w:w="0" w:type="auto"/>
            <w:vMerge/>
            <w:tcBorders>
              <w:top w:val="nil"/>
              <w:left w:val="nil"/>
              <w:bottom w:val="single" w:sz="4" w:space="0" w:color="000000"/>
              <w:right w:val="single" w:sz="4" w:space="0" w:color="auto"/>
            </w:tcBorders>
            <w:vAlign w:val="center"/>
            <w:hideMark/>
          </w:tcPr>
          <w:p w14:paraId="3A5AD750" w14:textId="77777777" w:rsidR="00AD732B" w:rsidRPr="001436DC" w:rsidRDefault="00AD732B" w:rsidP="00AD732B">
            <w:pPr>
              <w:spacing w:after="0" w:line="240" w:lineRule="auto"/>
              <w:jc w:val="left"/>
              <w:rPr>
                <w:rFonts w:ascii="Century Gothic" w:eastAsia="Times New Roman" w:hAnsi="Century Gothic" w:cs="Times New Roman"/>
                <w:color w:val="000000"/>
                <w:sz w:val="16"/>
                <w:szCs w:val="16"/>
              </w:rPr>
            </w:pPr>
          </w:p>
        </w:tc>
      </w:tr>
    </w:tbl>
    <w:p w14:paraId="1767FE3C" w14:textId="56779636" w:rsidR="00EE1FB9" w:rsidRPr="001436DC" w:rsidRDefault="00EE1FB9" w:rsidP="00EE1FB9">
      <w:pPr>
        <w:jc w:val="center"/>
        <w:rPr>
          <w:rFonts w:cs="Times New Roman"/>
          <w:sz w:val="16"/>
          <w:szCs w:val="16"/>
          <w:shd w:val="clear" w:color="auto" w:fill="FFFFFF"/>
        </w:rPr>
      </w:pPr>
    </w:p>
    <w:p w14:paraId="5F9FE404" w14:textId="77777777" w:rsidR="005E60F1" w:rsidRPr="002848F8" w:rsidRDefault="005E60F1" w:rsidP="005E60F1">
      <w:pPr>
        <w:pStyle w:val="Heading4"/>
      </w:pPr>
      <w:r w:rsidRPr="002848F8">
        <w:t>Levelization</w:t>
      </w:r>
    </w:p>
    <w:p w14:paraId="3D148E91" w14:textId="37E502B4" w:rsidR="005E60F1" w:rsidRDefault="005E60F1" w:rsidP="00BB4D46">
      <w:proofErr w:type="spellStart"/>
      <w:r>
        <w:t>Levelization</w:t>
      </w:r>
      <w:proofErr w:type="spellEnd"/>
      <w:r>
        <w:t xml:space="preserve"> of the E&amp;AS revenues is conducted in the same manner as the other </w:t>
      </w:r>
      <w:r w:rsidRPr="0055298A">
        <w:t xml:space="preserve">cash flows of relevance.  </w:t>
      </w:r>
      <w:r w:rsidRPr="00D743EA">
        <w:t xml:space="preserve">The total </w:t>
      </w:r>
      <w:proofErr w:type="spellStart"/>
      <w:r w:rsidRPr="00D743EA">
        <w:t>levelized</w:t>
      </w:r>
      <w:proofErr w:type="spellEnd"/>
      <w:r w:rsidRPr="00D743EA">
        <w:t xml:space="preserve"> value of the E&amp;AS offset for the GT is $3.31/kW-month, which is comprised of $0.2</w:t>
      </w:r>
      <w:r w:rsidR="0015738D" w:rsidRPr="00D743EA">
        <w:t>5</w:t>
      </w:r>
      <w:r w:rsidRPr="00D743EA">
        <w:t>/kW</w:t>
      </w:r>
      <w:r>
        <w:t>-month for energy, $2.5</w:t>
      </w:r>
      <w:r w:rsidR="0015738D">
        <w:t>8</w:t>
      </w:r>
      <w:r>
        <w:t>/kW-month for ancillary services, and $0.48/kW-month for PFP.</w:t>
      </w:r>
    </w:p>
    <w:p w14:paraId="34196AE8" w14:textId="5F8B68BD" w:rsidR="005E60F1" w:rsidRPr="006F5D19" w:rsidRDefault="005E60F1" w:rsidP="001436DC">
      <w:pPr>
        <w:pStyle w:val="Caption"/>
        <w:rPr>
          <w:shd w:val="clear" w:color="auto" w:fill="FFFFFF"/>
        </w:rPr>
      </w:pPr>
      <w:r w:rsidRPr="00976D6E">
        <w:t xml:space="preserve">Table </w:t>
      </w:r>
      <w:r w:rsidRPr="008E234D">
        <w:fldChar w:fldCharType="begin"/>
      </w:r>
      <w:r w:rsidRPr="00976D6E">
        <w:instrText xml:space="preserve"> SEQ Table \* ARABIC </w:instrText>
      </w:r>
      <w:r w:rsidRPr="008E234D">
        <w:fldChar w:fldCharType="separate"/>
      </w:r>
      <w:r w:rsidR="000637A3">
        <w:rPr>
          <w:noProof/>
        </w:rPr>
        <w:t>33</w:t>
      </w:r>
      <w:r w:rsidRPr="008E234D">
        <w:rPr>
          <w:noProof/>
        </w:rPr>
        <w:fldChar w:fldCharType="end"/>
      </w:r>
      <w:r w:rsidRPr="00976D6E">
        <w:t xml:space="preserve">: </w:t>
      </w:r>
      <w:r>
        <w:t>Levelized Offset by Technology</w:t>
      </w:r>
    </w:p>
    <w:tbl>
      <w:tblPr>
        <w:tblW w:w="7200" w:type="dxa"/>
        <w:jc w:val="center"/>
        <w:tblLook w:val="04A0" w:firstRow="1" w:lastRow="0" w:firstColumn="1" w:lastColumn="0" w:noHBand="0" w:noVBand="1"/>
      </w:tblPr>
      <w:tblGrid>
        <w:gridCol w:w="1952"/>
        <w:gridCol w:w="748"/>
        <w:gridCol w:w="2070"/>
        <w:gridCol w:w="810"/>
        <w:gridCol w:w="1620"/>
      </w:tblGrid>
      <w:tr w:rsidR="0083090C" w:rsidRPr="0083090C" w14:paraId="4BC26889" w14:textId="77777777" w:rsidTr="001436DC">
        <w:trPr>
          <w:trHeight w:val="510"/>
          <w:jc w:val="center"/>
        </w:trPr>
        <w:tc>
          <w:tcPr>
            <w:tcW w:w="1952" w:type="dxa"/>
            <w:tcBorders>
              <w:top w:val="single" w:sz="4" w:space="0" w:color="auto"/>
              <w:left w:val="single" w:sz="4" w:space="0" w:color="auto"/>
              <w:bottom w:val="single" w:sz="4" w:space="0" w:color="auto"/>
              <w:right w:val="nil"/>
            </w:tcBorders>
            <w:shd w:val="clear" w:color="000000" w:fill="BFBFBF"/>
            <w:hideMark/>
          </w:tcPr>
          <w:p w14:paraId="2BC2657E" w14:textId="656161EE" w:rsidR="0083090C" w:rsidRPr="0083090C" w:rsidRDefault="005E60F1" w:rsidP="0083090C">
            <w:pPr>
              <w:spacing w:after="0" w:line="240" w:lineRule="auto"/>
              <w:jc w:val="center"/>
              <w:rPr>
                <w:rFonts w:ascii="Century Gothic" w:eastAsia="Times New Roman" w:hAnsi="Century Gothic" w:cs="Calibri"/>
                <w:b/>
                <w:bCs/>
                <w:color w:val="000000"/>
                <w:sz w:val="16"/>
                <w:szCs w:val="16"/>
              </w:rPr>
            </w:pPr>
            <w:r>
              <w:t xml:space="preserve"> </w:t>
            </w:r>
            <w:proofErr w:type="spellStart"/>
            <w:r w:rsidR="0083090C" w:rsidRPr="0083090C">
              <w:rPr>
                <w:rFonts w:ascii="Century Gothic" w:eastAsia="Times New Roman" w:hAnsi="Century Gothic" w:cs="Calibri"/>
                <w:b/>
                <w:bCs/>
                <w:color w:val="000000"/>
                <w:sz w:val="16"/>
                <w:szCs w:val="16"/>
              </w:rPr>
              <w:t>Levelized</w:t>
            </w:r>
            <w:proofErr w:type="spellEnd"/>
            <w:r w:rsidR="0083090C" w:rsidRPr="0083090C">
              <w:rPr>
                <w:rFonts w:ascii="Century Gothic" w:eastAsia="Times New Roman" w:hAnsi="Century Gothic" w:cs="Calibri"/>
                <w:b/>
                <w:bCs/>
                <w:color w:val="000000"/>
                <w:sz w:val="16"/>
                <w:szCs w:val="16"/>
              </w:rPr>
              <w:t xml:space="preserve"> Offset (2021$/kW-</w:t>
            </w:r>
            <w:proofErr w:type="spellStart"/>
            <w:r w:rsidR="0083090C" w:rsidRPr="0083090C">
              <w:rPr>
                <w:rFonts w:ascii="Century Gothic" w:eastAsia="Times New Roman" w:hAnsi="Century Gothic" w:cs="Calibri"/>
                <w:b/>
                <w:bCs/>
                <w:color w:val="000000"/>
                <w:sz w:val="16"/>
                <w:szCs w:val="16"/>
              </w:rPr>
              <w:t>mo</w:t>
            </w:r>
            <w:proofErr w:type="spellEnd"/>
            <w:r w:rsidR="0083090C" w:rsidRPr="0083090C">
              <w:rPr>
                <w:rFonts w:ascii="Century Gothic" w:eastAsia="Times New Roman" w:hAnsi="Century Gothic" w:cs="Calibri"/>
                <w:b/>
                <w:bCs/>
                <w:color w:val="000000"/>
                <w:sz w:val="16"/>
                <w:szCs w:val="16"/>
              </w:rPr>
              <w:t>)</w:t>
            </w:r>
          </w:p>
        </w:tc>
        <w:tc>
          <w:tcPr>
            <w:tcW w:w="748" w:type="dxa"/>
            <w:tcBorders>
              <w:top w:val="single" w:sz="4" w:space="0" w:color="auto"/>
              <w:left w:val="nil"/>
              <w:bottom w:val="single" w:sz="4" w:space="0" w:color="auto"/>
              <w:right w:val="nil"/>
            </w:tcBorders>
            <w:shd w:val="clear" w:color="000000" w:fill="BFBFBF"/>
            <w:hideMark/>
          </w:tcPr>
          <w:p w14:paraId="5BBC62E8" w14:textId="77777777" w:rsidR="0083090C" w:rsidRPr="0083090C" w:rsidRDefault="0083090C" w:rsidP="0083090C">
            <w:pPr>
              <w:spacing w:after="0" w:line="240" w:lineRule="auto"/>
              <w:jc w:val="center"/>
              <w:rPr>
                <w:rFonts w:ascii="Century Gothic" w:eastAsia="Times New Roman" w:hAnsi="Century Gothic" w:cs="Calibri"/>
                <w:b/>
                <w:bCs/>
                <w:color w:val="000000"/>
                <w:sz w:val="16"/>
                <w:szCs w:val="16"/>
              </w:rPr>
            </w:pPr>
            <w:r w:rsidRPr="0083090C">
              <w:rPr>
                <w:rFonts w:ascii="Century Gothic" w:eastAsia="Times New Roman" w:hAnsi="Century Gothic" w:cs="Calibri"/>
                <w:b/>
                <w:bCs/>
                <w:color w:val="000000"/>
                <w:sz w:val="16"/>
                <w:szCs w:val="16"/>
              </w:rPr>
              <w:t>Energy</w:t>
            </w:r>
          </w:p>
        </w:tc>
        <w:tc>
          <w:tcPr>
            <w:tcW w:w="2070" w:type="dxa"/>
            <w:tcBorders>
              <w:top w:val="single" w:sz="4" w:space="0" w:color="auto"/>
              <w:left w:val="nil"/>
              <w:bottom w:val="single" w:sz="4" w:space="0" w:color="auto"/>
              <w:right w:val="nil"/>
            </w:tcBorders>
            <w:shd w:val="clear" w:color="000000" w:fill="BFBFBF"/>
            <w:hideMark/>
          </w:tcPr>
          <w:p w14:paraId="652B5574" w14:textId="77777777" w:rsidR="0083090C" w:rsidRPr="0083090C" w:rsidRDefault="0083090C" w:rsidP="0083090C">
            <w:pPr>
              <w:spacing w:after="0" w:line="240" w:lineRule="auto"/>
              <w:jc w:val="center"/>
              <w:rPr>
                <w:rFonts w:ascii="Century Gothic" w:eastAsia="Times New Roman" w:hAnsi="Century Gothic" w:cs="Calibri"/>
                <w:b/>
                <w:bCs/>
                <w:color w:val="000000"/>
                <w:sz w:val="16"/>
                <w:szCs w:val="16"/>
              </w:rPr>
            </w:pPr>
            <w:r w:rsidRPr="0083090C">
              <w:rPr>
                <w:rFonts w:ascii="Century Gothic" w:eastAsia="Times New Roman" w:hAnsi="Century Gothic" w:cs="Calibri"/>
                <w:b/>
                <w:bCs/>
                <w:color w:val="000000"/>
                <w:sz w:val="16"/>
                <w:szCs w:val="16"/>
              </w:rPr>
              <w:t>Ancillary Services</w:t>
            </w:r>
          </w:p>
        </w:tc>
        <w:tc>
          <w:tcPr>
            <w:tcW w:w="810" w:type="dxa"/>
            <w:tcBorders>
              <w:top w:val="single" w:sz="4" w:space="0" w:color="auto"/>
              <w:left w:val="nil"/>
              <w:bottom w:val="single" w:sz="4" w:space="0" w:color="auto"/>
              <w:right w:val="nil"/>
            </w:tcBorders>
            <w:shd w:val="clear" w:color="000000" w:fill="BFBFBF"/>
            <w:hideMark/>
          </w:tcPr>
          <w:p w14:paraId="4A7A2C57" w14:textId="77777777" w:rsidR="0083090C" w:rsidRPr="0083090C" w:rsidRDefault="0083090C" w:rsidP="0083090C">
            <w:pPr>
              <w:spacing w:after="0" w:line="240" w:lineRule="auto"/>
              <w:jc w:val="center"/>
              <w:rPr>
                <w:rFonts w:ascii="Century Gothic" w:eastAsia="Times New Roman" w:hAnsi="Century Gothic" w:cs="Calibri"/>
                <w:b/>
                <w:bCs/>
                <w:color w:val="000000"/>
                <w:sz w:val="16"/>
                <w:szCs w:val="16"/>
              </w:rPr>
            </w:pPr>
            <w:r w:rsidRPr="0083090C">
              <w:rPr>
                <w:rFonts w:ascii="Century Gothic" w:eastAsia="Times New Roman" w:hAnsi="Century Gothic" w:cs="Calibri"/>
                <w:b/>
                <w:bCs/>
                <w:color w:val="000000"/>
                <w:sz w:val="16"/>
                <w:szCs w:val="16"/>
              </w:rPr>
              <w:t>PFP</w:t>
            </w:r>
          </w:p>
        </w:tc>
        <w:tc>
          <w:tcPr>
            <w:tcW w:w="1620" w:type="dxa"/>
            <w:tcBorders>
              <w:top w:val="single" w:sz="4" w:space="0" w:color="auto"/>
              <w:left w:val="nil"/>
              <w:bottom w:val="single" w:sz="4" w:space="0" w:color="auto"/>
              <w:right w:val="single" w:sz="4" w:space="0" w:color="auto"/>
            </w:tcBorders>
            <w:shd w:val="clear" w:color="000000" w:fill="BFBFBF"/>
            <w:hideMark/>
          </w:tcPr>
          <w:p w14:paraId="4C03E058" w14:textId="77777777" w:rsidR="0083090C" w:rsidRPr="0083090C" w:rsidRDefault="0083090C" w:rsidP="0083090C">
            <w:pPr>
              <w:spacing w:after="0" w:line="240" w:lineRule="auto"/>
              <w:jc w:val="center"/>
              <w:rPr>
                <w:rFonts w:ascii="Century Gothic" w:eastAsia="Times New Roman" w:hAnsi="Century Gothic" w:cs="Calibri"/>
                <w:b/>
                <w:bCs/>
                <w:color w:val="000000"/>
                <w:sz w:val="16"/>
                <w:szCs w:val="16"/>
              </w:rPr>
            </w:pPr>
            <w:r w:rsidRPr="0083090C">
              <w:rPr>
                <w:rFonts w:ascii="Century Gothic" w:eastAsia="Times New Roman" w:hAnsi="Century Gothic" w:cs="Calibri"/>
                <w:b/>
                <w:bCs/>
                <w:color w:val="000000"/>
                <w:sz w:val="16"/>
                <w:szCs w:val="16"/>
              </w:rPr>
              <w:t>Total</w:t>
            </w:r>
          </w:p>
        </w:tc>
      </w:tr>
      <w:tr w:rsidR="0083090C" w:rsidRPr="0083090C" w14:paraId="47F1CAD6" w14:textId="77777777" w:rsidTr="001436DC">
        <w:trPr>
          <w:trHeight w:val="270"/>
          <w:jc w:val="center"/>
        </w:trPr>
        <w:tc>
          <w:tcPr>
            <w:tcW w:w="1952" w:type="dxa"/>
            <w:tcBorders>
              <w:top w:val="nil"/>
              <w:left w:val="single" w:sz="4" w:space="0" w:color="auto"/>
              <w:bottom w:val="nil"/>
              <w:right w:val="nil"/>
            </w:tcBorders>
            <w:shd w:val="clear" w:color="000000" w:fill="FFFFFF"/>
            <w:vAlign w:val="bottom"/>
            <w:hideMark/>
          </w:tcPr>
          <w:p w14:paraId="7C311E11"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Combustion Turbine</w:t>
            </w:r>
          </w:p>
        </w:tc>
        <w:tc>
          <w:tcPr>
            <w:tcW w:w="748" w:type="dxa"/>
            <w:tcBorders>
              <w:top w:val="nil"/>
              <w:left w:val="nil"/>
              <w:bottom w:val="nil"/>
              <w:right w:val="nil"/>
            </w:tcBorders>
            <w:shd w:val="clear" w:color="000000" w:fill="FFFFFF"/>
            <w:vAlign w:val="bottom"/>
            <w:hideMark/>
          </w:tcPr>
          <w:p w14:paraId="035B6B44" w14:textId="77777777" w:rsidR="0083090C" w:rsidRPr="0083090C" w:rsidRDefault="0083090C" w:rsidP="0083090C">
            <w:pPr>
              <w:spacing w:after="0" w:line="240" w:lineRule="auto"/>
              <w:jc w:val="center"/>
              <w:rPr>
                <w:rFonts w:ascii="Century Gothic" w:eastAsia="Times New Roman" w:hAnsi="Century Gothic" w:cs="Calibri"/>
                <w:sz w:val="16"/>
                <w:szCs w:val="16"/>
              </w:rPr>
            </w:pPr>
            <w:r w:rsidRPr="0083090C">
              <w:rPr>
                <w:rFonts w:ascii="Century Gothic" w:eastAsia="Times New Roman" w:hAnsi="Century Gothic" w:cs="Calibri"/>
                <w:sz w:val="16"/>
                <w:szCs w:val="16"/>
              </w:rPr>
              <w:t>0.25</w:t>
            </w:r>
          </w:p>
        </w:tc>
        <w:tc>
          <w:tcPr>
            <w:tcW w:w="2070" w:type="dxa"/>
            <w:tcBorders>
              <w:top w:val="nil"/>
              <w:left w:val="nil"/>
              <w:bottom w:val="nil"/>
              <w:right w:val="nil"/>
            </w:tcBorders>
            <w:shd w:val="clear" w:color="000000" w:fill="FFFFFF"/>
            <w:vAlign w:val="bottom"/>
            <w:hideMark/>
          </w:tcPr>
          <w:p w14:paraId="652EB132"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2.58</w:t>
            </w:r>
          </w:p>
        </w:tc>
        <w:tc>
          <w:tcPr>
            <w:tcW w:w="810" w:type="dxa"/>
            <w:tcBorders>
              <w:top w:val="nil"/>
              <w:left w:val="nil"/>
              <w:bottom w:val="nil"/>
              <w:right w:val="nil"/>
            </w:tcBorders>
            <w:shd w:val="clear" w:color="000000" w:fill="FFFFFF"/>
            <w:vAlign w:val="bottom"/>
            <w:hideMark/>
          </w:tcPr>
          <w:p w14:paraId="4B50AC6C"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0.48</w:t>
            </w:r>
          </w:p>
        </w:tc>
        <w:tc>
          <w:tcPr>
            <w:tcW w:w="1620" w:type="dxa"/>
            <w:tcBorders>
              <w:top w:val="nil"/>
              <w:left w:val="nil"/>
              <w:bottom w:val="nil"/>
              <w:right w:val="single" w:sz="4" w:space="0" w:color="auto"/>
            </w:tcBorders>
            <w:shd w:val="clear" w:color="000000" w:fill="FFFFFF"/>
            <w:vAlign w:val="bottom"/>
            <w:hideMark/>
          </w:tcPr>
          <w:p w14:paraId="70F37C3B"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3.31</w:t>
            </w:r>
          </w:p>
        </w:tc>
      </w:tr>
      <w:tr w:rsidR="0083090C" w:rsidRPr="0083090C" w14:paraId="3F41400A" w14:textId="77777777" w:rsidTr="001436DC">
        <w:trPr>
          <w:trHeight w:val="270"/>
          <w:jc w:val="center"/>
        </w:trPr>
        <w:tc>
          <w:tcPr>
            <w:tcW w:w="1952" w:type="dxa"/>
            <w:tcBorders>
              <w:top w:val="nil"/>
              <w:left w:val="single" w:sz="4" w:space="0" w:color="auto"/>
              <w:bottom w:val="nil"/>
              <w:right w:val="nil"/>
            </w:tcBorders>
            <w:shd w:val="clear" w:color="000000" w:fill="FFFFFF"/>
            <w:vAlign w:val="bottom"/>
            <w:hideMark/>
          </w:tcPr>
          <w:p w14:paraId="21FF40B2"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Combined Cycle</w:t>
            </w:r>
          </w:p>
        </w:tc>
        <w:tc>
          <w:tcPr>
            <w:tcW w:w="748" w:type="dxa"/>
            <w:tcBorders>
              <w:top w:val="nil"/>
              <w:left w:val="nil"/>
              <w:bottom w:val="nil"/>
              <w:right w:val="nil"/>
            </w:tcBorders>
            <w:shd w:val="clear" w:color="000000" w:fill="FFFFFF"/>
            <w:vAlign w:val="bottom"/>
            <w:hideMark/>
          </w:tcPr>
          <w:p w14:paraId="5861B50B"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5.31</w:t>
            </w:r>
          </w:p>
        </w:tc>
        <w:tc>
          <w:tcPr>
            <w:tcW w:w="2070" w:type="dxa"/>
            <w:tcBorders>
              <w:top w:val="nil"/>
              <w:left w:val="nil"/>
              <w:bottom w:val="nil"/>
              <w:right w:val="nil"/>
            </w:tcBorders>
            <w:shd w:val="clear" w:color="000000" w:fill="FFFFFF"/>
            <w:vAlign w:val="bottom"/>
            <w:hideMark/>
          </w:tcPr>
          <w:p w14:paraId="376B52AB"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0.05</w:t>
            </w:r>
          </w:p>
        </w:tc>
        <w:tc>
          <w:tcPr>
            <w:tcW w:w="810" w:type="dxa"/>
            <w:tcBorders>
              <w:top w:val="nil"/>
              <w:left w:val="nil"/>
              <w:bottom w:val="nil"/>
              <w:right w:val="nil"/>
            </w:tcBorders>
            <w:shd w:val="clear" w:color="000000" w:fill="FFFFFF"/>
            <w:vAlign w:val="bottom"/>
            <w:hideMark/>
          </w:tcPr>
          <w:p w14:paraId="2B4F44A3"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0.26</w:t>
            </w:r>
          </w:p>
        </w:tc>
        <w:tc>
          <w:tcPr>
            <w:tcW w:w="1620" w:type="dxa"/>
            <w:tcBorders>
              <w:top w:val="nil"/>
              <w:left w:val="nil"/>
              <w:bottom w:val="nil"/>
              <w:right w:val="single" w:sz="4" w:space="0" w:color="auto"/>
            </w:tcBorders>
            <w:shd w:val="clear" w:color="000000" w:fill="FFFFFF"/>
            <w:vAlign w:val="bottom"/>
            <w:hideMark/>
          </w:tcPr>
          <w:p w14:paraId="1B08E4E1"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5.62</w:t>
            </w:r>
          </w:p>
        </w:tc>
      </w:tr>
      <w:tr w:rsidR="0083090C" w:rsidRPr="0083090C" w14:paraId="52062664" w14:textId="77777777" w:rsidTr="001436DC">
        <w:trPr>
          <w:trHeight w:val="270"/>
          <w:jc w:val="center"/>
        </w:trPr>
        <w:tc>
          <w:tcPr>
            <w:tcW w:w="1952" w:type="dxa"/>
            <w:tcBorders>
              <w:top w:val="nil"/>
              <w:left w:val="single" w:sz="4" w:space="0" w:color="auto"/>
              <w:bottom w:val="nil"/>
              <w:right w:val="nil"/>
            </w:tcBorders>
            <w:shd w:val="clear" w:color="000000" w:fill="FFFFFF"/>
            <w:vAlign w:val="bottom"/>
            <w:hideMark/>
          </w:tcPr>
          <w:p w14:paraId="4542913B"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Aero</w:t>
            </w:r>
          </w:p>
        </w:tc>
        <w:tc>
          <w:tcPr>
            <w:tcW w:w="748" w:type="dxa"/>
            <w:tcBorders>
              <w:top w:val="nil"/>
              <w:left w:val="nil"/>
              <w:bottom w:val="nil"/>
              <w:right w:val="nil"/>
            </w:tcBorders>
            <w:shd w:val="clear" w:color="000000" w:fill="FFFFFF"/>
            <w:vAlign w:val="bottom"/>
            <w:hideMark/>
          </w:tcPr>
          <w:p w14:paraId="25CA56DB"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0.22</w:t>
            </w:r>
          </w:p>
        </w:tc>
        <w:tc>
          <w:tcPr>
            <w:tcW w:w="2070" w:type="dxa"/>
            <w:tcBorders>
              <w:top w:val="nil"/>
              <w:left w:val="nil"/>
              <w:bottom w:val="nil"/>
              <w:right w:val="nil"/>
            </w:tcBorders>
            <w:shd w:val="clear" w:color="000000" w:fill="FFFFFF"/>
            <w:vAlign w:val="bottom"/>
            <w:hideMark/>
          </w:tcPr>
          <w:p w14:paraId="5E72E1E7"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2.93</w:t>
            </w:r>
          </w:p>
        </w:tc>
        <w:tc>
          <w:tcPr>
            <w:tcW w:w="810" w:type="dxa"/>
            <w:tcBorders>
              <w:top w:val="nil"/>
              <w:left w:val="nil"/>
              <w:bottom w:val="nil"/>
              <w:right w:val="nil"/>
            </w:tcBorders>
            <w:shd w:val="clear" w:color="000000" w:fill="FFFFFF"/>
            <w:vAlign w:val="bottom"/>
            <w:hideMark/>
          </w:tcPr>
          <w:p w14:paraId="78514CA8"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0.48</w:t>
            </w:r>
          </w:p>
        </w:tc>
        <w:tc>
          <w:tcPr>
            <w:tcW w:w="1620" w:type="dxa"/>
            <w:tcBorders>
              <w:top w:val="nil"/>
              <w:left w:val="nil"/>
              <w:bottom w:val="nil"/>
              <w:right w:val="single" w:sz="4" w:space="0" w:color="auto"/>
            </w:tcBorders>
            <w:shd w:val="clear" w:color="000000" w:fill="FFFFFF"/>
            <w:vAlign w:val="bottom"/>
            <w:hideMark/>
          </w:tcPr>
          <w:p w14:paraId="61F6BEE4"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3.63</w:t>
            </w:r>
          </w:p>
        </w:tc>
      </w:tr>
      <w:tr w:rsidR="0083090C" w:rsidRPr="0083090C" w14:paraId="49E9BC18" w14:textId="77777777" w:rsidTr="001436DC">
        <w:trPr>
          <w:trHeight w:val="270"/>
          <w:jc w:val="center"/>
        </w:trPr>
        <w:tc>
          <w:tcPr>
            <w:tcW w:w="1952" w:type="dxa"/>
            <w:tcBorders>
              <w:top w:val="nil"/>
              <w:left w:val="single" w:sz="4" w:space="0" w:color="auto"/>
              <w:bottom w:val="single" w:sz="4" w:space="0" w:color="auto"/>
              <w:right w:val="nil"/>
            </w:tcBorders>
            <w:shd w:val="clear" w:color="000000" w:fill="FFFFFF"/>
            <w:vAlign w:val="bottom"/>
            <w:hideMark/>
          </w:tcPr>
          <w:p w14:paraId="50FBA3F1"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Hybrid </w:t>
            </w:r>
          </w:p>
        </w:tc>
        <w:tc>
          <w:tcPr>
            <w:tcW w:w="748" w:type="dxa"/>
            <w:tcBorders>
              <w:top w:val="nil"/>
              <w:left w:val="nil"/>
              <w:bottom w:val="single" w:sz="4" w:space="0" w:color="auto"/>
              <w:right w:val="nil"/>
            </w:tcBorders>
            <w:shd w:val="clear" w:color="000000" w:fill="FFFFFF"/>
            <w:vAlign w:val="bottom"/>
            <w:hideMark/>
          </w:tcPr>
          <w:p w14:paraId="60CD37AE"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0.26</w:t>
            </w:r>
          </w:p>
        </w:tc>
        <w:tc>
          <w:tcPr>
            <w:tcW w:w="2070" w:type="dxa"/>
            <w:tcBorders>
              <w:top w:val="nil"/>
              <w:left w:val="nil"/>
              <w:bottom w:val="single" w:sz="4" w:space="0" w:color="auto"/>
              <w:right w:val="nil"/>
            </w:tcBorders>
            <w:shd w:val="clear" w:color="000000" w:fill="FFFFFF"/>
            <w:vAlign w:val="bottom"/>
            <w:hideMark/>
          </w:tcPr>
          <w:p w14:paraId="3BDDF3F7"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2.93</w:t>
            </w:r>
          </w:p>
        </w:tc>
        <w:tc>
          <w:tcPr>
            <w:tcW w:w="810" w:type="dxa"/>
            <w:tcBorders>
              <w:top w:val="nil"/>
              <w:left w:val="nil"/>
              <w:bottom w:val="single" w:sz="4" w:space="0" w:color="auto"/>
              <w:right w:val="nil"/>
            </w:tcBorders>
            <w:shd w:val="clear" w:color="000000" w:fill="FFFFFF"/>
            <w:vAlign w:val="bottom"/>
            <w:hideMark/>
          </w:tcPr>
          <w:p w14:paraId="4CE517D5"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0.48</w:t>
            </w:r>
          </w:p>
        </w:tc>
        <w:tc>
          <w:tcPr>
            <w:tcW w:w="1620" w:type="dxa"/>
            <w:tcBorders>
              <w:top w:val="nil"/>
              <w:left w:val="nil"/>
              <w:bottom w:val="single" w:sz="4" w:space="0" w:color="auto"/>
              <w:right w:val="single" w:sz="4" w:space="0" w:color="auto"/>
            </w:tcBorders>
            <w:shd w:val="clear" w:color="000000" w:fill="FFFFFF"/>
            <w:vAlign w:val="bottom"/>
            <w:hideMark/>
          </w:tcPr>
          <w:p w14:paraId="0BD01CB3" w14:textId="77777777" w:rsidR="0083090C" w:rsidRPr="0083090C" w:rsidRDefault="0083090C" w:rsidP="0083090C">
            <w:pPr>
              <w:spacing w:after="0" w:line="240" w:lineRule="auto"/>
              <w:jc w:val="center"/>
              <w:rPr>
                <w:rFonts w:ascii="Century Gothic" w:eastAsia="Times New Roman" w:hAnsi="Century Gothic" w:cs="Calibri"/>
                <w:color w:val="000000"/>
                <w:sz w:val="16"/>
                <w:szCs w:val="16"/>
              </w:rPr>
            </w:pPr>
            <w:r w:rsidRPr="0083090C">
              <w:rPr>
                <w:rFonts w:ascii="Century Gothic" w:eastAsia="Times New Roman" w:hAnsi="Century Gothic" w:cs="Calibri"/>
                <w:color w:val="000000"/>
                <w:sz w:val="16"/>
                <w:szCs w:val="16"/>
              </w:rPr>
              <w:t>3.67</w:t>
            </w:r>
          </w:p>
        </w:tc>
      </w:tr>
    </w:tbl>
    <w:p w14:paraId="7907AC99" w14:textId="5A74CE43" w:rsidR="0083090C" w:rsidRDefault="0083090C" w:rsidP="00BB4D46"/>
    <w:p w14:paraId="51FEAB35" w14:textId="36273A42" w:rsidR="007F22C8" w:rsidRPr="00EF7ADE" w:rsidRDefault="00DC7A3E" w:rsidP="00456566">
      <w:pPr>
        <w:pStyle w:val="Heading2"/>
      </w:pPr>
      <w:bookmarkStart w:id="85" w:name="_Toc468288316"/>
      <w:r w:rsidRPr="00CD6CF6">
        <w:t>CONE</w:t>
      </w:r>
      <w:r w:rsidRPr="004E19C7">
        <w:t xml:space="preserve"> Calculation and Results</w:t>
      </w:r>
      <w:bookmarkEnd w:id="85"/>
    </w:p>
    <w:p w14:paraId="2D738DBE" w14:textId="166CC4E0" w:rsidR="00493BC1" w:rsidRDefault="00493BC1" w:rsidP="00B00211">
      <w:pPr>
        <w:rPr>
          <w:rFonts w:cs="Times New Roman"/>
          <w:shd w:val="clear" w:color="auto" w:fill="FFFFFF"/>
        </w:rPr>
      </w:pPr>
      <w:r w:rsidRPr="00493BC1">
        <w:rPr>
          <w:rFonts w:cs="Times New Roman"/>
          <w:shd w:val="clear" w:color="auto" w:fill="FFFFFF"/>
        </w:rPr>
        <w:lastRenderedPageBreak/>
        <w:t>The CONE/Net CONE is cal</w:t>
      </w:r>
      <w:r>
        <w:rPr>
          <w:rFonts w:cs="Times New Roman"/>
          <w:shd w:val="clear" w:color="auto" w:fill="FFFFFF"/>
        </w:rPr>
        <w:t>culated as the revenue required for entry in the fi</w:t>
      </w:r>
      <w:r w:rsidR="00900DA6">
        <w:rPr>
          <w:rFonts w:cs="Times New Roman"/>
          <w:shd w:val="clear" w:color="auto" w:fill="FFFFFF"/>
        </w:rPr>
        <w:t>r</w:t>
      </w:r>
      <w:r>
        <w:rPr>
          <w:rFonts w:cs="Times New Roman"/>
          <w:shd w:val="clear" w:color="auto" w:fill="FFFFFF"/>
        </w:rPr>
        <w:t xml:space="preserve">st year of operation, or CONE, less the expected first year revenue offsets.  A summary of the CONE/Net CONE </w:t>
      </w:r>
      <w:r w:rsidR="00FA703F">
        <w:rPr>
          <w:rFonts w:cs="Times New Roman"/>
          <w:shd w:val="clear" w:color="auto" w:fill="FFFFFF"/>
        </w:rPr>
        <w:t xml:space="preserve">values </w:t>
      </w:r>
      <w:r>
        <w:rPr>
          <w:rFonts w:cs="Times New Roman"/>
          <w:shd w:val="clear" w:color="auto" w:fill="FFFFFF"/>
        </w:rPr>
        <w:t>for the eval</w:t>
      </w:r>
      <w:r w:rsidR="00BB4D46">
        <w:rPr>
          <w:rFonts w:cs="Times New Roman"/>
          <w:shd w:val="clear" w:color="auto" w:fill="FFFFFF"/>
        </w:rPr>
        <w:t xml:space="preserve">uated technologies are shown in Table 34 </w:t>
      </w:r>
      <w:r>
        <w:rPr>
          <w:rFonts w:cs="Times New Roman"/>
          <w:shd w:val="clear" w:color="auto" w:fill="FFFFFF"/>
        </w:rPr>
        <w:t>below.</w:t>
      </w:r>
    </w:p>
    <w:p w14:paraId="326D6309" w14:textId="027EE6E9" w:rsidR="00493BC1" w:rsidRPr="00CD28F5" w:rsidRDefault="00900DA6" w:rsidP="00D2628D">
      <w:pPr>
        <w:pStyle w:val="Caption"/>
      </w:pPr>
      <w:bookmarkStart w:id="86" w:name="_Ref462643617"/>
      <w:bookmarkStart w:id="87" w:name="_Toc465433457"/>
      <w:bookmarkStart w:id="88" w:name="_Ref462643609"/>
      <w:r>
        <w:t xml:space="preserve">Table </w:t>
      </w:r>
      <w:r w:rsidR="00FA6573">
        <w:fldChar w:fldCharType="begin"/>
      </w:r>
      <w:r w:rsidR="00FA6573">
        <w:instrText xml:space="preserve"> SEQ Table \* ARABIC </w:instrText>
      </w:r>
      <w:r w:rsidR="00FA6573">
        <w:fldChar w:fldCharType="separate"/>
      </w:r>
      <w:r w:rsidR="000637A3">
        <w:rPr>
          <w:noProof/>
        </w:rPr>
        <w:t>34</w:t>
      </w:r>
      <w:r w:rsidR="00FA6573">
        <w:rPr>
          <w:noProof/>
        </w:rPr>
        <w:fldChar w:fldCharType="end"/>
      </w:r>
      <w:bookmarkEnd w:id="86"/>
      <w:r>
        <w:t xml:space="preserve">: </w:t>
      </w:r>
      <w:r w:rsidR="00493BC1" w:rsidRPr="00CD28F5">
        <w:t xml:space="preserve">Net CONE </w:t>
      </w:r>
      <w:r w:rsidR="00493BC1">
        <w:t>Summary f</w:t>
      </w:r>
      <w:r w:rsidR="00493BC1" w:rsidRPr="00CD28F5">
        <w:t>or Candidate Reference Technologies (2021$)</w:t>
      </w:r>
      <w:bookmarkEnd w:id="87"/>
      <w:r w:rsidR="00493BC1">
        <w:t xml:space="preserve"> </w:t>
      </w:r>
      <w:bookmarkEnd w:id="88"/>
    </w:p>
    <w:p w14:paraId="70C26381" w14:textId="6693236E" w:rsidR="0083090C" w:rsidRDefault="0083090C" w:rsidP="00493BC1">
      <w:pPr>
        <w:rPr>
          <w:rFonts w:cs="Times New Roman"/>
        </w:rPr>
      </w:pPr>
      <w:r w:rsidRPr="0083090C">
        <w:rPr>
          <w:noProof/>
        </w:rPr>
        <w:drawing>
          <wp:inline distT="0" distB="0" distL="0" distR="0" wp14:anchorId="4837F304" wp14:editId="112FF142">
            <wp:extent cx="5960745" cy="139954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4536" cy="1405126"/>
                    </a:xfrm>
                    <a:prstGeom prst="rect">
                      <a:avLst/>
                    </a:prstGeom>
                    <a:noFill/>
                    <a:ln>
                      <a:noFill/>
                    </a:ln>
                  </pic:spPr>
                </pic:pic>
              </a:graphicData>
            </a:graphic>
          </wp:inline>
        </w:drawing>
      </w:r>
    </w:p>
    <w:p w14:paraId="279FB6F1" w14:textId="63C3D321" w:rsidR="00DC7A3E" w:rsidRPr="00DC7A3E" w:rsidRDefault="00DC7A3E" w:rsidP="00456566">
      <w:pPr>
        <w:pStyle w:val="Heading2"/>
      </w:pPr>
      <w:bookmarkStart w:id="89" w:name="_Toc468288317"/>
      <w:r w:rsidRPr="004E19C7">
        <w:t>CONE Annual Update Process</w:t>
      </w:r>
      <w:bookmarkEnd w:id="89"/>
    </w:p>
    <w:p w14:paraId="3539FAA5" w14:textId="4C7F2B31" w:rsidR="00DC7A3E" w:rsidRPr="004E19C7" w:rsidRDefault="00DC7A3E" w:rsidP="00A12D4D">
      <w:pPr>
        <w:pStyle w:val="Heading3"/>
        <w:numPr>
          <w:ilvl w:val="0"/>
          <w:numId w:val="29"/>
        </w:numPr>
      </w:pPr>
      <w:r w:rsidRPr="004E19C7">
        <w:t>E&amp;AS Revenues</w:t>
      </w:r>
      <w:r w:rsidR="004E19C7">
        <w:t xml:space="preserve"> </w:t>
      </w:r>
    </w:p>
    <w:p w14:paraId="03C337E6" w14:textId="77777777" w:rsidR="00B305BB" w:rsidRDefault="00B305BB" w:rsidP="00B305BB">
      <w:r>
        <w:t>Periodically, the E&amp;AS offset is updated to reflect changes in expectations regarding the profitability of merchant generators entering the market.  The current procedure is described in Market Rule 1 Section III.13.2.4.</w:t>
      </w:r>
      <w:r>
        <w:rPr>
          <w:rStyle w:val="FootnoteReference"/>
        </w:rPr>
        <w:footnoteReference w:id="53"/>
      </w:r>
    </w:p>
    <w:p w14:paraId="78D83781" w14:textId="2B2F3888" w:rsidR="00B305BB" w:rsidRDefault="00B305BB" w:rsidP="00867C2A">
      <w:r>
        <w:t xml:space="preserve">Concentric is proposing a change to the update procedure that relies on publicly available forward prices to quantify the change in profitability expectations.  </w:t>
      </w:r>
      <w:r w:rsidR="005D76BC">
        <w:t xml:space="preserve">For the reference unit, </w:t>
      </w:r>
      <w:r>
        <w:t>profitability is a function of the spread between electric prices and delivered gas prices.  Therefore, the E&amp;AS update will be based on changes to the relationship between electric forwards and gas forwards, both of which are publicly available from ICE.  Calculations will be based on settlements for</w:t>
      </w:r>
      <w:r w:rsidR="00976D6E">
        <w:t xml:space="preserve"> the</w:t>
      </w:r>
      <w:r>
        <w:t xml:space="preserve"> </w:t>
      </w:r>
      <w:r w:rsidR="00976D6E">
        <w:t>2021/2022</w:t>
      </w:r>
      <w:r w:rsidR="005D76BC">
        <w:t>,</w:t>
      </w:r>
      <w:r>
        <w:t xml:space="preserve"> which is currently the farthest date forward in time for which power settlements are available.</w:t>
      </w:r>
    </w:p>
    <w:p w14:paraId="19D641E8" w14:textId="227ED4B5" w:rsidR="00B305BB" w:rsidRDefault="00B305BB" w:rsidP="00B305BB">
      <w:r>
        <w:t xml:space="preserve">Calculations will be based on three contracts on ICE, an Algonquin </w:t>
      </w:r>
      <w:proofErr w:type="spellStart"/>
      <w:r>
        <w:t>Citygate</w:t>
      </w:r>
      <w:proofErr w:type="spellEnd"/>
      <w:r>
        <w:t xml:space="preserve"> basis swap (ICE contract code ALQ), the Henry Hub futures price (H), and the </w:t>
      </w:r>
      <w:proofErr w:type="spellStart"/>
      <w:r>
        <w:t>MassHub</w:t>
      </w:r>
      <w:proofErr w:type="spellEnd"/>
      <w:r>
        <w:t xml:space="preserve"> DA On-Peak Future (NEP).  The basis swap is added to the Henry Hub futures prices to create an index for a delivered Algonquin CG price.  The ratio of the power price to the delivered gas price is then calculated for each month, after which the twelve monthly ratios are averaged.  </w:t>
      </w:r>
      <w:r>
        <w:fldChar w:fldCharType="begin"/>
      </w:r>
      <w:r>
        <w:instrText xml:space="preserve"> REF _Ref462646465 \h  \* MERGEFORMAT </w:instrText>
      </w:r>
      <w:r>
        <w:fldChar w:fldCharType="separate"/>
      </w:r>
      <w:r w:rsidR="006E2301" w:rsidRPr="009D69F6">
        <w:t xml:space="preserve">Table </w:t>
      </w:r>
      <w:r w:rsidR="00BB4D46">
        <w:t>35</w:t>
      </w:r>
      <w:r>
        <w:fldChar w:fldCharType="end"/>
      </w:r>
      <w:r>
        <w:t xml:space="preserve"> shows the calculation using settlements on ICE from September 23, 2016:</w:t>
      </w:r>
    </w:p>
    <w:p w14:paraId="4BAB2671" w14:textId="296F008F" w:rsidR="00B305BB" w:rsidRPr="009D69F6" w:rsidRDefault="00B305BB" w:rsidP="00D2628D">
      <w:pPr>
        <w:pStyle w:val="Caption"/>
      </w:pPr>
      <w:bookmarkStart w:id="90" w:name="_Ref462646465"/>
      <w:bookmarkStart w:id="91" w:name="_Toc465433458"/>
      <w:r w:rsidRPr="009D69F6">
        <w:lastRenderedPageBreak/>
        <w:t xml:space="preserve">Table </w:t>
      </w:r>
      <w:r w:rsidR="00FA6573">
        <w:fldChar w:fldCharType="begin"/>
      </w:r>
      <w:r w:rsidR="00FA6573">
        <w:instrText xml:space="preserve"> SEQ Table </w:instrText>
      </w:r>
      <w:r w:rsidR="00FA6573">
        <w:instrText xml:space="preserve">\* ARABIC </w:instrText>
      </w:r>
      <w:r w:rsidR="00FA6573">
        <w:fldChar w:fldCharType="separate"/>
      </w:r>
      <w:r w:rsidR="000637A3">
        <w:rPr>
          <w:noProof/>
        </w:rPr>
        <w:t>35</w:t>
      </w:r>
      <w:r w:rsidR="00FA6573">
        <w:rPr>
          <w:noProof/>
        </w:rPr>
        <w:fldChar w:fldCharType="end"/>
      </w:r>
      <w:bookmarkEnd w:id="90"/>
      <w:r w:rsidR="005F2850">
        <w:t>:</w:t>
      </w:r>
      <w:r w:rsidRPr="009D69F6">
        <w:t xml:space="preserve">  Calculation of Power:</w:t>
      </w:r>
      <w:r w:rsidR="0083090C">
        <w:t xml:space="preserve"> </w:t>
      </w:r>
      <w:r w:rsidRPr="009D69F6">
        <w:t>Gas Ratio for E&amp;AS Offset Update</w:t>
      </w:r>
      <w:bookmarkEnd w:id="91"/>
    </w:p>
    <w:p w14:paraId="6D6BDE3A" w14:textId="2CDFD736" w:rsidR="00B305BB" w:rsidRDefault="00684CE9" w:rsidP="001436DC">
      <w:pPr>
        <w:jc w:val="center"/>
      </w:pPr>
      <w:r w:rsidRPr="00684CE9">
        <w:rPr>
          <w:noProof/>
        </w:rPr>
        <w:drawing>
          <wp:inline distT="0" distB="0" distL="0" distR="0" wp14:anchorId="39AB6D48" wp14:editId="17AA7FCD">
            <wp:extent cx="5267325" cy="2857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7325" cy="2857500"/>
                    </a:xfrm>
                    <a:prstGeom prst="rect">
                      <a:avLst/>
                    </a:prstGeom>
                    <a:noFill/>
                    <a:ln>
                      <a:noFill/>
                    </a:ln>
                  </pic:spPr>
                </pic:pic>
              </a:graphicData>
            </a:graphic>
          </wp:inline>
        </w:drawing>
      </w:r>
    </w:p>
    <w:p w14:paraId="5E394E21" w14:textId="65B8F8E8" w:rsidR="00B305BB" w:rsidRDefault="00B305BB" w:rsidP="00B305BB">
      <w:r>
        <w:t>In the future, these calculations will be performed again using the same indices and for the same settlement periods.  The average ratio that results will be compared to the ratio shown above.  The percentage difference (positive or negative) in the ratios will be applied to the E&amp;AS offset</w:t>
      </w:r>
      <w:r w:rsidR="005D76BC">
        <w:t>.</w:t>
      </w:r>
      <w:r>
        <w:t xml:space="preserve">  </w:t>
      </w:r>
    </w:p>
    <w:p w14:paraId="0C14D120" w14:textId="77777777" w:rsidR="00B305BB" w:rsidRDefault="00B305BB" w:rsidP="00B305BB">
      <w:r>
        <w:t>Timing of the E&amp;AS update will be determined by ISO-NE.</w:t>
      </w:r>
    </w:p>
    <w:p w14:paraId="7D932CD1" w14:textId="07586C1F" w:rsidR="004200EE" w:rsidRPr="004E19C7" w:rsidRDefault="0027107E" w:rsidP="00A12D4D">
      <w:pPr>
        <w:pStyle w:val="Heading3"/>
      </w:pPr>
      <w:r>
        <w:t>Capital and Fixed Costs U</w:t>
      </w:r>
      <w:r w:rsidR="00175046" w:rsidRPr="004E19C7">
        <w:t>pdates</w:t>
      </w:r>
    </w:p>
    <w:p w14:paraId="5BF9E761" w14:textId="538587B3" w:rsidR="00175046" w:rsidRDefault="00770D51" w:rsidP="00770D51">
      <w:pPr>
        <w:rPr>
          <w:rFonts w:cs="Times New Roman"/>
        </w:rPr>
      </w:pPr>
      <w:r w:rsidRPr="00770D51">
        <w:rPr>
          <w:rFonts w:eastAsia="MS Mincho" w:cs="Times New Roman"/>
          <w:szCs w:val="24"/>
          <w:lang w:eastAsia="ja-JP"/>
        </w:rPr>
        <w:t xml:space="preserve">Pursuant to </w:t>
      </w:r>
      <w:r w:rsidR="005D76BC">
        <w:rPr>
          <w:rFonts w:eastAsia="MS Mincho" w:cs="Times New Roman"/>
          <w:szCs w:val="24"/>
          <w:lang w:eastAsia="ja-JP"/>
        </w:rPr>
        <w:t>T</w:t>
      </w:r>
      <w:r w:rsidRPr="00770D51">
        <w:rPr>
          <w:rFonts w:eastAsia="MS Mincho" w:cs="Times New Roman"/>
          <w:szCs w:val="24"/>
          <w:lang w:eastAsia="ja-JP"/>
        </w:rPr>
        <w:t xml:space="preserve">ariff requirements, </w:t>
      </w:r>
      <w:r>
        <w:rPr>
          <w:rFonts w:eastAsia="MS Mincho" w:cs="Times New Roman"/>
          <w:szCs w:val="24"/>
          <w:lang w:eastAsia="ja-JP"/>
        </w:rPr>
        <w:t>f</w:t>
      </w:r>
      <w:r w:rsidRPr="00770D51">
        <w:rPr>
          <w:rFonts w:cs="Times New Roman"/>
        </w:rPr>
        <w:t xml:space="preserve">or years in which no full recalculation </w:t>
      </w:r>
      <w:r>
        <w:rPr>
          <w:rFonts w:cs="Times New Roman"/>
        </w:rPr>
        <w:t xml:space="preserve">of CONE/Net CONE values </w:t>
      </w:r>
      <w:r w:rsidRPr="00770D51">
        <w:rPr>
          <w:rFonts w:cs="Times New Roman"/>
        </w:rPr>
        <w:t>is performed</w:t>
      </w:r>
      <w:r>
        <w:rPr>
          <w:rFonts w:cs="Times New Roman"/>
        </w:rPr>
        <w:t xml:space="preserve">, the CONE/Net CONE values associated with the reference technology will be updated pursuant to the cost indices contained in Market Rule 1 Section III.A.21.2. </w:t>
      </w:r>
      <w:proofErr w:type="gramStart"/>
      <w:r w:rsidRPr="00BD3592">
        <w:rPr>
          <w:rFonts w:cs="Times New Roman"/>
        </w:rPr>
        <w:t>for</w:t>
      </w:r>
      <w:proofErr w:type="gramEnd"/>
      <w:r w:rsidRPr="00BD3592">
        <w:rPr>
          <w:rFonts w:cs="Times New Roman"/>
        </w:rPr>
        <w:t xml:space="preserve"> each relevant cost component.</w:t>
      </w:r>
      <w:r>
        <w:rPr>
          <w:rFonts w:cs="Times New Roman"/>
        </w:rPr>
        <w:t xml:space="preserve">  Indices covering the most recent 12 months at the time will be compared against the current values to calculate the appropriate escalation </w:t>
      </w:r>
      <w:r w:rsidR="0051189D">
        <w:rPr>
          <w:rFonts w:cs="Times New Roman"/>
        </w:rPr>
        <w:t>rates.</w:t>
      </w:r>
    </w:p>
    <w:p w14:paraId="6BD9B01A" w14:textId="77777777" w:rsidR="00EE5932" w:rsidRPr="00770D51" w:rsidRDefault="00EE5932" w:rsidP="00770D51">
      <w:pPr>
        <w:rPr>
          <w:rFonts w:eastAsia="MS Mincho" w:cs="Times New Roman"/>
          <w:szCs w:val="24"/>
          <w:lang w:eastAsia="ja-JP"/>
        </w:rPr>
        <w:sectPr w:rsidR="00EE5932" w:rsidRPr="00770D51" w:rsidSect="000A767D">
          <w:pgSz w:w="12240" w:h="15840" w:code="1"/>
          <w:pgMar w:top="1440" w:right="1440" w:bottom="1440" w:left="1440" w:header="720" w:footer="720" w:gutter="0"/>
          <w:cols w:space="720"/>
          <w:docGrid w:linePitch="360"/>
        </w:sectPr>
      </w:pPr>
    </w:p>
    <w:p w14:paraId="649536C3" w14:textId="0FD1879B" w:rsidR="00922931" w:rsidRPr="0025706A" w:rsidRDefault="00922931" w:rsidP="00922931">
      <w:pPr>
        <w:pStyle w:val="Header1"/>
        <w:jc w:val="left"/>
      </w:pPr>
      <w:bookmarkStart w:id="92" w:name="_Toc468288318"/>
      <w:r w:rsidRPr="0025706A">
        <w:lastRenderedPageBreak/>
        <w:t xml:space="preserve">Section </w:t>
      </w:r>
      <w:r>
        <w:rPr>
          <w:noProof/>
        </w:rPr>
        <w:t>4</w:t>
      </w:r>
      <w:r w:rsidRPr="0025706A">
        <w:rPr>
          <w:noProof/>
        </w:rPr>
        <w:t>:</w:t>
      </w:r>
      <w:r w:rsidRPr="0025706A">
        <w:rPr>
          <w:noProof/>
        </w:rPr>
        <w:br/>
      </w:r>
      <w:r>
        <w:rPr>
          <w:noProof/>
          <w:sz w:val="32"/>
          <w:szCs w:val="32"/>
        </w:rPr>
        <w:t>ORTP Study</w:t>
      </w:r>
      <w:bookmarkEnd w:id="92"/>
    </w:p>
    <w:p w14:paraId="3776EA9A" w14:textId="77777777" w:rsidR="00A63998" w:rsidRDefault="00A63998" w:rsidP="00456566">
      <w:pPr>
        <w:pStyle w:val="Heading2"/>
        <w:numPr>
          <w:ilvl w:val="0"/>
          <w:numId w:val="6"/>
        </w:numPr>
      </w:pPr>
      <w:bookmarkStart w:id="93" w:name="_Toc468288319"/>
      <w:r>
        <w:t>Introduction</w:t>
      </w:r>
      <w:bookmarkEnd w:id="93"/>
    </w:p>
    <w:p w14:paraId="6812D8DB" w14:textId="42077A2C" w:rsidR="00A63998" w:rsidRPr="00C56E4B" w:rsidRDefault="00A63998" w:rsidP="00A63998">
      <w:pPr>
        <w:rPr>
          <w:rFonts w:eastAsia="Times New Roman" w:cs="Times New Roman"/>
          <w:szCs w:val="24"/>
        </w:rPr>
      </w:pPr>
      <w:r>
        <w:rPr>
          <w:rFonts w:cs="Times New Roman"/>
          <w:shd w:val="clear" w:color="auto" w:fill="FFFFFF"/>
        </w:rPr>
        <w:t xml:space="preserve">ISO-NE ensures that </w:t>
      </w:r>
      <w:r w:rsidRPr="00C56E4B">
        <w:rPr>
          <w:rFonts w:cs="Times New Roman"/>
          <w:shd w:val="clear" w:color="auto" w:fill="FFFFFF"/>
        </w:rPr>
        <w:t xml:space="preserve">sufficient resources </w:t>
      </w:r>
      <w:r>
        <w:rPr>
          <w:rFonts w:cs="Times New Roman"/>
          <w:shd w:val="clear" w:color="auto" w:fill="FFFFFF"/>
        </w:rPr>
        <w:t xml:space="preserve">are available </w:t>
      </w:r>
      <w:r w:rsidRPr="00C56E4B">
        <w:rPr>
          <w:rFonts w:cs="Times New Roman"/>
          <w:shd w:val="clear" w:color="auto" w:fill="FFFFFF"/>
        </w:rPr>
        <w:t>to meet future demand for electricity</w:t>
      </w:r>
      <w:r>
        <w:rPr>
          <w:rFonts w:cs="Times New Roman"/>
          <w:shd w:val="clear" w:color="auto" w:fill="FFFFFF"/>
        </w:rPr>
        <w:t xml:space="preserve"> through </w:t>
      </w:r>
      <w:r w:rsidR="00493BC1">
        <w:rPr>
          <w:rFonts w:cs="Times New Roman"/>
          <w:shd w:val="clear" w:color="auto" w:fill="FFFFFF"/>
        </w:rPr>
        <w:t>the F</w:t>
      </w:r>
      <w:r w:rsidR="0051189D">
        <w:rPr>
          <w:rFonts w:cs="Times New Roman"/>
          <w:shd w:val="clear" w:color="auto" w:fill="FFFFFF"/>
        </w:rPr>
        <w:t>CM</w:t>
      </w:r>
      <w:r w:rsidRPr="00C56E4B">
        <w:rPr>
          <w:rFonts w:cs="Times New Roman"/>
          <w:shd w:val="clear" w:color="auto" w:fill="FFFFFF"/>
        </w:rPr>
        <w:t xml:space="preserve">. </w:t>
      </w:r>
      <w:r w:rsidR="00164F84">
        <w:rPr>
          <w:rFonts w:cs="Times New Roman"/>
          <w:shd w:val="clear" w:color="auto" w:fill="FFFFFF"/>
        </w:rPr>
        <w:t xml:space="preserve"> </w:t>
      </w:r>
      <w:r>
        <w:rPr>
          <w:rFonts w:cs="Times New Roman"/>
          <w:shd w:val="clear" w:color="auto" w:fill="FFFFFF"/>
        </w:rPr>
        <w:t xml:space="preserve">Under the FCM design, </w:t>
      </w:r>
      <w:r w:rsidR="00493BC1">
        <w:rPr>
          <w:rFonts w:cs="Times New Roman"/>
          <w:shd w:val="clear" w:color="auto" w:fill="FFFFFF"/>
        </w:rPr>
        <w:t xml:space="preserve">auctions are </w:t>
      </w:r>
      <w:r w:rsidRPr="00C56E4B">
        <w:rPr>
          <w:rFonts w:cs="Times New Roman"/>
          <w:shd w:val="clear" w:color="auto" w:fill="FFFFFF"/>
        </w:rPr>
        <w:t>held annually, three years in advance of the period</w:t>
      </w:r>
      <w:r>
        <w:rPr>
          <w:rFonts w:cs="Times New Roman"/>
          <w:shd w:val="clear" w:color="auto" w:fill="FFFFFF"/>
        </w:rPr>
        <w:t xml:space="preserve"> during which resources must deliver their capacity</w:t>
      </w:r>
      <w:r w:rsidRPr="00C56E4B">
        <w:rPr>
          <w:rFonts w:cs="Times New Roman"/>
          <w:shd w:val="clear" w:color="auto" w:fill="FFFFFF"/>
        </w:rPr>
        <w:t>. Resources compete in the auctions to obtain a commitment to supply capacity in exchange for a market-priced capacity payment. These payments support the development of new resources</w:t>
      </w:r>
      <w:r>
        <w:rPr>
          <w:rFonts w:cs="Times New Roman"/>
          <w:shd w:val="clear" w:color="auto" w:fill="FFFFFF"/>
        </w:rPr>
        <w:t xml:space="preserve"> and retain existing resources when and where they are needed.  </w:t>
      </w:r>
      <w:r w:rsidRPr="00C56E4B">
        <w:rPr>
          <w:rFonts w:cs="Times New Roman"/>
          <w:shd w:val="clear" w:color="auto" w:fill="FFFFFF"/>
        </w:rPr>
        <w:t xml:space="preserve"> </w:t>
      </w:r>
    </w:p>
    <w:p w14:paraId="3D824B80" w14:textId="2E4A9FE8" w:rsidR="00C6278F" w:rsidRPr="00406567" w:rsidRDefault="00A63998" w:rsidP="00A63998">
      <w:pPr>
        <w:rPr>
          <w:rFonts w:eastAsia="Times New Roman" w:cs="Times New Roman"/>
          <w:szCs w:val="24"/>
        </w:rPr>
      </w:pPr>
      <w:r w:rsidRPr="00406567">
        <w:rPr>
          <w:rFonts w:cs="Times New Roman"/>
        </w:rPr>
        <w:t xml:space="preserve">The FCM design includes a mechanism to protect against the price suppressing effects of uncompetitive new resource offers.  This mechanism subjects all new entrants in the FCA to a benchmark known as the </w:t>
      </w:r>
      <w:r w:rsidR="00493BC1">
        <w:rPr>
          <w:rFonts w:cs="Times New Roman"/>
        </w:rPr>
        <w:t>ORTP</w:t>
      </w:r>
      <w:r w:rsidRPr="00406567">
        <w:rPr>
          <w:rFonts w:cs="Times New Roman"/>
        </w:rPr>
        <w:t xml:space="preserve">.  </w:t>
      </w:r>
      <w:r>
        <w:rPr>
          <w:rFonts w:cs="Times New Roman"/>
        </w:rPr>
        <w:t xml:space="preserve">The ORTP </w:t>
      </w:r>
      <w:r w:rsidRPr="005F1F8C">
        <w:rPr>
          <w:rFonts w:cs="Times New Roman"/>
        </w:rPr>
        <w:t>act</w:t>
      </w:r>
      <w:r>
        <w:rPr>
          <w:rFonts w:cs="Times New Roman"/>
        </w:rPr>
        <w:t>s</w:t>
      </w:r>
      <w:r w:rsidRPr="005F1F8C">
        <w:rPr>
          <w:rFonts w:cs="Times New Roman"/>
        </w:rPr>
        <w:t xml:space="preserve"> as a "screen" for potentially new uncompetitive resources offers in an FCA. It does so by setting benchmark prices intended to represent the low end of the range of competitive offers in order to prevent new resources from offering at prices significantly below their true net cost of entry.</w:t>
      </w:r>
      <w:r>
        <w:rPr>
          <w:rFonts w:cs="Times New Roman"/>
        </w:rPr>
        <w:t xml:space="preserve">  New supply offers above the ORTP level are presumed to be competitive and not an attempt to suppress the auction clearing price, while offers below the ORTP level must be reviewed by the IMM pursuant to a unit-specific review process.  ORTPs are calculated for specific resource types every three years and adjusted annually between calculation periods.  </w:t>
      </w:r>
    </w:p>
    <w:p w14:paraId="0B86A427" w14:textId="5B3C364A" w:rsidR="00A63998" w:rsidRPr="00E324A1" w:rsidRDefault="00A63998" w:rsidP="00456566">
      <w:pPr>
        <w:pStyle w:val="Heading2"/>
        <w:numPr>
          <w:ilvl w:val="0"/>
          <w:numId w:val="6"/>
        </w:numPr>
      </w:pPr>
      <w:bookmarkStart w:id="94" w:name="_Toc468288320"/>
      <w:r w:rsidRPr="00E324A1">
        <w:t>Approach</w:t>
      </w:r>
      <w:bookmarkEnd w:id="94"/>
    </w:p>
    <w:p w14:paraId="4754147B" w14:textId="11BF127C" w:rsidR="00A63998" w:rsidRPr="00164F84" w:rsidRDefault="00A63998" w:rsidP="00A63998">
      <w:pPr>
        <w:rPr>
          <w:rFonts w:eastAsia="Times New Roman" w:cs="Times New Roman"/>
          <w:szCs w:val="24"/>
        </w:rPr>
      </w:pPr>
      <w:r>
        <w:rPr>
          <w:rFonts w:eastAsia="Times New Roman" w:cs="Times New Roman"/>
          <w:szCs w:val="24"/>
        </w:rPr>
        <w:t xml:space="preserve">The objective of this ORTP study </w:t>
      </w:r>
      <w:r w:rsidR="00FA703F">
        <w:rPr>
          <w:rFonts w:eastAsia="Times New Roman" w:cs="Times New Roman"/>
          <w:szCs w:val="24"/>
        </w:rPr>
        <w:t xml:space="preserve">was </w:t>
      </w:r>
      <w:r>
        <w:rPr>
          <w:rFonts w:eastAsia="Times New Roman" w:cs="Times New Roman"/>
          <w:szCs w:val="24"/>
        </w:rPr>
        <w:t>to develop updated ORTP values for FCA-12 for a 20</w:t>
      </w:r>
      <w:r w:rsidR="009627F4">
        <w:rPr>
          <w:rFonts w:eastAsia="Times New Roman" w:cs="Times New Roman"/>
          <w:szCs w:val="24"/>
        </w:rPr>
        <w:t>21</w:t>
      </w:r>
      <w:r>
        <w:rPr>
          <w:rFonts w:eastAsia="Times New Roman" w:cs="Times New Roman"/>
          <w:szCs w:val="24"/>
        </w:rPr>
        <w:t xml:space="preserve">/2022 Commitment Period.  Consistent with guidance from ISO-NE and FERC, the recommended ORTPs presented in this report </w:t>
      </w:r>
      <w:r w:rsidR="00FA703F">
        <w:rPr>
          <w:rFonts w:eastAsia="Times New Roman" w:cs="Times New Roman"/>
          <w:szCs w:val="24"/>
        </w:rPr>
        <w:t xml:space="preserve">were </w:t>
      </w:r>
      <w:r w:rsidRPr="00E324A1">
        <w:rPr>
          <w:rFonts w:eastAsia="Times New Roman" w:cs="Times New Roman"/>
          <w:szCs w:val="24"/>
        </w:rPr>
        <w:t xml:space="preserve">set at the low end of the competitive range of expected values so as to strike a reasonable balance by only subjecting resources to </w:t>
      </w:r>
      <w:r>
        <w:rPr>
          <w:rFonts w:eastAsia="Times New Roman" w:cs="Times New Roman"/>
          <w:szCs w:val="24"/>
        </w:rPr>
        <w:t>re</w:t>
      </w:r>
      <w:r w:rsidRPr="00E324A1">
        <w:rPr>
          <w:rFonts w:eastAsia="Times New Roman" w:cs="Times New Roman"/>
          <w:szCs w:val="24"/>
        </w:rPr>
        <w:t>view which appear commercially implausible absent out-of-market revenues</w:t>
      </w:r>
      <w:r>
        <w:rPr>
          <w:rFonts w:eastAsia="Times New Roman" w:cs="Times New Roman"/>
          <w:szCs w:val="24"/>
        </w:rPr>
        <w:t>.  In addition, consistent with Tariff requirements, all resources were assumed to have a contract for their output.</w:t>
      </w:r>
      <w:r>
        <w:rPr>
          <w:rStyle w:val="FootnoteReference"/>
          <w:rFonts w:eastAsia="Times New Roman" w:cs="Times New Roman"/>
          <w:szCs w:val="24"/>
        </w:rPr>
        <w:footnoteReference w:id="54"/>
      </w:r>
    </w:p>
    <w:p w14:paraId="7FA281E1" w14:textId="32EBAEFA" w:rsidR="00A63998" w:rsidRPr="00164F84" w:rsidRDefault="00A63998" w:rsidP="00A63998">
      <w:pPr>
        <w:rPr>
          <w:rFonts w:eastAsia="Times New Roman" w:cs="Times New Roman"/>
          <w:szCs w:val="24"/>
        </w:rPr>
      </w:pPr>
      <w:r w:rsidRPr="00164F84">
        <w:rPr>
          <w:rFonts w:eastAsia="Times New Roman" w:cs="Times New Roman"/>
          <w:szCs w:val="24"/>
        </w:rPr>
        <w:t>The study process consisted of the four basic tasks outlined below and further described in th</w:t>
      </w:r>
      <w:r w:rsidR="00164F84" w:rsidRPr="00164F84">
        <w:rPr>
          <w:rFonts w:eastAsia="Times New Roman" w:cs="Times New Roman"/>
          <w:szCs w:val="24"/>
        </w:rPr>
        <w:t xml:space="preserve">e balance of this </w:t>
      </w:r>
      <w:r w:rsidRPr="00164F84">
        <w:rPr>
          <w:rFonts w:eastAsia="Times New Roman" w:cs="Times New Roman"/>
          <w:szCs w:val="24"/>
        </w:rPr>
        <w:t>report:</w:t>
      </w:r>
    </w:p>
    <w:p w14:paraId="185D94B8" w14:textId="77777777" w:rsidR="00A63998" w:rsidRPr="00164F84" w:rsidRDefault="00A63998" w:rsidP="00456566">
      <w:pPr>
        <w:pStyle w:val="ListParagraph"/>
        <w:numPr>
          <w:ilvl w:val="0"/>
          <w:numId w:val="30"/>
        </w:numPr>
      </w:pPr>
      <w:r w:rsidRPr="0031577E">
        <w:rPr>
          <w:b/>
        </w:rPr>
        <w:t>Resource Screening and Selection</w:t>
      </w:r>
      <w:r w:rsidRPr="00164F84">
        <w:t>.  The first step in the process was the development of screening criteria for the selection of resource types for which to calculate an ORTP.  Those resources that passed the screen were subject to a full evaluation of costs and revenues over the expected life of the facility</w:t>
      </w:r>
    </w:p>
    <w:p w14:paraId="591F139C" w14:textId="6A34C8A1" w:rsidR="00A63998" w:rsidRPr="00164F84" w:rsidRDefault="00A63998" w:rsidP="00456566">
      <w:pPr>
        <w:pStyle w:val="ListParagraph"/>
        <w:numPr>
          <w:ilvl w:val="0"/>
          <w:numId w:val="30"/>
        </w:numPr>
      </w:pPr>
      <w:r w:rsidRPr="00B95879">
        <w:rPr>
          <w:b/>
        </w:rPr>
        <w:t>Calculation of CONE.</w:t>
      </w:r>
      <w:r w:rsidRPr="00164F84">
        <w:t xml:space="preserve">  Recognizing the low end of the competitive range requirement for the ORTP values, we developed technical specifications, installed capital costs and operating costs over the 20 year expected life of the facility (11 </w:t>
      </w:r>
      <w:r w:rsidRPr="00164F84">
        <w:lastRenderedPageBreak/>
        <w:t>years for Energy Efficiency and Demand Response)</w:t>
      </w:r>
      <w:r w:rsidR="00164F84" w:rsidRPr="00164F84">
        <w:t xml:space="preserve"> for each of the selected technologies</w:t>
      </w:r>
      <w:r w:rsidRPr="00164F84">
        <w:t xml:space="preserve">.  Based on reasonable financial assumptions associated with merchant plant development in New England regarding the cost of debt, return on equity and debt to equity ratio, we calculated </w:t>
      </w:r>
      <w:r w:rsidR="00164F84">
        <w:t xml:space="preserve">a </w:t>
      </w:r>
      <w:r w:rsidRPr="00164F84">
        <w:t>first year revenue requirement that ensured the recovery on and of investment costs.</w:t>
      </w:r>
    </w:p>
    <w:p w14:paraId="18402D6D" w14:textId="4EF90B63" w:rsidR="00A63998" w:rsidRPr="00164F84" w:rsidRDefault="00A63998" w:rsidP="00456566">
      <w:pPr>
        <w:pStyle w:val="ListParagraph"/>
        <w:numPr>
          <w:ilvl w:val="0"/>
          <w:numId w:val="30"/>
        </w:numPr>
      </w:pPr>
      <w:r w:rsidRPr="00164F84">
        <w:rPr>
          <w:b/>
        </w:rPr>
        <w:t>Calculation of Expected Revenues.</w:t>
      </w:r>
      <w:r w:rsidRPr="00164F84">
        <w:t xml:space="preserve">  We estimated expected revenues for each of the selected technologies, including energy revenues (net of variable costs), ancillary service revenues, REC revenues and pay for performance PFP revenues.</w:t>
      </w:r>
    </w:p>
    <w:p w14:paraId="711B7BB2" w14:textId="4336C369" w:rsidR="00A63998" w:rsidRDefault="00A63998" w:rsidP="00456566">
      <w:pPr>
        <w:pStyle w:val="ListParagraph"/>
        <w:numPr>
          <w:ilvl w:val="0"/>
          <w:numId w:val="30"/>
        </w:numPr>
      </w:pPr>
      <w:r w:rsidRPr="00164F84">
        <w:rPr>
          <w:b/>
        </w:rPr>
        <w:t>Calculation of Net CONE.</w:t>
      </w:r>
      <w:r w:rsidRPr="00164F84">
        <w:t xml:space="preserve">  Based on the calculation of CONE and expected revenues, we calculated the compensation needed from the capacity market in the first year of operation (2021) at a net present value of zero over the forecast period.  This Net CONE </w:t>
      </w:r>
      <w:r w:rsidR="00892BCC">
        <w:t>represents</w:t>
      </w:r>
      <w:r w:rsidR="00892BCC" w:rsidRPr="00164F84">
        <w:t xml:space="preserve"> </w:t>
      </w:r>
      <w:r w:rsidRPr="00164F84">
        <w:t xml:space="preserve">the recommended ORTP level.  </w:t>
      </w:r>
    </w:p>
    <w:p w14:paraId="2F2160FE" w14:textId="77777777" w:rsidR="00FA703F" w:rsidRPr="00164F84" w:rsidRDefault="00FA703F" w:rsidP="001436DC">
      <w:pPr>
        <w:ind w:left="1440"/>
      </w:pPr>
    </w:p>
    <w:p w14:paraId="46655858" w14:textId="77777777" w:rsidR="00A63998" w:rsidRPr="009A6B5A" w:rsidRDefault="00A63998" w:rsidP="00A63998">
      <w:pPr>
        <w:rPr>
          <w:rFonts w:cs="Times New Roman"/>
          <w:shd w:val="clear" w:color="auto" w:fill="FFFFFF"/>
        </w:rPr>
      </w:pPr>
      <w:r>
        <w:rPr>
          <w:rFonts w:cs="Times New Roman"/>
          <w:shd w:val="clear" w:color="auto" w:fill="FFFFFF"/>
        </w:rPr>
        <w:t xml:space="preserve">Each of these tasks involved a detailed review of historical data, forecast of future prices, and professional judgement in order to calculate benchmark prices for each technology.  These parameters were informed through consultation with ISO-NE and stakeholders in four separate meetings in order to ensure the </w:t>
      </w:r>
      <w:r w:rsidRPr="009A6B5A">
        <w:rPr>
          <w:rFonts w:cs="Times New Roman"/>
          <w:shd w:val="clear" w:color="auto" w:fill="FFFFFF"/>
        </w:rPr>
        <w:t xml:space="preserve">effectiveness and appropriateness of </w:t>
      </w:r>
      <w:r>
        <w:rPr>
          <w:rFonts w:cs="Times New Roman"/>
          <w:shd w:val="clear" w:color="auto" w:fill="FFFFFF"/>
        </w:rPr>
        <w:t xml:space="preserve">the </w:t>
      </w:r>
      <w:r w:rsidRPr="009A6B5A">
        <w:rPr>
          <w:rFonts w:cs="Times New Roman"/>
          <w:shd w:val="clear" w:color="auto" w:fill="FFFFFF"/>
        </w:rPr>
        <w:t>methods and data</w:t>
      </w:r>
      <w:r>
        <w:rPr>
          <w:rFonts w:cs="Times New Roman"/>
          <w:shd w:val="clear" w:color="auto" w:fill="FFFFFF"/>
        </w:rPr>
        <w:t xml:space="preserve"> used</w:t>
      </w:r>
      <w:r w:rsidRPr="009A6B5A">
        <w:rPr>
          <w:rFonts w:cs="Times New Roman"/>
          <w:shd w:val="clear" w:color="auto" w:fill="FFFFFF"/>
        </w:rPr>
        <w:t>.</w:t>
      </w:r>
    </w:p>
    <w:p w14:paraId="38FB0B66" w14:textId="5ADD8F73" w:rsidR="00A63998" w:rsidRPr="00386C57" w:rsidRDefault="00A63998" w:rsidP="00456566">
      <w:pPr>
        <w:pStyle w:val="Heading2"/>
        <w:numPr>
          <w:ilvl w:val="0"/>
          <w:numId w:val="6"/>
        </w:numPr>
      </w:pPr>
      <w:bookmarkStart w:id="95" w:name="_Toc468288321"/>
      <w:r w:rsidRPr="00386C57">
        <w:t>Resource Screening Criteria, Process and Selection</w:t>
      </w:r>
      <w:bookmarkEnd w:id="95"/>
    </w:p>
    <w:p w14:paraId="11F12352" w14:textId="06D8C345" w:rsidR="00A63998" w:rsidRDefault="00A63998" w:rsidP="00A63998">
      <w:pPr>
        <w:rPr>
          <w:rFonts w:eastAsia="Times New Roman" w:cs="Times New Roman"/>
          <w:szCs w:val="24"/>
        </w:rPr>
      </w:pPr>
      <w:r>
        <w:rPr>
          <w:rFonts w:eastAsia="Times New Roman" w:cs="Times New Roman"/>
          <w:szCs w:val="24"/>
        </w:rPr>
        <w:t xml:space="preserve">We began our ORTP study by establishing the criteria against which we would screen potential resources for the calculation of an ORTP value.  </w:t>
      </w:r>
      <w:r w:rsidR="005D76BC">
        <w:rPr>
          <w:rFonts w:eastAsia="Times New Roman" w:cs="Times New Roman"/>
          <w:szCs w:val="24"/>
        </w:rPr>
        <w:t xml:space="preserve">The screening criteria used and reviewed with stakeholders </w:t>
      </w:r>
      <w:r w:rsidR="00DE3C37">
        <w:rPr>
          <w:rFonts w:eastAsia="Times New Roman" w:cs="Times New Roman"/>
          <w:szCs w:val="24"/>
        </w:rPr>
        <w:t xml:space="preserve">consistent with the criteria accepted by the FERC in the 2013 ORTP study, </w:t>
      </w:r>
      <w:r w:rsidR="005D76BC">
        <w:rPr>
          <w:rFonts w:eastAsia="Times New Roman" w:cs="Times New Roman"/>
          <w:szCs w:val="24"/>
        </w:rPr>
        <w:t>was as follows:</w:t>
      </w:r>
    </w:p>
    <w:p w14:paraId="6AE4BD67" w14:textId="77777777" w:rsidR="00A63998" w:rsidRPr="009D4E95" w:rsidRDefault="00A63998" w:rsidP="00892BCC">
      <w:pPr>
        <w:numPr>
          <w:ilvl w:val="1"/>
          <w:numId w:val="3"/>
        </w:numPr>
        <w:spacing w:after="0"/>
        <w:rPr>
          <w:rFonts w:eastAsia="Times New Roman" w:cs="Times New Roman"/>
          <w:szCs w:val="24"/>
        </w:rPr>
      </w:pPr>
      <w:r>
        <w:rPr>
          <w:rFonts w:eastAsia="Times New Roman" w:cs="Times New Roman"/>
          <w:szCs w:val="24"/>
        </w:rPr>
        <w:t>Must r</w:t>
      </w:r>
      <w:r w:rsidRPr="009D4E95">
        <w:rPr>
          <w:rFonts w:eastAsia="Times New Roman" w:cs="Times New Roman"/>
          <w:szCs w:val="24"/>
        </w:rPr>
        <w:t>epresent technologies that have been installed in the region and participated in recent FCAs</w:t>
      </w:r>
      <w:r>
        <w:rPr>
          <w:rFonts w:eastAsia="Times New Roman" w:cs="Times New Roman"/>
          <w:szCs w:val="24"/>
        </w:rPr>
        <w:t>;</w:t>
      </w:r>
    </w:p>
    <w:p w14:paraId="64431698" w14:textId="77777777" w:rsidR="00A63998" w:rsidRPr="009D4E95" w:rsidRDefault="00A63998" w:rsidP="00892BCC">
      <w:pPr>
        <w:numPr>
          <w:ilvl w:val="1"/>
          <w:numId w:val="3"/>
        </w:numPr>
        <w:spacing w:after="0"/>
        <w:rPr>
          <w:rFonts w:eastAsia="Times New Roman" w:cs="Times New Roman"/>
          <w:szCs w:val="24"/>
        </w:rPr>
      </w:pPr>
      <w:r>
        <w:rPr>
          <w:rFonts w:eastAsia="Times New Roman" w:cs="Times New Roman"/>
          <w:szCs w:val="24"/>
        </w:rPr>
        <w:t>Must have</w:t>
      </w:r>
      <w:r w:rsidRPr="009D4E95">
        <w:rPr>
          <w:rFonts w:eastAsia="Times New Roman" w:cs="Times New Roman"/>
          <w:szCs w:val="24"/>
        </w:rPr>
        <w:t xml:space="preserve"> reliable cost information available to calculate an ORTP using a full “bottom</w:t>
      </w:r>
      <w:r>
        <w:rPr>
          <w:rFonts w:eastAsia="Times New Roman" w:cs="Times New Roman"/>
          <w:szCs w:val="24"/>
        </w:rPr>
        <w:t>-</w:t>
      </w:r>
      <w:r w:rsidRPr="009D4E95">
        <w:rPr>
          <w:rFonts w:eastAsia="Times New Roman" w:cs="Times New Roman"/>
          <w:szCs w:val="24"/>
        </w:rPr>
        <w:t>up” analytical approach</w:t>
      </w:r>
      <w:r>
        <w:rPr>
          <w:rFonts w:eastAsia="Times New Roman" w:cs="Times New Roman"/>
          <w:szCs w:val="24"/>
        </w:rPr>
        <w:t>;</w:t>
      </w:r>
    </w:p>
    <w:p w14:paraId="7CC6C0EC" w14:textId="1331AD57" w:rsidR="00A63998" w:rsidRDefault="00A63998" w:rsidP="00892BCC">
      <w:pPr>
        <w:numPr>
          <w:ilvl w:val="1"/>
          <w:numId w:val="3"/>
        </w:numPr>
        <w:spacing w:after="0"/>
        <w:rPr>
          <w:rFonts w:eastAsia="Times New Roman" w:cs="Times New Roman"/>
          <w:szCs w:val="24"/>
        </w:rPr>
      </w:pPr>
      <w:r>
        <w:rPr>
          <w:rFonts w:eastAsia="Times New Roman" w:cs="Times New Roman"/>
          <w:szCs w:val="24"/>
        </w:rPr>
        <w:t>Must h</w:t>
      </w:r>
      <w:r w:rsidRPr="009D4E95">
        <w:rPr>
          <w:rFonts w:eastAsia="Times New Roman" w:cs="Times New Roman"/>
          <w:szCs w:val="24"/>
        </w:rPr>
        <w:t>ave a first year revenue requirement below the FCA starting price</w:t>
      </w:r>
      <w:r>
        <w:rPr>
          <w:rFonts w:eastAsia="Times New Roman" w:cs="Times New Roman"/>
          <w:szCs w:val="24"/>
        </w:rPr>
        <w:t>.</w:t>
      </w:r>
    </w:p>
    <w:p w14:paraId="73D3940E" w14:textId="77777777" w:rsidR="00892BCC" w:rsidRPr="009D4E95" w:rsidRDefault="00892BCC" w:rsidP="00892BCC">
      <w:pPr>
        <w:spacing w:after="0"/>
        <w:ind w:left="1440"/>
        <w:rPr>
          <w:rFonts w:eastAsia="Times New Roman" w:cs="Times New Roman"/>
          <w:szCs w:val="24"/>
        </w:rPr>
      </w:pPr>
    </w:p>
    <w:p w14:paraId="6FE419AA" w14:textId="4B861F21" w:rsidR="00A63998" w:rsidRDefault="00A63998" w:rsidP="00A63998">
      <w:pPr>
        <w:rPr>
          <w:rFonts w:eastAsia="Times New Roman" w:cs="Times New Roman"/>
          <w:szCs w:val="24"/>
        </w:rPr>
      </w:pPr>
      <w:r>
        <w:rPr>
          <w:rFonts w:eastAsia="Times New Roman" w:cs="Times New Roman"/>
          <w:szCs w:val="24"/>
        </w:rPr>
        <w:t xml:space="preserve">These criteria were applied consistently to potential resources identified in consultation with stakeholders. Ultimately, the criteria were used to select a subset of resources for which a full evaluation would be conducted and an ORTP would be established.  Resources that were considered in the screening </w:t>
      </w:r>
      <w:proofErr w:type="gramStart"/>
      <w:r>
        <w:rPr>
          <w:rFonts w:eastAsia="Times New Roman" w:cs="Times New Roman"/>
          <w:szCs w:val="24"/>
        </w:rPr>
        <w:t>process,</w:t>
      </w:r>
      <w:proofErr w:type="gramEnd"/>
      <w:r>
        <w:rPr>
          <w:rFonts w:eastAsia="Times New Roman" w:cs="Times New Roman"/>
          <w:szCs w:val="24"/>
        </w:rPr>
        <w:t xml:space="preserve"> and the outcome of that process are shown in </w:t>
      </w:r>
      <w:r w:rsidR="00B849F9" w:rsidRPr="005E167C">
        <w:rPr>
          <w:rFonts w:eastAsia="Times New Roman" w:cs="Times New Roman"/>
          <w:szCs w:val="24"/>
        </w:rPr>
        <w:fldChar w:fldCharType="begin"/>
      </w:r>
      <w:r w:rsidR="00B849F9" w:rsidRPr="005E167C">
        <w:rPr>
          <w:rFonts w:eastAsia="Times New Roman" w:cs="Times New Roman"/>
          <w:szCs w:val="24"/>
        </w:rPr>
        <w:instrText xml:space="preserve"> REF _Ref462643944 \h </w:instrText>
      </w:r>
      <w:r w:rsidR="005E167C">
        <w:rPr>
          <w:rFonts w:eastAsia="Times New Roman" w:cs="Times New Roman"/>
          <w:szCs w:val="24"/>
        </w:rPr>
        <w:instrText xml:space="preserve"> \* MERGEFORMAT </w:instrText>
      </w:r>
      <w:r w:rsidR="00B849F9" w:rsidRPr="005E167C">
        <w:rPr>
          <w:rFonts w:eastAsia="Times New Roman" w:cs="Times New Roman"/>
          <w:szCs w:val="24"/>
        </w:rPr>
      </w:r>
      <w:r w:rsidR="00B849F9" w:rsidRPr="005E167C">
        <w:rPr>
          <w:rFonts w:eastAsia="Times New Roman" w:cs="Times New Roman"/>
          <w:szCs w:val="24"/>
        </w:rPr>
        <w:fldChar w:fldCharType="separate"/>
      </w:r>
      <w:r w:rsidR="006E2301" w:rsidRPr="0073024E">
        <w:rPr>
          <w:rFonts w:cs="Times New Roman"/>
        </w:rPr>
        <w:t xml:space="preserve">Table </w:t>
      </w:r>
      <w:r w:rsidR="006E2301" w:rsidRPr="0073024E">
        <w:rPr>
          <w:rFonts w:cs="Times New Roman"/>
          <w:noProof/>
        </w:rPr>
        <w:t>3</w:t>
      </w:r>
      <w:r w:rsidR="00BB4D46">
        <w:rPr>
          <w:rFonts w:cs="Times New Roman"/>
          <w:noProof/>
        </w:rPr>
        <w:t>6</w:t>
      </w:r>
      <w:r w:rsidR="00B849F9" w:rsidRPr="005E167C">
        <w:rPr>
          <w:rFonts w:eastAsia="Times New Roman" w:cs="Times New Roman"/>
          <w:szCs w:val="24"/>
        </w:rPr>
        <w:fldChar w:fldCharType="end"/>
      </w:r>
      <w:r w:rsidR="005E167C" w:rsidRPr="005E167C">
        <w:rPr>
          <w:rFonts w:eastAsia="Times New Roman" w:cs="Times New Roman"/>
          <w:szCs w:val="24"/>
        </w:rPr>
        <w:t xml:space="preserve"> </w:t>
      </w:r>
      <w:r>
        <w:rPr>
          <w:rFonts w:eastAsia="Times New Roman" w:cs="Times New Roman"/>
          <w:szCs w:val="24"/>
        </w:rPr>
        <w:t>below.</w:t>
      </w:r>
    </w:p>
    <w:p w14:paraId="1CB97962" w14:textId="77777777" w:rsidR="00A63998" w:rsidRDefault="00A63998" w:rsidP="00A63998">
      <w:pPr>
        <w:rPr>
          <w:rFonts w:eastAsia="Times New Roman" w:cs="Times New Roman"/>
          <w:szCs w:val="24"/>
        </w:rPr>
      </w:pPr>
    </w:p>
    <w:p w14:paraId="12726A5D" w14:textId="1F4C36CC" w:rsidR="00A63998" w:rsidRDefault="00A63998" w:rsidP="00A63998">
      <w:pPr>
        <w:rPr>
          <w:rFonts w:eastAsia="Times New Roman" w:cs="Times New Roman"/>
          <w:szCs w:val="24"/>
        </w:rPr>
      </w:pPr>
    </w:p>
    <w:p w14:paraId="49DEE469" w14:textId="46D5819E" w:rsidR="00D2628D" w:rsidRDefault="00D2628D" w:rsidP="00A63998">
      <w:pPr>
        <w:rPr>
          <w:rFonts w:eastAsia="Times New Roman" w:cs="Times New Roman"/>
          <w:szCs w:val="24"/>
        </w:rPr>
      </w:pPr>
    </w:p>
    <w:p w14:paraId="07DA6F68" w14:textId="655C3FE8" w:rsidR="00D2628D" w:rsidRDefault="00D2628D" w:rsidP="00A63998">
      <w:pPr>
        <w:rPr>
          <w:rFonts w:eastAsia="Times New Roman" w:cs="Times New Roman"/>
          <w:szCs w:val="24"/>
        </w:rPr>
      </w:pPr>
    </w:p>
    <w:p w14:paraId="1F0C9847" w14:textId="1F7047BA" w:rsidR="00D2628D" w:rsidRDefault="00D2628D" w:rsidP="00A63998">
      <w:pPr>
        <w:rPr>
          <w:rFonts w:eastAsia="Times New Roman" w:cs="Times New Roman"/>
          <w:szCs w:val="24"/>
        </w:rPr>
      </w:pPr>
    </w:p>
    <w:p w14:paraId="317C7EF1" w14:textId="77777777" w:rsidR="00D2628D" w:rsidRDefault="00D2628D" w:rsidP="00A63998">
      <w:pPr>
        <w:rPr>
          <w:rFonts w:eastAsia="Times New Roman" w:cs="Times New Roman"/>
          <w:szCs w:val="24"/>
        </w:rPr>
      </w:pPr>
    </w:p>
    <w:p w14:paraId="1432BAED" w14:textId="3A34FC1F" w:rsidR="00A63998" w:rsidRDefault="00022EDB" w:rsidP="00D2628D">
      <w:pPr>
        <w:pStyle w:val="Caption"/>
        <w:rPr>
          <w:rFonts w:eastAsia="Times New Roman"/>
          <w:szCs w:val="24"/>
        </w:rPr>
      </w:pPr>
      <w:bookmarkStart w:id="96" w:name="_Ref462643944"/>
      <w:bookmarkStart w:id="97" w:name="_Toc465433459"/>
      <w:r>
        <w:t xml:space="preserve">Table </w:t>
      </w:r>
      <w:r w:rsidR="00FA6573">
        <w:fldChar w:fldCharType="begin"/>
      </w:r>
      <w:r w:rsidR="00FA6573">
        <w:instrText xml:space="preserve"> SEQ Table \* ARABIC </w:instrText>
      </w:r>
      <w:r w:rsidR="00FA6573">
        <w:fldChar w:fldCharType="separate"/>
      </w:r>
      <w:r w:rsidR="000637A3">
        <w:rPr>
          <w:noProof/>
        </w:rPr>
        <w:t>36</w:t>
      </w:r>
      <w:r w:rsidR="00FA6573">
        <w:rPr>
          <w:noProof/>
        </w:rPr>
        <w:fldChar w:fldCharType="end"/>
      </w:r>
      <w:bookmarkEnd w:id="96"/>
      <w:r>
        <w:t xml:space="preserve">: </w:t>
      </w:r>
      <w:r w:rsidR="00A63998" w:rsidRPr="00EF00D0">
        <w:rPr>
          <w:rFonts w:eastAsia="Times New Roman"/>
          <w:szCs w:val="24"/>
        </w:rPr>
        <w:t>Resource Screening Results</w:t>
      </w:r>
      <w:bookmarkEnd w:id="97"/>
    </w:p>
    <w:tbl>
      <w:tblPr>
        <w:tblStyle w:val="GridTable4Accent3"/>
        <w:tblW w:w="7380" w:type="dxa"/>
        <w:jc w:val="center"/>
        <w:tblLook w:val="0420" w:firstRow="1" w:lastRow="0" w:firstColumn="0" w:lastColumn="0" w:noHBand="0" w:noVBand="1"/>
      </w:tblPr>
      <w:tblGrid>
        <w:gridCol w:w="1800"/>
        <w:gridCol w:w="1890"/>
        <w:gridCol w:w="1710"/>
        <w:gridCol w:w="1980"/>
      </w:tblGrid>
      <w:tr w:rsidR="00D2628D" w:rsidRPr="00316388" w14:paraId="5CBB2DB2" w14:textId="77777777" w:rsidTr="00672F4E">
        <w:trPr>
          <w:cnfStyle w:val="100000000000" w:firstRow="1" w:lastRow="0" w:firstColumn="0" w:lastColumn="0" w:oddVBand="0" w:evenVBand="0" w:oddHBand="0" w:evenHBand="0" w:firstRowFirstColumn="0" w:firstRowLastColumn="0" w:lastRowFirstColumn="0" w:lastRowLastColumn="0"/>
          <w:trHeight w:val="980"/>
          <w:jc w:val="center"/>
        </w:trPr>
        <w:tc>
          <w:tcPr>
            <w:tcW w:w="1800" w:type="dxa"/>
            <w:hideMark/>
          </w:tcPr>
          <w:p w14:paraId="0342324F" w14:textId="77777777" w:rsidR="00D2628D" w:rsidRPr="00316388" w:rsidRDefault="00D2628D" w:rsidP="0083090C">
            <w:pPr>
              <w:spacing w:after="0" w:line="240" w:lineRule="auto"/>
              <w:rPr>
                <w:rFonts w:ascii="Century Gothic" w:hAnsi="Century Gothic"/>
                <w:b w:val="0"/>
                <w:bCs w:val="0"/>
                <w:color w:val="000000" w:themeColor="text1"/>
                <w:sz w:val="18"/>
              </w:rPr>
            </w:pPr>
            <w:r w:rsidRPr="00316388">
              <w:rPr>
                <w:rFonts w:ascii="Century Gothic" w:hAnsi="Century Gothic"/>
                <w:color w:val="000000" w:themeColor="text1"/>
                <w:sz w:val="18"/>
              </w:rPr>
              <w:t>Technology Type</w:t>
            </w:r>
          </w:p>
        </w:tc>
        <w:tc>
          <w:tcPr>
            <w:tcW w:w="1890" w:type="dxa"/>
            <w:hideMark/>
          </w:tcPr>
          <w:p w14:paraId="1D90A737" w14:textId="70FD9F64" w:rsidR="00D2628D" w:rsidRPr="00316388" w:rsidRDefault="00D743EA" w:rsidP="0083090C">
            <w:pPr>
              <w:spacing w:after="160" w:line="259" w:lineRule="auto"/>
              <w:jc w:val="center"/>
              <w:rPr>
                <w:rFonts w:ascii="Century Gothic" w:hAnsi="Century Gothic"/>
                <w:b w:val="0"/>
                <w:bCs w:val="0"/>
                <w:color w:val="000000" w:themeColor="text1"/>
                <w:sz w:val="18"/>
              </w:rPr>
            </w:pPr>
            <w:r>
              <w:rPr>
                <w:rFonts w:ascii="Century Gothic" w:hAnsi="Century Gothic"/>
                <w:color w:val="000000" w:themeColor="text1"/>
                <w:sz w:val="18"/>
              </w:rPr>
              <w:t>Installed i</w:t>
            </w:r>
            <w:r w:rsidR="00D2628D" w:rsidRPr="00316388">
              <w:rPr>
                <w:rFonts w:ascii="Century Gothic" w:hAnsi="Century Gothic"/>
                <w:color w:val="000000" w:themeColor="text1"/>
                <w:sz w:val="18"/>
              </w:rPr>
              <w:t>n New England and Participated in Recent FCAs *</w:t>
            </w:r>
          </w:p>
        </w:tc>
        <w:tc>
          <w:tcPr>
            <w:tcW w:w="1710" w:type="dxa"/>
            <w:hideMark/>
          </w:tcPr>
          <w:p w14:paraId="516BAA65" w14:textId="77777777" w:rsidR="00D2628D" w:rsidRPr="00316388" w:rsidRDefault="00D2628D" w:rsidP="0083090C">
            <w:pPr>
              <w:spacing w:after="160" w:line="259" w:lineRule="auto"/>
              <w:jc w:val="center"/>
              <w:rPr>
                <w:rFonts w:ascii="Century Gothic" w:hAnsi="Century Gothic"/>
                <w:b w:val="0"/>
                <w:bCs w:val="0"/>
                <w:color w:val="000000" w:themeColor="text1"/>
                <w:sz w:val="18"/>
              </w:rPr>
            </w:pPr>
            <w:r w:rsidRPr="00316388">
              <w:rPr>
                <w:rFonts w:ascii="Century Gothic" w:hAnsi="Century Gothic"/>
                <w:color w:val="000000" w:themeColor="text1"/>
                <w:sz w:val="18"/>
              </w:rPr>
              <w:t>Reliable “Bottom Up” Cost Data</w:t>
            </w:r>
          </w:p>
        </w:tc>
        <w:tc>
          <w:tcPr>
            <w:tcW w:w="1980" w:type="dxa"/>
            <w:hideMark/>
          </w:tcPr>
          <w:p w14:paraId="2A74C520" w14:textId="77777777" w:rsidR="00D2628D" w:rsidRPr="00316388" w:rsidRDefault="00D2628D" w:rsidP="0083090C">
            <w:pPr>
              <w:spacing w:after="160" w:line="259" w:lineRule="auto"/>
              <w:jc w:val="center"/>
              <w:rPr>
                <w:rFonts w:ascii="Century Gothic" w:hAnsi="Century Gothic"/>
                <w:b w:val="0"/>
                <w:bCs w:val="0"/>
                <w:color w:val="000000" w:themeColor="text1"/>
                <w:sz w:val="18"/>
              </w:rPr>
            </w:pPr>
            <w:r w:rsidRPr="00316388">
              <w:rPr>
                <w:rFonts w:ascii="Century Gothic" w:hAnsi="Century Gothic"/>
                <w:color w:val="000000" w:themeColor="text1"/>
                <w:sz w:val="18"/>
              </w:rPr>
              <w:t>1st Year Revenue Requirements &lt; FCA Starting Price</w:t>
            </w:r>
          </w:p>
        </w:tc>
      </w:tr>
      <w:tr w:rsidR="00D2628D" w:rsidRPr="00316388" w14:paraId="57D510FD" w14:textId="77777777" w:rsidTr="00672F4E">
        <w:trPr>
          <w:cnfStyle w:val="000000100000" w:firstRow="0" w:lastRow="0" w:firstColumn="0" w:lastColumn="0" w:oddVBand="0" w:evenVBand="0" w:oddHBand="1" w:evenHBand="0" w:firstRowFirstColumn="0" w:firstRowLastColumn="0" w:lastRowFirstColumn="0" w:lastRowLastColumn="0"/>
          <w:trHeight w:val="485"/>
          <w:jc w:val="center"/>
        </w:trPr>
        <w:tc>
          <w:tcPr>
            <w:tcW w:w="1800" w:type="dxa"/>
            <w:vAlign w:val="center"/>
            <w:hideMark/>
          </w:tcPr>
          <w:p w14:paraId="13D4F409" w14:textId="77777777" w:rsidR="00D2628D" w:rsidRPr="00316388" w:rsidRDefault="00D2628D" w:rsidP="0083090C">
            <w:pPr>
              <w:spacing w:after="160" w:line="259" w:lineRule="auto"/>
              <w:jc w:val="left"/>
              <w:rPr>
                <w:rFonts w:ascii="Century Gothic" w:hAnsi="Century Gothic"/>
                <w:b/>
                <w:color w:val="000000" w:themeColor="text1"/>
                <w:sz w:val="16"/>
              </w:rPr>
            </w:pPr>
            <w:r w:rsidRPr="00316388">
              <w:rPr>
                <w:rFonts w:ascii="Century Gothic" w:hAnsi="Century Gothic"/>
                <w:b/>
                <w:color w:val="000000" w:themeColor="text1"/>
                <w:sz w:val="16"/>
              </w:rPr>
              <w:t>Simple Cycle Gas Turbine</w:t>
            </w:r>
          </w:p>
        </w:tc>
        <w:tc>
          <w:tcPr>
            <w:tcW w:w="1890" w:type="dxa"/>
            <w:vAlign w:val="center"/>
            <w:hideMark/>
          </w:tcPr>
          <w:p w14:paraId="6BA2C619"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710" w:type="dxa"/>
            <w:vAlign w:val="center"/>
            <w:hideMark/>
          </w:tcPr>
          <w:p w14:paraId="5E969C33"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980" w:type="dxa"/>
            <w:vAlign w:val="center"/>
            <w:hideMark/>
          </w:tcPr>
          <w:p w14:paraId="52F338C0"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r>
      <w:tr w:rsidR="00D2628D" w:rsidRPr="00316388" w14:paraId="1264A93C" w14:textId="77777777" w:rsidTr="00672F4E">
        <w:trPr>
          <w:trHeight w:val="530"/>
          <w:jc w:val="center"/>
        </w:trPr>
        <w:tc>
          <w:tcPr>
            <w:tcW w:w="1800" w:type="dxa"/>
            <w:vAlign w:val="center"/>
            <w:hideMark/>
          </w:tcPr>
          <w:p w14:paraId="23F9A1B0" w14:textId="77777777" w:rsidR="00D2628D" w:rsidRPr="00316388" w:rsidRDefault="00D2628D" w:rsidP="0083090C">
            <w:pPr>
              <w:spacing w:after="160" w:line="259" w:lineRule="auto"/>
              <w:jc w:val="left"/>
              <w:rPr>
                <w:rFonts w:ascii="Century Gothic" w:hAnsi="Century Gothic"/>
                <w:b/>
                <w:color w:val="000000" w:themeColor="text1"/>
                <w:sz w:val="16"/>
              </w:rPr>
            </w:pPr>
            <w:r w:rsidRPr="00316388">
              <w:rPr>
                <w:rFonts w:ascii="Century Gothic" w:hAnsi="Century Gothic"/>
                <w:b/>
                <w:color w:val="000000" w:themeColor="text1"/>
                <w:sz w:val="16"/>
              </w:rPr>
              <w:t>Combined Cycle Gas Turbine</w:t>
            </w:r>
          </w:p>
        </w:tc>
        <w:tc>
          <w:tcPr>
            <w:tcW w:w="1890" w:type="dxa"/>
            <w:vAlign w:val="center"/>
            <w:hideMark/>
          </w:tcPr>
          <w:p w14:paraId="3ABCA65E"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710" w:type="dxa"/>
            <w:vAlign w:val="center"/>
            <w:hideMark/>
          </w:tcPr>
          <w:p w14:paraId="72473E49"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980" w:type="dxa"/>
            <w:vAlign w:val="center"/>
            <w:hideMark/>
          </w:tcPr>
          <w:p w14:paraId="322D6411"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r>
      <w:tr w:rsidR="00D2628D" w:rsidRPr="00316388" w14:paraId="76748FAA" w14:textId="77777777" w:rsidTr="00672F4E">
        <w:trPr>
          <w:cnfStyle w:val="000000100000" w:firstRow="0" w:lastRow="0" w:firstColumn="0" w:lastColumn="0" w:oddVBand="0" w:evenVBand="0" w:oddHBand="1" w:evenHBand="0" w:firstRowFirstColumn="0" w:firstRowLastColumn="0" w:lastRowFirstColumn="0" w:lastRowLastColumn="0"/>
          <w:trHeight w:val="377"/>
          <w:jc w:val="center"/>
        </w:trPr>
        <w:tc>
          <w:tcPr>
            <w:tcW w:w="1800" w:type="dxa"/>
            <w:vAlign w:val="center"/>
            <w:hideMark/>
          </w:tcPr>
          <w:p w14:paraId="3ABD1A18" w14:textId="77777777" w:rsidR="00D2628D" w:rsidRPr="00316388" w:rsidRDefault="00D2628D" w:rsidP="0083090C">
            <w:pPr>
              <w:spacing w:after="160" w:line="259" w:lineRule="auto"/>
              <w:jc w:val="left"/>
              <w:rPr>
                <w:rFonts w:ascii="Century Gothic" w:hAnsi="Century Gothic"/>
                <w:b/>
                <w:color w:val="000000" w:themeColor="text1"/>
                <w:sz w:val="16"/>
              </w:rPr>
            </w:pPr>
            <w:r w:rsidRPr="00316388">
              <w:rPr>
                <w:rFonts w:ascii="Century Gothic" w:hAnsi="Century Gothic"/>
                <w:b/>
                <w:color w:val="000000" w:themeColor="text1"/>
                <w:sz w:val="16"/>
              </w:rPr>
              <w:t>On-Shore Wind</w:t>
            </w:r>
          </w:p>
        </w:tc>
        <w:tc>
          <w:tcPr>
            <w:tcW w:w="1890" w:type="dxa"/>
            <w:vAlign w:val="center"/>
            <w:hideMark/>
          </w:tcPr>
          <w:p w14:paraId="039EE683"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710" w:type="dxa"/>
            <w:vAlign w:val="center"/>
            <w:hideMark/>
          </w:tcPr>
          <w:p w14:paraId="01FDD043"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980" w:type="dxa"/>
            <w:vAlign w:val="center"/>
            <w:hideMark/>
          </w:tcPr>
          <w:p w14:paraId="012B5550"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r>
      <w:tr w:rsidR="00D2628D" w:rsidRPr="00316388" w14:paraId="08CB15D4" w14:textId="77777777" w:rsidTr="00672F4E">
        <w:trPr>
          <w:trHeight w:val="350"/>
          <w:jc w:val="center"/>
        </w:trPr>
        <w:tc>
          <w:tcPr>
            <w:tcW w:w="1800" w:type="dxa"/>
            <w:vAlign w:val="center"/>
            <w:hideMark/>
          </w:tcPr>
          <w:p w14:paraId="70B86708" w14:textId="77777777" w:rsidR="00D2628D" w:rsidRPr="00316388" w:rsidRDefault="00D2628D" w:rsidP="0083090C">
            <w:pPr>
              <w:spacing w:after="160" w:line="259" w:lineRule="auto"/>
              <w:jc w:val="left"/>
              <w:rPr>
                <w:rFonts w:ascii="Century Gothic" w:hAnsi="Century Gothic"/>
                <w:b/>
                <w:color w:val="000000" w:themeColor="text1"/>
                <w:sz w:val="16"/>
              </w:rPr>
            </w:pPr>
            <w:r w:rsidRPr="00316388">
              <w:rPr>
                <w:rFonts w:ascii="Century Gothic" w:hAnsi="Century Gothic"/>
                <w:b/>
                <w:color w:val="000000" w:themeColor="text1"/>
                <w:sz w:val="16"/>
              </w:rPr>
              <w:t>Solar</w:t>
            </w:r>
          </w:p>
        </w:tc>
        <w:tc>
          <w:tcPr>
            <w:tcW w:w="1890" w:type="dxa"/>
            <w:vAlign w:val="center"/>
            <w:hideMark/>
          </w:tcPr>
          <w:p w14:paraId="6D559BDC"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710" w:type="dxa"/>
            <w:vAlign w:val="center"/>
            <w:hideMark/>
          </w:tcPr>
          <w:p w14:paraId="08492DCD"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980" w:type="dxa"/>
            <w:vAlign w:val="center"/>
            <w:hideMark/>
          </w:tcPr>
          <w:p w14:paraId="7A6ED415"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r>
      <w:tr w:rsidR="00D2628D" w:rsidRPr="00316388" w14:paraId="11D526F6" w14:textId="77777777" w:rsidTr="00672F4E">
        <w:trPr>
          <w:cnfStyle w:val="000000100000" w:firstRow="0" w:lastRow="0" w:firstColumn="0" w:lastColumn="0" w:oddVBand="0" w:evenVBand="0" w:oddHBand="1" w:evenHBand="0" w:firstRowFirstColumn="0" w:firstRowLastColumn="0" w:lastRowFirstColumn="0" w:lastRowLastColumn="0"/>
          <w:trHeight w:val="422"/>
          <w:jc w:val="center"/>
        </w:trPr>
        <w:tc>
          <w:tcPr>
            <w:tcW w:w="1800" w:type="dxa"/>
            <w:vAlign w:val="center"/>
            <w:hideMark/>
          </w:tcPr>
          <w:p w14:paraId="72112494" w14:textId="77777777" w:rsidR="00D2628D" w:rsidRPr="00316388" w:rsidRDefault="00D2628D" w:rsidP="0083090C">
            <w:pPr>
              <w:spacing w:after="160" w:line="259" w:lineRule="auto"/>
              <w:jc w:val="left"/>
              <w:rPr>
                <w:rFonts w:ascii="Century Gothic" w:hAnsi="Century Gothic"/>
                <w:b/>
                <w:color w:val="000000" w:themeColor="text1"/>
                <w:sz w:val="16"/>
              </w:rPr>
            </w:pPr>
            <w:r w:rsidRPr="00316388">
              <w:rPr>
                <w:rFonts w:ascii="Century Gothic" w:hAnsi="Century Gothic"/>
                <w:b/>
                <w:color w:val="000000" w:themeColor="text1"/>
                <w:sz w:val="16"/>
              </w:rPr>
              <w:t>Biomass</w:t>
            </w:r>
          </w:p>
        </w:tc>
        <w:tc>
          <w:tcPr>
            <w:tcW w:w="1890" w:type="dxa"/>
            <w:vAlign w:val="center"/>
            <w:hideMark/>
          </w:tcPr>
          <w:p w14:paraId="16B5354F"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Yes</w:t>
            </w:r>
          </w:p>
        </w:tc>
        <w:tc>
          <w:tcPr>
            <w:tcW w:w="1710" w:type="dxa"/>
            <w:vAlign w:val="center"/>
            <w:hideMark/>
          </w:tcPr>
          <w:p w14:paraId="40CACEC6"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No</w:t>
            </w:r>
          </w:p>
        </w:tc>
        <w:tc>
          <w:tcPr>
            <w:tcW w:w="1980" w:type="dxa"/>
            <w:vAlign w:val="center"/>
            <w:hideMark/>
          </w:tcPr>
          <w:p w14:paraId="3F6B48D0"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N/A</w:t>
            </w:r>
          </w:p>
        </w:tc>
      </w:tr>
      <w:tr w:rsidR="00D2628D" w:rsidRPr="00316388" w14:paraId="1DB62769" w14:textId="77777777" w:rsidTr="00672F4E">
        <w:trPr>
          <w:trHeight w:val="440"/>
          <w:jc w:val="center"/>
        </w:trPr>
        <w:tc>
          <w:tcPr>
            <w:tcW w:w="1800" w:type="dxa"/>
            <w:vAlign w:val="center"/>
            <w:hideMark/>
          </w:tcPr>
          <w:p w14:paraId="39446536" w14:textId="77777777" w:rsidR="00D2628D" w:rsidRPr="00316388" w:rsidRDefault="00D2628D" w:rsidP="0083090C">
            <w:pPr>
              <w:spacing w:after="160" w:line="259" w:lineRule="auto"/>
              <w:jc w:val="left"/>
              <w:rPr>
                <w:rFonts w:ascii="Century Gothic" w:hAnsi="Century Gothic"/>
                <w:b/>
                <w:color w:val="000000" w:themeColor="text1"/>
                <w:sz w:val="16"/>
              </w:rPr>
            </w:pPr>
            <w:r w:rsidRPr="00316388">
              <w:rPr>
                <w:rFonts w:ascii="Century Gothic" w:hAnsi="Century Gothic"/>
                <w:b/>
                <w:color w:val="000000" w:themeColor="text1"/>
                <w:sz w:val="16"/>
              </w:rPr>
              <w:t>Off-Shore Wind</w:t>
            </w:r>
          </w:p>
        </w:tc>
        <w:tc>
          <w:tcPr>
            <w:tcW w:w="1890" w:type="dxa"/>
            <w:vAlign w:val="center"/>
            <w:hideMark/>
          </w:tcPr>
          <w:p w14:paraId="0FEBAB27"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No</w:t>
            </w:r>
          </w:p>
        </w:tc>
        <w:tc>
          <w:tcPr>
            <w:tcW w:w="1710" w:type="dxa"/>
            <w:vAlign w:val="center"/>
            <w:hideMark/>
          </w:tcPr>
          <w:p w14:paraId="5F11A52C"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No</w:t>
            </w:r>
          </w:p>
        </w:tc>
        <w:tc>
          <w:tcPr>
            <w:tcW w:w="1980" w:type="dxa"/>
            <w:vAlign w:val="center"/>
            <w:hideMark/>
          </w:tcPr>
          <w:p w14:paraId="42FA770E"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N/A</w:t>
            </w:r>
          </w:p>
        </w:tc>
      </w:tr>
      <w:tr w:rsidR="00D2628D" w:rsidRPr="00316388" w14:paraId="4EA09C56" w14:textId="77777777" w:rsidTr="00672F4E">
        <w:trPr>
          <w:cnfStyle w:val="000000100000" w:firstRow="0" w:lastRow="0" w:firstColumn="0" w:lastColumn="0" w:oddVBand="0" w:evenVBand="0" w:oddHBand="1" w:evenHBand="0" w:firstRowFirstColumn="0" w:firstRowLastColumn="0" w:lastRowFirstColumn="0" w:lastRowLastColumn="0"/>
          <w:trHeight w:val="350"/>
          <w:jc w:val="center"/>
        </w:trPr>
        <w:tc>
          <w:tcPr>
            <w:tcW w:w="1800" w:type="dxa"/>
            <w:vAlign w:val="center"/>
            <w:hideMark/>
          </w:tcPr>
          <w:p w14:paraId="70129A05" w14:textId="77777777" w:rsidR="00D2628D" w:rsidRPr="00316388" w:rsidRDefault="00D2628D" w:rsidP="0083090C">
            <w:pPr>
              <w:spacing w:after="160" w:line="259" w:lineRule="auto"/>
              <w:jc w:val="left"/>
              <w:rPr>
                <w:rFonts w:ascii="Century Gothic" w:hAnsi="Century Gothic"/>
                <w:b/>
                <w:color w:val="000000" w:themeColor="text1"/>
                <w:sz w:val="16"/>
              </w:rPr>
            </w:pPr>
            <w:r w:rsidRPr="00316388">
              <w:rPr>
                <w:rFonts w:ascii="Century Gothic" w:hAnsi="Century Gothic"/>
                <w:b/>
                <w:color w:val="000000" w:themeColor="text1"/>
                <w:sz w:val="16"/>
              </w:rPr>
              <w:t>Batteries</w:t>
            </w:r>
          </w:p>
        </w:tc>
        <w:tc>
          <w:tcPr>
            <w:tcW w:w="1890" w:type="dxa"/>
            <w:vAlign w:val="center"/>
            <w:hideMark/>
          </w:tcPr>
          <w:p w14:paraId="14AB9879"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No</w:t>
            </w:r>
          </w:p>
        </w:tc>
        <w:tc>
          <w:tcPr>
            <w:tcW w:w="1710" w:type="dxa"/>
            <w:vAlign w:val="center"/>
            <w:hideMark/>
          </w:tcPr>
          <w:p w14:paraId="160507BE"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No</w:t>
            </w:r>
          </w:p>
        </w:tc>
        <w:tc>
          <w:tcPr>
            <w:tcW w:w="1980" w:type="dxa"/>
            <w:vAlign w:val="center"/>
            <w:hideMark/>
          </w:tcPr>
          <w:p w14:paraId="5A06B6D3" w14:textId="77777777" w:rsidR="00D2628D" w:rsidRPr="00316388" w:rsidRDefault="00D2628D" w:rsidP="0083090C">
            <w:pPr>
              <w:spacing w:after="160" w:line="259" w:lineRule="auto"/>
              <w:jc w:val="center"/>
              <w:rPr>
                <w:rFonts w:ascii="Century Gothic" w:hAnsi="Century Gothic"/>
                <w:color w:val="000000" w:themeColor="text1"/>
                <w:sz w:val="16"/>
              </w:rPr>
            </w:pPr>
            <w:r w:rsidRPr="00316388">
              <w:rPr>
                <w:rFonts w:ascii="Century Gothic" w:hAnsi="Century Gothic"/>
                <w:color w:val="000000" w:themeColor="text1"/>
                <w:sz w:val="16"/>
              </w:rPr>
              <w:t>N/A</w:t>
            </w:r>
          </w:p>
        </w:tc>
      </w:tr>
    </w:tbl>
    <w:p w14:paraId="1DB90AA7" w14:textId="2EA8A949" w:rsidR="00D2628D" w:rsidRDefault="00D2628D" w:rsidP="00D2628D"/>
    <w:p w14:paraId="69AC4311" w14:textId="4D7412B1" w:rsidR="00164F84" w:rsidRDefault="00A63998" w:rsidP="00A63998">
      <w:pPr>
        <w:rPr>
          <w:rFonts w:eastAsia="Times New Roman" w:cs="Times New Roman"/>
          <w:szCs w:val="24"/>
        </w:rPr>
      </w:pPr>
      <w:r>
        <w:rPr>
          <w:rFonts w:eastAsia="Times New Roman" w:cs="Times New Roman"/>
          <w:szCs w:val="24"/>
        </w:rPr>
        <w:t xml:space="preserve">We were asked by stakeholders to consider off-shore wind, biomass, solar, and batteries in the ORTP process.  In terms of off-shore wind, there are no off-shore wind projects in operation in the U.S., although there is a </w:t>
      </w:r>
      <w:r w:rsidRPr="001D348D">
        <w:rPr>
          <w:rFonts w:eastAsia="Times New Roman" w:cs="Times New Roman"/>
          <w:szCs w:val="24"/>
        </w:rPr>
        <w:t xml:space="preserve">demonstration project </w:t>
      </w:r>
      <w:r>
        <w:rPr>
          <w:rFonts w:eastAsia="Times New Roman" w:cs="Times New Roman"/>
          <w:szCs w:val="24"/>
        </w:rPr>
        <w:t xml:space="preserve">that has entered a test phase in Rhode Island.  Stakeholders suggested a review and application of data from off-shore wind projects operating in Europe.  However, in consultation with </w:t>
      </w:r>
      <w:r w:rsidR="003A0E05">
        <w:rPr>
          <w:rFonts w:eastAsia="Times New Roman" w:cs="Times New Roman"/>
          <w:szCs w:val="24"/>
        </w:rPr>
        <w:t>MM</w:t>
      </w:r>
      <w:r>
        <w:rPr>
          <w:rFonts w:eastAsia="Times New Roman" w:cs="Times New Roman"/>
          <w:szCs w:val="24"/>
        </w:rPr>
        <w:t xml:space="preserve">, we determined that data from off-shore wind resources in Europe cannot be reasonably applied to a hypothetical off-shore wind farm in New England.  </w:t>
      </w:r>
    </w:p>
    <w:p w14:paraId="0842229A" w14:textId="77777777" w:rsidR="00164F84" w:rsidRDefault="00164F84" w:rsidP="00A63998">
      <w:pPr>
        <w:rPr>
          <w:rFonts w:eastAsia="Times New Roman" w:cs="Times New Roman"/>
          <w:szCs w:val="24"/>
        </w:rPr>
      </w:pPr>
      <w:r>
        <w:rPr>
          <w:rFonts w:eastAsia="Times New Roman" w:cs="Times New Roman"/>
          <w:szCs w:val="24"/>
        </w:rPr>
        <w:t>In considering bio</w:t>
      </w:r>
      <w:r w:rsidR="00A63998">
        <w:rPr>
          <w:rFonts w:eastAsia="Times New Roman" w:cs="Times New Roman"/>
          <w:szCs w:val="24"/>
        </w:rPr>
        <w:t>mass resources, it was determined that the variability of fuel and fuel gathering costs, as well as high initial capital costs</w:t>
      </w:r>
      <w:r>
        <w:rPr>
          <w:rFonts w:eastAsia="Times New Roman" w:cs="Times New Roman"/>
          <w:szCs w:val="24"/>
        </w:rPr>
        <w:t>,</w:t>
      </w:r>
      <w:r w:rsidR="00A63998">
        <w:rPr>
          <w:rFonts w:eastAsia="Times New Roman" w:cs="Times New Roman"/>
          <w:szCs w:val="24"/>
        </w:rPr>
        <w:t xml:space="preserve"> does not justif</w:t>
      </w:r>
      <w:r>
        <w:rPr>
          <w:rFonts w:eastAsia="Times New Roman" w:cs="Times New Roman"/>
          <w:szCs w:val="24"/>
        </w:rPr>
        <w:t>y the calculation of a resource-</w:t>
      </w:r>
      <w:r w:rsidR="00A63998">
        <w:rPr>
          <w:rFonts w:eastAsia="Times New Roman" w:cs="Times New Roman"/>
          <w:szCs w:val="24"/>
        </w:rPr>
        <w:t xml:space="preserve">specific ORTP.  </w:t>
      </w:r>
    </w:p>
    <w:p w14:paraId="39333B5C" w14:textId="20EB91B9" w:rsidR="00A63998" w:rsidRDefault="00A63998" w:rsidP="00A63998">
      <w:pPr>
        <w:rPr>
          <w:rFonts w:eastAsia="Times New Roman" w:cs="Times New Roman"/>
          <w:szCs w:val="24"/>
        </w:rPr>
      </w:pPr>
      <w:r>
        <w:rPr>
          <w:rFonts w:eastAsia="Times New Roman" w:cs="Times New Roman"/>
          <w:szCs w:val="24"/>
        </w:rPr>
        <w:t>Regarding battery technology, we determined that this technology is still in the development stages and that no reliable data exists on which to base an ORTP calculation.</w:t>
      </w:r>
    </w:p>
    <w:p w14:paraId="7186D1DF" w14:textId="77777777" w:rsidR="00DE3C37" w:rsidRDefault="00DE3C37" w:rsidP="00DE3C37">
      <w:pPr>
        <w:rPr>
          <w:rFonts w:eastAsia="Times New Roman" w:cs="Times New Roman"/>
          <w:szCs w:val="24"/>
        </w:rPr>
      </w:pPr>
      <w:r>
        <w:rPr>
          <w:rFonts w:eastAsia="Times New Roman" w:cs="Times New Roman"/>
          <w:szCs w:val="24"/>
        </w:rPr>
        <w:t>An ORTP for solar resources ultimately was not recommended, although the industry has seen dramatic cost reductions over the past three years.  Based on a conservative estimate for installed costs of approximately $2,100/kW (in 2016$) (compared to an assumed value of $3,139//kW in the 2013 ORTP study), we determined that costs remain too high to justify an ORTP below the expected auction starting price based on our recommended Net CONE technology and the associated value presented in this report.</w:t>
      </w:r>
      <w:r>
        <w:rPr>
          <w:rStyle w:val="FootnoteReference"/>
          <w:rFonts w:eastAsia="Times New Roman" w:cs="Times New Roman"/>
          <w:szCs w:val="24"/>
        </w:rPr>
        <w:footnoteReference w:id="55"/>
      </w:r>
      <w:r>
        <w:rPr>
          <w:rFonts w:eastAsia="Times New Roman" w:cs="Times New Roman"/>
          <w:szCs w:val="24"/>
        </w:rPr>
        <w:t xml:space="preserve">  In order for the ORTP for a solar resource to fall below the assumed auction starting price, the capacity factor for the solar resource must be approximately </w:t>
      </w:r>
      <w:r>
        <w:rPr>
          <w:rFonts w:eastAsia="Times New Roman" w:cs="Times New Roman"/>
          <w:szCs w:val="24"/>
        </w:rPr>
        <w:lastRenderedPageBreak/>
        <w:t>18%.  A review of historical data provided by ISO-NE showed a system-wide weighted average capacity factor of approximately 14%, which does not support an 18% capacity factor assumption.</w:t>
      </w:r>
    </w:p>
    <w:p w14:paraId="2737779A" w14:textId="6227A28C" w:rsidR="00A63998" w:rsidRDefault="00164F84" w:rsidP="00A63998">
      <w:pPr>
        <w:rPr>
          <w:rFonts w:eastAsia="Times New Roman" w:cs="Times New Roman"/>
          <w:szCs w:val="24"/>
        </w:rPr>
      </w:pPr>
      <w:r>
        <w:rPr>
          <w:rFonts w:eastAsia="Times New Roman" w:cs="Times New Roman"/>
          <w:szCs w:val="24"/>
        </w:rPr>
        <w:t xml:space="preserve">We received input from stakeholders on the lack of a calculated ORTP value for some resources and the recommended ORTP value for other resources.  </w:t>
      </w:r>
      <w:r w:rsidR="00A63998">
        <w:rPr>
          <w:rFonts w:eastAsia="Times New Roman" w:cs="Times New Roman"/>
          <w:szCs w:val="24"/>
        </w:rPr>
        <w:t>It is important to note that FERC has opin</w:t>
      </w:r>
      <w:r w:rsidR="00576724">
        <w:rPr>
          <w:rFonts w:eastAsia="Times New Roman" w:cs="Times New Roman"/>
          <w:szCs w:val="24"/>
        </w:rPr>
        <w:t>ed</w:t>
      </w:r>
      <w:r w:rsidR="00A63998">
        <w:rPr>
          <w:rFonts w:eastAsia="Times New Roman" w:cs="Times New Roman"/>
          <w:szCs w:val="24"/>
        </w:rPr>
        <w:t xml:space="preserve"> on the absence of a resource-specific ORTP value. In its February 2014 Order, the FERC confirmed that the lack of a resource-specific ORTP value does not create </w:t>
      </w:r>
      <w:r w:rsidR="00A63998" w:rsidRPr="006831E6">
        <w:rPr>
          <w:rFonts w:eastAsia="Times New Roman" w:cs="Times New Roman"/>
          <w:szCs w:val="24"/>
        </w:rPr>
        <w:t xml:space="preserve">undue uncertainty or impose an unduly discriminatory burden </w:t>
      </w:r>
      <w:r w:rsidR="00A63998">
        <w:rPr>
          <w:rFonts w:eastAsia="Times New Roman" w:cs="Times New Roman"/>
          <w:szCs w:val="24"/>
        </w:rPr>
        <w:t>on a developer.  The FERC went on to state:</w:t>
      </w:r>
    </w:p>
    <w:p w14:paraId="15F41980" w14:textId="77777777" w:rsidR="00A63998" w:rsidRDefault="00A63998" w:rsidP="00A63998">
      <w:pPr>
        <w:ind w:left="720"/>
        <w:rPr>
          <w:rFonts w:eastAsia="Times New Roman" w:cs="Times New Roman"/>
          <w:szCs w:val="24"/>
        </w:rPr>
      </w:pPr>
      <w:r>
        <w:rPr>
          <w:rFonts w:eastAsia="Times New Roman" w:cs="Times New Roman"/>
          <w:szCs w:val="24"/>
        </w:rPr>
        <w:t>“</w:t>
      </w:r>
      <w:r w:rsidRPr="006831E6">
        <w:rPr>
          <w:rFonts w:eastAsia="Times New Roman" w:cs="Times New Roman"/>
          <w:szCs w:val="24"/>
        </w:rPr>
        <w:t>To the extent that a resource</w:t>
      </w:r>
      <w:r>
        <w:rPr>
          <w:rFonts w:eastAsia="Times New Roman" w:cs="Times New Roman"/>
          <w:szCs w:val="24"/>
        </w:rPr>
        <w:t xml:space="preserve"> </w:t>
      </w:r>
      <w:r w:rsidRPr="006831E6">
        <w:rPr>
          <w:rFonts w:eastAsia="Times New Roman" w:cs="Times New Roman"/>
          <w:szCs w:val="24"/>
        </w:rPr>
        <w:t>owner, including a consumer-owned utility, believes that its costs are lower than the</w:t>
      </w:r>
      <w:r>
        <w:rPr>
          <w:rFonts w:eastAsia="Times New Roman" w:cs="Times New Roman"/>
          <w:szCs w:val="24"/>
        </w:rPr>
        <w:t xml:space="preserve"> </w:t>
      </w:r>
      <w:r w:rsidRPr="006831E6">
        <w:rPr>
          <w:rFonts w:eastAsia="Times New Roman" w:cs="Times New Roman"/>
          <w:szCs w:val="24"/>
        </w:rPr>
        <w:t>applicable trigger price, it can seek a lower offer floor by submitting its unit-specific</w:t>
      </w:r>
      <w:r>
        <w:rPr>
          <w:rFonts w:eastAsia="Times New Roman" w:cs="Times New Roman"/>
          <w:szCs w:val="24"/>
        </w:rPr>
        <w:t xml:space="preserve"> </w:t>
      </w:r>
      <w:r w:rsidRPr="006831E6">
        <w:rPr>
          <w:rFonts w:eastAsia="Times New Roman" w:cs="Times New Roman"/>
          <w:szCs w:val="24"/>
        </w:rPr>
        <w:t>costs to the IMM.</w:t>
      </w:r>
      <w:r>
        <w:rPr>
          <w:rFonts w:eastAsia="Times New Roman" w:cs="Times New Roman"/>
          <w:szCs w:val="24"/>
        </w:rPr>
        <w:t>”</w:t>
      </w:r>
      <w:r>
        <w:rPr>
          <w:rStyle w:val="FootnoteReference"/>
          <w:rFonts w:eastAsia="Times New Roman" w:cs="Times New Roman"/>
          <w:szCs w:val="24"/>
        </w:rPr>
        <w:footnoteReference w:id="56"/>
      </w:r>
    </w:p>
    <w:p w14:paraId="50831313" w14:textId="77777777" w:rsidR="00A63998" w:rsidRPr="00164F84" w:rsidRDefault="00A63998" w:rsidP="00A63998">
      <w:pPr>
        <w:rPr>
          <w:rFonts w:eastAsia="Times New Roman" w:cs="Times New Roman"/>
          <w:szCs w:val="24"/>
        </w:rPr>
      </w:pPr>
      <w:r>
        <w:rPr>
          <w:rFonts w:eastAsia="Times New Roman" w:cs="Times New Roman"/>
          <w:szCs w:val="24"/>
        </w:rPr>
        <w:t xml:space="preserve">Based on the screening process as described above, we selected the following resources for which to </w:t>
      </w:r>
      <w:r w:rsidRPr="00164F84">
        <w:rPr>
          <w:rFonts w:eastAsia="Times New Roman" w:cs="Times New Roman"/>
          <w:szCs w:val="24"/>
        </w:rPr>
        <w:t>calculate an ORTP value:</w:t>
      </w:r>
    </w:p>
    <w:p w14:paraId="4F7F95FF" w14:textId="6403DE3E" w:rsidR="00A63998" w:rsidRPr="00892BCC" w:rsidRDefault="00A63998" w:rsidP="00892BCC">
      <w:pPr>
        <w:numPr>
          <w:ilvl w:val="1"/>
          <w:numId w:val="3"/>
        </w:numPr>
        <w:spacing w:after="0"/>
        <w:rPr>
          <w:rFonts w:eastAsia="Times New Roman" w:cs="Times New Roman"/>
          <w:szCs w:val="24"/>
        </w:rPr>
      </w:pPr>
      <w:r w:rsidRPr="00892BCC">
        <w:rPr>
          <w:rFonts w:eastAsia="Times New Roman" w:cs="Times New Roman"/>
          <w:szCs w:val="24"/>
        </w:rPr>
        <w:t xml:space="preserve">Simple Cycle </w:t>
      </w:r>
      <w:r w:rsidR="00892BCC">
        <w:rPr>
          <w:rFonts w:eastAsia="Times New Roman" w:cs="Times New Roman"/>
          <w:szCs w:val="24"/>
        </w:rPr>
        <w:t>GT</w:t>
      </w:r>
    </w:p>
    <w:p w14:paraId="6CAA2629" w14:textId="6E47162E" w:rsidR="00A63998" w:rsidRPr="00892BCC" w:rsidRDefault="00A63998" w:rsidP="00892BCC">
      <w:pPr>
        <w:numPr>
          <w:ilvl w:val="1"/>
          <w:numId w:val="3"/>
        </w:numPr>
        <w:spacing w:after="0"/>
        <w:rPr>
          <w:rFonts w:eastAsia="Times New Roman" w:cs="Times New Roman"/>
          <w:szCs w:val="24"/>
        </w:rPr>
      </w:pPr>
      <w:r w:rsidRPr="00892BCC">
        <w:rPr>
          <w:rFonts w:eastAsia="Times New Roman" w:cs="Times New Roman"/>
          <w:szCs w:val="24"/>
        </w:rPr>
        <w:t xml:space="preserve">Combined Cycle </w:t>
      </w:r>
      <w:r w:rsidR="00892BCC">
        <w:rPr>
          <w:rFonts w:eastAsia="Times New Roman" w:cs="Times New Roman"/>
          <w:szCs w:val="24"/>
        </w:rPr>
        <w:t>GT</w:t>
      </w:r>
    </w:p>
    <w:p w14:paraId="5686DA85" w14:textId="77777777" w:rsidR="00A63998" w:rsidRPr="00892BCC" w:rsidRDefault="00A63998" w:rsidP="00892BCC">
      <w:pPr>
        <w:numPr>
          <w:ilvl w:val="1"/>
          <w:numId w:val="3"/>
        </w:numPr>
        <w:spacing w:after="0"/>
        <w:rPr>
          <w:rFonts w:eastAsia="Times New Roman" w:cs="Times New Roman"/>
          <w:szCs w:val="24"/>
        </w:rPr>
      </w:pPr>
      <w:r w:rsidRPr="00892BCC">
        <w:rPr>
          <w:rFonts w:eastAsia="Times New Roman" w:cs="Times New Roman"/>
          <w:szCs w:val="24"/>
        </w:rPr>
        <w:t>Onshore Wind</w:t>
      </w:r>
    </w:p>
    <w:p w14:paraId="0E7A0240" w14:textId="77777777" w:rsidR="00A63998" w:rsidRPr="00892BCC" w:rsidRDefault="00A63998" w:rsidP="00892BCC">
      <w:pPr>
        <w:numPr>
          <w:ilvl w:val="1"/>
          <w:numId w:val="3"/>
        </w:numPr>
        <w:spacing w:after="0"/>
        <w:rPr>
          <w:rFonts w:eastAsia="Times New Roman" w:cs="Times New Roman"/>
          <w:szCs w:val="24"/>
        </w:rPr>
      </w:pPr>
      <w:r w:rsidRPr="00892BCC">
        <w:rPr>
          <w:rFonts w:eastAsia="Times New Roman" w:cs="Times New Roman"/>
          <w:szCs w:val="24"/>
        </w:rPr>
        <w:t>Energy Efficiency</w:t>
      </w:r>
    </w:p>
    <w:p w14:paraId="79B5143C" w14:textId="77777777" w:rsidR="00A63998" w:rsidRPr="00892BCC" w:rsidRDefault="00A63998" w:rsidP="00892BCC">
      <w:pPr>
        <w:numPr>
          <w:ilvl w:val="1"/>
          <w:numId w:val="3"/>
        </w:numPr>
        <w:spacing w:after="0"/>
        <w:rPr>
          <w:rFonts w:eastAsia="Times New Roman" w:cs="Times New Roman"/>
          <w:szCs w:val="24"/>
        </w:rPr>
      </w:pPr>
      <w:r w:rsidRPr="00892BCC">
        <w:rPr>
          <w:rFonts w:eastAsia="Times New Roman" w:cs="Times New Roman"/>
          <w:szCs w:val="24"/>
        </w:rPr>
        <w:t>Large Demand Response (Large DR)</w:t>
      </w:r>
    </w:p>
    <w:p w14:paraId="32D62A79" w14:textId="77777777" w:rsidR="00A63998" w:rsidRPr="00892BCC" w:rsidRDefault="00A63998" w:rsidP="00892BCC">
      <w:pPr>
        <w:numPr>
          <w:ilvl w:val="1"/>
          <w:numId w:val="3"/>
        </w:numPr>
        <w:spacing w:after="0"/>
        <w:rPr>
          <w:rFonts w:eastAsia="Times New Roman" w:cs="Times New Roman"/>
          <w:szCs w:val="24"/>
        </w:rPr>
      </w:pPr>
      <w:r w:rsidRPr="00892BCC">
        <w:rPr>
          <w:rFonts w:eastAsia="Times New Roman" w:cs="Times New Roman"/>
          <w:szCs w:val="24"/>
        </w:rPr>
        <w:t>Mass Market Demand Response (Mass Market DR)</w:t>
      </w:r>
    </w:p>
    <w:p w14:paraId="6A6D5D13" w14:textId="40B5693B" w:rsidR="00A63998" w:rsidRPr="00386C57" w:rsidRDefault="00A63998" w:rsidP="00456566">
      <w:pPr>
        <w:pStyle w:val="Heading2"/>
        <w:numPr>
          <w:ilvl w:val="0"/>
          <w:numId w:val="6"/>
        </w:numPr>
      </w:pPr>
      <w:bookmarkStart w:id="98" w:name="_Toc468288322"/>
      <w:r w:rsidRPr="00386C57">
        <w:t>Financial Assumptions</w:t>
      </w:r>
      <w:bookmarkEnd w:id="98"/>
    </w:p>
    <w:p w14:paraId="4B5580C1" w14:textId="36ECC459" w:rsidR="00C33DDC" w:rsidRPr="00164F84" w:rsidRDefault="00C33DDC" w:rsidP="00C33DDC">
      <w:pPr>
        <w:rPr>
          <w:rFonts w:cs="Times New Roman"/>
        </w:rPr>
      </w:pPr>
      <w:r w:rsidRPr="00164F84">
        <w:rPr>
          <w:rFonts w:cs="Times New Roman"/>
        </w:rPr>
        <w:t xml:space="preserve">Similar to the calculation of </w:t>
      </w:r>
      <w:r w:rsidR="00E50CEC">
        <w:rPr>
          <w:rFonts w:cs="Times New Roman"/>
        </w:rPr>
        <w:t>N</w:t>
      </w:r>
      <w:r w:rsidRPr="00164F84">
        <w:rPr>
          <w:rFonts w:cs="Times New Roman"/>
        </w:rPr>
        <w:t>et CONE, the calculation of ORTP require</w:t>
      </w:r>
      <w:r w:rsidR="00E50CEC">
        <w:rPr>
          <w:rFonts w:cs="Times New Roman"/>
        </w:rPr>
        <w:t>s</w:t>
      </w:r>
      <w:r w:rsidRPr="00164F84">
        <w:rPr>
          <w:rFonts w:cs="Times New Roman"/>
        </w:rPr>
        <w:t xml:space="preserve"> a real discount rate to translate uncertain future cash</w:t>
      </w:r>
      <w:r>
        <w:rPr>
          <w:rFonts w:cs="Times New Roman"/>
        </w:rPr>
        <w:t>-</w:t>
      </w:r>
      <w:r w:rsidRPr="00164F84">
        <w:rPr>
          <w:rFonts w:cs="Times New Roman"/>
        </w:rPr>
        <w:t xml:space="preserve">flows to a </w:t>
      </w:r>
      <w:proofErr w:type="spellStart"/>
      <w:r w:rsidRPr="00164F84">
        <w:rPr>
          <w:rFonts w:cs="Times New Roman"/>
        </w:rPr>
        <w:t>levelized</w:t>
      </w:r>
      <w:proofErr w:type="spellEnd"/>
      <w:r w:rsidRPr="00164F84">
        <w:rPr>
          <w:rFonts w:cs="Times New Roman"/>
        </w:rPr>
        <w:t xml:space="preserve"> first year revenue requirement. The approach to determining </w:t>
      </w:r>
      <w:r w:rsidR="00E50CEC">
        <w:rPr>
          <w:rFonts w:cs="Times New Roman"/>
        </w:rPr>
        <w:t>the</w:t>
      </w:r>
      <w:r w:rsidRPr="00164F84">
        <w:rPr>
          <w:rFonts w:cs="Times New Roman"/>
        </w:rPr>
        <w:t xml:space="preserve"> appropriate discount rate for ORTP values is identical to the approach taken for the calculation of </w:t>
      </w:r>
      <w:r w:rsidR="00E50CEC">
        <w:rPr>
          <w:rFonts w:cs="Times New Roman"/>
        </w:rPr>
        <w:t>N</w:t>
      </w:r>
      <w:r w:rsidRPr="00164F84">
        <w:rPr>
          <w:rFonts w:cs="Times New Roman"/>
        </w:rPr>
        <w:t>et CONE</w:t>
      </w:r>
      <w:r w:rsidR="00E50CEC">
        <w:rPr>
          <w:rFonts w:cs="Times New Roman"/>
        </w:rPr>
        <w:t xml:space="preserve">, except </w:t>
      </w:r>
      <w:r w:rsidRPr="00164F84">
        <w:rPr>
          <w:rFonts w:cs="Times New Roman"/>
        </w:rPr>
        <w:t>that the ORTP tariff specifies a contract for non-capacity revenues. As such, the inputs for cost of capital have to be adjusted accordingly to reflect a lower risk than that of the CONE calculation. Ultimately, the ORTP values reflect the “low end of the competitive range,” and therefore require lower returns to equity and debt holders.</w:t>
      </w:r>
    </w:p>
    <w:p w14:paraId="2A3956F6" w14:textId="442F69F0" w:rsidR="00C33DDC" w:rsidRPr="00164F84" w:rsidRDefault="00C33DDC" w:rsidP="00C33DDC">
      <w:pPr>
        <w:rPr>
          <w:rFonts w:cs="Times New Roman"/>
        </w:rPr>
      </w:pPr>
      <w:r w:rsidRPr="00164F84">
        <w:rPr>
          <w:rFonts w:cs="Times New Roman"/>
        </w:rPr>
        <w:t>We determined that 7.3% is an appropriate after-tax weighted average cost of capital at which to evaluate ORTP values. This nominal discount rate is consistent with previous ORTP studies in New England</w:t>
      </w:r>
      <w:r w:rsidR="00785783">
        <w:rPr>
          <w:rFonts w:cs="Times New Roman"/>
        </w:rPr>
        <w:t>.</w:t>
      </w:r>
      <w:r w:rsidRPr="00164F84">
        <w:rPr>
          <w:rFonts w:cs="Times New Roman"/>
        </w:rPr>
        <w:t xml:space="preserve"> </w:t>
      </w:r>
    </w:p>
    <w:p w14:paraId="74C9F5F4" w14:textId="72F90F83" w:rsidR="00C33DDC" w:rsidRPr="00164F84" w:rsidRDefault="00C33DDC" w:rsidP="00C33DDC">
      <w:pPr>
        <w:rPr>
          <w:rFonts w:cs="Times New Roman"/>
        </w:rPr>
      </w:pPr>
      <w:r w:rsidRPr="00164F84">
        <w:rPr>
          <w:rFonts w:cs="Times New Roman"/>
        </w:rPr>
        <w:t>To derive this ATWACC, we adjusted inputs to the cost of capital to reflect the low end of the competitive range and to account for the lower risk associated with contract-backed energy revenues. First, we adjust</w:t>
      </w:r>
      <w:r w:rsidR="00892BCC">
        <w:rPr>
          <w:rFonts w:cs="Times New Roman"/>
        </w:rPr>
        <w:t>ed</w:t>
      </w:r>
      <w:r w:rsidRPr="00164F84">
        <w:rPr>
          <w:rFonts w:cs="Times New Roman"/>
        </w:rPr>
        <w:t xml:space="preserve"> the cost of debt to more closely reflect the generic corporate debt </w:t>
      </w:r>
      <w:r w:rsidR="00785783">
        <w:rPr>
          <w:rFonts w:cs="Times New Roman"/>
        </w:rPr>
        <w:t xml:space="preserve">of </w:t>
      </w:r>
      <w:r w:rsidRPr="00164F84">
        <w:rPr>
          <w:rFonts w:cs="Times New Roman"/>
        </w:rPr>
        <w:t>a higher rated company. Instead of a cost of debt of 7.75% which aligns closely with a B rated company, we assume</w:t>
      </w:r>
      <w:r w:rsidR="00892BCC">
        <w:rPr>
          <w:rFonts w:cs="Times New Roman"/>
        </w:rPr>
        <w:t>d</w:t>
      </w:r>
      <w:r w:rsidRPr="00164F84">
        <w:rPr>
          <w:rFonts w:cs="Times New Roman"/>
        </w:rPr>
        <w:t xml:space="preserve"> a lower cost of debt of 6.5%, which is more in line with the average costs of debt for a company with a B+ rating.</w:t>
      </w:r>
    </w:p>
    <w:p w14:paraId="02ED82A3" w14:textId="26B28E03" w:rsidR="00C33DDC" w:rsidRPr="00164F84" w:rsidRDefault="00C33DDC" w:rsidP="00C33DDC">
      <w:pPr>
        <w:rPr>
          <w:rFonts w:cs="Times New Roman"/>
          <w:color w:val="000000"/>
        </w:rPr>
      </w:pPr>
      <w:r w:rsidRPr="00164F84">
        <w:rPr>
          <w:rFonts w:cs="Times New Roman"/>
        </w:rPr>
        <w:lastRenderedPageBreak/>
        <w:t>Second, we adjust the return on equity a full percentage point lower to reflect contracted revenues according to the P</w:t>
      </w:r>
      <w:r w:rsidR="00892BCC">
        <w:rPr>
          <w:rFonts w:cs="Times New Roman"/>
        </w:rPr>
        <w:t xml:space="preserve">ower </w:t>
      </w:r>
      <w:r w:rsidRPr="00164F84">
        <w:rPr>
          <w:rFonts w:cs="Times New Roman"/>
        </w:rPr>
        <w:t>P</w:t>
      </w:r>
      <w:r w:rsidR="00892BCC">
        <w:rPr>
          <w:rFonts w:cs="Times New Roman"/>
        </w:rPr>
        <w:t xml:space="preserve">urchase </w:t>
      </w:r>
      <w:r w:rsidRPr="00164F84">
        <w:rPr>
          <w:rFonts w:cs="Times New Roman"/>
        </w:rPr>
        <w:t>A</w:t>
      </w:r>
      <w:r w:rsidR="00892BCC">
        <w:rPr>
          <w:rFonts w:cs="Times New Roman"/>
        </w:rPr>
        <w:t>greement (“PPA”)</w:t>
      </w:r>
      <w:r w:rsidRPr="00164F84">
        <w:rPr>
          <w:rFonts w:cs="Times New Roman"/>
        </w:rPr>
        <w:t xml:space="preserve"> assumption specific in the tariff. </w:t>
      </w:r>
      <w:r w:rsidRPr="00164F84">
        <w:rPr>
          <w:rFonts w:cs="Times New Roman"/>
          <w:color w:val="000000"/>
        </w:rPr>
        <w:t>We estimate</w:t>
      </w:r>
      <w:r w:rsidR="00892BCC">
        <w:rPr>
          <w:rFonts w:cs="Times New Roman"/>
          <w:color w:val="000000"/>
        </w:rPr>
        <w:t>d</w:t>
      </w:r>
      <w:r w:rsidRPr="00164F84">
        <w:rPr>
          <w:rFonts w:cs="Times New Roman"/>
          <w:color w:val="000000"/>
        </w:rPr>
        <w:t xml:space="preserve"> ROE using the CAPM, equal to a risk-free rate plus a risk premium given by the expected risk premium of the overall market times the</w:t>
      </w:r>
      <w:r w:rsidR="00200819">
        <w:rPr>
          <w:rFonts w:cs="Times New Roman"/>
          <w:color w:val="000000"/>
        </w:rPr>
        <w:t xml:space="preserve"> </w:t>
      </w:r>
      <w:r w:rsidRPr="00164F84">
        <w:rPr>
          <w:rFonts w:cs="Times New Roman"/>
          <w:color w:val="000000"/>
        </w:rPr>
        <w:t>company’s “beta.”</w:t>
      </w:r>
      <w:r w:rsidRPr="00164F84">
        <w:rPr>
          <w:rFonts w:cs="Times New Roman"/>
          <w:color w:val="000000"/>
          <w:sz w:val="14"/>
          <w:szCs w:val="14"/>
        </w:rPr>
        <w:t xml:space="preserve"> </w:t>
      </w:r>
      <w:r w:rsidR="00EE5932">
        <w:rPr>
          <w:rFonts w:cs="Times New Roman"/>
          <w:color w:val="000000"/>
        </w:rPr>
        <w:t>As discussed in Section 3.</w:t>
      </w:r>
      <w:r w:rsidR="00892BCC">
        <w:rPr>
          <w:rFonts w:cs="Times New Roman"/>
          <w:color w:val="000000"/>
        </w:rPr>
        <w:t>D</w:t>
      </w:r>
      <w:r w:rsidR="00EE5932">
        <w:rPr>
          <w:rFonts w:cs="Times New Roman"/>
          <w:color w:val="000000"/>
        </w:rPr>
        <w:t>,</w:t>
      </w:r>
      <w:r>
        <w:rPr>
          <w:rFonts w:cs="Times New Roman"/>
          <w:color w:val="000000"/>
        </w:rPr>
        <w:t xml:space="preserve"> we review</w:t>
      </w:r>
      <w:r w:rsidR="00892BCC">
        <w:rPr>
          <w:rFonts w:cs="Times New Roman"/>
          <w:color w:val="000000"/>
        </w:rPr>
        <w:t>ed</w:t>
      </w:r>
      <w:r>
        <w:rPr>
          <w:rFonts w:cs="Times New Roman"/>
          <w:color w:val="000000"/>
        </w:rPr>
        <w:t xml:space="preserve"> estimates from Blue Chip, Value Line, Ibbotson, and Bloomberg for the inputs to the CAPM</w:t>
      </w:r>
      <w:r w:rsidRPr="00164F84">
        <w:rPr>
          <w:rFonts w:cs="Times New Roman"/>
          <w:color w:val="000000"/>
        </w:rPr>
        <w:t>.</w:t>
      </w:r>
      <w:r w:rsidRPr="00164F84">
        <w:rPr>
          <w:rFonts w:cs="Times New Roman"/>
          <w:color w:val="000000"/>
          <w:sz w:val="14"/>
          <w:szCs w:val="14"/>
        </w:rPr>
        <w:t xml:space="preserve"> </w:t>
      </w:r>
      <w:r w:rsidRPr="00164F84">
        <w:rPr>
          <w:rFonts w:cs="Times New Roman"/>
          <w:color w:val="000000"/>
        </w:rPr>
        <w:t>We maintain</w:t>
      </w:r>
      <w:r w:rsidR="00892BCC">
        <w:rPr>
          <w:rFonts w:cs="Times New Roman"/>
          <w:color w:val="000000"/>
        </w:rPr>
        <w:t>ed</w:t>
      </w:r>
      <w:r w:rsidRPr="00164F84">
        <w:rPr>
          <w:rFonts w:cs="Times New Roman"/>
          <w:color w:val="000000"/>
        </w:rPr>
        <w:t xml:space="preserve"> the same approach for the calculation of beta as that of CONE. </w:t>
      </w:r>
      <w:r>
        <w:rPr>
          <w:rFonts w:cs="Times New Roman"/>
          <w:color w:val="000000"/>
        </w:rPr>
        <w:t>Instead of basing our ROE on the high end of the compet</w:t>
      </w:r>
      <w:r w:rsidR="00BE64FA">
        <w:rPr>
          <w:rFonts w:cs="Times New Roman"/>
          <w:color w:val="000000"/>
        </w:rPr>
        <w:t>it</w:t>
      </w:r>
      <w:r>
        <w:rPr>
          <w:rFonts w:cs="Times New Roman"/>
          <w:color w:val="000000"/>
        </w:rPr>
        <w:t>ive range using a forward looking estimate, we rel</w:t>
      </w:r>
      <w:r w:rsidR="00892BCC">
        <w:rPr>
          <w:rFonts w:cs="Times New Roman"/>
          <w:color w:val="000000"/>
        </w:rPr>
        <w:t>ied</w:t>
      </w:r>
      <w:r>
        <w:rPr>
          <w:rFonts w:cs="Times New Roman"/>
          <w:color w:val="000000"/>
        </w:rPr>
        <w:t xml:space="preserve"> on the average results from the historical and forward looking estimates, with a </w:t>
      </w:r>
      <w:r w:rsidRPr="00164F84">
        <w:rPr>
          <w:rFonts w:cs="Times New Roman"/>
          <w:color w:val="000000"/>
        </w:rPr>
        <w:t>resulting return on</w:t>
      </w:r>
      <w:r>
        <w:rPr>
          <w:rFonts w:cs="Times New Roman"/>
          <w:color w:val="000000"/>
        </w:rPr>
        <w:t xml:space="preserve"> equity of</w:t>
      </w:r>
      <w:r w:rsidRPr="00164F84">
        <w:rPr>
          <w:rFonts w:cs="Times New Roman"/>
          <w:color w:val="000000"/>
        </w:rPr>
        <w:t xml:space="preserve"> 12.4%. </w:t>
      </w:r>
    </w:p>
    <w:p w14:paraId="6CB95764" w14:textId="3200AE96" w:rsidR="00C33DDC" w:rsidRPr="00164F84" w:rsidRDefault="00C33DDC" w:rsidP="00C33DDC">
      <w:pPr>
        <w:rPr>
          <w:rFonts w:cs="Times New Roman"/>
        </w:rPr>
      </w:pPr>
      <w:r w:rsidRPr="00164F84">
        <w:rPr>
          <w:rFonts w:cs="Times New Roman"/>
          <w:color w:val="000000"/>
        </w:rPr>
        <w:t>We maintain</w:t>
      </w:r>
      <w:r w:rsidR="00892BCC">
        <w:rPr>
          <w:rFonts w:cs="Times New Roman"/>
          <w:color w:val="000000"/>
        </w:rPr>
        <w:t>ed</w:t>
      </w:r>
      <w:r w:rsidRPr="00164F84">
        <w:rPr>
          <w:rFonts w:cs="Times New Roman"/>
          <w:color w:val="000000"/>
        </w:rPr>
        <w:t xml:space="preserve"> the assumed capital structure of 60/40 (D/E), and assume an overall after tax cost of capital of 7.3%, consistent with findings in previous ORTP studies.</w:t>
      </w:r>
      <w:r w:rsidRPr="00164F84">
        <w:rPr>
          <w:rStyle w:val="FootnoteReference"/>
          <w:rFonts w:cs="Times New Roman"/>
          <w:color w:val="000000"/>
        </w:rPr>
        <w:footnoteReference w:id="57"/>
      </w:r>
    </w:p>
    <w:p w14:paraId="3119BCF2" w14:textId="08DA24E6" w:rsidR="00A63998" w:rsidRPr="00386C57" w:rsidRDefault="00386C57" w:rsidP="001436DC">
      <w:pPr>
        <w:pStyle w:val="Heading2"/>
        <w:numPr>
          <w:ilvl w:val="0"/>
          <w:numId w:val="6"/>
        </w:numPr>
      </w:pPr>
      <w:bookmarkStart w:id="99" w:name="_Toc468288323"/>
      <w:r>
        <w:t>Gas-fired Generation ORTP</w:t>
      </w:r>
      <w:bookmarkEnd w:id="99"/>
    </w:p>
    <w:p w14:paraId="43724EA1" w14:textId="77777777" w:rsidR="00A63998" w:rsidRPr="002D16B0" w:rsidRDefault="00A63998" w:rsidP="00A12D4D">
      <w:pPr>
        <w:pStyle w:val="Heading3"/>
        <w:numPr>
          <w:ilvl w:val="0"/>
          <w:numId w:val="31"/>
        </w:numPr>
      </w:pPr>
      <w:r w:rsidRPr="002D16B0">
        <w:t>Technical Specifications</w:t>
      </w:r>
    </w:p>
    <w:p w14:paraId="133F519B" w14:textId="5BBB9CBD" w:rsidR="00A63998" w:rsidRDefault="00A63998" w:rsidP="00EE5932">
      <w:pPr>
        <w:rPr>
          <w:rFonts w:eastAsia="Times New Roman" w:cs="Times New Roman"/>
          <w:sz w:val="24"/>
          <w:szCs w:val="24"/>
        </w:rPr>
      </w:pPr>
      <w:r w:rsidRPr="00EE5932">
        <w:rPr>
          <w:rFonts w:eastAsia="Times New Roman" w:cs="Times New Roman"/>
        </w:rPr>
        <w:t xml:space="preserve">The calculation of both simple cycle and combined cycle ORTPs </w:t>
      </w:r>
      <w:r w:rsidR="00892BCC">
        <w:rPr>
          <w:rFonts w:eastAsia="Times New Roman" w:cs="Times New Roman"/>
        </w:rPr>
        <w:t>were</w:t>
      </w:r>
      <w:r w:rsidRPr="00EE5932">
        <w:rPr>
          <w:rFonts w:eastAsia="Times New Roman" w:cs="Times New Roman"/>
        </w:rPr>
        <w:t xml:space="preserve"> based on the technical specifications developed in the CONE/Net CONE process described in this report and shown in</w:t>
      </w:r>
      <w:r w:rsidR="006F5D19">
        <w:rPr>
          <w:rFonts w:eastAsia="Times New Roman" w:cs="Times New Roman"/>
        </w:rPr>
        <w:t xml:space="preserve"> Table 37</w:t>
      </w:r>
      <w:r w:rsidR="0048085C" w:rsidRPr="00EE5932">
        <w:rPr>
          <w:rFonts w:eastAsia="Times New Roman" w:cs="Times New Roman"/>
        </w:rPr>
        <w:t xml:space="preserve"> </w:t>
      </w:r>
      <w:r w:rsidRPr="00EE5932">
        <w:rPr>
          <w:rFonts w:eastAsia="Times New Roman" w:cs="Times New Roman"/>
        </w:rPr>
        <w:t xml:space="preserve">below.  A stakeholder questioned the use of the combined cycle 7HA.02 as the reference unit for the combined cycle ORTP calculation since </w:t>
      </w:r>
      <w:r w:rsidR="00164F84" w:rsidRPr="00EE5932">
        <w:rPr>
          <w:rFonts w:eastAsia="Times New Roman" w:cs="Times New Roman"/>
        </w:rPr>
        <w:t>it is not clear that this</w:t>
      </w:r>
      <w:r w:rsidRPr="00EE5932">
        <w:rPr>
          <w:rFonts w:eastAsia="Times New Roman" w:cs="Times New Roman"/>
        </w:rPr>
        <w:t xml:space="preserve"> model of generating resource </w:t>
      </w:r>
      <w:r w:rsidR="00164F84" w:rsidRPr="00EE5932">
        <w:rPr>
          <w:rFonts w:eastAsia="Times New Roman" w:cs="Times New Roman"/>
        </w:rPr>
        <w:t xml:space="preserve">has cleared in a </w:t>
      </w:r>
      <w:r w:rsidRPr="00EE5932">
        <w:rPr>
          <w:rFonts w:eastAsia="Times New Roman" w:cs="Times New Roman"/>
        </w:rPr>
        <w:t>recent FCA</w:t>
      </w:r>
      <w:r w:rsidR="00164F84" w:rsidRPr="00EE5932">
        <w:rPr>
          <w:rFonts w:eastAsia="Times New Roman" w:cs="Times New Roman"/>
        </w:rPr>
        <w:t>, thus violating one of our screening criteria</w:t>
      </w:r>
      <w:r w:rsidRPr="00EE5932">
        <w:rPr>
          <w:rFonts w:eastAsia="Times New Roman" w:cs="Times New Roman"/>
        </w:rPr>
        <w:t>.  We believe this choice of technology is appropriat</w:t>
      </w:r>
      <w:r w:rsidR="009A3C8D" w:rsidRPr="00EE5932">
        <w:rPr>
          <w:rFonts w:eastAsia="Times New Roman" w:cs="Times New Roman"/>
        </w:rPr>
        <w:t>e for the ORTP calculation and meets the screening criteria.  Co</w:t>
      </w:r>
      <w:r w:rsidRPr="00EE5932">
        <w:rPr>
          <w:rFonts w:eastAsia="Times New Roman" w:cs="Times New Roman"/>
        </w:rPr>
        <w:t>mbined cycle resources have cleared in recent FCAs.  While the specific choice of combined cy</w:t>
      </w:r>
      <w:r w:rsidR="009A3C8D" w:rsidRPr="00EE5932">
        <w:rPr>
          <w:rFonts w:eastAsia="Times New Roman" w:cs="Times New Roman"/>
        </w:rPr>
        <w:t xml:space="preserve">cle machine has not been announced in all cases, </w:t>
      </w:r>
      <w:r w:rsidR="00892BCC">
        <w:rPr>
          <w:rFonts w:eastAsia="Times New Roman" w:cs="Times New Roman"/>
        </w:rPr>
        <w:t xml:space="preserve">the </w:t>
      </w:r>
      <w:r w:rsidRPr="00EE5932">
        <w:rPr>
          <w:rFonts w:eastAsia="Times New Roman" w:cs="Times New Roman"/>
        </w:rPr>
        <w:t>GE7HA.02 combined cycle machine is consistent with the assumption that the latest te</w:t>
      </w:r>
      <w:r w:rsidR="009A3C8D" w:rsidRPr="00EE5932">
        <w:rPr>
          <w:rFonts w:eastAsia="Times New Roman" w:cs="Times New Roman"/>
        </w:rPr>
        <w:t>chnology</w:t>
      </w:r>
      <w:r w:rsidR="009A3C8D">
        <w:rPr>
          <w:rFonts w:eastAsia="Times New Roman" w:cs="Times New Roman"/>
          <w:sz w:val="24"/>
          <w:szCs w:val="24"/>
        </w:rPr>
        <w:t xml:space="preserve"> will be utilized at these </w:t>
      </w:r>
      <w:r>
        <w:rPr>
          <w:rFonts w:eastAsia="Times New Roman" w:cs="Times New Roman"/>
          <w:sz w:val="24"/>
          <w:szCs w:val="24"/>
        </w:rPr>
        <w:t>site</w:t>
      </w:r>
      <w:r w:rsidR="009A3C8D">
        <w:rPr>
          <w:rFonts w:eastAsia="Times New Roman" w:cs="Times New Roman"/>
          <w:sz w:val="24"/>
          <w:szCs w:val="24"/>
        </w:rPr>
        <w:t>s</w:t>
      </w:r>
      <w:r>
        <w:rPr>
          <w:rFonts w:eastAsia="Times New Roman" w:cs="Times New Roman"/>
          <w:sz w:val="24"/>
          <w:szCs w:val="24"/>
        </w:rPr>
        <w:t>.</w:t>
      </w:r>
    </w:p>
    <w:p w14:paraId="5FE5A2D0" w14:textId="5A838C23" w:rsidR="00E50CEC" w:rsidRPr="002D16B0" w:rsidRDefault="00E50CEC" w:rsidP="00D2628D">
      <w:pPr>
        <w:pStyle w:val="Caption"/>
      </w:pPr>
      <w:bookmarkStart w:id="100" w:name="_Ref462644966"/>
      <w:bookmarkStart w:id="101" w:name="_Toc465433460"/>
      <w:r>
        <w:t xml:space="preserve">Table </w:t>
      </w:r>
      <w:r w:rsidR="00FA6573">
        <w:fldChar w:fldCharType="begin"/>
      </w:r>
      <w:r w:rsidR="00FA6573">
        <w:instrText xml:space="preserve"> SEQ Table \* ARABIC </w:instrText>
      </w:r>
      <w:r w:rsidR="00FA6573">
        <w:fldChar w:fldCharType="separate"/>
      </w:r>
      <w:r w:rsidR="000637A3">
        <w:rPr>
          <w:noProof/>
        </w:rPr>
        <w:t>37</w:t>
      </w:r>
      <w:r w:rsidR="00FA6573">
        <w:rPr>
          <w:noProof/>
        </w:rPr>
        <w:fldChar w:fldCharType="end"/>
      </w:r>
      <w:bookmarkEnd w:id="100"/>
      <w:r>
        <w:t xml:space="preserve">: </w:t>
      </w:r>
      <w:r w:rsidRPr="002D16B0">
        <w:t>Gas-Fired Resource Technical Specifications</w:t>
      </w:r>
      <w:bookmarkEnd w:id="101"/>
    </w:p>
    <w:tbl>
      <w:tblPr>
        <w:tblStyle w:val="GridTable4Accent3"/>
        <w:tblW w:w="8375" w:type="dxa"/>
        <w:jc w:val="center"/>
        <w:tblLook w:val="0420" w:firstRow="1" w:lastRow="0" w:firstColumn="0" w:lastColumn="0" w:noHBand="0" w:noVBand="1"/>
      </w:tblPr>
      <w:tblGrid>
        <w:gridCol w:w="2425"/>
        <w:gridCol w:w="3060"/>
        <w:gridCol w:w="2890"/>
      </w:tblGrid>
      <w:tr w:rsidR="00CA19DF" w:rsidRPr="004D0689" w14:paraId="71BAD66E" w14:textId="77777777" w:rsidTr="00CA19DF">
        <w:trPr>
          <w:cnfStyle w:val="100000000000" w:firstRow="1" w:lastRow="0" w:firstColumn="0" w:lastColumn="0" w:oddVBand="0" w:evenVBand="0" w:oddHBand="0" w:evenHBand="0" w:firstRowFirstColumn="0" w:firstRowLastColumn="0" w:lastRowFirstColumn="0" w:lastRowLastColumn="0"/>
          <w:trHeight w:val="440"/>
          <w:jc w:val="center"/>
        </w:trPr>
        <w:tc>
          <w:tcPr>
            <w:tcW w:w="2425" w:type="dxa"/>
            <w:hideMark/>
          </w:tcPr>
          <w:p w14:paraId="6E239009" w14:textId="77777777" w:rsidR="00CA19DF" w:rsidRPr="004D0689" w:rsidRDefault="00CA19DF" w:rsidP="0083090C">
            <w:pPr>
              <w:spacing w:after="160" w:line="259" w:lineRule="auto"/>
              <w:rPr>
                <w:rFonts w:ascii="Century Gothic" w:hAnsi="Century Gothic"/>
                <w:color w:val="000000" w:themeColor="text1"/>
              </w:rPr>
            </w:pPr>
          </w:p>
        </w:tc>
        <w:tc>
          <w:tcPr>
            <w:tcW w:w="3060" w:type="dxa"/>
            <w:hideMark/>
          </w:tcPr>
          <w:p w14:paraId="6559A0C7" w14:textId="77777777" w:rsidR="00CA19DF" w:rsidRPr="004D0689" w:rsidRDefault="00CA19DF" w:rsidP="0083090C">
            <w:pPr>
              <w:spacing w:after="160" w:line="259" w:lineRule="auto"/>
              <w:jc w:val="center"/>
              <w:rPr>
                <w:rFonts w:ascii="Century Gothic" w:hAnsi="Century Gothic"/>
                <w:color w:val="000000" w:themeColor="text1"/>
                <w:sz w:val="18"/>
              </w:rPr>
            </w:pPr>
            <w:r w:rsidRPr="004D0689">
              <w:rPr>
                <w:rFonts w:ascii="Century Gothic" w:hAnsi="Century Gothic"/>
                <w:color w:val="000000" w:themeColor="text1"/>
                <w:sz w:val="18"/>
              </w:rPr>
              <w:t>Combined Cycle GT</w:t>
            </w:r>
          </w:p>
        </w:tc>
        <w:tc>
          <w:tcPr>
            <w:tcW w:w="2890" w:type="dxa"/>
            <w:hideMark/>
          </w:tcPr>
          <w:p w14:paraId="3A79E7B5" w14:textId="77777777" w:rsidR="00CA19DF" w:rsidRPr="004D0689" w:rsidRDefault="00CA19DF" w:rsidP="0083090C">
            <w:pPr>
              <w:spacing w:after="160" w:line="259" w:lineRule="auto"/>
              <w:jc w:val="center"/>
              <w:rPr>
                <w:rFonts w:ascii="Century Gothic" w:hAnsi="Century Gothic"/>
                <w:color w:val="000000" w:themeColor="text1"/>
                <w:sz w:val="18"/>
              </w:rPr>
            </w:pPr>
            <w:r w:rsidRPr="004D0689">
              <w:rPr>
                <w:rFonts w:ascii="Century Gothic" w:hAnsi="Century Gothic"/>
                <w:color w:val="000000" w:themeColor="text1"/>
                <w:sz w:val="18"/>
              </w:rPr>
              <w:t>Simple Cycle GT</w:t>
            </w:r>
          </w:p>
        </w:tc>
      </w:tr>
      <w:tr w:rsidR="00CA19DF" w:rsidRPr="004D0689" w14:paraId="54697FF1" w14:textId="77777777" w:rsidTr="00CA19DF">
        <w:trPr>
          <w:cnfStyle w:val="000000100000" w:firstRow="0" w:lastRow="0" w:firstColumn="0" w:lastColumn="0" w:oddVBand="0" w:evenVBand="0" w:oddHBand="1" w:evenHBand="0" w:firstRowFirstColumn="0" w:firstRowLastColumn="0" w:lastRowFirstColumn="0" w:lastRowLastColumn="0"/>
          <w:trHeight w:val="278"/>
          <w:jc w:val="center"/>
        </w:trPr>
        <w:tc>
          <w:tcPr>
            <w:tcW w:w="2425" w:type="dxa"/>
            <w:vAlign w:val="center"/>
            <w:hideMark/>
          </w:tcPr>
          <w:p w14:paraId="27C12556" w14:textId="77777777" w:rsidR="00CA19DF" w:rsidRPr="004D0689" w:rsidRDefault="00CA19DF" w:rsidP="0083090C">
            <w:pPr>
              <w:spacing w:after="160" w:line="259" w:lineRule="auto"/>
              <w:jc w:val="left"/>
              <w:rPr>
                <w:rFonts w:ascii="Century Gothic" w:hAnsi="Century Gothic"/>
                <w:b/>
                <w:sz w:val="16"/>
              </w:rPr>
            </w:pPr>
            <w:r w:rsidRPr="004D0689">
              <w:rPr>
                <w:rFonts w:ascii="Century Gothic" w:hAnsi="Century Gothic"/>
                <w:b/>
                <w:sz w:val="16"/>
              </w:rPr>
              <w:t>Model</w:t>
            </w:r>
          </w:p>
        </w:tc>
        <w:tc>
          <w:tcPr>
            <w:tcW w:w="3060" w:type="dxa"/>
            <w:vAlign w:val="center"/>
            <w:hideMark/>
          </w:tcPr>
          <w:p w14:paraId="37C212F5"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7HA.02</w:t>
            </w:r>
          </w:p>
        </w:tc>
        <w:tc>
          <w:tcPr>
            <w:tcW w:w="2890" w:type="dxa"/>
            <w:vAlign w:val="center"/>
            <w:hideMark/>
          </w:tcPr>
          <w:p w14:paraId="2B5E1C1E"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7HA.02</w:t>
            </w:r>
          </w:p>
        </w:tc>
      </w:tr>
      <w:tr w:rsidR="00CA19DF" w:rsidRPr="004D0689" w14:paraId="04CEC042" w14:textId="77777777" w:rsidTr="00CA19DF">
        <w:trPr>
          <w:trHeight w:val="350"/>
          <w:jc w:val="center"/>
        </w:trPr>
        <w:tc>
          <w:tcPr>
            <w:tcW w:w="2425" w:type="dxa"/>
            <w:vAlign w:val="center"/>
            <w:hideMark/>
          </w:tcPr>
          <w:p w14:paraId="6E5E209B" w14:textId="77777777" w:rsidR="00CA19DF" w:rsidRPr="004D0689" w:rsidRDefault="00CA19DF" w:rsidP="0083090C">
            <w:pPr>
              <w:spacing w:after="160" w:line="259" w:lineRule="auto"/>
              <w:jc w:val="left"/>
              <w:rPr>
                <w:rFonts w:ascii="Century Gothic" w:hAnsi="Century Gothic"/>
                <w:b/>
                <w:sz w:val="16"/>
              </w:rPr>
            </w:pPr>
            <w:r w:rsidRPr="004D0689">
              <w:rPr>
                <w:rFonts w:ascii="Century Gothic" w:hAnsi="Century Gothic"/>
                <w:b/>
                <w:sz w:val="16"/>
              </w:rPr>
              <w:t xml:space="preserve">Capacity </w:t>
            </w:r>
            <w:r w:rsidRPr="004D0689">
              <w:rPr>
                <w:rFonts w:ascii="Century Gothic" w:hAnsi="Century Gothic"/>
                <w:b/>
                <w:iCs/>
                <w:sz w:val="16"/>
              </w:rPr>
              <w:t>(MW)</w:t>
            </w:r>
          </w:p>
        </w:tc>
        <w:tc>
          <w:tcPr>
            <w:tcW w:w="3060" w:type="dxa"/>
            <w:vAlign w:val="center"/>
            <w:hideMark/>
          </w:tcPr>
          <w:p w14:paraId="2C15D544"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533</w:t>
            </w:r>
          </w:p>
        </w:tc>
        <w:tc>
          <w:tcPr>
            <w:tcW w:w="2890" w:type="dxa"/>
            <w:vAlign w:val="center"/>
            <w:hideMark/>
          </w:tcPr>
          <w:p w14:paraId="5CA36E63"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338</w:t>
            </w:r>
          </w:p>
        </w:tc>
      </w:tr>
      <w:tr w:rsidR="00CA19DF" w:rsidRPr="004D0689" w14:paraId="46488735" w14:textId="77777777" w:rsidTr="00CA19DF">
        <w:trPr>
          <w:cnfStyle w:val="000000100000" w:firstRow="0" w:lastRow="0" w:firstColumn="0" w:lastColumn="0" w:oddVBand="0" w:evenVBand="0" w:oddHBand="1" w:evenHBand="0" w:firstRowFirstColumn="0" w:firstRowLastColumn="0" w:lastRowFirstColumn="0" w:lastRowLastColumn="0"/>
          <w:trHeight w:val="422"/>
          <w:jc w:val="center"/>
        </w:trPr>
        <w:tc>
          <w:tcPr>
            <w:tcW w:w="2425" w:type="dxa"/>
            <w:vAlign w:val="center"/>
            <w:hideMark/>
          </w:tcPr>
          <w:p w14:paraId="0AB253DC" w14:textId="77777777" w:rsidR="00CA19DF" w:rsidRPr="004D0689" w:rsidRDefault="00CA19DF" w:rsidP="0083090C">
            <w:pPr>
              <w:spacing w:after="160" w:line="259" w:lineRule="auto"/>
              <w:jc w:val="left"/>
              <w:rPr>
                <w:rFonts w:ascii="Century Gothic" w:hAnsi="Century Gothic"/>
                <w:b/>
                <w:sz w:val="16"/>
              </w:rPr>
            </w:pPr>
            <w:r w:rsidRPr="004D0689">
              <w:rPr>
                <w:rFonts w:ascii="Century Gothic" w:hAnsi="Century Gothic"/>
                <w:b/>
                <w:sz w:val="16"/>
              </w:rPr>
              <w:t xml:space="preserve">Net Heat Rate </w:t>
            </w:r>
            <w:r w:rsidRPr="004D0689">
              <w:rPr>
                <w:rFonts w:ascii="Century Gothic" w:hAnsi="Century Gothic"/>
                <w:b/>
                <w:iCs/>
                <w:sz w:val="16"/>
              </w:rPr>
              <w:t>(</w:t>
            </w:r>
            <w:proofErr w:type="spellStart"/>
            <w:r w:rsidRPr="004D0689">
              <w:rPr>
                <w:rFonts w:ascii="Century Gothic" w:hAnsi="Century Gothic"/>
                <w:b/>
                <w:iCs/>
                <w:sz w:val="16"/>
              </w:rPr>
              <w:t>btu</w:t>
            </w:r>
            <w:proofErr w:type="spellEnd"/>
            <w:r w:rsidRPr="004D0689">
              <w:rPr>
                <w:rFonts w:ascii="Century Gothic" w:hAnsi="Century Gothic"/>
                <w:b/>
                <w:iCs/>
                <w:sz w:val="16"/>
              </w:rPr>
              <w:t>/kWh)</w:t>
            </w:r>
          </w:p>
        </w:tc>
        <w:tc>
          <w:tcPr>
            <w:tcW w:w="3060" w:type="dxa"/>
            <w:vAlign w:val="center"/>
            <w:hideMark/>
          </w:tcPr>
          <w:p w14:paraId="7647D504"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6,546</w:t>
            </w:r>
          </w:p>
        </w:tc>
        <w:tc>
          <w:tcPr>
            <w:tcW w:w="2890" w:type="dxa"/>
            <w:vAlign w:val="center"/>
            <w:hideMark/>
          </w:tcPr>
          <w:p w14:paraId="3CC40033"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9,220</w:t>
            </w:r>
          </w:p>
        </w:tc>
      </w:tr>
      <w:tr w:rsidR="00CA19DF" w:rsidRPr="004D0689" w14:paraId="053E9123" w14:textId="77777777" w:rsidTr="00CA19DF">
        <w:trPr>
          <w:trHeight w:val="368"/>
          <w:jc w:val="center"/>
        </w:trPr>
        <w:tc>
          <w:tcPr>
            <w:tcW w:w="2425" w:type="dxa"/>
            <w:vAlign w:val="center"/>
          </w:tcPr>
          <w:p w14:paraId="6777DE8F" w14:textId="77777777" w:rsidR="00CA19DF" w:rsidRPr="004D0689" w:rsidRDefault="00CA19DF" w:rsidP="0083090C">
            <w:pPr>
              <w:jc w:val="left"/>
              <w:rPr>
                <w:rFonts w:ascii="Century Gothic" w:hAnsi="Century Gothic"/>
                <w:b/>
                <w:sz w:val="16"/>
              </w:rPr>
            </w:pPr>
            <w:r w:rsidRPr="004D0689">
              <w:rPr>
                <w:rFonts w:ascii="Century Gothic" w:hAnsi="Century Gothic"/>
                <w:b/>
                <w:sz w:val="16"/>
              </w:rPr>
              <w:t>Qualified Capacity (%)</w:t>
            </w:r>
          </w:p>
        </w:tc>
        <w:tc>
          <w:tcPr>
            <w:tcW w:w="3060" w:type="dxa"/>
            <w:vAlign w:val="center"/>
          </w:tcPr>
          <w:p w14:paraId="7CA1F9C6" w14:textId="77777777" w:rsidR="00CA19DF" w:rsidRPr="004D0689" w:rsidRDefault="00CA19DF" w:rsidP="0083090C">
            <w:pPr>
              <w:jc w:val="center"/>
              <w:rPr>
                <w:rFonts w:ascii="Century Gothic" w:hAnsi="Century Gothic"/>
                <w:sz w:val="16"/>
              </w:rPr>
            </w:pPr>
            <w:r w:rsidRPr="004D0689">
              <w:rPr>
                <w:rFonts w:ascii="Century Gothic" w:hAnsi="Century Gothic"/>
                <w:sz w:val="16"/>
              </w:rPr>
              <w:t>100</w:t>
            </w:r>
          </w:p>
        </w:tc>
        <w:tc>
          <w:tcPr>
            <w:tcW w:w="2890" w:type="dxa"/>
            <w:vAlign w:val="center"/>
          </w:tcPr>
          <w:p w14:paraId="6CF81B5C" w14:textId="77777777" w:rsidR="00CA19DF" w:rsidRPr="004D0689" w:rsidRDefault="00CA19DF" w:rsidP="0083090C">
            <w:pPr>
              <w:jc w:val="center"/>
              <w:rPr>
                <w:rFonts w:ascii="Century Gothic" w:hAnsi="Century Gothic"/>
                <w:sz w:val="16"/>
              </w:rPr>
            </w:pPr>
            <w:r w:rsidRPr="004D0689">
              <w:rPr>
                <w:rFonts w:ascii="Century Gothic" w:hAnsi="Century Gothic"/>
                <w:sz w:val="16"/>
              </w:rPr>
              <w:t>100</w:t>
            </w:r>
          </w:p>
        </w:tc>
      </w:tr>
      <w:tr w:rsidR="00CA19DF" w:rsidRPr="004D0689" w14:paraId="684F78A0" w14:textId="77777777" w:rsidTr="00CA19DF">
        <w:trPr>
          <w:cnfStyle w:val="000000100000" w:firstRow="0" w:lastRow="0" w:firstColumn="0" w:lastColumn="0" w:oddVBand="0" w:evenVBand="0" w:oddHBand="1" w:evenHBand="0" w:firstRowFirstColumn="0" w:firstRowLastColumn="0" w:lastRowFirstColumn="0" w:lastRowLastColumn="0"/>
          <w:trHeight w:val="332"/>
          <w:jc w:val="center"/>
        </w:trPr>
        <w:tc>
          <w:tcPr>
            <w:tcW w:w="2425" w:type="dxa"/>
            <w:vAlign w:val="center"/>
            <w:hideMark/>
          </w:tcPr>
          <w:p w14:paraId="4C5290CE" w14:textId="77777777" w:rsidR="00CA19DF" w:rsidRPr="004D0689" w:rsidRDefault="00CA19DF" w:rsidP="0083090C">
            <w:pPr>
              <w:spacing w:after="160" w:line="259" w:lineRule="auto"/>
              <w:jc w:val="left"/>
              <w:rPr>
                <w:rFonts w:ascii="Century Gothic" w:hAnsi="Century Gothic"/>
                <w:b/>
                <w:sz w:val="16"/>
              </w:rPr>
            </w:pPr>
            <w:r w:rsidRPr="004D0689">
              <w:rPr>
                <w:rFonts w:ascii="Century Gothic" w:hAnsi="Century Gothic"/>
                <w:b/>
                <w:sz w:val="16"/>
              </w:rPr>
              <w:t>Duct firing</w:t>
            </w:r>
          </w:p>
        </w:tc>
        <w:tc>
          <w:tcPr>
            <w:tcW w:w="3060" w:type="dxa"/>
            <w:vAlign w:val="center"/>
            <w:hideMark/>
          </w:tcPr>
          <w:p w14:paraId="168A054E"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Yes</w:t>
            </w:r>
          </w:p>
        </w:tc>
        <w:tc>
          <w:tcPr>
            <w:tcW w:w="2890" w:type="dxa"/>
            <w:vAlign w:val="center"/>
            <w:hideMark/>
          </w:tcPr>
          <w:p w14:paraId="47FA4C57"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No</w:t>
            </w:r>
          </w:p>
        </w:tc>
      </w:tr>
      <w:tr w:rsidR="00CA19DF" w:rsidRPr="004D0689" w14:paraId="4195AA31" w14:textId="77777777" w:rsidTr="00CA19DF">
        <w:trPr>
          <w:trHeight w:val="350"/>
          <w:jc w:val="center"/>
        </w:trPr>
        <w:tc>
          <w:tcPr>
            <w:tcW w:w="2425" w:type="dxa"/>
            <w:vAlign w:val="center"/>
            <w:hideMark/>
          </w:tcPr>
          <w:p w14:paraId="4BD375DB" w14:textId="77777777" w:rsidR="00CA19DF" w:rsidRPr="004D0689" w:rsidRDefault="00CA19DF" w:rsidP="0083090C">
            <w:pPr>
              <w:spacing w:after="160" w:line="259" w:lineRule="auto"/>
              <w:jc w:val="left"/>
              <w:rPr>
                <w:rFonts w:ascii="Century Gothic" w:hAnsi="Century Gothic"/>
                <w:b/>
                <w:sz w:val="16"/>
              </w:rPr>
            </w:pPr>
            <w:r w:rsidRPr="004D0689">
              <w:rPr>
                <w:rFonts w:ascii="Century Gothic" w:hAnsi="Century Gothic"/>
                <w:b/>
                <w:sz w:val="16"/>
              </w:rPr>
              <w:t>Primary fuel</w:t>
            </w:r>
          </w:p>
        </w:tc>
        <w:tc>
          <w:tcPr>
            <w:tcW w:w="3060" w:type="dxa"/>
            <w:vAlign w:val="center"/>
            <w:hideMark/>
          </w:tcPr>
          <w:p w14:paraId="0A5D2356"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Natural gas</w:t>
            </w:r>
          </w:p>
        </w:tc>
        <w:tc>
          <w:tcPr>
            <w:tcW w:w="2890" w:type="dxa"/>
            <w:vAlign w:val="center"/>
            <w:hideMark/>
          </w:tcPr>
          <w:p w14:paraId="32214660"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Natural gas</w:t>
            </w:r>
          </w:p>
        </w:tc>
      </w:tr>
      <w:tr w:rsidR="00CA19DF" w:rsidRPr="004D0689" w14:paraId="0F2E6B85" w14:textId="77777777" w:rsidTr="00CA19DF">
        <w:trPr>
          <w:cnfStyle w:val="000000100000" w:firstRow="0" w:lastRow="0" w:firstColumn="0" w:lastColumn="0" w:oddVBand="0" w:evenVBand="0" w:oddHBand="1" w:evenHBand="0" w:firstRowFirstColumn="0" w:firstRowLastColumn="0" w:lastRowFirstColumn="0" w:lastRowLastColumn="0"/>
          <w:trHeight w:val="422"/>
          <w:jc w:val="center"/>
        </w:trPr>
        <w:tc>
          <w:tcPr>
            <w:tcW w:w="2425" w:type="dxa"/>
            <w:vAlign w:val="center"/>
            <w:hideMark/>
          </w:tcPr>
          <w:p w14:paraId="25AEE10F" w14:textId="77777777" w:rsidR="00CA19DF" w:rsidRPr="004D0689" w:rsidRDefault="00CA19DF" w:rsidP="0083090C">
            <w:pPr>
              <w:spacing w:after="160" w:line="259" w:lineRule="auto"/>
              <w:jc w:val="left"/>
              <w:rPr>
                <w:rFonts w:ascii="Century Gothic" w:hAnsi="Century Gothic"/>
                <w:b/>
                <w:sz w:val="16"/>
              </w:rPr>
            </w:pPr>
            <w:r w:rsidRPr="004D0689">
              <w:rPr>
                <w:rFonts w:ascii="Century Gothic" w:hAnsi="Century Gothic"/>
                <w:b/>
                <w:sz w:val="16"/>
              </w:rPr>
              <w:t>Backup fuel</w:t>
            </w:r>
          </w:p>
        </w:tc>
        <w:tc>
          <w:tcPr>
            <w:tcW w:w="3060" w:type="dxa"/>
            <w:vAlign w:val="center"/>
            <w:hideMark/>
          </w:tcPr>
          <w:p w14:paraId="40FCCC53"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No. 2 oil</w:t>
            </w:r>
          </w:p>
        </w:tc>
        <w:tc>
          <w:tcPr>
            <w:tcW w:w="2890" w:type="dxa"/>
            <w:vAlign w:val="center"/>
            <w:hideMark/>
          </w:tcPr>
          <w:p w14:paraId="3D3757C1"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No. 2 oil</w:t>
            </w:r>
          </w:p>
        </w:tc>
      </w:tr>
      <w:tr w:rsidR="00CA19DF" w:rsidRPr="004D0689" w14:paraId="4D4A57EF" w14:textId="77777777" w:rsidTr="00CA19DF">
        <w:trPr>
          <w:trHeight w:val="350"/>
          <w:jc w:val="center"/>
        </w:trPr>
        <w:tc>
          <w:tcPr>
            <w:tcW w:w="2425" w:type="dxa"/>
            <w:vAlign w:val="center"/>
          </w:tcPr>
          <w:p w14:paraId="02DF9015" w14:textId="77777777" w:rsidR="00CA19DF" w:rsidRPr="004D0689" w:rsidRDefault="00CA19DF" w:rsidP="0083090C">
            <w:pPr>
              <w:jc w:val="left"/>
              <w:rPr>
                <w:rFonts w:ascii="Century Gothic" w:hAnsi="Century Gothic"/>
                <w:b/>
                <w:sz w:val="16"/>
              </w:rPr>
            </w:pPr>
            <w:r w:rsidRPr="004D0689">
              <w:rPr>
                <w:rFonts w:ascii="Century Gothic" w:hAnsi="Century Gothic"/>
                <w:b/>
                <w:sz w:val="16"/>
              </w:rPr>
              <w:t>Location</w:t>
            </w:r>
          </w:p>
        </w:tc>
        <w:tc>
          <w:tcPr>
            <w:tcW w:w="3060" w:type="dxa"/>
            <w:vAlign w:val="center"/>
          </w:tcPr>
          <w:p w14:paraId="55A72309" w14:textId="77777777" w:rsidR="00CA19DF" w:rsidRPr="004D0689" w:rsidRDefault="00CA19DF" w:rsidP="0083090C">
            <w:pPr>
              <w:jc w:val="center"/>
              <w:rPr>
                <w:rFonts w:ascii="Century Gothic" w:hAnsi="Century Gothic"/>
                <w:sz w:val="16"/>
              </w:rPr>
            </w:pPr>
            <w:r w:rsidRPr="004D0689">
              <w:rPr>
                <w:rFonts w:ascii="Century Gothic" w:hAnsi="Century Gothic"/>
                <w:sz w:val="16"/>
              </w:rPr>
              <w:t>Bristol County, MA</w:t>
            </w:r>
          </w:p>
        </w:tc>
        <w:tc>
          <w:tcPr>
            <w:tcW w:w="2890" w:type="dxa"/>
            <w:vAlign w:val="center"/>
          </w:tcPr>
          <w:p w14:paraId="07F7ECF6" w14:textId="77777777" w:rsidR="00CA19DF" w:rsidRPr="004D0689" w:rsidRDefault="00CA19DF" w:rsidP="0083090C">
            <w:pPr>
              <w:jc w:val="center"/>
              <w:rPr>
                <w:rFonts w:ascii="Century Gothic" w:hAnsi="Century Gothic"/>
                <w:sz w:val="16"/>
              </w:rPr>
            </w:pPr>
            <w:r w:rsidRPr="004D0689">
              <w:rPr>
                <w:rFonts w:ascii="Century Gothic" w:hAnsi="Century Gothic"/>
                <w:sz w:val="16"/>
              </w:rPr>
              <w:t>Bristol County, MA</w:t>
            </w:r>
          </w:p>
        </w:tc>
      </w:tr>
      <w:tr w:rsidR="00CA19DF" w:rsidRPr="004D0689" w14:paraId="3AE475A7" w14:textId="77777777" w:rsidTr="00CA19DF">
        <w:trPr>
          <w:cnfStyle w:val="000000100000" w:firstRow="0" w:lastRow="0" w:firstColumn="0" w:lastColumn="0" w:oddVBand="0" w:evenVBand="0" w:oddHBand="1" w:evenHBand="0" w:firstRowFirstColumn="0" w:firstRowLastColumn="0" w:lastRowFirstColumn="0" w:lastRowLastColumn="0"/>
          <w:trHeight w:val="440"/>
          <w:jc w:val="center"/>
        </w:trPr>
        <w:tc>
          <w:tcPr>
            <w:tcW w:w="2425" w:type="dxa"/>
            <w:vAlign w:val="center"/>
          </w:tcPr>
          <w:p w14:paraId="381C3900" w14:textId="77777777" w:rsidR="00CA19DF" w:rsidRPr="004D0689" w:rsidRDefault="00CA19DF" w:rsidP="0083090C">
            <w:pPr>
              <w:jc w:val="left"/>
              <w:rPr>
                <w:rFonts w:ascii="Century Gothic" w:hAnsi="Century Gothic"/>
                <w:b/>
                <w:sz w:val="16"/>
              </w:rPr>
            </w:pPr>
            <w:r w:rsidRPr="004D0689">
              <w:rPr>
                <w:rFonts w:ascii="Century Gothic" w:hAnsi="Century Gothic"/>
                <w:b/>
                <w:sz w:val="16"/>
              </w:rPr>
              <w:lastRenderedPageBreak/>
              <w:t>Net Plant Capacity (MW)</w:t>
            </w:r>
          </w:p>
        </w:tc>
        <w:tc>
          <w:tcPr>
            <w:tcW w:w="3060" w:type="dxa"/>
            <w:vAlign w:val="center"/>
          </w:tcPr>
          <w:p w14:paraId="2DC3924A" w14:textId="77777777" w:rsidR="00CA19DF" w:rsidRPr="004D0689" w:rsidRDefault="00CA19DF" w:rsidP="0083090C">
            <w:pPr>
              <w:jc w:val="center"/>
              <w:rPr>
                <w:rFonts w:ascii="Century Gothic" w:hAnsi="Century Gothic"/>
                <w:sz w:val="16"/>
              </w:rPr>
            </w:pPr>
            <w:r w:rsidRPr="004D0689">
              <w:rPr>
                <w:rFonts w:ascii="Century Gothic" w:hAnsi="Century Gothic"/>
                <w:sz w:val="16"/>
              </w:rPr>
              <w:t>533</w:t>
            </w:r>
          </w:p>
        </w:tc>
        <w:tc>
          <w:tcPr>
            <w:tcW w:w="2890" w:type="dxa"/>
            <w:vAlign w:val="center"/>
          </w:tcPr>
          <w:p w14:paraId="42CFD9D4" w14:textId="77777777" w:rsidR="00CA19DF" w:rsidRPr="004D0689" w:rsidRDefault="00CA19DF" w:rsidP="0083090C">
            <w:pPr>
              <w:jc w:val="center"/>
              <w:rPr>
                <w:rFonts w:ascii="Century Gothic" w:hAnsi="Century Gothic"/>
                <w:sz w:val="16"/>
              </w:rPr>
            </w:pPr>
            <w:r w:rsidRPr="004D0689">
              <w:rPr>
                <w:rFonts w:ascii="Century Gothic" w:hAnsi="Century Gothic"/>
                <w:sz w:val="16"/>
              </w:rPr>
              <w:t>338</w:t>
            </w:r>
          </w:p>
        </w:tc>
      </w:tr>
      <w:tr w:rsidR="00CA19DF" w:rsidRPr="004D0689" w14:paraId="48FD4C57" w14:textId="77777777" w:rsidTr="00CA19DF">
        <w:trPr>
          <w:trHeight w:val="1295"/>
          <w:jc w:val="center"/>
        </w:trPr>
        <w:tc>
          <w:tcPr>
            <w:tcW w:w="2425" w:type="dxa"/>
            <w:vAlign w:val="center"/>
          </w:tcPr>
          <w:p w14:paraId="69826720" w14:textId="77777777" w:rsidR="00CA19DF" w:rsidRPr="004D0689" w:rsidRDefault="00CA19DF" w:rsidP="0083090C">
            <w:pPr>
              <w:jc w:val="left"/>
              <w:rPr>
                <w:rFonts w:ascii="Century Gothic" w:hAnsi="Century Gothic"/>
                <w:b/>
                <w:sz w:val="16"/>
              </w:rPr>
            </w:pPr>
            <w:r w:rsidRPr="004D0689">
              <w:rPr>
                <w:rFonts w:ascii="Century Gothic" w:hAnsi="Century Gothic"/>
                <w:b/>
                <w:sz w:val="16"/>
              </w:rPr>
              <w:t>Interconnection</w:t>
            </w:r>
          </w:p>
        </w:tc>
        <w:tc>
          <w:tcPr>
            <w:tcW w:w="3060" w:type="dxa"/>
            <w:vAlign w:val="center"/>
          </w:tcPr>
          <w:p w14:paraId="4ABB2033" w14:textId="77777777" w:rsidR="00CA19DF" w:rsidRPr="004D0689" w:rsidRDefault="00CA19DF" w:rsidP="00CA19DF">
            <w:pPr>
              <w:pStyle w:val="ListParagraph"/>
              <w:numPr>
                <w:ilvl w:val="0"/>
                <w:numId w:val="54"/>
              </w:numPr>
              <w:spacing w:after="120" w:line="240" w:lineRule="auto"/>
              <w:ind w:left="259" w:hanging="187"/>
              <w:jc w:val="left"/>
              <w:rPr>
                <w:rFonts w:ascii="Century Gothic" w:hAnsi="Century Gothic"/>
                <w:sz w:val="16"/>
              </w:rPr>
            </w:pPr>
            <w:r w:rsidRPr="004D0689">
              <w:rPr>
                <w:rFonts w:ascii="Century Gothic" w:hAnsi="Century Gothic"/>
                <w:sz w:val="16"/>
              </w:rPr>
              <w:t>2 mile electrical interconnection (to 345 kV system) plus network upgrades</w:t>
            </w:r>
          </w:p>
          <w:p w14:paraId="07CF1BBF" w14:textId="77777777" w:rsidR="00CA19DF" w:rsidRPr="004D0689" w:rsidRDefault="00CA19DF" w:rsidP="00CA19DF">
            <w:pPr>
              <w:pStyle w:val="ListParagraph"/>
              <w:numPr>
                <w:ilvl w:val="0"/>
                <w:numId w:val="54"/>
              </w:numPr>
              <w:spacing w:after="120" w:line="240" w:lineRule="auto"/>
              <w:ind w:left="259" w:hanging="187"/>
              <w:jc w:val="left"/>
              <w:rPr>
                <w:rFonts w:ascii="Century Gothic" w:hAnsi="Century Gothic"/>
                <w:sz w:val="16"/>
              </w:rPr>
            </w:pPr>
            <w:r w:rsidRPr="004D0689">
              <w:rPr>
                <w:rFonts w:ascii="Century Gothic" w:hAnsi="Century Gothic"/>
                <w:sz w:val="16"/>
              </w:rPr>
              <w:t>2 mile gas lateral plus metering station</w:t>
            </w:r>
          </w:p>
        </w:tc>
        <w:tc>
          <w:tcPr>
            <w:tcW w:w="2890" w:type="dxa"/>
            <w:vAlign w:val="center"/>
          </w:tcPr>
          <w:p w14:paraId="2F683259" w14:textId="77777777" w:rsidR="00CA19DF" w:rsidRPr="004D0689" w:rsidRDefault="00CA19DF" w:rsidP="00CA19DF">
            <w:pPr>
              <w:pStyle w:val="ListParagraph"/>
              <w:numPr>
                <w:ilvl w:val="0"/>
                <w:numId w:val="54"/>
              </w:numPr>
              <w:spacing w:after="120" w:line="240" w:lineRule="auto"/>
              <w:ind w:left="259" w:hanging="187"/>
              <w:jc w:val="left"/>
              <w:rPr>
                <w:rFonts w:ascii="Century Gothic" w:hAnsi="Century Gothic"/>
                <w:sz w:val="16"/>
              </w:rPr>
            </w:pPr>
            <w:r w:rsidRPr="004D0689">
              <w:rPr>
                <w:rFonts w:ascii="Century Gothic" w:hAnsi="Century Gothic"/>
                <w:sz w:val="16"/>
              </w:rPr>
              <w:t>2 mile electrical interconnection (to 345 kV system) plus network upgrades</w:t>
            </w:r>
          </w:p>
          <w:p w14:paraId="4B605081" w14:textId="77777777" w:rsidR="00CA19DF" w:rsidRPr="004D0689" w:rsidRDefault="00CA19DF" w:rsidP="00CA19DF">
            <w:pPr>
              <w:pStyle w:val="ListParagraph"/>
              <w:numPr>
                <w:ilvl w:val="0"/>
                <w:numId w:val="54"/>
              </w:numPr>
              <w:spacing w:after="120" w:line="240" w:lineRule="auto"/>
              <w:ind w:left="259" w:hanging="187"/>
              <w:jc w:val="left"/>
              <w:rPr>
                <w:rFonts w:ascii="Century Gothic" w:hAnsi="Century Gothic"/>
                <w:sz w:val="16"/>
              </w:rPr>
            </w:pPr>
            <w:r w:rsidRPr="004D0689">
              <w:rPr>
                <w:rFonts w:ascii="Century Gothic" w:hAnsi="Century Gothic"/>
                <w:sz w:val="16"/>
              </w:rPr>
              <w:t>2 mile gas lateral plus metering station</w:t>
            </w:r>
          </w:p>
        </w:tc>
      </w:tr>
      <w:tr w:rsidR="00CA19DF" w:rsidRPr="004D0689" w14:paraId="622808CE" w14:textId="77777777" w:rsidTr="00CA19DF">
        <w:trPr>
          <w:cnfStyle w:val="000000100000" w:firstRow="0" w:lastRow="0" w:firstColumn="0" w:lastColumn="0" w:oddVBand="0" w:evenVBand="0" w:oddHBand="1" w:evenHBand="0" w:firstRowFirstColumn="0" w:firstRowLastColumn="0" w:lastRowFirstColumn="0" w:lastRowLastColumn="0"/>
          <w:trHeight w:val="395"/>
          <w:jc w:val="center"/>
        </w:trPr>
        <w:tc>
          <w:tcPr>
            <w:tcW w:w="2425" w:type="dxa"/>
            <w:vAlign w:val="center"/>
            <w:hideMark/>
          </w:tcPr>
          <w:p w14:paraId="38667987" w14:textId="77777777" w:rsidR="00CA19DF" w:rsidRPr="004D0689" w:rsidRDefault="00CA19DF" w:rsidP="0083090C">
            <w:pPr>
              <w:spacing w:after="160" w:line="259" w:lineRule="auto"/>
              <w:jc w:val="left"/>
              <w:rPr>
                <w:rFonts w:ascii="Century Gothic" w:hAnsi="Century Gothic"/>
                <w:b/>
                <w:sz w:val="16"/>
              </w:rPr>
            </w:pPr>
            <w:r w:rsidRPr="004D0689">
              <w:rPr>
                <w:rFonts w:ascii="Century Gothic" w:hAnsi="Century Gothic"/>
                <w:b/>
                <w:sz w:val="16"/>
              </w:rPr>
              <w:t>Environmental controls</w:t>
            </w:r>
          </w:p>
        </w:tc>
        <w:tc>
          <w:tcPr>
            <w:tcW w:w="3060" w:type="dxa"/>
            <w:vAlign w:val="center"/>
            <w:hideMark/>
          </w:tcPr>
          <w:p w14:paraId="4E50F44D"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SCR and CO catalyst</w:t>
            </w:r>
          </w:p>
        </w:tc>
        <w:tc>
          <w:tcPr>
            <w:tcW w:w="2890" w:type="dxa"/>
            <w:vAlign w:val="center"/>
            <w:hideMark/>
          </w:tcPr>
          <w:p w14:paraId="12B91A06" w14:textId="399098A1" w:rsidR="00CA19DF" w:rsidRPr="004D0689" w:rsidRDefault="00CA19DF" w:rsidP="00D743EA">
            <w:pPr>
              <w:spacing w:after="160" w:line="259" w:lineRule="auto"/>
              <w:jc w:val="center"/>
              <w:rPr>
                <w:rFonts w:ascii="Century Gothic" w:hAnsi="Century Gothic"/>
                <w:sz w:val="16"/>
              </w:rPr>
            </w:pPr>
            <w:r w:rsidRPr="004D0689">
              <w:rPr>
                <w:rFonts w:ascii="Century Gothic" w:hAnsi="Century Gothic"/>
                <w:sz w:val="16"/>
              </w:rPr>
              <w:t>SCR</w:t>
            </w:r>
            <w:r w:rsidR="00D743EA">
              <w:rPr>
                <w:rFonts w:ascii="Century Gothic" w:hAnsi="Century Gothic"/>
                <w:sz w:val="16"/>
              </w:rPr>
              <w:t xml:space="preserve"> </w:t>
            </w:r>
            <w:r w:rsidR="00D743EA" w:rsidRPr="004D0689">
              <w:rPr>
                <w:rFonts w:ascii="Century Gothic" w:hAnsi="Century Gothic"/>
                <w:sz w:val="16"/>
              </w:rPr>
              <w:t>and CO catalyst</w:t>
            </w:r>
          </w:p>
        </w:tc>
      </w:tr>
      <w:tr w:rsidR="00CA19DF" w:rsidRPr="004D0689" w14:paraId="6CD672D4" w14:textId="77777777" w:rsidTr="00CA19DF">
        <w:trPr>
          <w:trHeight w:val="368"/>
          <w:jc w:val="center"/>
        </w:trPr>
        <w:tc>
          <w:tcPr>
            <w:tcW w:w="2425" w:type="dxa"/>
            <w:vAlign w:val="center"/>
            <w:hideMark/>
          </w:tcPr>
          <w:p w14:paraId="34E6C29E" w14:textId="77777777" w:rsidR="00CA19DF" w:rsidRPr="004D0689" w:rsidRDefault="00CA19DF" w:rsidP="0083090C">
            <w:pPr>
              <w:spacing w:after="160" w:line="259" w:lineRule="auto"/>
              <w:jc w:val="left"/>
              <w:rPr>
                <w:rFonts w:ascii="Century Gothic" w:hAnsi="Century Gothic"/>
                <w:b/>
                <w:sz w:val="16"/>
              </w:rPr>
            </w:pPr>
            <w:r w:rsidRPr="004D0689">
              <w:rPr>
                <w:rFonts w:ascii="Century Gothic" w:hAnsi="Century Gothic"/>
                <w:b/>
                <w:sz w:val="16"/>
              </w:rPr>
              <w:t xml:space="preserve">Plot size </w:t>
            </w:r>
            <w:r w:rsidRPr="004D0689">
              <w:rPr>
                <w:rFonts w:ascii="Century Gothic" w:hAnsi="Century Gothic"/>
                <w:b/>
                <w:i/>
                <w:iCs/>
                <w:sz w:val="16"/>
              </w:rPr>
              <w:t>(acres)</w:t>
            </w:r>
          </w:p>
        </w:tc>
        <w:tc>
          <w:tcPr>
            <w:tcW w:w="3060" w:type="dxa"/>
            <w:vAlign w:val="center"/>
            <w:hideMark/>
          </w:tcPr>
          <w:p w14:paraId="13C503F0"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15.0</w:t>
            </w:r>
          </w:p>
        </w:tc>
        <w:tc>
          <w:tcPr>
            <w:tcW w:w="2890" w:type="dxa"/>
            <w:vAlign w:val="center"/>
            <w:hideMark/>
          </w:tcPr>
          <w:p w14:paraId="0834CE2E" w14:textId="77777777" w:rsidR="00CA19DF" w:rsidRPr="004D0689" w:rsidRDefault="00CA19DF" w:rsidP="0083090C">
            <w:pPr>
              <w:spacing w:after="160" w:line="259" w:lineRule="auto"/>
              <w:jc w:val="center"/>
              <w:rPr>
                <w:rFonts w:ascii="Century Gothic" w:hAnsi="Century Gothic"/>
                <w:sz w:val="16"/>
              </w:rPr>
            </w:pPr>
            <w:r w:rsidRPr="004D0689">
              <w:rPr>
                <w:rFonts w:ascii="Century Gothic" w:hAnsi="Century Gothic"/>
                <w:sz w:val="16"/>
              </w:rPr>
              <w:t>8.1</w:t>
            </w:r>
          </w:p>
        </w:tc>
      </w:tr>
    </w:tbl>
    <w:p w14:paraId="466647F6" w14:textId="77777777" w:rsidR="00A63998" w:rsidRPr="002D16B0" w:rsidRDefault="00A63998" w:rsidP="00A12D4D">
      <w:pPr>
        <w:pStyle w:val="Heading3"/>
      </w:pPr>
      <w:r>
        <w:t>Capital/Operating Costs</w:t>
      </w:r>
    </w:p>
    <w:p w14:paraId="5CE3837B" w14:textId="1440D505" w:rsidR="00A63998" w:rsidRPr="00892BCC" w:rsidRDefault="00A63998" w:rsidP="009A3C8D">
      <w:pPr>
        <w:rPr>
          <w:rFonts w:eastAsia="Times New Roman" w:cs="Times New Roman"/>
          <w:szCs w:val="24"/>
        </w:rPr>
      </w:pPr>
      <w:r w:rsidRPr="00892BCC">
        <w:rPr>
          <w:rFonts w:eastAsia="Times New Roman" w:cs="Times New Roman"/>
          <w:szCs w:val="24"/>
        </w:rPr>
        <w:t xml:space="preserve">The capital costs for both simple cycle and combined cycle gas turbines were based on the capital costs calculated as part of the CONE/Net CONE analysis. Costs for insurance, electrical interconnection, property taxes, and contingency were reduced consistent with calculating a “low-end of the competitive range” value.  Specifically, insurance was adjusted from 0.6% of overnight costs used in the CONE study to 0.3% for the ORTP study; electrical interconnection costs were reduced by 10% from the CONE values, property taxes were reduced from 3% to 1% to represent the </w:t>
      </w:r>
      <w:r w:rsidR="009A3C8D" w:rsidRPr="00892BCC">
        <w:rPr>
          <w:rFonts w:eastAsia="Times New Roman" w:cs="Times New Roman"/>
          <w:szCs w:val="24"/>
        </w:rPr>
        <w:t xml:space="preserve">negotiation of a </w:t>
      </w:r>
      <w:r w:rsidR="009A3C8D" w:rsidRPr="00892BCC">
        <w:rPr>
          <w:rFonts w:eastAsia="Times New Roman" w:cs="Times New Roman"/>
          <w:i/>
          <w:szCs w:val="24"/>
        </w:rPr>
        <w:t xml:space="preserve">Payment </w:t>
      </w:r>
      <w:r w:rsidR="00CF0EBF" w:rsidRPr="00892BCC">
        <w:rPr>
          <w:rFonts w:eastAsia="Times New Roman" w:cs="Times New Roman"/>
          <w:i/>
          <w:szCs w:val="24"/>
        </w:rPr>
        <w:t>In-Lieu-of</w:t>
      </w:r>
      <w:r w:rsidR="009A3C8D" w:rsidRPr="00892BCC">
        <w:rPr>
          <w:rFonts w:eastAsia="Times New Roman" w:cs="Times New Roman"/>
          <w:i/>
          <w:szCs w:val="24"/>
        </w:rPr>
        <w:t xml:space="preserve"> Taxes</w:t>
      </w:r>
      <w:r w:rsidR="009A3C8D" w:rsidRPr="00892BCC">
        <w:rPr>
          <w:rFonts w:eastAsia="Times New Roman" w:cs="Times New Roman"/>
          <w:szCs w:val="24"/>
        </w:rPr>
        <w:t xml:space="preserve"> (“</w:t>
      </w:r>
      <w:r w:rsidRPr="00892BCC">
        <w:rPr>
          <w:rFonts w:eastAsia="Times New Roman" w:cs="Times New Roman"/>
          <w:szCs w:val="24"/>
        </w:rPr>
        <w:t>PILOT</w:t>
      </w:r>
      <w:r w:rsidR="009A3C8D" w:rsidRPr="00892BCC">
        <w:rPr>
          <w:rFonts w:eastAsia="Times New Roman" w:cs="Times New Roman"/>
          <w:szCs w:val="24"/>
        </w:rPr>
        <w:t>”)</w:t>
      </w:r>
      <w:r w:rsidRPr="00892BCC">
        <w:rPr>
          <w:rFonts w:eastAsia="Times New Roman" w:cs="Times New Roman"/>
          <w:szCs w:val="24"/>
        </w:rPr>
        <w:t xml:space="preserve"> agreement, and contingency was reduced by 5% from the CONE values.  The resulting overnight costs</w:t>
      </w:r>
      <w:r w:rsidR="00247A10" w:rsidRPr="00892BCC">
        <w:rPr>
          <w:rFonts w:eastAsia="Times New Roman" w:cs="Times New Roman"/>
          <w:szCs w:val="24"/>
        </w:rPr>
        <w:t xml:space="preserve"> and fixed O&amp;M costs are shown </w:t>
      </w:r>
      <w:r w:rsidRPr="00892BCC">
        <w:rPr>
          <w:rFonts w:eastAsia="Times New Roman" w:cs="Times New Roman"/>
          <w:szCs w:val="24"/>
        </w:rPr>
        <w:t>below.</w:t>
      </w:r>
    </w:p>
    <w:p w14:paraId="6A188215" w14:textId="352DA22C" w:rsidR="00A63998" w:rsidRPr="00DD7A4D" w:rsidRDefault="00CF7875" w:rsidP="00D2628D">
      <w:pPr>
        <w:pStyle w:val="Caption"/>
        <w:rPr>
          <w:rFonts w:eastAsia="Times New Roman"/>
          <w:sz w:val="24"/>
          <w:szCs w:val="24"/>
        </w:rPr>
      </w:pPr>
      <w:bookmarkStart w:id="102" w:name="_Toc465433461"/>
      <w:r>
        <w:t xml:space="preserve">Table </w:t>
      </w:r>
      <w:r w:rsidR="00FA6573">
        <w:fldChar w:fldCharType="begin"/>
      </w:r>
      <w:r w:rsidR="00FA6573">
        <w:instrText xml:space="preserve"> SEQ Table \* ARABIC </w:instrText>
      </w:r>
      <w:r w:rsidR="00FA6573">
        <w:fldChar w:fldCharType="separate"/>
      </w:r>
      <w:r w:rsidR="000637A3">
        <w:rPr>
          <w:noProof/>
        </w:rPr>
        <w:t>38</w:t>
      </w:r>
      <w:r w:rsidR="00FA6573">
        <w:rPr>
          <w:noProof/>
        </w:rPr>
        <w:fldChar w:fldCharType="end"/>
      </w:r>
      <w:r>
        <w:t xml:space="preserve">: </w:t>
      </w:r>
      <w:r w:rsidR="00A63998" w:rsidRPr="00CF7875">
        <w:t>Comparison of Costs – CONE/ORTP</w:t>
      </w:r>
      <w:bookmarkEnd w:id="102"/>
    </w:p>
    <w:tbl>
      <w:tblPr>
        <w:tblW w:w="9500" w:type="dxa"/>
        <w:tblLook w:val="04A0" w:firstRow="1" w:lastRow="0" w:firstColumn="1" w:lastColumn="0" w:noHBand="0" w:noVBand="1"/>
      </w:tblPr>
      <w:tblGrid>
        <w:gridCol w:w="2340"/>
        <w:gridCol w:w="1560"/>
        <w:gridCol w:w="1900"/>
        <w:gridCol w:w="1740"/>
        <w:gridCol w:w="1960"/>
      </w:tblGrid>
      <w:tr w:rsidR="00200819" w:rsidRPr="00200819" w14:paraId="6800EF32" w14:textId="77777777" w:rsidTr="00200819">
        <w:trPr>
          <w:trHeight w:val="570"/>
        </w:trPr>
        <w:tc>
          <w:tcPr>
            <w:tcW w:w="2340" w:type="dxa"/>
            <w:tcBorders>
              <w:top w:val="single" w:sz="4" w:space="0" w:color="auto"/>
              <w:left w:val="single" w:sz="4" w:space="0" w:color="auto"/>
              <w:bottom w:val="single" w:sz="4" w:space="0" w:color="auto"/>
              <w:right w:val="nil"/>
            </w:tcBorders>
            <w:shd w:val="clear" w:color="000000" w:fill="BFBFBF"/>
            <w:hideMark/>
          </w:tcPr>
          <w:p w14:paraId="5244EB6C" w14:textId="77777777" w:rsidR="00200819" w:rsidRPr="001436DC" w:rsidRDefault="00200819" w:rsidP="0020081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Technology</w:t>
            </w:r>
          </w:p>
        </w:tc>
        <w:tc>
          <w:tcPr>
            <w:tcW w:w="1560" w:type="dxa"/>
            <w:tcBorders>
              <w:top w:val="single" w:sz="4" w:space="0" w:color="auto"/>
              <w:left w:val="nil"/>
              <w:bottom w:val="single" w:sz="4" w:space="0" w:color="auto"/>
              <w:right w:val="nil"/>
            </w:tcBorders>
            <w:shd w:val="clear" w:color="000000" w:fill="BFBFBF"/>
            <w:hideMark/>
          </w:tcPr>
          <w:p w14:paraId="390866A7" w14:textId="77777777" w:rsidR="00200819" w:rsidRPr="001436DC" w:rsidRDefault="00200819" w:rsidP="0020081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Combined Cycle CONE</w:t>
            </w:r>
          </w:p>
        </w:tc>
        <w:tc>
          <w:tcPr>
            <w:tcW w:w="1900" w:type="dxa"/>
            <w:tcBorders>
              <w:top w:val="single" w:sz="4" w:space="0" w:color="auto"/>
              <w:left w:val="nil"/>
              <w:bottom w:val="single" w:sz="4" w:space="0" w:color="auto"/>
              <w:right w:val="nil"/>
            </w:tcBorders>
            <w:shd w:val="clear" w:color="000000" w:fill="BFBFBF"/>
            <w:hideMark/>
          </w:tcPr>
          <w:p w14:paraId="1256D509" w14:textId="77777777" w:rsidR="00200819" w:rsidRPr="001436DC" w:rsidRDefault="00200819" w:rsidP="0020081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Combined Cycle ORTP</w:t>
            </w:r>
          </w:p>
        </w:tc>
        <w:tc>
          <w:tcPr>
            <w:tcW w:w="1740" w:type="dxa"/>
            <w:tcBorders>
              <w:top w:val="single" w:sz="4" w:space="0" w:color="auto"/>
              <w:left w:val="nil"/>
              <w:bottom w:val="single" w:sz="4" w:space="0" w:color="auto"/>
              <w:right w:val="nil"/>
            </w:tcBorders>
            <w:shd w:val="clear" w:color="000000" w:fill="BFBFBF"/>
            <w:hideMark/>
          </w:tcPr>
          <w:p w14:paraId="28376EDF" w14:textId="77777777" w:rsidR="00200819" w:rsidRPr="001436DC" w:rsidRDefault="00200819" w:rsidP="0020081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Simple Cycle GT CONE</w:t>
            </w:r>
          </w:p>
        </w:tc>
        <w:tc>
          <w:tcPr>
            <w:tcW w:w="1960" w:type="dxa"/>
            <w:tcBorders>
              <w:top w:val="single" w:sz="4" w:space="0" w:color="auto"/>
              <w:left w:val="nil"/>
              <w:bottom w:val="single" w:sz="4" w:space="0" w:color="auto"/>
              <w:right w:val="single" w:sz="4" w:space="0" w:color="auto"/>
            </w:tcBorders>
            <w:shd w:val="clear" w:color="000000" w:fill="BFBFBF"/>
            <w:hideMark/>
          </w:tcPr>
          <w:p w14:paraId="71A5281E" w14:textId="77777777" w:rsidR="00200819" w:rsidRPr="001436DC" w:rsidRDefault="00200819" w:rsidP="0020081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Simple Cycle GT ORTP</w:t>
            </w:r>
          </w:p>
        </w:tc>
      </w:tr>
      <w:tr w:rsidR="00200819" w:rsidRPr="00200819" w14:paraId="33586884" w14:textId="77777777" w:rsidTr="00892BCC">
        <w:trPr>
          <w:trHeight w:val="485"/>
        </w:trPr>
        <w:tc>
          <w:tcPr>
            <w:tcW w:w="2340" w:type="dxa"/>
            <w:tcBorders>
              <w:top w:val="nil"/>
              <w:left w:val="single" w:sz="4" w:space="0" w:color="auto"/>
              <w:bottom w:val="single" w:sz="4" w:space="0" w:color="auto"/>
              <w:right w:val="single" w:sz="4" w:space="0" w:color="auto"/>
            </w:tcBorders>
            <w:shd w:val="clear" w:color="000000" w:fill="FFFFFF"/>
            <w:vAlign w:val="center"/>
            <w:hideMark/>
          </w:tcPr>
          <w:p w14:paraId="06E54B60" w14:textId="77777777" w:rsidR="00200819" w:rsidRPr="001436DC" w:rsidRDefault="00200819" w:rsidP="00200819">
            <w:pPr>
              <w:spacing w:after="0" w:line="240" w:lineRule="auto"/>
              <w:jc w:val="left"/>
              <w:rPr>
                <w:rFonts w:ascii="Century Gothic" w:eastAsia="Times New Roman" w:hAnsi="Century Gothic" w:cs="Times New Roman"/>
                <w:b/>
                <w:color w:val="000000"/>
                <w:sz w:val="16"/>
                <w:szCs w:val="20"/>
              </w:rPr>
            </w:pPr>
            <w:r w:rsidRPr="001436DC">
              <w:rPr>
                <w:rFonts w:ascii="Century Gothic" w:eastAsia="Times New Roman" w:hAnsi="Century Gothic" w:cs="Times New Roman"/>
                <w:b/>
                <w:color w:val="000000"/>
                <w:sz w:val="16"/>
                <w:szCs w:val="20"/>
              </w:rPr>
              <w:t>Total Overnight Costs (2016$)</w:t>
            </w:r>
          </w:p>
        </w:tc>
        <w:tc>
          <w:tcPr>
            <w:tcW w:w="1560" w:type="dxa"/>
            <w:tcBorders>
              <w:top w:val="nil"/>
              <w:left w:val="nil"/>
              <w:bottom w:val="single" w:sz="4" w:space="0" w:color="auto"/>
              <w:right w:val="single" w:sz="4" w:space="0" w:color="auto"/>
            </w:tcBorders>
            <w:shd w:val="clear" w:color="000000" w:fill="FFFFFF"/>
            <w:vAlign w:val="center"/>
            <w:hideMark/>
          </w:tcPr>
          <w:p w14:paraId="25895F2B" w14:textId="77777777" w:rsidR="00200819" w:rsidRPr="001436DC" w:rsidRDefault="00200819" w:rsidP="00200819">
            <w:pPr>
              <w:spacing w:after="0" w:line="240" w:lineRule="auto"/>
              <w:jc w:val="center"/>
              <w:rPr>
                <w:rFonts w:ascii="Century Gothic" w:eastAsia="Times New Roman" w:hAnsi="Century Gothic" w:cs="Times New Roman"/>
                <w:color w:val="000000"/>
                <w:sz w:val="16"/>
                <w:szCs w:val="20"/>
              </w:rPr>
            </w:pPr>
            <w:r w:rsidRPr="001436DC">
              <w:rPr>
                <w:rFonts w:ascii="Century Gothic" w:eastAsia="Times New Roman" w:hAnsi="Century Gothic" w:cs="Times New Roman"/>
                <w:color w:val="000000"/>
                <w:sz w:val="16"/>
                <w:szCs w:val="20"/>
              </w:rPr>
              <w:t xml:space="preserve">$517,699,000 </w:t>
            </w:r>
          </w:p>
        </w:tc>
        <w:tc>
          <w:tcPr>
            <w:tcW w:w="1900" w:type="dxa"/>
            <w:tcBorders>
              <w:top w:val="nil"/>
              <w:left w:val="nil"/>
              <w:bottom w:val="single" w:sz="4" w:space="0" w:color="auto"/>
              <w:right w:val="single" w:sz="4" w:space="0" w:color="auto"/>
            </w:tcBorders>
            <w:shd w:val="clear" w:color="000000" w:fill="FFFFFF"/>
            <w:vAlign w:val="center"/>
            <w:hideMark/>
          </w:tcPr>
          <w:p w14:paraId="2214BE6D" w14:textId="77777777" w:rsidR="00200819" w:rsidRPr="001436DC" w:rsidRDefault="00200819" w:rsidP="00200819">
            <w:pPr>
              <w:spacing w:after="0" w:line="240" w:lineRule="auto"/>
              <w:jc w:val="center"/>
              <w:rPr>
                <w:rFonts w:ascii="Century Gothic" w:eastAsia="Times New Roman" w:hAnsi="Century Gothic" w:cs="Times New Roman"/>
                <w:color w:val="000000"/>
                <w:sz w:val="16"/>
                <w:szCs w:val="20"/>
              </w:rPr>
            </w:pPr>
            <w:r w:rsidRPr="001436DC">
              <w:rPr>
                <w:rFonts w:ascii="Century Gothic" w:eastAsia="Times New Roman" w:hAnsi="Century Gothic" w:cs="Times New Roman"/>
                <w:color w:val="000000"/>
                <w:sz w:val="16"/>
                <w:szCs w:val="20"/>
              </w:rPr>
              <w:t xml:space="preserve">$512,417,050 </w:t>
            </w:r>
          </w:p>
        </w:tc>
        <w:tc>
          <w:tcPr>
            <w:tcW w:w="1740" w:type="dxa"/>
            <w:tcBorders>
              <w:top w:val="nil"/>
              <w:left w:val="nil"/>
              <w:bottom w:val="single" w:sz="4" w:space="0" w:color="auto"/>
              <w:right w:val="single" w:sz="4" w:space="0" w:color="auto"/>
            </w:tcBorders>
            <w:shd w:val="clear" w:color="000000" w:fill="FFFFFF"/>
            <w:vAlign w:val="center"/>
            <w:hideMark/>
          </w:tcPr>
          <w:p w14:paraId="10DA3238" w14:textId="77777777" w:rsidR="00200819" w:rsidRPr="001436DC" w:rsidRDefault="00200819" w:rsidP="00200819">
            <w:pPr>
              <w:spacing w:after="0" w:line="240" w:lineRule="auto"/>
              <w:jc w:val="center"/>
              <w:rPr>
                <w:rFonts w:ascii="Century Gothic" w:eastAsia="Times New Roman" w:hAnsi="Century Gothic" w:cs="Times New Roman"/>
                <w:color w:val="000000"/>
                <w:sz w:val="16"/>
                <w:szCs w:val="20"/>
              </w:rPr>
            </w:pPr>
            <w:r w:rsidRPr="001436DC">
              <w:rPr>
                <w:rFonts w:ascii="Century Gothic" w:eastAsia="Times New Roman" w:hAnsi="Century Gothic" w:cs="Times New Roman"/>
                <w:color w:val="000000"/>
                <w:sz w:val="16"/>
                <w:szCs w:val="20"/>
              </w:rPr>
              <w:t xml:space="preserve">$263,399,000 </w:t>
            </w:r>
          </w:p>
        </w:tc>
        <w:tc>
          <w:tcPr>
            <w:tcW w:w="1960" w:type="dxa"/>
            <w:tcBorders>
              <w:top w:val="nil"/>
              <w:left w:val="nil"/>
              <w:bottom w:val="single" w:sz="4" w:space="0" w:color="auto"/>
              <w:right w:val="single" w:sz="4" w:space="0" w:color="auto"/>
            </w:tcBorders>
            <w:shd w:val="clear" w:color="000000" w:fill="FFFFFF"/>
            <w:vAlign w:val="center"/>
            <w:hideMark/>
          </w:tcPr>
          <w:p w14:paraId="1DC540EC" w14:textId="77777777" w:rsidR="00200819" w:rsidRPr="001436DC" w:rsidRDefault="00200819" w:rsidP="00200819">
            <w:pPr>
              <w:spacing w:after="0" w:line="240" w:lineRule="auto"/>
              <w:jc w:val="center"/>
              <w:rPr>
                <w:rFonts w:ascii="Century Gothic" w:eastAsia="Times New Roman" w:hAnsi="Century Gothic" w:cs="Times New Roman"/>
                <w:color w:val="000000"/>
                <w:sz w:val="16"/>
                <w:szCs w:val="20"/>
              </w:rPr>
            </w:pPr>
            <w:r w:rsidRPr="001436DC">
              <w:rPr>
                <w:rFonts w:ascii="Century Gothic" w:eastAsia="Times New Roman" w:hAnsi="Century Gothic" w:cs="Times New Roman"/>
                <w:color w:val="000000"/>
                <w:sz w:val="16"/>
                <w:szCs w:val="20"/>
              </w:rPr>
              <w:t xml:space="preserve">$259,411,500 </w:t>
            </w:r>
          </w:p>
        </w:tc>
      </w:tr>
      <w:tr w:rsidR="00200819" w:rsidRPr="00200819" w14:paraId="1EF8B099" w14:textId="77777777" w:rsidTr="00892BCC">
        <w:trPr>
          <w:trHeight w:val="440"/>
        </w:trPr>
        <w:tc>
          <w:tcPr>
            <w:tcW w:w="2340" w:type="dxa"/>
            <w:tcBorders>
              <w:top w:val="nil"/>
              <w:left w:val="single" w:sz="4" w:space="0" w:color="auto"/>
              <w:bottom w:val="single" w:sz="4" w:space="0" w:color="auto"/>
              <w:right w:val="single" w:sz="4" w:space="0" w:color="auto"/>
            </w:tcBorders>
            <w:shd w:val="clear" w:color="000000" w:fill="FFFFFF"/>
            <w:vAlign w:val="center"/>
            <w:hideMark/>
          </w:tcPr>
          <w:p w14:paraId="61AE4E11" w14:textId="77777777" w:rsidR="00200819" w:rsidRPr="001436DC" w:rsidRDefault="00200819" w:rsidP="00200819">
            <w:pPr>
              <w:spacing w:after="0" w:line="240" w:lineRule="auto"/>
              <w:jc w:val="left"/>
              <w:rPr>
                <w:rFonts w:ascii="Century Gothic" w:eastAsia="Times New Roman" w:hAnsi="Century Gothic" w:cs="Times New Roman"/>
                <w:b/>
                <w:color w:val="000000"/>
                <w:sz w:val="16"/>
                <w:szCs w:val="20"/>
              </w:rPr>
            </w:pPr>
            <w:r w:rsidRPr="001436DC">
              <w:rPr>
                <w:rFonts w:ascii="Century Gothic" w:eastAsia="Times New Roman" w:hAnsi="Century Gothic" w:cs="Times New Roman"/>
                <w:b/>
                <w:color w:val="000000"/>
                <w:sz w:val="16"/>
                <w:szCs w:val="20"/>
              </w:rPr>
              <w:t>Fixed O&amp;M (2021$/kW-</w:t>
            </w:r>
            <w:proofErr w:type="spellStart"/>
            <w:r w:rsidRPr="001436DC">
              <w:rPr>
                <w:rFonts w:ascii="Century Gothic" w:eastAsia="Times New Roman" w:hAnsi="Century Gothic" w:cs="Times New Roman"/>
                <w:b/>
                <w:color w:val="000000"/>
                <w:sz w:val="16"/>
                <w:szCs w:val="20"/>
              </w:rPr>
              <w:t>mo</w:t>
            </w:r>
            <w:proofErr w:type="spellEnd"/>
            <w:r w:rsidRPr="001436DC">
              <w:rPr>
                <w:rFonts w:ascii="Century Gothic" w:eastAsia="Times New Roman" w:hAnsi="Century Gothic" w:cs="Times New Roman"/>
                <w:b/>
                <w:color w:val="000000"/>
                <w:sz w:val="16"/>
                <w:szCs w:val="20"/>
              </w:rPr>
              <w:t>)</w:t>
            </w:r>
          </w:p>
        </w:tc>
        <w:tc>
          <w:tcPr>
            <w:tcW w:w="1560" w:type="dxa"/>
            <w:tcBorders>
              <w:top w:val="nil"/>
              <w:left w:val="nil"/>
              <w:bottom w:val="single" w:sz="4" w:space="0" w:color="auto"/>
              <w:right w:val="single" w:sz="4" w:space="0" w:color="auto"/>
            </w:tcBorders>
            <w:shd w:val="clear" w:color="000000" w:fill="FFFFFF"/>
            <w:vAlign w:val="center"/>
            <w:hideMark/>
          </w:tcPr>
          <w:p w14:paraId="76F5D244" w14:textId="77777777" w:rsidR="00200819" w:rsidRPr="001436DC" w:rsidRDefault="00200819" w:rsidP="00200819">
            <w:pPr>
              <w:spacing w:after="0" w:line="240" w:lineRule="auto"/>
              <w:jc w:val="center"/>
              <w:rPr>
                <w:rFonts w:ascii="Century Gothic" w:eastAsia="Times New Roman" w:hAnsi="Century Gothic" w:cs="Times New Roman"/>
                <w:color w:val="000000"/>
                <w:sz w:val="16"/>
                <w:szCs w:val="20"/>
              </w:rPr>
            </w:pPr>
            <w:r w:rsidRPr="001436DC">
              <w:rPr>
                <w:rFonts w:ascii="Century Gothic" w:eastAsia="Times New Roman" w:hAnsi="Century Gothic" w:cs="Times New Roman"/>
                <w:color w:val="000000"/>
                <w:sz w:val="16"/>
                <w:szCs w:val="20"/>
              </w:rPr>
              <w:t xml:space="preserve">$5.01 </w:t>
            </w:r>
          </w:p>
        </w:tc>
        <w:tc>
          <w:tcPr>
            <w:tcW w:w="1900" w:type="dxa"/>
            <w:tcBorders>
              <w:top w:val="nil"/>
              <w:left w:val="nil"/>
              <w:bottom w:val="single" w:sz="4" w:space="0" w:color="auto"/>
              <w:right w:val="single" w:sz="4" w:space="0" w:color="auto"/>
            </w:tcBorders>
            <w:shd w:val="clear" w:color="000000" w:fill="FFFFFF"/>
            <w:vAlign w:val="center"/>
            <w:hideMark/>
          </w:tcPr>
          <w:p w14:paraId="4F9070B7" w14:textId="77777777" w:rsidR="00200819" w:rsidRPr="001436DC" w:rsidRDefault="00200819" w:rsidP="00200819">
            <w:pPr>
              <w:spacing w:after="0" w:line="240" w:lineRule="auto"/>
              <w:jc w:val="center"/>
              <w:rPr>
                <w:rFonts w:ascii="Century Gothic" w:eastAsia="Times New Roman" w:hAnsi="Century Gothic" w:cs="Times New Roman"/>
                <w:color w:val="000000"/>
                <w:sz w:val="16"/>
                <w:szCs w:val="20"/>
              </w:rPr>
            </w:pPr>
            <w:r w:rsidRPr="001436DC">
              <w:rPr>
                <w:rFonts w:ascii="Century Gothic" w:eastAsia="Times New Roman" w:hAnsi="Century Gothic" w:cs="Times New Roman"/>
                <w:color w:val="000000"/>
                <w:sz w:val="16"/>
                <w:szCs w:val="20"/>
              </w:rPr>
              <w:t xml:space="preserve">$3.87 </w:t>
            </w:r>
          </w:p>
        </w:tc>
        <w:tc>
          <w:tcPr>
            <w:tcW w:w="1740" w:type="dxa"/>
            <w:tcBorders>
              <w:top w:val="nil"/>
              <w:left w:val="nil"/>
              <w:bottom w:val="single" w:sz="4" w:space="0" w:color="auto"/>
              <w:right w:val="single" w:sz="4" w:space="0" w:color="auto"/>
            </w:tcBorders>
            <w:shd w:val="clear" w:color="000000" w:fill="FFFFFF"/>
            <w:vAlign w:val="center"/>
            <w:hideMark/>
          </w:tcPr>
          <w:p w14:paraId="7340F99D" w14:textId="77777777" w:rsidR="00200819" w:rsidRPr="001436DC" w:rsidRDefault="00200819" w:rsidP="00200819">
            <w:pPr>
              <w:spacing w:after="0" w:line="240" w:lineRule="auto"/>
              <w:jc w:val="center"/>
              <w:rPr>
                <w:rFonts w:ascii="Century Gothic" w:eastAsia="Times New Roman" w:hAnsi="Century Gothic" w:cs="Times New Roman"/>
                <w:color w:val="000000"/>
                <w:sz w:val="16"/>
                <w:szCs w:val="20"/>
              </w:rPr>
            </w:pPr>
            <w:r w:rsidRPr="001436DC">
              <w:rPr>
                <w:rFonts w:ascii="Century Gothic" w:eastAsia="Times New Roman" w:hAnsi="Century Gothic" w:cs="Times New Roman"/>
                <w:color w:val="000000"/>
                <w:sz w:val="16"/>
                <w:szCs w:val="20"/>
              </w:rPr>
              <w:t xml:space="preserve">$3.21 </w:t>
            </w:r>
          </w:p>
        </w:tc>
        <w:tc>
          <w:tcPr>
            <w:tcW w:w="1960" w:type="dxa"/>
            <w:tcBorders>
              <w:top w:val="nil"/>
              <w:left w:val="nil"/>
              <w:bottom w:val="single" w:sz="4" w:space="0" w:color="auto"/>
              <w:right w:val="single" w:sz="4" w:space="0" w:color="auto"/>
            </w:tcBorders>
            <w:shd w:val="clear" w:color="000000" w:fill="FFFFFF"/>
            <w:vAlign w:val="center"/>
            <w:hideMark/>
          </w:tcPr>
          <w:p w14:paraId="1EB4F3C6" w14:textId="77777777" w:rsidR="00200819" w:rsidRPr="001436DC" w:rsidRDefault="00200819" w:rsidP="00200819">
            <w:pPr>
              <w:spacing w:after="0" w:line="240" w:lineRule="auto"/>
              <w:jc w:val="center"/>
              <w:rPr>
                <w:rFonts w:ascii="Century Gothic" w:eastAsia="Times New Roman" w:hAnsi="Century Gothic" w:cs="Times New Roman"/>
                <w:color w:val="000000"/>
                <w:sz w:val="16"/>
                <w:szCs w:val="20"/>
              </w:rPr>
            </w:pPr>
            <w:r w:rsidRPr="001436DC">
              <w:rPr>
                <w:rFonts w:ascii="Century Gothic" w:eastAsia="Times New Roman" w:hAnsi="Century Gothic" w:cs="Times New Roman"/>
                <w:color w:val="000000"/>
                <w:sz w:val="16"/>
                <w:szCs w:val="20"/>
              </w:rPr>
              <w:t xml:space="preserve">$2.47 </w:t>
            </w:r>
          </w:p>
        </w:tc>
      </w:tr>
    </w:tbl>
    <w:p w14:paraId="49433C3D" w14:textId="35A82D76" w:rsidR="00A63998" w:rsidRDefault="00A63998" w:rsidP="00CD121B">
      <w:pPr>
        <w:keepNext/>
        <w:keepLines/>
        <w:jc w:val="center"/>
      </w:pPr>
    </w:p>
    <w:p w14:paraId="25BF920D" w14:textId="77777777" w:rsidR="00A63998" w:rsidRDefault="00A63998" w:rsidP="00A12D4D">
      <w:pPr>
        <w:pStyle w:val="Heading3"/>
      </w:pPr>
      <w:r>
        <w:t>Revenue Offsets</w:t>
      </w:r>
    </w:p>
    <w:p w14:paraId="1C2A4E05" w14:textId="568F089E" w:rsidR="00200819" w:rsidRDefault="00200819" w:rsidP="00A63998">
      <w:pPr>
        <w:rPr>
          <w:sz w:val="24"/>
          <w:szCs w:val="24"/>
        </w:rPr>
      </w:pPr>
      <w:r w:rsidRPr="00BB5EB4">
        <w:t xml:space="preserve">The process by which the E&amp;AS offset is calculated for </w:t>
      </w:r>
      <w:r>
        <w:t>ORTP</w:t>
      </w:r>
      <w:r w:rsidRPr="00BB5EB4">
        <w:t xml:space="preserve"> </w:t>
      </w:r>
      <w:r w:rsidR="00CE0799">
        <w:t xml:space="preserve">gas-fired </w:t>
      </w:r>
      <w:r w:rsidRPr="00BB5EB4">
        <w:t xml:space="preserve">technologies is </w:t>
      </w:r>
      <w:r w:rsidR="00CE0799">
        <w:t>identical to the calculation for CONE/Net CONE</w:t>
      </w:r>
      <w:r w:rsidRPr="00BB5EB4">
        <w:t xml:space="preserve">.  The same LMP and gas forecasts </w:t>
      </w:r>
      <w:r w:rsidR="00892BCC">
        <w:t>were</w:t>
      </w:r>
      <w:r w:rsidRPr="00BB5EB4">
        <w:t xml:space="preserve"> used, the gas-turbines </w:t>
      </w:r>
      <w:r w:rsidR="00892BCC">
        <w:t>were</w:t>
      </w:r>
      <w:r w:rsidRPr="00BB5EB4">
        <w:t xml:space="preserve"> dispatched in the same manner, and the process by which the cash flows </w:t>
      </w:r>
      <w:r w:rsidR="00892BCC">
        <w:t>were</w:t>
      </w:r>
      <w:r w:rsidRPr="00BB5EB4">
        <w:t xml:space="preserve"> </w:t>
      </w:r>
      <w:proofErr w:type="spellStart"/>
      <w:r w:rsidRPr="00BB5EB4">
        <w:t>levelized</w:t>
      </w:r>
      <w:proofErr w:type="spellEnd"/>
      <w:r w:rsidRPr="00BB5EB4">
        <w:t xml:space="preserve"> to calculate the offset remains </w:t>
      </w:r>
      <w:r w:rsidR="00CE0799">
        <w:t xml:space="preserve">the same. </w:t>
      </w:r>
    </w:p>
    <w:p w14:paraId="4152B272" w14:textId="34850A31" w:rsidR="00A63998" w:rsidRPr="001436DC" w:rsidRDefault="00A63998" w:rsidP="00A63998">
      <w:pPr>
        <w:rPr>
          <w:rFonts w:eastAsia="Times New Roman" w:cs="Times New Roman"/>
          <w:szCs w:val="24"/>
        </w:rPr>
      </w:pPr>
      <w:r w:rsidRPr="001436DC">
        <w:rPr>
          <w:rFonts w:eastAsia="Times New Roman" w:cs="Times New Roman"/>
          <w:szCs w:val="24"/>
        </w:rPr>
        <w:t xml:space="preserve">While the tariff requires that the ORTP calculation assume that the output from the generating resource is sold pursuant to a PPA, we have applied the same energy and ancillary service revenue stream developed in the CONE/Net CONE analysis to the ORTP calculation.  Based on our experience, future price forecasts provide an unbiased expectation of market prices in both the short-term markets as well as under a PPA structure.  </w:t>
      </w:r>
    </w:p>
    <w:p w14:paraId="1C94A252" w14:textId="77777777" w:rsidR="00A63998" w:rsidRDefault="00A63998" w:rsidP="00A63998">
      <w:pPr>
        <w:rPr>
          <w:rFonts w:eastAsia="Times New Roman" w:cs="Times New Roman"/>
          <w:sz w:val="24"/>
          <w:szCs w:val="24"/>
        </w:rPr>
      </w:pPr>
      <w:r w:rsidRPr="001436DC">
        <w:rPr>
          <w:rFonts w:eastAsia="Times New Roman" w:cs="Times New Roman"/>
          <w:szCs w:val="24"/>
        </w:rPr>
        <w:t>Similarly, expected PFP revenues for the simple cycle and combined cycle gas turbines are consistent with those used in the CONE/Net CONE analysis</w:t>
      </w:r>
      <w:r>
        <w:rPr>
          <w:rFonts w:eastAsia="Times New Roman" w:cs="Times New Roman"/>
          <w:sz w:val="24"/>
          <w:szCs w:val="24"/>
        </w:rPr>
        <w:t xml:space="preserve">.  </w:t>
      </w:r>
    </w:p>
    <w:p w14:paraId="56FD31DC" w14:textId="77777777" w:rsidR="00A63998" w:rsidRDefault="00A63998" w:rsidP="00A12D4D">
      <w:pPr>
        <w:pStyle w:val="Heading3"/>
      </w:pPr>
      <w:r w:rsidRPr="00DD7A4D">
        <w:lastRenderedPageBreak/>
        <w:t>ORTP Calculation</w:t>
      </w:r>
    </w:p>
    <w:p w14:paraId="4A6EA248" w14:textId="49D154A6" w:rsidR="00A63998" w:rsidRPr="001436DC" w:rsidRDefault="00A63998" w:rsidP="00A63998">
      <w:pPr>
        <w:rPr>
          <w:rFonts w:eastAsia="Times New Roman" w:cs="Times New Roman"/>
        </w:rPr>
      </w:pPr>
      <w:r w:rsidRPr="001436DC">
        <w:rPr>
          <w:rFonts w:eastAsia="Times New Roman" w:cs="Times New Roman"/>
        </w:rPr>
        <w:t xml:space="preserve">Based on the above cost estimates, financial assumptions and projected revenues, the recommended ORTP value is </w:t>
      </w:r>
      <w:r w:rsidR="00667F03" w:rsidRPr="001436DC">
        <w:rPr>
          <w:rFonts w:eastAsia="Times New Roman" w:cs="Times New Roman"/>
        </w:rPr>
        <w:t>$6.</w:t>
      </w:r>
      <w:r w:rsidR="0015738D">
        <w:rPr>
          <w:rFonts w:eastAsia="Times New Roman" w:cs="Times New Roman"/>
        </w:rPr>
        <w:t>503</w:t>
      </w:r>
      <w:r w:rsidR="00667F03" w:rsidRPr="001436DC">
        <w:rPr>
          <w:rFonts w:eastAsia="Times New Roman" w:cs="Times New Roman"/>
        </w:rPr>
        <w:t>/kW-</w:t>
      </w:r>
      <w:proofErr w:type="spellStart"/>
      <w:r w:rsidR="00667F03" w:rsidRPr="001436DC">
        <w:rPr>
          <w:rFonts w:eastAsia="Times New Roman" w:cs="Times New Roman"/>
        </w:rPr>
        <w:t>mo</w:t>
      </w:r>
      <w:proofErr w:type="spellEnd"/>
      <w:r w:rsidR="00E50CEC" w:rsidRPr="001436DC">
        <w:rPr>
          <w:rFonts w:eastAsia="Times New Roman" w:cs="Times New Roman"/>
        </w:rPr>
        <w:t xml:space="preserve"> for a </w:t>
      </w:r>
      <w:r w:rsidR="00892BCC">
        <w:rPr>
          <w:rFonts w:eastAsia="Times New Roman" w:cs="Times New Roman"/>
        </w:rPr>
        <w:t>Simple C</w:t>
      </w:r>
      <w:r w:rsidR="00E50CEC" w:rsidRPr="001436DC">
        <w:rPr>
          <w:rFonts w:eastAsia="Times New Roman" w:cs="Times New Roman"/>
        </w:rPr>
        <w:t xml:space="preserve">ycle </w:t>
      </w:r>
      <w:proofErr w:type="gramStart"/>
      <w:r w:rsidR="00892BCC">
        <w:rPr>
          <w:rFonts w:eastAsia="Times New Roman" w:cs="Times New Roman"/>
        </w:rPr>
        <w:t>GT</w:t>
      </w:r>
      <w:r w:rsidR="00667F03" w:rsidRPr="001436DC">
        <w:rPr>
          <w:rFonts w:eastAsia="Times New Roman" w:cs="Times New Roman"/>
        </w:rPr>
        <w:t>,</w:t>
      </w:r>
      <w:proofErr w:type="gramEnd"/>
      <w:r w:rsidR="00667F03" w:rsidRPr="001436DC">
        <w:rPr>
          <w:rFonts w:eastAsia="Times New Roman" w:cs="Times New Roman"/>
        </w:rPr>
        <w:t xml:space="preserve"> and</w:t>
      </w:r>
      <w:r w:rsidRPr="001436DC">
        <w:rPr>
          <w:rFonts w:eastAsia="Times New Roman" w:cs="Times New Roman"/>
        </w:rPr>
        <w:t xml:space="preserve"> </w:t>
      </w:r>
      <w:r w:rsidR="00667F03" w:rsidRPr="001436DC">
        <w:rPr>
          <w:rFonts w:eastAsia="Times New Roman" w:cs="Times New Roman"/>
        </w:rPr>
        <w:t>$7.</w:t>
      </w:r>
      <w:r w:rsidR="00CE0799">
        <w:rPr>
          <w:rFonts w:eastAsia="Times New Roman" w:cs="Times New Roman"/>
        </w:rPr>
        <w:t>856</w:t>
      </w:r>
      <w:r w:rsidR="00667F03" w:rsidRPr="001436DC">
        <w:rPr>
          <w:rFonts w:eastAsia="Times New Roman" w:cs="Times New Roman"/>
        </w:rPr>
        <w:t>/kW-</w:t>
      </w:r>
      <w:proofErr w:type="spellStart"/>
      <w:r w:rsidR="00667F03" w:rsidRPr="001436DC">
        <w:rPr>
          <w:rFonts w:eastAsia="Times New Roman" w:cs="Times New Roman"/>
        </w:rPr>
        <w:t>mo</w:t>
      </w:r>
      <w:proofErr w:type="spellEnd"/>
      <w:r w:rsidR="00892BCC">
        <w:rPr>
          <w:rFonts w:eastAsia="Times New Roman" w:cs="Times New Roman"/>
        </w:rPr>
        <w:t xml:space="preserve"> for a Combined C</w:t>
      </w:r>
      <w:r w:rsidRPr="001436DC">
        <w:rPr>
          <w:rFonts w:eastAsia="Times New Roman" w:cs="Times New Roman"/>
        </w:rPr>
        <w:t xml:space="preserve">ycle </w:t>
      </w:r>
      <w:r w:rsidR="00892BCC">
        <w:rPr>
          <w:rFonts w:eastAsia="Times New Roman" w:cs="Times New Roman"/>
        </w:rPr>
        <w:t>GT</w:t>
      </w:r>
      <w:r w:rsidRPr="001436DC">
        <w:rPr>
          <w:rFonts w:eastAsia="Times New Roman" w:cs="Times New Roman"/>
        </w:rPr>
        <w:t>.   The components of the calculation of this value are shown in</w:t>
      </w:r>
      <w:r w:rsidR="00012DF3" w:rsidRPr="001436DC">
        <w:rPr>
          <w:rFonts w:eastAsia="Times New Roman" w:cs="Times New Roman"/>
        </w:rPr>
        <w:t xml:space="preserve"> </w:t>
      </w:r>
      <w:r w:rsidR="00012DF3" w:rsidRPr="001436DC">
        <w:rPr>
          <w:rFonts w:eastAsia="Times New Roman" w:cs="Times New Roman"/>
        </w:rPr>
        <w:fldChar w:fldCharType="begin"/>
      </w:r>
      <w:r w:rsidR="00012DF3" w:rsidRPr="001436DC">
        <w:rPr>
          <w:rFonts w:eastAsia="Times New Roman" w:cs="Times New Roman"/>
        </w:rPr>
        <w:instrText xml:space="preserve"> REF _Ref462645719 \h  \* MERGEFORMAT </w:instrText>
      </w:r>
      <w:r w:rsidR="00012DF3" w:rsidRPr="001436DC">
        <w:rPr>
          <w:rFonts w:eastAsia="Times New Roman" w:cs="Times New Roman"/>
        </w:rPr>
      </w:r>
      <w:r w:rsidR="00012DF3" w:rsidRPr="001436DC">
        <w:rPr>
          <w:rFonts w:eastAsia="Times New Roman" w:cs="Times New Roman"/>
        </w:rPr>
        <w:fldChar w:fldCharType="separate"/>
      </w:r>
      <w:r w:rsidR="006E2301" w:rsidRPr="0073024E">
        <w:rPr>
          <w:rFonts w:cs="Times New Roman"/>
        </w:rPr>
        <w:t xml:space="preserve">Table </w:t>
      </w:r>
      <w:r w:rsidR="00BB4D46">
        <w:rPr>
          <w:rFonts w:cs="Times New Roman"/>
        </w:rPr>
        <w:t>39</w:t>
      </w:r>
      <w:r w:rsidR="00012DF3" w:rsidRPr="001436DC">
        <w:rPr>
          <w:rFonts w:eastAsia="Times New Roman" w:cs="Times New Roman"/>
        </w:rPr>
        <w:fldChar w:fldCharType="end"/>
      </w:r>
      <w:r w:rsidRPr="001436DC">
        <w:rPr>
          <w:rFonts w:eastAsia="Times New Roman" w:cs="Times New Roman"/>
        </w:rPr>
        <w:t xml:space="preserve"> below.</w:t>
      </w:r>
    </w:p>
    <w:p w14:paraId="734F9BD6" w14:textId="78CB6221" w:rsidR="00A63998" w:rsidRDefault="00012DF3" w:rsidP="00D2628D">
      <w:pPr>
        <w:pStyle w:val="Caption"/>
        <w:rPr>
          <w:rFonts w:eastAsia="Times New Roman"/>
          <w:sz w:val="24"/>
          <w:szCs w:val="24"/>
        </w:rPr>
      </w:pPr>
      <w:bookmarkStart w:id="103" w:name="_Ref462645719"/>
      <w:bookmarkStart w:id="104" w:name="_Toc465433462"/>
      <w:r>
        <w:t xml:space="preserve">Table </w:t>
      </w:r>
      <w:r w:rsidR="00FA6573">
        <w:fldChar w:fldCharType="begin"/>
      </w:r>
      <w:r w:rsidR="00FA6573">
        <w:instrText xml:space="preserve"> SEQ Table \* ARABIC </w:instrText>
      </w:r>
      <w:r w:rsidR="00FA6573">
        <w:fldChar w:fldCharType="separate"/>
      </w:r>
      <w:r w:rsidR="000637A3">
        <w:rPr>
          <w:noProof/>
        </w:rPr>
        <w:t>39</w:t>
      </w:r>
      <w:r w:rsidR="00FA6573">
        <w:rPr>
          <w:noProof/>
        </w:rPr>
        <w:fldChar w:fldCharType="end"/>
      </w:r>
      <w:bookmarkEnd w:id="103"/>
      <w:r>
        <w:t xml:space="preserve">: </w:t>
      </w:r>
      <w:r w:rsidR="00A63998" w:rsidRPr="00012DF3">
        <w:t>Gas Turbine ORTP Calculation</w:t>
      </w:r>
      <w:bookmarkEnd w:id="104"/>
    </w:p>
    <w:p w14:paraId="501A66F0" w14:textId="33CF5979" w:rsidR="00A63998" w:rsidRPr="00DD7A4D" w:rsidRDefault="00B3324C" w:rsidP="00B602ED">
      <w:pPr>
        <w:keepNext/>
        <w:keepLines/>
        <w:jc w:val="center"/>
        <w:rPr>
          <w:rFonts w:eastAsia="Times New Roman" w:cs="Times New Roman"/>
          <w:b/>
          <w:sz w:val="24"/>
          <w:szCs w:val="24"/>
        </w:rPr>
      </w:pPr>
      <w:r w:rsidRPr="00B3324C">
        <w:rPr>
          <w:noProof/>
        </w:rPr>
        <w:drawing>
          <wp:inline distT="0" distB="0" distL="0" distR="0" wp14:anchorId="313C2B72" wp14:editId="1965F95C">
            <wp:extent cx="6261735" cy="990600"/>
            <wp:effectExtent l="19050" t="19050" r="2476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7368" cy="1000983"/>
                    </a:xfrm>
                    <a:prstGeom prst="rect">
                      <a:avLst/>
                    </a:prstGeom>
                    <a:noFill/>
                    <a:ln>
                      <a:solidFill>
                        <a:schemeClr val="tx1"/>
                      </a:solidFill>
                    </a:ln>
                  </pic:spPr>
                </pic:pic>
              </a:graphicData>
            </a:graphic>
          </wp:inline>
        </w:drawing>
      </w:r>
      <w:r w:rsidRPr="00B3324C" w:rsidDel="00CE0799">
        <w:t xml:space="preserve"> </w:t>
      </w:r>
    </w:p>
    <w:p w14:paraId="2909075A" w14:textId="2B84F8CC" w:rsidR="00B56AC1" w:rsidRPr="00386C57" w:rsidRDefault="00B56AC1" w:rsidP="00456566">
      <w:pPr>
        <w:pStyle w:val="Heading2"/>
        <w:numPr>
          <w:ilvl w:val="0"/>
          <w:numId w:val="6"/>
        </w:numPr>
      </w:pPr>
      <w:bookmarkStart w:id="105" w:name="_Toc468288324"/>
      <w:r w:rsidRPr="00386C57">
        <w:t>On-Shore Wind</w:t>
      </w:r>
      <w:bookmarkEnd w:id="105"/>
    </w:p>
    <w:p w14:paraId="5A6BE26F" w14:textId="77777777" w:rsidR="002418CE" w:rsidRDefault="00B56AC1" w:rsidP="00A12D4D">
      <w:pPr>
        <w:pStyle w:val="Heading3"/>
        <w:numPr>
          <w:ilvl w:val="0"/>
          <w:numId w:val="32"/>
        </w:numPr>
      </w:pPr>
      <w:r w:rsidRPr="002418CE">
        <w:t xml:space="preserve">Technical </w:t>
      </w:r>
      <w:r w:rsidRPr="006A2D4C">
        <w:t>specifications</w:t>
      </w:r>
      <w:r w:rsidR="00D563EB" w:rsidRPr="002418CE">
        <w:t xml:space="preserve"> </w:t>
      </w:r>
    </w:p>
    <w:p w14:paraId="6E960EA9" w14:textId="05513BDC" w:rsidR="00DE3C37" w:rsidRPr="002418CE" w:rsidRDefault="00DE3C37" w:rsidP="00DE3C37">
      <w:pPr>
        <w:rPr>
          <w:rFonts w:eastAsia="Times New Roman" w:cs="Times New Roman"/>
          <w:szCs w:val="24"/>
        </w:rPr>
      </w:pPr>
      <w:r w:rsidRPr="002418CE">
        <w:rPr>
          <w:rFonts w:eastAsia="Times New Roman" w:cs="Times New Roman"/>
          <w:szCs w:val="24"/>
        </w:rPr>
        <w:t xml:space="preserve">Our calculation of an ORTP value for an onshore wind farm began with developing assumptions about the appropriate size and location of a representative onshore wind farm in New England.  A review of wind farms that participated in the most recent FCA, as well as wind farms currently in the interconnection queue, showed a large range of proposed sizes, ranging from 5 MW to 600 MW.  In addition, a review of wind farms participating in the past two </w:t>
      </w:r>
      <w:r>
        <w:rPr>
          <w:rFonts w:eastAsia="Times New Roman" w:cs="Times New Roman"/>
          <w:szCs w:val="24"/>
        </w:rPr>
        <w:t>FCAs</w:t>
      </w:r>
      <w:r w:rsidRPr="002418CE">
        <w:rPr>
          <w:rFonts w:eastAsia="Times New Roman" w:cs="Times New Roman"/>
          <w:szCs w:val="24"/>
        </w:rPr>
        <w:t xml:space="preserve"> revealed sizes ranging from 20 MW to 80 MW of nameplate capacity.  </w:t>
      </w:r>
      <w:r>
        <w:rPr>
          <w:rFonts w:eastAsia="Times New Roman" w:cs="Times New Roman"/>
          <w:szCs w:val="24"/>
        </w:rPr>
        <w:t xml:space="preserve">In determining an appropriate size for the reference wind unit, we weighted the range of wind resource participating in the most recent FCAs more heavily than the size of the wind resources in the interconnection queue since our criteria for screening wind resources was focused on resources that have recently participated in an FCA.   </w:t>
      </w:r>
      <w:r w:rsidRPr="002418CE">
        <w:rPr>
          <w:rFonts w:eastAsia="Times New Roman" w:cs="Times New Roman"/>
          <w:szCs w:val="24"/>
        </w:rPr>
        <w:t xml:space="preserve">Based on this information, the 60 MW reference wind farm size chosen for the 2013 ORTP study, and a discussion with stakeholders, </w:t>
      </w:r>
      <w:r w:rsidR="002512A7">
        <w:rPr>
          <w:rFonts w:eastAsia="Times New Roman" w:cs="Times New Roman"/>
          <w:szCs w:val="24"/>
        </w:rPr>
        <w:t xml:space="preserve">we </w:t>
      </w:r>
      <w:r w:rsidRPr="002418CE">
        <w:rPr>
          <w:rFonts w:eastAsia="Times New Roman" w:cs="Times New Roman"/>
          <w:szCs w:val="24"/>
        </w:rPr>
        <w:t>believe an onshore wind farm size of 52 MW</w:t>
      </w:r>
      <w:r>
        <w:rPr>
          <w:rFonts w:eastAsia="Times New Roman" w:cs="Times New Roman"/>
          <w:szCs w:val="24"/>
        </w:rPr>
        <w:t>,</w:t>
      </w:r>
      <w:r w:rsidRPr="002418CE">
        <w:rPr>
          <w:rFonts w:eastAsia="Times New Roman" w:cs="Times New Roman"/>
          <w:szCs w:val="24"/>
        </w:rPr>
        <w:t xml:space="preserve"> compris</w:t>
      </w:r>
      <w:r w:rsidR="00892BCC">
        <w:rPr>
          <w:rFonts w:eastAsia="Times New Roman" w:cs="Times New Roman"/>
          <w:szCs w:val="24"/>
        </w:rPr>
        <w:t>ed of</w:t>
      </w:r>
      <w:r w:rsidRPr="002418CE">
        <w:rPr>
          <w:rFonts w:eastAsia="Times New Roman" w:cs="Times New Roman"/>
          <w:szCs w:val="24"/>
        </w:rPr>
        <w:t xml:space="preserve"> seventeen General Electric machines is an appropriate size on which to base our ORTP analysis.  </w:t>
      </w:r>
    </w:p>
    <w:p w14:paraId="178EBD22" w14:textId="69E3E5F8" w:rsidR="00D563EB" w:rsidRDefault="00D563EB" w:rsidP="002418CE">
      <w:pPr>
        <w:rPr>
          <w:rFonts w:eastAsia="Times New Roman" w:cs="Times New Roman"/>
          <w:szCs w:val="24"/>
        </w:rPr>
      </w:pPr>
      <w:r w:rsidRPr="002418CE">
        <w:rPr>
          <w:rFonts w:eastAsia="Times New Roman" w:cs="Times New Roman"/>
          <w:szCs w:val="24"/>
        </w:rPr>
        <w:t>In terms of location, wind resources are most appropriately located in areas with elevation differential and accessible transmission.  Altitude improves wind resources in general, giving Northern New England a locational advantage.   Available transmission to deliver the output from wind farms to load centers is an equally important consideration.  We reviewed potential locations including New Hampshire, portions of Vermont, Maine, Western Massachusetts</w:t>
      </w:r>
      <w:r w:rsidR="009A3C8D">
        <w:rPr>
          <w:rFonts w:eastAsia="Times New Roman" w:cs="Times New Roman"/>
          <w:szCs w:val="24"/>
        </w:rPr>
        <w:t>, and North W</w:t>
      </w:r>
      <w:r w:rsidR="00BB4D46">
        <w:rPr>
          <w:rFonts w:eastAsia="Times New Roman" w:cs="Times New Roman"/>
          <w:szCs w:val="24"/>
        </w:rPr>
        <w:t xml:space="preserve">estern Connecticut </w:t>
      </w:r>
      <w:r w:rsidRPr="002418CE">
        <w:rPr>
          <w:rFonts w:eastAsia="Times New Roman" w:cs="Times New Roman"/>
          <w:szCs w:val="24"/>
        </w:rPr>
        <w:t xml:space="preserve">with these factors in mind. In light of these considerations and in consultation with </w:t>
      </w:r>
      <w:r w:rsidR="003A0E05">
        <w:rPr>
          <w:rFonts w:eastAsia="Times New Roman" w:cs="Times New Roman"/>
          <w:szCs w:val="24"/>
        </w:rPr>
        <w:t>MM</w:t>
      </w:r>
      <w:r w:rsidRPr="002418CE">
        <w:rPr>
          <w:rFonts w:eastAsia="Times New Roman" w:cs="Times New Roman"/>
          <w:szCs w:val="24"/>
        </w:rPr>
        <w:t>, we determined central New Hampshire to be an appropriate location</w:t>
      </w:r>
      <w:r w:rsidR="00576724">
        <w:rPr>
          <w:rFonts w:eastAsia="Times New Roman" w:cs="Times New Roman"/>
          <w:szCs w:val="24"/>
        </w:rPr>
        <w:t>, as shown in Figure 12 below</w:t>
      </w:r>
      <w:r w:rsidRPr="002418CE">
        <w:rPr>
          <w:rFonts w:eastAsia="Times New Roman" w:cs="Times New Roman"/>
          <w:szCs w:val="24"/>
        </w:rPr>
        <w:t xml:space="preserve">. This location is consistent with </w:t>
      </w:r>
      <w:r w:rsidR="00677669">
        <w:rPr>
          <w:rFonts w:eastAsia="Times New Roman" w:cs="Times New Roman"/>
          <w:szCs w:val="24"/>
        </w:rPr>
        <w:t>c</w:t>
      </w:r>
      <w:r w:rsidRPr="002418CE">
        <w:rPr>
          <w:rFonts w:eastAsia="Times New Roman" w:cs="Times New Roman"/>
          <w:szCs w:val="24"/>
        </w:rPr>
        <w:t>urrent operating and proposed wind farms, which are primarily located in Vermont, Maine and New Hampshire.</w:t>
      </w:r>
      <w:r w:rsidR="00EA0EB1" w:rsidRPr="002418CE">
        <w:rPr>
          <w:rFonts w:eastAsia="Times New Roman" w:cs="Times New Roman"/>
          <w:szCs w:val="24"/>
        </w:rPr>
        <w:t xml:space="preserve"> </w:t>
      </w:r>
    </w:p>
    <w:p w14:paraId="4C7913DE" w14:textId="2C933D19" w:rsidR="009A3C8D" w:rsidRDefault="009A3C8D" w:rsidP="00D2628D">
      <w:pPr>
        <w:pStyle w:val="Caption"/>
        <w:rPr>
          <w:rFonts w:eastAsia="Times New Roman"/>
          <w:szCs w:val="24"/>
        </w:rPr>
      </w:pPr>
      <w:bookmarkStart w:id="106" w:name="_Ref462645900"/>
      <w:bookmarkStart w:id="107" w:name="_Ref462645895"/>
      <w:bookmarkStart w:id="108" w:name="_Toc465433485"/>
      <w:r w:rsidRPr="009A3C8D">
        <w:rPr>
          <w:rFonts w:eastAsia="Times New Roman"/>
          <w:noProof/>
          <w:szCs w:val="24"/>
        </w:rPr>
        <w:lastRenderedPageBreak/>
        <w:drawing>
          <wp:anchor distT="0" distB="0" distL="114300" distR="114300" simplePos="0" relativeHeight="251657216" behindDoc="0" locked="0" layoutInCell="1" allowOverlap="1" wp14:anchorId="5C3F7D2D" wp14:editId="382B580F">
            <wp:simplePos x="0" y="0"/>
            <wp:positionH relativeFrom="margin">
              <wp:align>center</wp:align>
            </wp:positionH>
            <wp:positionV relativeFrom="paragraph">
              <wp:posOffset>293370</wp:posOffset>
            </wp:positionV>
            <wp:extent cx="4749165" cy="45720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9165" cy="4572000"/>
                    </a:xfrm>
                    <a:prstGeom prst="rect">
                      <a:avLst/>
                    </a:prstGeom>
                    <a:noFill/>
                  </pic:spPr>
                </pic:pic>
              </a:graphicData>
            </a:graphic>
            <wp14:sizeRelV relativeFrom="margin">
              <wp14:pctHeight>0</wp14:pctHeight>
            </wp14:sizeRelV>
          </wp:anchor>
        </w:drawing>
      </w:r>
      <w:r w:rsidR="00887BD3">
        <w:t xml:space="preserve">Figure </w:t>
      </w:r>
      <w:r w:rsidR="00FA6573">
        <w:fldChar w:fldCharType="begin"/>
      </w:r>
      <w:r w:rsidR="00FA6573">
        <w:instrText xml:space="preserve"> SEQ Figure \* ARABIC </w:instrText>
      </w:r>
      <w:r w:rsidR="00FA6573">
        <w:fldChar w:fldCharType="separate"/>
      </w:r>
      <w:r w:rsidR="006E2301">
        <w:rPr>
          <w:noProof/>
        </w:rPr>
        <w:t>12</w:t>
      </w:r>
      <w:r w:rsidR="00FA6573">
        <w:rPr>
          <w:noProof/>
        </w:rPr>
        <w:fldChar w:fldCharType="end"/>
      </w:r>
      <w:bookmarkEnd w:id="106"/>
      <w:r w:rsidR="00887BD3">
        <w:t xml:space="preserve">: </w:t>
      </w:r>
      <w:r w:rsidR="00E50CEC">
        <w:t xml:space="preserve">Wind Potential in </w:t>
      </w:r>
      <w:r w:rsidR="00887BD3" w:rsidRPr="00F16CE2">
        <w:t>New Hampshire</w:t>
      </w:r>
      <w:bookmarkEnd w:id="107"/>
      <w:bookmarkEnd w:id="108"/>
    </w:p>
    <w:p w14:paraId="59FA6DC8" w14:textId="5DAF0F00" w:rsidR="00EA0EB1" w:rsidRDefault="008D59F1" w:rsidP="00EA0EB1">
      <w:pPr>
        <w:rPr>
          <w:rFonts w:eastAsia="Times New Roman" w:cs="Times New Roman"/>
          <w:szCs w:val="24"/>
        </w:rPr>
      </w:pPr>
      <w:r>
        <w:rPr>
          <w:rFonts w:eastAsia="Times New Roman" w:cs="Times New Roman"/>
          <w:szCs w:val="24"/>
        </w:rPr>
        <w:t>T</w:t>
      </w:r>
      <w:r w:rsidR="00EA0EB1">
        <w:rPr>
          <w:rFonts w:eastAsia="Times New Roman" w:cs="Times New Roman"/>
          <w:szCs w:val="24"/>
        </w:rPr>
        <w:t xml:space="preserve">o estimate an appropriate capacity factor, we considered wind farms currently being offered into the FCA, as well as wind farms that have entered commercial operation in the past five years.  A review of data provided by ISO-NE on wind farms that participated in the most recent FCA showed that </w:t>
      </w:r>
      <w:r w:rsidR="00EA0EB1" w:rsidRPr="001436DC">
        <w:rPr>
          <w:rFonts w:eastAsia="Times New Roman" w:cs="Times New Roman"/>
          <w:szCs w:val="24"/>
          <w:u w:val="single"/>
        </w:rPr>
        <w:t>estimated</w:t>
      </w:r>
      <w:r w:rsidR="00EA0EB1">
        <w:rPr>
          <w:rFonts w:eastAsia="Times New Roman" w:cs="Times New Roman"/>
          <w:szCs w:val="24"/>
        </w:rPr>
        <w:t xml:space="preserve"> capacity factors had a large range, from 16% to 43%.  Based on operating data provided by ISO-NE on five wind farms with a nameplate capacity over 20 MW that have been in operation since 2012, we calculated a</w:t>
      </w:r>
      <w:r w:rsidR="007D12FC">
        <w:rPr>
          <w:rFonts w:eastAsia="Times New Roman" w:cs="Times New Roman"/>
          <w:szCs w:val="24"/>
        </w:rPr>
        <w:t>n</w:t>
      </w:r>
      <w:r w:rsidR="00EA0EB1">
        <w:rPr>
          <w:rFonts w:eastAsia="Times New Roman" w:cs="Times New Roman"/>
          <w:szCs w:val="24"/>
        </w:rPr>
        <w:t xml:space="preserve"> average capacity factor of approximately 29%.  The efficiency of wind farms is expected to increase by 10% by </w:t>
      </w:r>
      <w:proofErr w:type="gramStart"/>
      <w:r w:rsidR="00EA0EB1">
        <w:rPr>
          <w:rFonts w:eastAsia="Times New Roman" w:cs="Times New Roman"/>
          <w:szCs w:val="24"/>
        </w:rPr>
        <w:t>2020,</w:t>
      </w:r>
      <w:proofErr w:type="gramEnd"/>
      <w:r w:rsidR="00EA0EB1">
        <w:rPr>
          <w:rFonts w:eastAsia="Times New Roman" w:cs="Times New Roman"/>
          <w:szCs w:val="24"/>
        </w:rPr>
        <w:t xml:space="preserve"> therefore we believe that an upward adjustment to the capacity factor to 32% for the reference onshore wind farm is appropriate.  </w:t>
      </w:r>
    </w:p>
    <w:p w14:paraId="775286D7" w14:textId="03F0AF9F" w:rsidR="00EA0EB1" w:rsidRDefault="00EA0EB1" w:rsidP="00EA0EB1">
      <w:pPr>
        <w:rPr>
          <w:rFonts w:eastAsia="Times New Roman" w:cs="Times New Roman"/>
          <w:szCs w:val="24"/>
        </w:rPr>
      </w:pPr>
      <w:r>
        <w:rPr>
          <w:rFonts w:eastAsia="Times New Roman" w:cs="Times New Roman"/>
          <w:szCs w:val="24"/>
        </w:rPr>
        <w:t xml:space="preserve">To determine a reasonable qualified capacity, we reviewed the tariff requirements and the process by which wind farms are assigned a qualified capacity in the New England capacity market.  According to the tariff, an intermittent resource’s qualified capacity value for the summer and winter periods is set equal to the median of the net output during the summer and winter reliability </w:t>
      </w:r>
      <w:r>
        <w:rPr>
          <w:rFonts w:eastAsia="Times New Roman" w:cs="Times New Roman"/>
          <w:szCs w:val="24"/>
        </w:rPr>
        <w:lastRenderedPageBreak/>
        <w:t>hours for the previous five years.</w:t>
      </w:r>
      <w:r>
        <w:rPr>
          <w:rStyle w:val="FootnoteReference"/>
          <w:rFonts w:eastAsia="Times New Roman" w:cs="Times New Roman"/>
          <w:szCs w:val="24"/>
        </w:rPr>
        <w:footnoteReference w:id="58"/>
      </w:r>
      <w:r w:rsidR="00AD466D">
        <w:rPr>
          <w:rFonts w:eastAsia="Times New Roman" w:cs="Times New Roman"/>
          <w:szCs w:val="24"/>
        </w:rPr>
        <w:t xml:space="preserve"> </w:t>
      </w:r>
      <w:r>
        <w:rPr>
          <w:rStyle w:val="FootnoteReference"/>
          <w:rFonts w:eastAsia="Times New Roman" w:cs="Times New Roman"/>
          <w:szCs w:val="24"/>
        </w:rPr>
        <w:footnoteReference w:id="59"/>
      </w:r>
      <w:r>
        <w:rPr>
          <w:rFonts w:eastAsia="Times New Roman" w:cs="Times New Roman"/>
          <w:szCs w:val="24"/>
        </w:rPr>
        <w:t xml:space="preserve">  Since the qualified capacity of the wind resource is based on capacity factor during reliability hours as calculated above, we assumed a qualified capacity of 30% consistent with the results of this calculation and a low end of the range approach to calculating an ORTP.</w:t>
      </w:r>
    </w:p>
    <w:p w14:paraId="340BE99B" w14:textId="3E2251F5" w:rsidR="00EA0EB1" w:rsidRDefault="00EA0EB1" w:rsidP="00EA0EB1">
      <w:pPr>
        <w:rPr>
          <w:rFonts w:eastAsia="Times New Roman" w:cs="Times New Roman"/>
          <w:szCs w:val="24"/>
        </w:rPr>
      </w:pPr>
      <w:r>
        <w:rPr>
          <w:rFonts w:eastAsia="Times New Roman" w:cs="Times New Roman"/>
          <w:szCs w:val="24"/>
        </w:rPr>
        <w:t xml:space="preserve">The </w:t>
      </w:r>
      <w:proofErr w:type="gramStart"/>
      <w:r>
        <w:rPr>
          <w:rFonts w:eastAsia="Times New Roman" w:cs="Times New Roman"/>
          <w:szCs w:val="24"/>
        </w:rPr>
        <w:t>specifications for the reference onshore wind resource is</w:t>
      </w:r>
      <w:proofErr w:type="gramEnd"/>
      <w:r>
        <w:rPr>
          <w:rFonts w:eastAsia="Times New Roman" w:cs="Times New Roman"/>
          <w:szCs w:val="24"/>
        </w:rPr>
        <w:t xml:space="preserve"> shown in</w:t>
      </w:r>
      <w:r w:rsidRPr="00BC785E">
        <w:rPr>
          <w:rFonts w:eastAsia="Times New Roman" w:cs="Times New Roman"/>
          <w:szCs w:val="24"/>
        </w:rPr>
        <w:t xml:space="preserve"> </w:t>
      </w:r>
      <w:r w:rsidR="00AD466D" w:rsidRPr="00BC785E">
        <w:rPr>
          <w:rFonts w:eastAsia="Times New Roman" w:cs="Times New Roman"/>
          <w:szCs w:val="24"/>
        </w:rPr>
        <w:fldChar w:fldCharType="begin"/>
      </w:r>
      <w:r w:rsidR="00AD466D" w:rsidRPr="00BC785E">
        <w:rPr>
          <w:rFonts w:eastAsia="Times New Roman" w:cs="Times New Roman"/>
          <w:szCs w:val="24"/>
        </w:rPr>
        <w:instrText xml:space="preserve"> REF _Ref462646039 \h </w:instrText>
      </w:r>
      <w:r w:rsidR="00BC785E">
        <w:rPr>
          <w:rFonts w:eastAsia="Times New Roman" w:cs="Times New Roman"/>
          <w:szCs w:val="24"/>
        </w:rPr>
        <w:instrText xml:space="preserve"> \* MERGEFORMAT </w:instrText>
      </w:r>
      <w:r w:rsidR="00AD466D" w:rsidRPr="00BC785E">
        <w:rPr>
          <w:rFonts w:eastAsia="Times New Roman" w:cs="Times New Roman"/>
          <w:szCs w:val="24"/>
        </w:rPr>
      </w:r>
      <w:r w:rsidR="00AD466D" w:rsidRPr="00BC785E">
        <w:rPr>
          <w:rFonts w:eastAsia="Times New Roman" w:cs="Times New Roman"/>
          <w:szCs w:val="24"/>
        </w:rPr>
        <w:fldChar w:fldCharType="separate"/>
      </w:r>
      <w:r w:rsidR="006E2301" w:rsidRPr="0073024E">
        <w:rPr>
          <w:rFonts w:cs="Times New Roman"/>
        </w:rPr>
        <w:t xml:space="preserve">Table </w:t>
      </w:r>
      <w:r w:rsidR="00D91061">
        <w:rPr>
          <w:rFonts w:cs="Times New Roman"/>
        </w:rPr>
        <w:t>40</w:t>
      </w:r>
      <w:r w:rsidR="00AD466D" w:rsidRPr="00BC785E">
        <w:rPr>
          <w:rFonts w:eastAsia="Times New Roman" w:cs="Times New Roman"/>
          <w:szCs w:val="24"/>
        </w:rPr>
        <w:fldChar w:fldCharType="end"/>
      </w:r>
      <w:r>
        <w:rPr>
          <w:rFonts w:eastAsia="Times New Roman" w:cs="Times New Roman"/>
          <w:szCs w:val="24"/>
        </w:rPr>
        <w:t>.</w:t>
      </w:r>
    </w:p>
    <w:p w14:paraId="480DB0C1" w14:textId="257BFEA7" w:rsidR="00EA0EB1" w:rsidRDefault="00AD466D" w:rsidP="00D2628D">
      <w:pPr>
        <w:pStyle w:val="Caption"/>
      </w:pPr>
      <w:bookmarkStart w:id="109" w:name="_Ref462646039"/>
      <w:bookmarkStart w:id="110" w:name="_Ref462646032"/>
      <w:bookmarkStart w:id="111" w:name="_Toc465433463"/>
      <w:r>
        <w:t xml:space="preserve">Table </w:t>
      </w:r>
      <w:r w:rsidR="00FA6573">
        <w:fldChar w:fldCharType="begin"/>
      </w:r>
      <w:r w:rsidR="00FA6573">
        <w:instrText xml:space="preserve"> SEQ Table \* ARABIC </w:instrText>
      </w:r>
      <w:r w:rsidR="00FA6573">
        <w:fldChar w:fldCharType="separate"/>
      </w:r>
      <w:r w:rsidR="000637A3">
        <w:rPr>
          <w:noProof/>
        </w:rPr>
        <w:t>40</w:t>
      </w:r>
      <w:r w:rsidR="00FA6573">
        <w:rPr>
          <w:noProof/>
        </w:rPr>
        <w:fldChar w:fldCharType="end"/>
      </w:r>
      <w:bookmarkEnd w:id="109"/>
      <w:r>
        <w:t xml:space="preserve">: </w:t>
      </w:r>
      <w:r w:rsidR="00EA0EB1">
        <w:t>Reference Onshore Wind Farm Specifications</w:t>
      </w:r>
      <w:bookmarkEnd w:id="110"/>
      <w:bookmarkEnd w:id="111"/>
    </w:p>
    <w:tbl>
      <w:tblPr>
        <w:tblStyle w:val="GridTable4Accent3"/>
        <w:tblW w:w="5305" w:type="dxa"/>
        <w:jc w:val="center"/>
        <w:tblLook w:val="04A0" w:firstRow="1" w:lastRow="0" w:firstColumn="1" w:lastColumn="0" w:noHBand="0" w:noVBand="1"/>
      </w:tblPr>
      <w:tblGrid>
        <w:gridCol w:w="2560"/>
        <w:gridCol w:w="2745"/>
      </w:tblGrid>
      <w:tr w:rsidR="009F3345" w:rsidRPr="00136CD6" w14:paraId="69A8E476" w14:textId="77777777" w:rsidTr="009F3345">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559CB9E4" w14:textId="77777777" w:rsidR="009F3345" w:rsidRPr="00136CD6" w:rsidRDefault="009F3345" w:rsidP="0083090C">
            <w:pPr>
              <w:spacing w:after="0" w:line="240" w:lineRule="auto"/>
              <w:jc w:val="center"/>
              <w:rPr>
                <w:rFonts w:ascii="Century Gothic" w:eastAsia="Times New Roman" w:hAnsi="Century Gothic" w:cs="Times New Roman"/>
                <w:color w:val="000000" w:themeColor="text1"/>
                <w:sz w:val="18"/>
                <w:szCs w:val="24"/>
              </w:rPr>
            </w:pPr>
            <w:r w:rsidRPr="00136CD6">
              <w:rPr>
                <w:rFonts w:ascii="Century Gothic" w:eastAsia="Times New Roman" w:hAnsi="Century Gothic" w:cs="Times New Roman"/>
                <w:color w:val="000000" w:themeColor="text1"/>
                <w:sz w:val="18"/>
                <w:szCs w:val="24"/>
              </w:rPr>
              <w:t>Specifications</w:t>
            </w:r>
          </w:p>
        </w:tc>
        <w:tc>
          <w:tcPr>
            <w:tcW w:w="2745" w:type="dxa"/>
            <w:hideMark/>
          </w:tcPr>
          <w:p w14:paraId="78943B03" w14:textId="77777777" w:rsidR="009F3345" w:rsidRPr="00136CD6" w:rsidRDefault="009F3345" w:rsidP="008309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themeColor="text1"/>
                <w:sz w:val="18"/>
                <w:szCs w:val="24"/>
              </w:rPr>
            </w:pPr>
            <w:r w:rsidRPr="00136CD6">
              <w:rPr>
                <w:rFonts w:ascii="Century Gothic" w:eastAsia="Times New Roman" w:hAnsi="Century Gothic" w:cs="Times New Roman"/>
                <w:color w:val="000000" w:themeColor="text1"/>
                <w:sz w:val="18"/>
                <w:szCs w:val="24"/>
              </w:rPr>
              <w:t>Onshore Wind</w:t>
            </w:r>
          </w:p>
        </w:tc>
      </w:tr>
      <w:tr w:rsidR="009F3345" w:rsidRPr="00136CD6" w14:paraId="3EBA54F2" w14:textId="77777777" w:rsidTr="009F334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0F51852C" w14:textId="77777777" w:rsidR="009F3345" w:rsidRPr="00136CD6" w:rsidRDefault="009F3345" w:rsidP="0083090C">
            <w:pPr>
              <w:spacing w:after="0" w:line="240" w:lineRule="auto"/>
              <w:jc w:val="left"/>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Turbine Model</w:t>
            </w:r>
          </w:p>
        </w:tc>
        <w:tc>
          <w:tcPr>
            <w:tcW w:w="2745" w:type="dxa"/>
            <w:hideMark/>
          </w:tcPr>
          <w:p w14:paraId="456E9797" w14:textId="77777777" w:rsidR="009F3345" w:rsidRPr="00136CD6" w:rsidRDefault="009F3345" w:rsidP="0083090C">
            <w:pPr>
              <w:spacing w:after="0" w:line="240" w:lineRule="auto"/>
              <w:ind w:firstLineChars="100" w:firstLine="1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24"/>
              </w:rPr>
            </w:pPr>
            <w:r>
              <w:rPr>
                <w:rFonts w:ascii="Century Gothic" w:eastAsia="Times New Roman" w:hAnsi="Century Gothic" w:cs="Times New Roman"/>
                <w:color w:val="000000"/>
                <w:sz w:val="16"/>
                <w:szCs w:val="24"/>
              </w:rPr>
              <w:t>General Electric</w:t>
            </w:r>
          </w:p>
        </w:tc>
      </w:tr>
      <w:tr w:rsidR="009F3345" w:rsidRPr="00136CD6" w14:paraId="7B7ED60C" w14:textId="77777777" w:rsidTr="009F3345">
        <w:trPr>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0D59A0A2" w14:textId="77777777" w:rsidR="009F3345" w:rsidRPr="00136CD6" w:rsidRDefault="009F3345" w:rsidP="0083090C">
            <w:pPr>
              <w:spacing w:after="0" w:line="240" w:lineRule="auto"/>
              <w:jc w:val="left"/>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Turbine Size</w:t>
            </w:r>
          </w:p>
        </w:tc>
        <w:tc>
          <w:tcPr>
            <w:tcW w:w="2745" w:type="dxa"/>
            <w:hideMark/>
          </w:tcPr>
          <w:p w14:paraId="42741CBA" w14:textId="77777777" w:rsidR="009F3345" w:rsidRPr="00136CD6" w:rsidRDefault="009F3345" w:rsidP="0083090C">
            <w:pPr>
              <w:spacing w:after="0" w:line="240" w:lineRule="auto"/>
              <w:ind w:firstLineChars="100" w:firstLine="1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 xml:space="preserve">3 </w:t>
            </w:r>
            <w:proofErr w:type="spellStart"/>
            <w:r w:rsidRPr="00136CD6">
              <w:rPr>
                <w:rFonts w:ascii="Century Gothic" w:eastAsia="Times New Roman" w:hAnsi="Century Gothic" w:cs="Times New Roman"/>
                <w:color w:val="000000"/>
                <w:sz w:val="16"/>
                <w:szCs w:val="24"/>
              </w:rPr>
              <w:t>MWe</w:t>
            </w:r>
            <w:proofErr w:type="spellEnd"/>
          </w:p>
        </w:tc>
      </w:tr>
      <w:tr w:rsidR="009F3345" w:rsidRPr="00136CD6" w14:paraId="405364F4" w14:textId="77777777" w:rsidTr="009F334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4BE67954" w14:textId="77777777" w:rsidR="009F3345" w:rsidRPr="00136CD6" w:rsidRDefault="009F3345" w:rsidP="0083090C">
            <w:pPr>
              <w:spacing w:after="0" w:line="240" w:lineRule="auto"/>
              <w:jc w:val="left"/>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Net Plant Capacity</w:t>
            </w:r>
          </w:p>
        </w:tc>
        <w:tc>
          <w:tcPr>
            <w:tcW w:w="2745" w:type="dxa"/>
            <w:hideMark/>
          </w:tcPr>
          <w:p w14:paraId="63C965CD" w14:textId="77777777" w:rsidR="009F3345" w:rsidRPr="00136CD6" w:rsidRDefault="009F3345" w:rsidP="0083090C">
            <w:pPr>
              <w:spacing w:after="0" w:line="240" w:lineRule="auto"/>
              <w:ind w:firstLineChars="100" w:firstLine="1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52 MW</w:t>
            </w:r>
          </w:p>
        </w:tc>
      </w:tr>
      <w:tr w:rsidR="009F3345" w:rsidRPr="00136CD6" w14:paraId="282CB735" w14:textId="77777777" w:rsidTr="009F3345">
        <w:trPr>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5A54CBAA" w14:textId="77777777" w:rsidR="009F3345" w:rsidRPr="00136CD6" w:rsidRDefault="009F3345" w:rsidP="0083090C">
            <w:pPr>
              <w:spacing w:after="0" w:line="240" w:lineRule="auto"/>
              <w:jc w:val="left"/>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Qualified Capacity</w:t>
            </w:r>
          </w:p>
        </w:tc>
        <w:tc>
          <w:tcPr>
            <w:tcW w:w="2745" w:type="dxa"/>
            <w:hideMark/>
          </w:tcPr>
          <w:p w14:paraId="02162F99" w14:textId="77777777" w:rsidR="009F3345" w:rsidRPr="00136CD6" w:rsidRDefault="009F3345" w:rsidP="0083090C">
            <w:pPr>
              <w:spacing w:after="0" w:line="240" w:lineRule="auto"/>
              <w:ind w:firstLineChars="100" w:firstLine="1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30%</w:t>
            </w:r>
          </w:p>
        </w:tc>
      </w:tr>
      <w:tr w:rsidR="009F3345" w:rsidRPr="00136CD6" w14:paraId="360D18B5" w14:textId="77777777" w:rsidTr="009F334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567D2FB1" w14:textId="77777777" w:rsidR="009F3345" w:rsidRPr="00136CD6" w:rsidRDefault="009F3345" w:rsidP="0083090C">
            <w:pPr>
              <w:spacing w:after="0" w:line="240" w:lineRule="auto"/>
              <w:jc w:val="left"/>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Capacity Factor</w:t>
            </w:r>
          </w:p>
        </w:tc>
        <w:tc>
          <w:tcPr>
            <w:tcW w:w="2745" w:type="dxa"/>
            <w:hideMark/>
          </w:tcPr>
          <w:p w14:paraId="1B9B7611" w14:textId="77777777" w:rsidR="009F3345" w:rsidRPr="00136CD6" w:rsidRDefault="009F3345" w:rsidP="0083090C">
            <w:pPr>
              <w:spacing w:after="0" w:line="240" w:lineRule="auto"/>
              <w:ind w:firstLineChars="100" w:firstLine="1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32%</w:t>
            </w:r>
          </w:p>
        </w:tc>
      </w:tr>
      <w:tr w:rsidR="009F3345" w:rsidRPr="00136CD6" w14:paraId="0E919A7C" w14:textId="77777777" w:rsidTr="009F3345">
        <w:trPr>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2F79A9E0" w14:textId="77777777" w:rsidR="009F3345" w:rsidRPr="00136CD6" w:rsidRDefault="009F3345" w:rsidP="0083090C">
            <w:pPr>
              <w:spacing w:after="0" w:line="240" w:lineRule="auto"/>
              <w:jc w:val="left"/>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Location</w:t>
            </w:r>
          </w:p>
        </w:tc>
        <w:tc>
          <w:tcPr>
            <w:tcW w:w="2745" w:type="dxa"/>
            <w:hideMark/>
          </w:tcPr>
          <w:p w14:paraId="6976D335" w14:textId="77777777" w:rsidR="009F3345" w:rsidRPr="00136CD6" w:rsidRDefault="009F3345" w:rsidP="0083090C">
            <w:pPr>
              <w:spacing w:after="0" w:line="240" w:lineRule="auto"/>
              <w:ind w:firstLineChars="100" w:firstLine="1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Central New Hampshire</w:t>
            </w:r>
          </w:p>
        </w:tc>
      </w:tr>
      <w:tr w:rsidR="009F3345" w:rsidRPr="00136CD6" w14:paraId="5B9C135C" w14:textId="77777777" w:rsidTr="009F334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02E02EB0" w14:textId="77777777" w:rsidR="009F3345" w:rsidRPr="00136CD6" w:rsidRDefault="009F3345" w:rsidP="0083090C">
            <w:pPr>
              <w:spacing w:after="0" w:line="240" w:lineRule="auto"/>
              <w:jc w:val="left"/>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Plot Size</w:t>
            </w:r>
          </w:p>
        </w:tc>
        <w:tc>
          <w:tcPr>
            <w:tcW w:w="2745" w:type="dxa"/>
            <w:hideMark/>
          </w:tcPr>
          <w:p w14:paraId="6D6BCCC8" w14:textId="77777777" w:rsidR="009F3345" w:rsidRPr="00136CD6" w:rsidRDefault="009F3345" w:rsidP="0083090C">
            <w:pPr>
              <w:spacing w:after="0" w:line="240" w:lineRule="auto"/>
              <w:ind w:firstLineChars="100" w:firstLine="16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3,600 acres</w:t>
            </w:r>
          </w:p>
        </w:tc>
      </w:tr>
      <w:tr w:rsidR="009F3345" w:rsidRPr="00136CD6" w14:paraId="0E543C47" w14:textId="77777777" w:rsidTr="009F3345">
        <w:trPr>
          <w:trHeight w:val="51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0D9FA730" w14:textId="77777777" w:rsidR="009F3345" w:rsidRPr="00136CD6" w:rsidRDefault="009F3345" w:rsidP="0083090C">
            <w:pPr>
              <w:spacing w:after="0" w:line="240" w:lineRule="auto"/>
              <w:jc w:val="left"/>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 xml:space="preserve">Electrical Interconnection </w:t>
            </w:r>
          </w:p>
        </w:tc>
        <w:tc>
          <w:tcPr>
            <w:tcW w:w="2745" w:type="dxa"/>
            <w:hideMark/>
          </w:tcPr>
          <w:p w14:paraId="40DD8C18" w14:textId="77777777" w:rsidR="009F3345" w:rsidRPr="00136CD6" w:rsidRDefault="009F3345" w:rsidP="0083090C">
            <w:pPr>
              <w:spacing w:after="0" w:line="240" w:lineRule="auto"/>
              <w:ind w:leftChars="55" w:left="121"/>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6"/>
                <w:szCs w:val="24"/>
              </w:rPr>
            </w:pPr>
            <w:r w:rsidRPr="00136CD6">
              <w:rPr>
                <w:rFonts w:ascii="Century Gothic" w:eastAsia="Times New Roman" w:hAnsi="Century Gothic" w:cs="Times New Roman"/>
                <w:color w:val="000000"/>
                <w:sz w:val="16"/>
                <w:szCs w:val="24"/>
              </w:rPr>
              <w:t xml:space="preserve">115kV along existing </w:t>
            </w:r>
            <w:r>
              <w:rPr>
                <w:rFonts w:ascii="Century Gothic" w:eastAsia="Times New Roman" w:hAnsi="Century Gothic" w:cs="Times New Roman"/>
                <w:color w:val="000000"/>
                <w:sz w:val="16"/>
                <w:szCs w:val="24"/>
              </w:rPr>
              <w:t xml:space="preserve">    </w:t>
            </w:r>
            <w:r w:rsidRPr="00136CD6">
              <w:rPr>
                <w:rFonts w:ascii="Century Gothic" w:eastAsia="Times New Roman" w:hAnsi="Century Gothic" w:cs="Times New Roman"/>
                <w:color w:val="000000"/>
                <w:sz w:val="16"/>
                <w:szCs w:val="24"/>
              </w:rPr>
              <w:t>transmission corridor</w:t>
            </w:r>
          </w:p>
        </w:tc>
      </w:tr>
    </w:tbl>
    <w:p w14:paraId="5042C6F6" w14:textId="107F58FA" w:rsidR="00EA0EB1" w:rsidRDefault="00EA0EB1" w:rsidP="00EA0EB1">
      <w:pPr>
        <w:jc w:val="center"/>
        <w:rPr>
          <w:rFonts w:eastAsia="Times New Roman" w:cs="Times New Roman"/>
          <w:szCs w:val="24"/>
        </w:rPr>
      </w:pPr>
    </w:p>
    <w:p w14:paraId="2CD7A5F5" w14:textId="77777777" w:rsidR="00EA0EB1" w:rsidRDefault="00EA0EB1" w:rsidP="00A12D4D">
      <w:pPr>
        <w:pStyle w:val="Heading3"/>
      </w:pPr>
      <w:r>
        <w:t>Capital Costs</w:t>
      </w:r>
    </w:p>
    <w:p w14:paraId="5F6724F0" w14:textId="0349D89A" w:rsidR="00DE3C37" w:rsidRDefault="00DE3C37" w:rsidP="00DE3C37">
      <w:pPr>
        <w:rPr>
          <w:rFonts w:eastAsia="Times New Roman" w:cs="Times New Roman"/>
          <w:szCs w:val="24"/>
        </w:rPr>
      </w:pPr>
      <w:r>
        <w:rPr>
          <w:rFonts w:eastAsia="Times New Roman" w:cs="Times New Roman"/>
          <w:szCs w:val="24"/>
        </w:rPr>
        <w:t xml:space="preserve">Capital costs for onshore wind farms vary significantly from project to project due to site specific conditions and costs. In calculating an appropriate capital cost for the reference wind farm, we consulted MM, reviewed recent FCA submissions by wind developers for the latest available technologies, and reviewed publicly available data on the capital costs of wind farms. A review of the most recent FCA submissions showed that capital costs for similarly sized wind farms varied by over 25%. The installed </w:t>
      </w:r>
      <w:proofErr w:type="gramStart"/>
      <w:r>
        <w:rPr>
          <w:rFonts w:eastAsia="Times New Roman" w:cs="Times New Roman"/>
          <w:szCs w:val="24"/>
        </w:rPr>
        <w:t>costs submitted by participants is</w:t>
      </w:r>
      <w:proofErr w:type="gramEnd"/>
      <w:r>
        <w:rPr>
          <w:rFonts w:eastAsia="Times New Roman" w:cs="Times New Roman"/>
          <w:szCs w:val="24"/>
        </w:rPr>
        <w:t xml:space="preserve"> not provided in enough granularity to determine the specific sources of variation.  Our assumed overnight costs for the reference wind farm are shown in </w:t>
      </w:r>
      <w:r w:rsidR="00D91061">
        <w:rPr>
          <w:rFonts w:eastAsia="Times New Roman" w:cs="Times New Roman"/>
          <w:szCs w:val="24"/>
        </w:rPr>
        <w:t xml:space="preserve">Table 41 </w:t>
      </w:r>
      <w:r>
        <w:rPr>
          <w:rFonts w:eastAsia="Times New Roman" w:cs="Times New Roman"/>
          <w:szCs w:val="24"/>
        </w:rPr>
        <w:t>below. The overnight costs represent a decrease in the assumed cost for the reference wind farm from the 2013 ORTP study of $3,063/kW</w:t>
      </w:r>
      <w:r w:rsidR="007C426A">
        <w:rPr>
          <w:rFonts w:eastAsia="Times New Roman" w:cs="Times New Roman"/>
          <w:szCs w:val="24"/>
        </w:rPr>
        <w:t xml:space="preserve">, </w:t>
      </w:r>
      <w:r>
        <w:rPr>
          <w:rFonts w:eastAsia="Times New Roman" w:cs="Times New Roman"/>
          <w:szCs w:val="24"/>
        </w:rPr>
        <w:t>reflecting the declining cost trajectory for wind farm installations.</w:t>
      </w:r>
    </w:p>
    <w:p w14:paraId="5A688764" w14:textId="5B65F564" w:rsidR="00EA0EB1" w:rsidRDefault="00BA70BA" w:rsidP="00D2628D">
      <w:pPr>
        <w:pStyle w:val="Caption"/>
      </w:pPr>
      <w:bookmarkStart w:id="112" w:name="_Ref462648372"/>
      <w:bookmarkStart w:id="113" w:name="_Toc465433464"/>
      <w:r>
        <w:lastRenderedPageBreak/>
        <w:t xml:space="preserve">Table </w:t>
      </w:r>
      <w:r w:rsidR="00FA6573">
        <w:fldChar w:fldCharType="begin"/>
      </w:r>
      <w:r w:rsidR="00FA6573">
        <w:instrText xml:space="preserve"> SEQ Table \* ARABIC </w:instrText>
      </w:r>
      <w:r w:rsidR="00FA6573">
        <w:fldChar w:fldCharType="separate"/>
      </w:r>
      <w:r w:rsidR="000637A3">
        <w:rPr>
          <w:noProof/>
        </w:rPr>
        <w:t>41</w:t>
      </w:r>
      <w:r w:rsidR="00FA6573">
        <w:rPr>
          <w:noProof/>
        </w:rPr>
        <w:fldChar w:fldCharType="end"/>
      </w:r>
      <w:bookmarkEnd w:id="112"/>
      <w:r>
        <w:t xml:space="preserve">: </w:t>
      </w:r>
      <w:r w:rsidR="00EA0EB1" w:rsidRPr="006E137F">
        <w:t>Reference Onshore Wind Farm Overnight Costs</w:t>
      </w:r>
      <w:r w:rsidR="00DE3C37">
        <w:t xml:space="preserve"> </w:t>
      </w:r>
      <w:r w:rsidR="007C426A">
        <w:t>(2016$)</w:t>
      </w:r>
      <w:bookmarkEnd w:id="113"/>
    </w:p>
    <w:p w14:paraId="771EFFA9" w14:textId="3257872C" w:rsidR="00EA0EB1" w:rsidRDefault="00CD121B" w:rsidP="00EA0EB1">
      <w:pPr>
        <w:jc w:val="center"/>
        <w:rPr>
          <w:rFonts w:eastAsia="Times New Roman" w:cs="Times New Roman"/>
          <w:szCs w:val="24"/>
        </w:rPr>
      </w:pPr>
      <w:r w:rsidRPr="00CD121B">
        <w:rPr>
          <w:noProof/>
        </w:rPr>
        <w:drawing>
          <wp:inline distT="0" distB="0" distL="0" distR="0" wp14:anchorId="1E3754F9" wp14:editId="32FDE5CD">
            <wp:extent cx="4362450"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2450" cy="2190750"/>
                    </a:xfrm>
                    <a:prstGeom prst="rect">
                      <a:avLst/>
                    </a:prstGeom>
                    <a:noFill/>
                    <a:ln>
                      <a:noFill/>
                    </a:ln>
                  </pic:spPr>
                </pic:pic>
              </a:graphicData>
            </a:graphic>
          </wp:inline>
        </w:drawing>
      </w:r>
    </w:p>
    <w:p w14:paraId="62F1F68D" w14:textId="77777777" w:rsidR="00CD121B" w:rsidRDefault="00CD121B" w:rsidP="00EA0EB1">
      <w:pPr>
        <w:rPr>
          <w:rFonts w:eastAsia="Times New Roman" w:cs="Times New Roman"/>
          <w:szCs w:val="24"/>
        </w:rPr>
      </w:pPr>
    </w:p>
    <w:p w14:paraId="51577036" w14:textId="22EFC1FE" w:rsidR="00EA0EB1" w:rsidRDefault="00EA0EB1" w:rsidP="00EA0EB1">
      <w:pPr>
        <w:rPr>
          <w:rFonts w:eastAsia="Times New Roman" w:cs="Arial"/>
          <w:b/>
          <w:szCs w:val="24"/>
        </w:rPr>
      </w:pPr>
      <w:r>
        <w:rPr>
          <w:rFonts w:eastAsia="Times New Roman" w:cs="Times New Roman"/>
          <w:szCs w:val="24"/>
        </w:rPr>
        <w:t xml:space="preserve">Tax credits are currently available for eligible renewable resources in the form of a </w:t>
      </w:r>
      <w:r w:rsidRPr="00044A73">
        <w:rPr>
          <w:rFonts w:eastAsia="Times New Roman" w:cs="Times New Roman"/>
          <w:szCs w:val="24"/>
        </w:rPr>
        <w:t>Production Tax Credit (</w:t>
      </w:r>
      <w:r>
        <w:rPr>
          <w:rFonts w:eastAsia="Times New Roman" w:cs="Times New Roman"/>
          <w:szCs w:val="24"/>
        </w:rPr>
        <w:t>“</w:t>
      </w:r>
      <w:r w:rsidRPr="00044A73">
        <w:rPr>
          <w:rFonts w:eastAsia="Times New Roman" w:cs="Times New Roman"/>
          <w:szCs w:val="24"/>
        </w:rPr>
        <w:t>PTC</w:t>
      </w:r>
      <w:r>
        <w:rPr>
          <w:rFonts w:eastAsia="Times New Roman" w:cs="Times New Roman"/>
          <w:szCs w:val="24"/>
        </w:rPr>
        <w:t>”</w:t>
      </w:r>
      <w:r w:rsidRPr="00044A73">
        <w:rPr>
          <w:rFonts w:eastAsia="Times New Roman" w:cs="Times New Roman"/>
          <w:szCs w:val="24"/>
        </w:rPr>
        <w:t xml:space="preserve">) </w:t>
      </w:r>
      <w:r>
        <w:rPr>
          <w:rFonts w:eastAsia="Times New Roman" w:cs="Times New Roman"/>
          <w:szCs w:val="24"/>
        </w:rPr>
        <w:t>and</w:t>
      </w:r>
      <w:r w:rsidRPr="00044A73">
        <w:rPr>
          <w:rFonts w:eastAsia="Times New Roman" w:cs="Times New Roman"/>
          <w:szCs w:val="24"/>
        </w:rPr>
        <w:t xml:space="preserve"> the Investment Tax Credit (</w:t>
      </w:r>
      <w:r>
        <w:rPr>
          <w:rFonts w:eastAsia="Times New Roman" w:cs="Times New Roman"/>
          <w:szCs w:val="24"/>
        </w:rPr>
        <w:t>“</w:t>
      </w:r>
      <w:r w:rsidRPr="00044A73">
        <w:rPr>
          <w:rFonts w:eastAsia="Times New Roman" w:cs="Times New Roman"/>
          <w:szCs w:val="24"/>
        </w:rPr>
        <w:t>ITC</w:t>
      </w:r>
      <w:r w:rsidR="00E50CEC">
        <w:rPr>
          <w:rFonts w:eastAsia="Times New Roman" w:cs="Times New Roman"/>
          <w:szCs w:val="24"/>
        </w:rPr>
        <w:t>")</w:t>
      </w:r>
      <w:r>
        <w:rPr>
          <w:rFonts w:eastAsia="Times New Roman" w:cs="Times New Roman"/>
          <w:szCs w:val="24"/>
        </w:rPr>
        <w:t xml:space="preserve">. </w:t>
      </w:r>
      <w:r w:rsidRPr="006E137F">
        <w:rPr>
          <w:rFonts w:eastAsia="Times New Roman" w:cs="Times New Roman"/>
          <w:szCs w:val="24"/>
        </w:rPr>
        <w:t xml:space="preserve">In our ORTP calculations, we have included the value of the </w:t>
      </w:r>
      <w:r>
        <w:rPr>
          <w:rFonts w:eastAsia="Times New Roman" w:cs="Times New Roman"/>
          <w:szCs w:val="24"/>
        </w:rPr>
        <w:t xml:space="preserve">PTC for wind.  </w:t>
      </w:r>
      <w:r w:rsidRPr="006E137F">
        <w:rPr>
          <w:rFonts w:eastAsia="Times New Roman" w:cs="Times New Roman"/>
          <w:szCs w:val="24"/>
        </w:rPr>
        <w:t>We assumed that the tax credits will continue to be available at their current</w:t>
      </w:r>
      <w:r>
        <w:rPr>
          <w:rFonts w:eastAsia="Times New Roman" w:cs="Times New Roman"/>
          <w:szCs w:val="24"/>
        </w:rPr>
        <w:t xml:space="preserve"> respective rates through 2021</w:t>
      </w:r>
      <w:r w:rsidRPr="006E137F">
        <w:rPr>
          <w:rFonts w:eastAsia="Times New Roman" w:cs="Times New Roman"/>
          <w:szCs w:val="24"/>
        </w:rPr>
        <w:t>. For the onshore wind ORTP calculation,</w:t>
      </w:r>
      <w:r>
        <w:rPr>
          <w:rFonts w:eastAsia="Times New Roman" w:cs="Times New Roman"/>
          <w:szCs w:val="24"/>
        </w:rPr>
        <w:t xml:space="preserve"> </w:t>
      </w:r>
      <w:r w:rsidRPr="006E137F">
        <w:rPr>
          <w:rFonts w:eastAsia="Times New Roman" w:cs="Times New Roman"/>
          <w:szCs w:val="24"/>
        </w:rPr>
        <w:t>the PTC is estimated to be $</w:t>
      </w:r>
      <w:r>
        <w:rPr>
          <w:rFonts w:eastAsia="Times New Roman" w:cs="Times New Roman"/>
          <w:szCs w:val="24"/>
        </w:rPr>
        <w:t>0.15</w:t>
      </w:r>
      <w:r w:rsidRPr="006E137F">
        <w:rPr>
          <w:rFonts w:eastAsia="Times New Roman" w:cs="Times New Roman"/>
          <w:szCs w:val="24"/>
        </w:rPr>
        <w:t>/</w:t>
      </w:r>
      <w:r>
        <w:rPr>
          <w:rFonts w:eastAsia="Times New Roman" w:cs="Times New Roman"/>
          <w:szCs w:val="24"/>
        </w:rPr>
        <w:t>kWh in 2021</w:t>
      </w:r>
      <w:r w:rsidRPr="006E137F">
        <w:rPr>
          <w:rFonts w:eastAsia="Times New Roman" w:cs="Times New Roman"/>
          <w:szCs w:val="24"/>
        </w:rPr>
        <w:t xml:space="preserve"> dollars, based on current rules and </w:t>
      </w:r>
      <w:r>
        <w:rPr>
          <w:rFonts w:eastAsia="Times New Roman" w:cs="Times New Roman"/>
          <w:szCs w:val="24"/>
        </w:rPr>
        <w:t>our</w:t>
      </w:r>
      <w:r w:rsidRPr="006E137F">
        <w:rPr>
          <w:rFonts w:eastAsia="Times New Roman" w:cs="Times New Roman"/>
          <w:szCs w:val="24"/>
        </w:rPr>
        <w:t xml:space="preserve"> assumed</w:t>
      </w:r>
      <w:r>
        <w:rPr>
          <w:rFonts w:eastAsia="Times New Roman" w:cs="Times New Roman"/>
          <w:szCs w:val="24"/>
        </w:rPr>
        <w:t xml:space="preserve"> </w:t>
      </w:r>
      <w:r w:rsidRPr="006E137F">
        <w:rPr>
          <w:rFonts w:eastAsia="Times New Roman" w:cs="Times New Roman"/>
          <w:szCs w:val="24"/>
        </w:rPr>
        <w:t xml:space="preserve">inflation </w:t>
      </w:r>
      <w:r>
        <w:rPr>
          <w:rFonts w:eastAsia="Times New Roman" w:cs="Times New Roman"/>
          <w:szCs w:val="24"/>
        </w:rPr>
        <w:t>rate</w:t>
      </w:r>
      <w:r w:rsidRPr="006E137F">
        <w:rPr>
          <w:rFonts w:eastAsia="Times New Roman" w:cs="Times New Roman"/>
          <w:szCs w:val="24"/>
        </w:rPr>
        <w:t>.</w:t>
      </w:r>
      <w:r>
        <w:rPr>
          <w:rFonts w:eastAsia="Times New Roman" w:cs="Times New Roman"/>
          <w:szCs w:val="24"/>
        </w:rPr>
        <w:t xml:space="preserve"> </w:t>
      </w:r>
    </w:p>
    <w:p w14:paraId="22789BEA" w14:textId="77777777" w:rsidR="00EA0EB1" w:rsidRDefault="00EA0EB1" w:rsidP="00A12D4D">
      <w:pPr>
        <w:pStyle w:val="Heading3"/>
      </w:pPr>
      <w:r>
        <w:t>Fixed O&amp;M Costs</w:t>
      </w:r>
    </w:p>
    <w:p w14:paraId="080220C0" w14:textId="77DB08AE" w:rsidR="00EA0EB1" w:rsidRDefault="00EA0EB1" w:rsidP="00EA0EB1">
      <w:pPr>
        <w:rPr>
          <w:rFonts w:eastAsia="Times New Roman" w:cs="Times New Roman"/>
          <w:szCs w:val="24"/>
        </w:rPr>
      </w:pPr>
      <w:r w:rsidRPr="007B6A82">
        <w:rPr>
          <w:rFonts w:eastAsia="Times New Roman" w:cs="Times New Roman"/>
          <w:szCs w:val="24"/>
        </w:rPr>
        <w:t>We estimated fixed O&amp;M costs</w:t>
      </w:r>
      <w:r>
        <w:rPr>
          <w:rFonts w:eastAsia="Times New Roman" w:cs="Times New Roman"/>
          <w:szCs w:val="24"/>
        </w:rPr>
        <w:t xml:space="preserve"> for onshore wind farms</w:t>
      </w:r>
      <w:r w:rsidRPr="007B6A82">
        <w:rPr>
          <w:rFonts w:eastAsia="Times New Roman" w:cs="Times New Roman"/>
          <w:szCs w:val="24"/>
        </w:rPr>
        <w:t xml:space="preserve"> through consultation with </w:t>
      </w:r>
      <w:r w:rsidR="003A0E05">
        <w:rPr>
          <w:rFonts w:eastAsia="Times New Roman" w:cs="Times New Roman"/>
          <w:szCs w:val="24"/>
        </w:rPr>
        <w:t>MM</w:t>
      </w:r>
      <w:r w:rsidRPr="007B6A82">
        <w:rPr>
          <w:rFonts w:eastAsia="Times New Roman" w:cs="Times New Roman"/>
          <w:szCs w:val="24"/>
        </w:rPr>
        <w:t xml:space="preserve"> and a review of the most recent </w:t>
      </w:r>
      <w:r>
        <w:rPr>
          <w:rFonts w:eastAsia="Times New Roman" w:cs="Times New Roman"/>
          <w:szCs w:val="24"/>
        </w:rPr>
        <w:t xml:space="preserve">FCA </w:t>
      </w:r>
      <w:r w:rsidRPr="007B6A82">
        <w:rPr>
          <w:rFonts w:eastAsia="Times New Roman" w:cs="Times New Roman"/>
          <w:szCs w:val="24"/>
        </w:rPr>
        <w:t>qualification materials</w:t>
      </w:r>
      <w:r>
        <w:rPr>
          <w:rFonts w:eastAsia="Times New Roman" w:cs="Times New Roman"/>
          <w:szCs w:val="24"/>
        </w:rPr>
        <w:t xml:space="preserve"> provided by ISO-NE.  </w:t>
      </w:r>
    </w:p>
    <w:p w14:paraId="54AF16D4" w14:textId="77777777" w:rsidR="00EA0EB1" w:rsidRDefault="00EA0EB1" w:rsidP="00EA0EB1">
      <w:pPr>
        <w:rPr>
          <w:rFonts w:eastAsia="Times New Roman" w:cs="Times New Roman"/>
          <w:szCs w:val="24"/>
        </w:rPr>
      </w:pPr>
      <w:r>
        <w:rPr>
          <w:rFonts w:eastAsia="Times New Roman" w:cs="Times New Roman"/>
          <w:szCs w:val="24"/>
        </w:rPr>
        <w:t xml:space="preserve">Land lease costs are typically negotiated and are therefore difficult to calculate.  We assumed that 3,600 acres of land would be leased at a cost of approximately </w:t>
      </w:r>
      <w:r w:rsidRPr="007B6A82">
        <w:rPr>
          <w:rFonts w:eastAsia="Times New Roman" w:cs="Times New Roman"/>
          <w:szCs w:val="24"/>
        </w:rPr>
        <w:t>$</w:t>
      </w:r>
      <w:r>
        <w:rPr>
          <w:rFonts w:eastAsia="Times New Roman" w:cs="Times New Roman"/>
          <w:szCs w:val="24"/>
        </w:rPr>
        <w:t xml:space="preserve">860,000 or $240/acre, which is consistent with our review of ISO-NE data.  </w:t>
      </w:r>
    </w:p>
    <w:p w14:paraId="5C0B9BE1" w14:textId="0F988A32" w:rsidR="00EA0EB1" w:rsidRDefault="00EA0EB1" w:rsidP="00EA0EB1">
      <w:pPr>
        <w:rPr>
          <w:rFonts w:eastAsia="Times New Roman" w:cs="Times New Roman"/>
          <w:szCs w:val="24"/>
        </w:rPr>
      </w:pPr>
      <w:r>
        <w:rPr>
          <w:rFonts w:eastAsia="Times New Roman" w:cs="Times New Roman"/>
          <w:szCs w:val="24"/>
        </w:rPr>
        <w:t xml:space="preserve">A property tax rate of 1% was assumed based on a review of independent power projects in New England that </w:t>
      </w:r>
      <w:r w:rsidR="00127567">
        <w:rPr>
          <w:rFonts w:eastAsia="Times New Roman" w:cs="Times New Roman"/>
          <w:szCs w:val="24"/>
        </w:rPr>
        <w:t>have</w:t>
      </w:r>
      <w:r>
        <w:rPr>
          <w:rFonts w:eastAsia="Times New Roman" w:cs="Times New Roman"/>
          <w:szCs w:val="24"/>
        </w:rPr>
        <w:t xml:space="preserve"> entered into agreements for </w:t>
      </w:r>
      <w:r w:rsidR="00127567">
        <w:rPr>
          <w:rFonts w:eastAsia="Times New Roman" w:cs="Times New Roman"/>
          <w:szCs w:val="24"/>
        </w:rPr>
        <w:t>PILOT</w:t>
      </w:r>
      <w:r>
        <w:rPr>
          <w:rFonts w:eastAsia="Times New Roman" w:cs="Times New Roman"/>
          <w:szCs w:val="24"/>
        </w:rPr>
        <w:t xml:space="preserve"> agreements with local cities and towns. This rate was applied to an average of net plant values on an annual basis. This assumption </w:t>
      </w:r>
      <w:r w:rsidR="00127567">
        <w:rPr>
          <w:rFonts w:eastAsia="Times New Roman" w:cs="Times New Roman"/>
          <w:szCs w:val="24"/>
        </w:rPr>
        <w:t>was</w:t>
      </w:r>
      <w:r>
        <w:rPr>
          <w:rFonts w:eastAsia="Times New Roman" w:cs="Times New Roman"/>
          <w:szCs w:val="24"/>
        </w:rPr>
        <w:t xml:space="preserve"> based on the fact that resources subject to PILOT agreements will have property tax expenses in each year of operation that will not vary significant</w:t>
      </w:r>
      <w:r w:rsidR="00E50CEC">
        <w:rPr>
          <w:rFonts w:eastAsia="Times New Roman" w:cs="Times New Roman"/>
          <w:szCs w:val="24"/>
        </w:rPr>
        <w:t>ly</w:t>
      </w:r>
      <w:r>
        <w:rPr>
          <w:rFonts w:eastAsia="Times New Roman" w:cs="Times New Roman"/>
          <w:szCs w:val="24"/>
        </w:rPr>
        <w:t xml:space="preserve"> so that an average payment better reflects actual PILOT agreement structures. Based on this assumed rate, the property taxes for the onshore wind farm were estimated at approximately $130,000 per year.</w:t>
      </w:r>
    </w:p>
    <w:p w14:paraId="4467F0E9" w14:textId="77777777" w:rsidR="00EA0EB1" w:rsidRDefault="00EA0EB1" w:rsidP="00EA0EB1">
      <w:pPr>
        <w:rPr>
          <w:rFonts w:eastAsia="Times New Roman" w:cs="Times New Roman"/>
          <w:szCs w:val="24"/>
        </w:rPr>
      </w:pPr>
      <w:r>
        <w:rPr>
          <w:rFonts w:eastAsia="Times New Roman" w:cs="Times New Roman"/>
          <w:szCs w:val="24"/>
        </w:rPr>
        <w:t>Insurance costs were assumed to be 0.3% of installed costs, consistent with the assumption contained in the 2013 ORTP study, which continues to be reasonable.  Annual insurance costs were estimated to be approximately $440,000 in 2021 dollars.</w:t>
      </w:r>
    </w:p>
    <w:p w14:paraId="6292033E" w14:textId="28E8F62C" w:rsidR="00EA0EB1" w:rsidRDefault="00EA0EB1" w:rsidP="00EA0EB1">
      <w:pPr>
        <w:rPr>
          <w:rFonts w:eastAsia="Times New Roman" w:cs="Times New Roman"/>
          <w:szCs w:val="24"/>
        </w:rPr>
      </w:pPr>
      <w:r>
        <w:rPr>
          <w:rFonts w:eastAsia="Times New Roman" w:cs="Times New Roman"/>
          <w:szCs w:val="24"/>
        </w:rPr>
        <w:t xml:space="preserve">Ongoing maintenance costs were assumed to be approximately $1,800,000 per year based on a review of recent FCA submissions by onshore wind farms and consultation with </w:t>
      </w:r>
      <w:r w:rsidR="003A0E05">
        <w:rPr>
          <w:rFonts w:eastAsia="Times New Roman" w:cs="Times New Roman"/>
          <w:szCs w:val="24"/>
        </w:rPr>
        <w:t>MM</w:t>
      </w:r>
      <w:r>
        <w:rPr>
          <w:rFonts w:eastAsia="Times New Roman" w:cs="Times New Roman"/>
          <w:szCs w:val="24"/>
        </w:rPr>
        <w:t>.</w:t>
      </w:r>
    </w:p>
    <w:p w14:paraId="1693513F" w14:textId="77777777" w:rsidR="00EA0EB1" w:rsidRDefault="00EA0EB1" w:rsidP="00EA0EB1">
      <w:pPr>
        <w:rPr>
          <w:rFonts w:eastAsia="Times New Roman" w:cs="Times New Roman"/>
          <w:szCs w:val="24"/>
        </w:rPr>
      </w:pPr>
      <w:r>
        <w:rPr>
          <w:rFonts w:eastAsia="Times New Roman" w:cs="Times New Roman"/>
          <w:szCs w:val="24"/>
        </w:rPr>
        <w:lastRenderedPageBreak/>
        <w:t xml:space="preserve">Each of the above assumptions </w:t>
      </w:r>
      <w:proofErr w:type="gramStart"/>
      <w:r>
        <w:rPr>
          <w:rFonts w:eastAsia="Times New Roman" w:cs="Times New Roman"/>
          <w:szCs w:val="24"/>
        </w:rPr>
        <w:t>are</w:t>
      </w:r>
      <w:proofErr w:type="gramEnd"/>
      <w:r>
        <w:rPr>
          <w:rFonts w:eastAsia="Times New Roman" w:cs="Times New Roman"/>
          <w:szCs w:val="24"/>
        </w:rPr>
        <w:t xml:space="preserve"> an estimation of costs, since information on each of these cost categories is very limited and extremely site specific.  Based on these assumptions, we calculated a </w:t>
      </w:r>
      <w:proofErr w:type="spellStart"/>
      <w:r>
        <w:rPr>
          <w:rFonts w:eastAsia="Times New Roman" w:cs="Times New Roman"/>
          <w:szCs w:val="24"/>
        </w:rPr>
        <w:t>levelized</w:t>
      </w:r>
      <w:proofErr w:type="spellEnd"/>
      <w:r>
        <w:rPr>
          <w:rFonts w:eastAsia="Times New Roman" w:cs="Times New Roman"/>
          <w:szCs w:val="24"/>
        </w:rPr>
        <w:t xml:space="preserve"> fixed O&amp;M cost for the reference onshore wind farm of $5.30/kw-month.  A comparison of this all-in fixed O&amp;M cost to recent FCA submissions shows this cost to be appropriately conservative, and less than the $6.88/kW-month assumed in the 2013 ORTP study.  </w:t>
      </w:r>
    </w:p>
    <w:p w14:paraId="2CA08AB2" w14:textId="77777777" w:rsidR="00EA0EB1" w:rsidRPr="008C152D" w:rsidRDefault="00EA0EB1" w:rsidP="00A12D4D">
      <w:pPr>
        <w:pStyle w:val="Heading3"/>
      </w:pPr>
      <w:r w:rsidRPr="008C152D">
        <w:t>Revenue offsets</w:t>
      </w:r>
    </w:p>
    <w:p w14:paraId="532B98FF" w14:textId="77777777" w:rsidR="00DE3C37" w:rsidRDefault="00DE3C37" w:rsidP="00DE3C37">
      <w:pPr>
        <w:rPr>
          <w:rFonts w:eastAsia="Times New Roman" w:cs="Times New Roman"/>
          <w:szCs w:val="24"/>
        </w:rPr>
      </w:pPr>
      <w:r>
        <w:rPr>
          <w:rFonts w:eastAsia="Times New Roman" w:cs="Times New Roman"/>
          <w:szCs w:val="24"/>
        </w:rPr>
        <w:t xml:space="preserve">Revenue offsets for the reference onshore wind farm include energy market revenues as well as revenues from renewable energy certificates (“REC’s) and the PFP mechanism in the FCM.  </w:t>
      </w:r>
    </w:p>
    <w:p w14:paraId="4A99488D" w14:textId="77777777" w:rsidR="00DE3C37" w:rsidRDefault="00DE3C37" w:rsidP="00DE3C37">
      <w:r>
        <w:rPr>
          <w:rFonts w:eastAsia="Times New Roman" w:cs="Times New Roman"/>
          <w:szCs w:val="24"/>
        </w:rPr>
        <w:t xml:space="preserve">To calculate energy margins, we assumed no variable costs so that the energy margins are equal to energy revenues.  To calculate energy revenues, </w:t>
      </w:r>
      <w:r>
        <w:t xml:space="preserve">a projection of production, differentiated by month and time of day, was applied to the LMP forecast.  Production assumptions were based on actual production data provided by ISO-NE.  Wind resources do not receive AS revenues. </w:t>
      </w:r>
    </w:p>
    <w:p w14:paraId="75FCF08D" w14:textId="77777777" w:rsidR="00DE3C37" w:rsidRDefault="00DE3C37" w:rsidP="00DE3C37">
      <w:pPr>
        <w:rPr>
          <w:rFonts w:eastAsia="Times New Roman" w:cs="Times New Roman"/>
          <w:szCs w:val="24"/>
        </w:rPr>
      </w:pPr>
      <w:r>
        <w:rPr>
          <w:rFonts w:eastAsia="Times New Roman" w:cs="Times New Roman"/>
          <w:szCs w:val="24"/>
        </w:rPr>
        <w:t xml:space="preserve">To calculate estimated REC revenues, we considered existing Renewable Portfolio Standards (“RPS”) in New England, the expected entry of increasing renewable resources, and a third-party REC price projection.  We have assumed a REC price over the forecast period of $26.50/MWh, which we believe </w:t>
      </w:r>
      <w:proofErr w:type="gramStart"/>
      <w:r>
        <w:rPr>
          <w:rFonts w:eastAsia="Times New Roman" w:cs="Times New Roman"/>
          <w:szCs w:val="24"/>
        </w:rPr>
        <w:t>appropriately</w:t>
      </w:r>
      <w:proofErr w:type="gramEnd"/>
      <w:r>
        <w:rPr>
          <w:rFonts w:eastAsia="Times New Roman" w:cs="Times New Roman"/>
          <w:szCs w:val="24"/>
        </w:rPr>
        <w:t xml:space="preserve"> reflects an expected future value of RECs in New England.</w:t>
      </w:r>
    </w:p>
    <w:p w14:paraId="54B6FCA8" w14:textId="5309206C" w:rsidR="00EA0EB1" w:rsidRDefault="00DE3C37" w:rsidP="00EA0EB1">
      <w:pPr>
        <w:rPr>
          <w:rFonts w:eastAsia="Times New Roman" w:cs="Times New Roman"/>
          <w:szCs w:val="24"/>
        </w:rPr>
      </w:pPr>
      <w:r>
        <w:rPr>
          <w:rFonts w:eastAsia="Times New Roman" w:cs="Times New Roman"/>
          <w:szCs w:val="24"/>
        </w:rPr>
        <w:t xml:space="preserve">To calculate estimated PFP revenues, we reviewed the most recent ISO-NE projections of scarcity hours in New England, as more fully described in Section </w:t>
      </w:r>
      <w:r w:rsidR="00CE0799">
        <w:rPr>
          <w:rFonts w:eastAsia="Times New Roman" w:cs="Times New Roman"/>
          <w:szCs w:val="24"/>
        </w:rPr>
        <w:t>3</w:t>
      </w:r>
      <w:r w:rsidR="00127567">
        <w:rPr>
          <w:rFonts w:eastAsia="Times New Roman" w:cs="Times New Roman"/>
          <w:szCs w:val="24"/>
        </w:rPr>
        <w:t xml:space="preserve">.E. </w:t>
      </w:r>
      <w:r w:rsidRPr="004A1C58">
        <w:rPr>
          <w:rFonts w:eastAsia="Times New Roman" w:cs="Times New Roman"/>
          <w:szCs w:val="24"/>
        </w:rPr>
        <w:t xml:space="preserve"> </w:t>
      </w:r>
      <w:r>
        <w:rPr>
          <w:rFonts w:eastAsia="Times New Roman" w:cs="Times New Roman"/>
          <w:szCs w:val="24"/>
        </w:rPr>
        <w:t xml:space="preserve">We extrapolated a value of 6 hours of scarcity conditions per year over the next 3 years based on current excess capacity levels, and 11.3 hours over the balance of the forecast period.  In addition, we obtained information from ISO-NE on the actual performance of onshore wind resources </w:t>
      </w:r>
      <w:r w:rsidRPr="00DE3C37">
        <w:rPr>
          <w:rFonts w:eastAsia="Times New Roman" w:cs="Times New Roman"/>
          <w:szCs w:val="24"/>
        </w:rPr>
        <w:t>during Reserve Constraint Penalty Factor (“RCPF”) hours over the last three years.  This data showed that wind resources had a 93% performance rate.  Assuming an 85% balancing ratio, wind resources are expected to receive PFP revenues of $</w:t>
      </w:r>
      <w:r w:rsidR="00CE0799">
        <w:rPr>
          <w:rFonts w:eastAsia="Times New Roman" w:cs="Times New Roman"/>
          <w:szCs w:val="24"/>
        </w:rPr>
        <w:t>0.04</w:t>
      </w:r>
      <w:r w:rsidRPr="008E234D">
        <w:rPr>
          <w:rFonts w:eastAsia="Times New Roman" w:cs="Times New Roman"/>
          <w:szCs w:val="24"/>
        </w:rPr>
        <w:t>/</w:t>
      </w:r>
      <w:r w:rsidRPr="00DE3C37">
        <w:rPr>
          <w:rFonts w:eastAsia="Times New Roman" w:cs="Times New Roman"/>
          <w:szCs w:val="24"/>
        </w:rPr>
        <w:t xml:space="preserve">kW-month for years 1-3 of the forecast period and </w:t>
      </w:r>
      <w:r w:rsidRPr="008E234D">
        <w:rPr>
          <w:rFonts w:eastAsia="Times New Roman" w:cs="Times New Roman"/>
          <w:szCs w:val="24"/>
        </w:rPr>
        <w:t>$</w:t>
      </w:r>
      <w:r w:rsidR="00CE0799">
        <w:rPr>
          <w:rFonts w:eastAsia="Times New Roman" w:cs="Times New Roman"/>
          <w:szCs w:val="24"/>
        </w:rPr>
        <w:t>0.23</w:t>
      </w:r>
      <w:r w:rsidRPr="008E234D">
        <w:rPr>
          <w:rFonts w:eastAsia="Times New Roman" w:cs="Times New Roman"/>
          <w:szCs w:val="24"/>
        </w:rPr>
        <w:t>/</w:t>
      </w:r>
      <w:r w:rsidRPr="00DE3C37">
        <w:rPr>
          <w:rFonts w:eastAsia="Times New Roman" w:cs="Times New Roman"/>
          <w:szCs w:val="24"/>
        </w:rPr>
        <w:t>kW-month over the bal</w:t>
      </w:r>
      <w:r>
        <w:rPr>
          <w:rFonts w:eastAsia="Times New Roman" w:cs="Times New Roman"/>
          <w:szCs w:val="24"/>
        </w:rPr>
        <w:t xml:space="preserve">ance of the forecast period, as shown in </w:t>
      </w:r>
      <w:r w:rsidRPr="008254D7">
        <w:rPr>
          <w:rFonts w:eastAsia="Times New Roman" w:cs="Times New Roman"/>
          <w:szCs w:val="24"/>
        </w:rPr>
        <w:fldChar w:fldCharType="begin"/>
      </w:r>
      <w:r w:rsidRPr="008254D7">
        <w:rPr>
          <w:rFonts w:eastAsia="Times New Roman" w:cs="Times New Roman"/>
          <w:szCs w:val="24"/>
        </w:rPr>
        <w:instrText xml:space="preserve"> REF _Ref462648481 \h </w:instrText>
      </w:r>
      <w:r>
        <w:rPr>
          <w:rFonts w:eastAsia="Times New Roman" w:cs="Times New Roman"/>
          <w:szCs w:val="24"/>
        </w:rPr>
        <w:instrText xml:space="preserve"> \* MERGEFORMAT </w:instrText>
      </w:r>
      <w:r w:rsidRPr="008254D7">
        <w:rPr>
          <w:rFonts w:eastAsia="Times New Roman" w:cs="Times New Roman"/>
          <w:szCs w:val="24"/>
        </w:rPr>
      </w:r>
      <w:r w:rsidRPr="008254D7">
        <w:rPr>
          <w:rFonts w:eastAsia="Times New Roman" w:cs="Times New Roman"/>
          <w:szCs w:val="24"/>
        </w:rPr>
        <w:fldChar w:fldCharType="separate"/>
      </w:r>
      <w:r w:rsidR="00D91061">
        <w:rPr>
          <w:rFonts w:cs="Times New Roman"/>
        </w:rPr>
        <w:t>Table 42</w:t>
      </w:r>
      <w:r w:rsidRPr="008254D7">
        <w:rPr>
          <w:rFonts w:eastAsia="Times New Roman" w:cs="Times New Roman"/>
          <w:szCs w:val="24"/>
        </w:rPr>
        <w:fldChar w:fldCharType="end"/>
      </w:r>
      <w:r>
        <w:rPr>
          <w:rFonts w:eastAsia="Times New Roman" w:cs="Times New Roman"/>
          <w:szCs w:val="24"/>
        </w:rPr>
        <w:t xml:space="preserve"> below. </w:t>
      </w:r>
    </w:p>
    <w:p w14:paraId="0B078EC1" w14:textId="2C1612E9" w:rsidR="00EA0EB1" w:rsidRDefault="0011163D" w:rsidP="00D2628D">
      <w:pPr>
        <w:pStyle w:val="Caption"/>
      </w:pPr>
      <w:bookmarkStart w:id="114" w:name="_Ref462648481"/>
      <w:bookmarkStart w:id="115" w:name="_Toc465433465"/>
      <w:r>
        <w:t xml:space="preserve">Table </w:t>
      </w:r>
      <w:r w:rsidR="00FA6573">
        <w:fldChar w:fldCharType="begin"/>
      </w:r>
      <w:r w:rsidR="00FA6573">
        <w:instrText xml:space="preserve"> SEQ Table \* ARABIC </w:instrText>
      </w:r>
      <w:r w:rsidR="00FA6573">
        <w:fldChar w:fldCharType="separate"/>
      </w:r>
      <w:r w:rsidR="000637A3">
        <w:rPr>
          <w:noProof/>
        </w:rPr>
        <w:t>42</w:t>
      </w:r>
      <w:r w:rsidR="00FA6573">
        <w:rPr>
          <w:noProof/>
        </w:rPr>
        <w:fldChar w:fldCharType="end"/>
      </w:r>
      <w:bookmarkEnd w:id="114"/>
      <w:r>
        <w:t xml:space="preserve">: </w:t>
      </w:r>
      <w:r w:rsidR="00EA0EB1" w:rsidRPr="00366677">
        <w:t>Expected Onshore Wind Farm PFP Revenues</w:t>
      </w:r>
      <w:bookmarkEnd w:id="115"/>
      <w:r w:rsidR="009A3C8D">
        <w:t xml:space="preserve"> </w:t>
      </w:r>
    </w:p>
    <w:tbl>
      <w:tblPr>
        <w:tblW w:w="5000" w:type="pct"/>
        <w:tblLook w:val="04A0" w:firstRow="1" w:lastRow="0" w:firstColumn="1" w:lastColumn="0" w:noHBand="0" w:noVBand="1"/>
      </w:tblPr>
      <w:tblGrid>
        <w:gridCol w:w="1708"/>
        <w:gridCol w:w="1130"/>
        <w:gridCol w:w="1382"/>
        <w:gridCol w:w="1340"/>
        <w:gridCol w:w="1427"/>
        <w:gridCol w:w="1340"/>
        <w:gridCol w:w="1249"/>
      </w:tblGrid>
      <w:tr w:rsidR="00CE0799" w:rsidRPr="00CE0799" w14:paraId="56C7A326" w14:textId="77777777" w:rsidTr="00127567">
        <w:trPr>
          <w:trHeight w:val="1025"/>
        </w:trPr>
        <w:tc>
          <w:tcPr>
            <w:tcW w:w="908" w:type="pct"/>
            <w:tcBorders>
              <w:top w:val="single" w:sz="4" w:space="0" w:color="auto"/>
              <w:left w:val="single" w:sz="4" w:space="0" w:color="auto"/>
              <w:bottom w:val="single" w:sz="4" w:space="0" w:color="auto"/>
              <w:right w:val="nil"/>
            </w:tcBorders>
            <w:shd w:val="clear" w:color="000000" w:fill="BFBFBF"/>
            <w:hideMark/>
          </w:tcPr>
          <w:p w14:paraId="75366B79" w14:textId="77777777" w:rsidR="00CE0799" w:rsidRPr="001436DC" w:rsidRDefault="00CE0799" w:rsidP="00CE079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Technology</w:t>
            </w:r>
          </w:p>
        </w:tc>
        <w:tc>
          <w:tcPr>
            <w:tcW w:w="606" w:type="pct"/>
            <w:tcBorders>
              <w:top w:val="single" w:sz="4" w:space="0" w:color="auto"/>
              <w:left w:val="nil"/>
              <w:bottom w:val="single" w:sz="4" w:space="0" w:color="auto"/>
              <w:right w:val="nil"/>
            </w:tcBorders>
            <w:shd w:val="clear" w:color="000000" w:fill="BFBFBF"/>
            <w:hideMark/>
          </w:tcPr>
          <w:p w14:paraId="43C5F6F8" w14:textId="77777777" w:rsidR="00CE0799" w:rsidRPr="001436DC" w:rsidRDefault="00CE0799" w:rsidP="00CE079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Scarcity Hours at Criteria (</w:t>
            </w:r>
            <w:proofErr w:type="spellStart"/>
            <w:r w:rsidRPr="001436DC">
              <w:rPr>
                <w:rFonts w:ascii="Century Gothic" w:eastAsia="Times New Roman" w:hAnsi="Century Gothic" w:cs="Times New Roman"/>
                <w:b/>
                <w:bCs/>
                <w:color w:val="000000"/>
                <w:sz w:val="18"/>
              </w:rPr>
              <w:t>hrs</w:t>
            </w:r>
            <w:proofErr w:type="spellEnd"/>
            <w:r w:rsidRPr="001436DC">
              <w:rPr>
                <w:rFonts w:ascii="Century Gothic" w:eastAsia="Times New Roman" w:hAnsi="Century Gothic" w:cs="Times New Roman"/>
                <w:b/>
                <w:bCs/>
                <w:color w:val="000000"/>
                <w:sz w:val="18"/>
              </w:rPr>
              <w:t>)</w:t>
            </w:r>
          </w:p>
        </w:tc>
        <w:tc>
          <w:tcPr>
            <w:tcW w:w="738" w:type="pct"/>
            <w:tcBorders>
              <w:top w:val="single" w:sz="4" w:space="0" w:color="auto"/>
              <w:left w:val="nil"/>
              <w:bottom w:val="single" w:sz="4" w:space="0" w:color="auto"/>
              <w:right w:val="nil"/>
            </w:tcBorders>
            <w:shd w:val="clear" w:color="000000" w:fill="BFBFBF"/>
            <w:hideMark/>
          </w:tcPr>
          <w:p w14:paraId="1CA0653B" w14:textId="77777777" w:rsidR="00CE0799" w:rsidRPr="001436DC" w:rsidRDefault="00CE0799" w:rsidP="00CE079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Performance Payment Rate ($/</w:t>
            </w:r>
            <w:proofErr w:type="spellStart"/>
            <w:r w:rsidRPr="001436DC">
              <w:rPr>
                <w:rFonts w:ascii="Century Gothic" w:eastAsia="Times New Roman" w:hAnsi="Century Gothic" w:cs="Times New Roman"/>
                <w:b/>
                <w:bCs/>
                <w:color w:val="000000"/>
                <w:sz w:val="18"/>
              </w:rPr>
              <w:t>mWh</w:t>
            </w:r>
            <w:proofErr w:type="spellEnd"/>
            <w:r w:rsidRPr="001436DC">
              <w:rPr>
                <w:rFonts w:ascii="Century Gothic" w:eastAsia="Times New Roman" w:hAnsi="Century Gothic" w:cs="Times New Roman"/>
                <w:b/>
                <w:bCs/>
                <w:color w:val="000000"/>
                <w:sz w:val="18"/>
              </w:rPr>
              <w:t>)</w:t>
            </w:r>
          </w:p>
        </w:tc>
        <w:tc>
          <w:tcPr>
            <w:tcW w:w="675" w:type="pct"/>
            <w:tcBorders>
              <w:top w:val="single" w:sz="4" w:space="0" w:color="auto"/>
              <w:left w:val="nil"/>
              <w:bottom w:val="single" w:sz="4" w:space="0" w:color="auto"/>
              <w:right w:val="nil"/>
            </w:tcBorders>
            <w:shd w:val="clear" w:color="000000" w:fill="BFBFBF"/>
            <w:hideMark/>
          </w:tcPr>
          <w:p w14:paraId="505859CE" w14:textId="77777777" w:rsidR="00CE0799" w:rsidRPr="001436DC" w:rsidRDefault="00CE0799" w:rsidP="00CE079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Average Actual Performance (%)</w:t>
            </w:r>
          </w:p>
        </w:tc>
        <w:tc>
          <w:tcPr>
            <w:tcW w:w="761" w:type="pct"/>
            <w:tcBorders>
              <w:top w:val="single" w:sz="4" w:space="0" w:color="auto"/>
              <w:left w:val="nil"/>
              <w:bottom w:val="single" w:sz="4" w:space="0" w:color="auto"/>
              <w:right w:val="nil"/>
            </w:tcBorders>
            <w:shd w:val="clear" w:color="000000" w:fill="BFBFBF"/>
            <w:hideMark/>
          </w:tcPr>
          <w:p w14:paraId="687A17B7" w14:textId="77777777" w:rsidR="00CE0799" w:rsidRPr="001436DC" w:rsidRDefault="00CE0799" w:rsidP="00CE079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Average Balancing Ratio (%)</w:t>
            </w:r>
          </w:p>
        </w:tc>
        <w:tc>
          <w:tcPr>
            <w:tcW w:w="644" w:type="pct"/>
            <w:tcBorders>
              <w:top w:val="single" w:sz="4" w:space="0" w:color="auto"/>
              <w:left w:val="nil"/>
              <w:bottom w:val="single" w:sz="4" w:space="0" w:color="auto"/>
              <w:right w:val="nil"/>
            </w:tcBorders>
            <w:shd w:val="clear" w:color="000000" w:fill="BFBFBF"/>
            <w:hideMark/>
          </w:tcPr>
          <w:p w14:paraId="2EECA631" w14:textId="77777777" w:rsidR="00CE0799" w:rsidRPr="001436DC" w:rsidRDefault="00CE0799" w:rsidP="00CE079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Net Performance Payments ($/kW-</w:t>
            </w:r>
            <w:proofErr w:type="spellStart"/>
            <w:r w:rsidRPr="001436DC">
              <w:rPr>
                <w:rFonts w:ascii="Century Gothic" w:eastAsia="Times New Roman" w:hAnsi="Century Gothic" w:cs="Times New Roman"/>
                <w:b/>
                <w:bCs/>
                <w:color w:val="000000"/>
                <w:sz w:val="18"/>
              </w:rPr>
              <w:t>mo</w:t>
            </w:r>
            <w:proofErr w:type="spellEnd"/>
            <w:r w:rsidRPr="001436DC">
              <w:rPr>
                <w:rFonts w:ascii="Century Gothic" w:eastAsia="Times New Roman" w:hAnsi="Century Gothic" w:cs="Times New Roman"/>
                <w:b/>
                <w:bCs/>
                <w:color w:val="000000"/>
                <w:sz w:val="18"/>
              </w:rPr>
              <w:t>)</w:t>
            </w:r>
          </w:p>
        </w:tc>
        <w:tc>
          <w:tcPr>
            <w:tcW w:w="668" w:type="pct"/>
            <w:tcBorders>
              <w:top w:val="single" w:sz="4" w:space="0" w:color="auto"/>
              <w:left w:val="nil"/>
              <w:bottom w:val="single" w:sz="4" w:space="0" w:color="auto"/>
              <w:right w:val="single" w:sz="4" w:space="0" w:color="auto"/>
            </w:tcBorders>
            <w:shd w:val="clear" w:color="000000" w:fill="BFBFBF"/>
            <w:hideMark/>
          </w:tcPr>
          <w:p w14:paraId="47B0700E" w14:textId="77777777" w:rsidR="00CE0799" w:rsidRPr="001436DC" w:rsidRDefault="00CE0799" w:rsidP="00CE0799">
            <w:pPr>
              <w:spacing w:after="0" w:line="240" w:lineRule="auto"/>
              <w:jc w:val="center"/>
              <w:rPr>
                <w:rFonts w:ascii="Century Gothic" w:eastAsia="Times New Roman" w:hAnsi="Century Gothic" w:cs="Times New Roman"/>
                <w:b/>
                <w:bCs/>
                <w:color w:val="000000"/>
                <w:sz w:val="18"/>
              </w:rPr>
            </w:pPr>
            <w:r w:rsidRPr="001436DC">
              <w:rPr>
                <w:rFonts w:ascii="Century Gothic" w:eastAsia="Times New Roman" w:hAnsi="Century Gothic" w:cs="Times New Roman"/>
                <w:b/>
                <w:bCs/>
                <w:color w:val="000000"/>
                <w:sz w:val="18"/>
              </w:rPr>
              <w:t> </w:t>
            </w:r>
          </w:p>
        </w:tc>
      </w:tr>
      <w:tr w:rsidR="00CE0799" w:rsidRPr="00CE0799" w14:paraId="086AEF2B" w14:textId="77777777" w:rsidTr="00CE0799">
        <w:trPr>
          <w:trHeight w:val="360"/>
        </w:trPr>
        <w:tc>
          <w:tcPr>
            <w:tcW w:w="908" w:type="pct"/>
            <w:tcBorders>
              <w:top w:val="nil"/>
              <w:left w:val="single" w:sz="4" w:space="0" w:color="auto"/>
              <w:bottom w:val="nil"/>
              <w:right w:val="nil"/>
            </w:tcBorders>
            <w:shd w:val="clear" w:color="000000" w:fill="FFFFFF"/>
            <w:vAlign w:val="bottom"/>
            <w:hideMark/>
          </w:tcPr>
          <w:p w14:paraId="43CACF62"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Wind</w:t>
            </w:r>
          </w:p>
        </w:tc>
        <w:tc>
          <w:tcPr>
            <w:tcW w:w="606" w:type="pct"/>
            <w:tcBorders>
              <w:top w:val="nil"/>
              <w:left w:val="nil"/>
              <w:bottom w:val="nil"/>
              <w:right w:val="nil"/>
            </w:tcBorders>
            <w:shd w:val="clear" w:color="000000" w:fill="FFFFFF"/>
            <w:vAlign w:val="bottom"/>
            <w:hideMark/>
          </w:tcPr>
          <w:p w14:paraId="5682AFA0"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11.3</w:t>
            </w:r>
          </w:p>
        </w:tc>
        <w:tc>
          <w:tcPr>
            <w:tcW w:w="738" w:type="pct"/>
            <w:tcBorders>
              <w:top w:val="nil"/>
              <w:left w:val="nil"/>
              <w:bottom w:val="nil"/>
              <w:right w:val="nil"/>
            </w:tcBorders>
            <w:shd w:val="clear" w:color="000000" w:fill="FFFFFF"/>
            <w:vAlign w:val="bottom"/>
            <w:hideMark/>
          </w:tcPr>
          <w:p w14:paraId="6E9882D6"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 xml:space="preserve">$5,455 </w:t>
            </w:r>
          </w:p>
        </w:tc>
        <w:tc>
          <w:tcPr>
            <w:tcW w:w="675" w:type="pct"/>
            <w:tcBorders>
              <w:top w:val="nil"/>
              <w:left w:val="nil"/>
              <w:bottom w:val="nil"/>
              <w:right w:val="nil"/>
            </w:tcBorders>
            <w:shd w:val="clear" w:color="000000" w:fill="FFFFFF"/>
            <w:vAlign w:val="bottom"/>
            <w:hideMark/>
          </w:tcPr>
          <w:p w14:paraId="6BE0334A"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0.93</w:t>
            </w:r>
          </w:p>
        </w:tc>
        <w:tc>
          <w:tcPr>
            <w:tcW w:w="761" w:type="pct"/>
            <w:tcBorders>
              <w:top w:val="nil"/>
              <w:left w:val="nil"/>
              <w:bottom w:val="nil"/>
              <w:right w:val="nil"/>
            </w:tcBorders>
            <w:shd w:val="clear" w:color="000000" w:fill="FFFFFF"/>
            <w:vAlign w:val="bottom"/>
            <w:hideMark/>
          </w:tcPr>
          <w:p w14:paraId="131C9F49"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0.85</w:t>
            </w:r>
          </w:p>
        </w:tc>
        <w:tc>
          <w:tcPr>
            <w:tcW w:w="644" w:type="pct"/>
            <w:tcBorders>
              <w:top w:val="nil"/>
              <w:left w:val="nil"/>
              <w:bottom w:val="nil"/>
              <w:right w:val="nil"/>
            </w:tcBorders>
            <w:shd w:val="clear" w:color="000000" w:fill="FFFFFF"/>
            <w:vAlign w:val="bottom"/>
            <w:hideMark/>
          </w:tcPr>
          <w:p w14:paraId="4C1781AB"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0.23</w:t>
            </w:r>
          </w:p>
        </w:tc>
        <w:tc>
          <w:tcPr>
            <w:tcW w:w="668" w:type="pct"/>
            <w:tcBorders>
              <w:top w:val="nil"/>
              <w:left w:val="nil"/>
              <w:bottom w:val="nil"/>
              <w:right w:val="single" w:sz="4" w:space="0" w:color="auto"/>
            </w:tcBorders>
            <w:shd w:val="clear" w:color="000000" w:fill="FFFFFF"/>
            <w:vAlign w:val="bottom"/>
            <w:hideMark/>
          </w:tcPr>
          <w:p w14:paraId="3CD66845"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years 4 - 20</w:t>
            </w:r>
          </w:p>
        </w:tc>
      </w:tr>
      <w:tr w:rsidR="00CE0799" w:rsidRPr="00CE0799" w14:paraId="2E6316B5" w14:textId="77777777" w:rsidTr="00CE0799">
        <w:trPr>
          <w:trHeight w:val="390"/>
        </w:trPr>
        <w:tc>
          <w:tcPr>
            <w:tcW w:w="908" w:type="pct"/>
            <w:tcBorders>
              <w:top w:val="nil"/>
              <w:left w:val="single" w:sz="4" w:space="0" w:color="auto"/>
              <w:bottom w:val="single" w:sz="4" w:space="0" w:color="auto"/>
              <w:right w:val="nil"/>
            </w:tcBorders>
            <w:shd w:val="clear" w:color="000000" w:fill="FFFFFF"/>
            <w:vAlign w:val="bottom"/>
            <w:hideMark/>
          </w:tcPr>
          <w:p w14:paraId="0965FEC5"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Wind</w:t>
            </w:r>
          </w:p>
        </w:tc>
        <w:tc>
          <w:tcPr>
            <w:tcW w:w="606" w:type="pct"/>
            <w:tcBorders>
              <w:top w:val="nil"/>
              <w:left w:val="nil"/>
              <w:bottom w:val="single" w:sz="4" w:space="0" w:color="auto"/>
              <w:right w:val="nil"/>
            </w:tcBorders>
            <w:shd w:val="clear" w:color="000000" w:fill="FFFFFF"/>
            <w:vAlign w:val="bottom"/>
            <w:hideMark/>
          </w:tcPr>
          <w:p w14:paraId="28EB7D3F"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6</w:t>
            </w:r>
          </w:p>
        </w:tc>
        <w:tc>
          <w:tcPr>
            <w:tcW w:w="738" w:type="pct"/>
            <w:tcBorders>
              <w:top w:val="nil"/>
              <w:left w:val="nil"/>
              <w:bottom w:val="single" w:sz="4" w:space="0" w:color="auto"/>
              <w:right w:val="nil"/>
            </w:tcBorders>
            <w:shd w:val="clear" w:color="000000" w:fill="FFFFFF"/>
            <w:vAlign w:val="bottom"/>
            <w:hideMark/>
          </w:tcPr>
          <w:p w14:paraId="6D309DC5"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 xml:space="preserve">$3,500 </w:t>
            </w:r>
          </w:p>
        </w:tc>
        <w:tc>
          <w:tcPr>
            <w:tcW w:w="675" w:type="pct"/>
            <w:tcBorders>
              <w:top w:val="nil"/>
              <w:left w:val="nil"/>
              <w:bottom w:val="single" w:sz="4" w:space="0" w:color="auto"/>
              <w:right w:val="nil"/>
            </w:tcBorders>
            <w:shd w:val="clear" w:color="000000" w:fill="FFFFFF"/>
            <w:vAlign w:val="bottom"/>
            <w:hideMark/>
          </w:tcPr>
          <w:p w14:paraId="7D217E22"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0.93</w:t>
            </w:r>
          </w:p>
        </w:tc>
        <w:tc>
          <w:tcPr>
            <w:tcW w:w="761" w:type="pct"/>
            <w:tcBorders>
              <w:top w:val="nil"/>
              <w:left w:val="nil"/>
              <w:bottom w:val="single" w:sz="4" w:space="0" w:color="auto"/>
              <w:right w:val="nil"/>
            </w:tcBorders>
            <w:shd w:val="clear" w:color="000000" w:fill="FFFFFF"/>
            <w:vAlign w:val="bottom"/>
            <w:hideMark/>
          </w:tcPr>
          <w:p w14:paraId="08F0CA07"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0.85</w:t>
            </w:r>
          </w:p>
        </w:tc>
        <w:tc>
          <w:tcPr>
            <w:tcW w:w="644" w:type="pct"/>
            <w:tcBorders>
              <w:top w:val="nil"/>
              <w:left w:val="nil"/>
              <w:bottom w:val="single" w:sz="4" w:space="0" w:color="auto"/>
              <w:right w:val="nil"/>
            </w:tcBorders>
            <w:shd w:val="clear" w:color="000000" w:fill="FFFFFF"/>
            <w:vAlign w:val="bottom"/>
            <w:hideMark/>
          </w:tcPr>
          <w:p w14:paraId="188322C5"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0.04</w:t>
            </w:r>
          </w:p>
        </w:tc>
        <w:tc>
          <w:tcPr>
            <w:tcW w:w="668" w:type="pct"/>
            <w:tcBorders>
              <w:top w:val="nil"/>
              <w:left w:val="nil"/>
              <w:bottom w:val="single" w:sz="4" w:space="0" w:color="auto"/>
              <w:right w:val="single" w:sz="4" w:space="0" w:color="auto"/>
            </w:tcBorders>
            <w:shd w:val="clear" w:color="000000" w:fill="FFFFFF"/>
            <w:vAlign w:val="bottom"/>
            <w:hideMark/>
          </w:tcPr>
          <w:p w14:paraId="79D9AA31" w14:textId="77777777" w:rsidR="00CE0799" w:rsidRPr="001436DC" w:rsidRDefault="00CE0799" w:rsidP="00CE0799">
            <w:pPr>
              <w:spacing w:after="0" w:line="240" w:lineRule="auto"/>
              <w:jc w:val="center"/>
              <w:rPr>
                <w:rFonts w:ascii="Century Gothic" w:eastAsia="Times New Roman" w:hAnsi="Century Gothic" w:cs="Times New Roman"/>
                <w:color w:val="000000"/>
                <w:sz w:val="18"/>
                <w:szCs w:val="20"/>
              </w:rPr>
            </w:pPr>
            <w:r w:rsidRPr="001436DC">
              <w:rPr>
                <w:rFonts w:ascii="Century Gothic" w:eastAsia="Times New Roman" w:hAnsi="Century Gothic" w:cs="Times New Roman"/>
                <w:color w:val="000000"/>
                <w:sz w:val="18"/>
                <w:szCs w:val="20"/>
              </w:rPr>
              <w:t>years 1-3</w:t>
            </w:r>
          </w:p>
        </w:tc>
      </w:tr>
    </w:tbl>
    <w:p w14:paraId="3BFC2DCC" w14:textId="202D9E36" w:rsidR="00EA0EB1" w:rsidRDefault="00EA0EB1" w:rsidP="00EA0EB1">
      <w:pPr>
        <w:jc w:val="center"/>
        <w:rPr>
          <w:rFonts w:eastAsia="Times New Roman" w:cs="Times New Roman"/>
          <w:szCs w:val="24"/>
        </w:rPr>
      </w:pPr>
    </w:p>
    <w:p w14:paraId="5475C0FA" w14:textId="77777777" w:rsidR="00EA0EB1" w:rsidRDefault="00EA0EB1" w:rsidP="00A12D4D">
      <w:pPr>
        <w:pStyle w:val="Heading3"/>
      </w:pPr>
      <w:r>
        <w:t>ORTP Calculation</w:t>
      </w:r>
    </w:p>
    <w:p w14:paraId="447916CE" w14:textId="1EA4F683" w:rsidR="00EA0EB1" w:rsidRDefault="00EA0EB1" w:rsidP="00EA0EB1">
      <w:pPr>
        <w:rPr>
          <w:rFonts w:eastAsia="Times New Roman" w:cs="Times New Roman"/>
          <w:szCs w:val="24"/>
        </w:rPr>
      </w:pPr>
      <w:r>
        <w:rPr>
          <w:rFonts w:eastAsia="Times New Roman" w:cs="Times New Roman"/>
          <w:szCs w:val="24"/>
        </w:rPr>
        <w:t xml:space="preserve">Based on the cost and revenue estimates, as well as our financial assumptions for the ORTP analysis, the first year revenue requirement from the capacity market for the reference onshore </w:t>
      </w:r>
      <w:r>
        <w:rPr>
          <w:rFonts w:eastAsia="Times New Roman" w:cs="Times New Roman"/>
          <w:szCs w:val="24"/>
        </w:rPr>
        <w:lastRenderedPageBreak/>
        <w:t xml:space="preserve">wind farm </w:t>
      </w:r>
      <w:r w:rsidRPr="00285A77">
        <w:rPr>
          <w:rFonts w:eastAsia="Times New Roman" w:cs="Times New Roman"/>
          <w:szCs w:val="24"/>
        </w:rPr>
        <w:t xml:space="preserve">is </w:t>
      </w:r>
      <w:r w:rsidR="00667F03" w:rsidRPr="00285A77">
        <w:rPr>
          <w:rFonts w:eastAsia="Times New Roman" w:cs="Times New Roman"/>
          <w:szCs w:val="24"/>
        </w:rPr>
        <w:t>$</w:t>
      </w:r>
      <w:r w:rsidR="00CE0799" w:rsidRPr="00285A77">
        <w:rPr>
          <w:rFonts w:eastAsia="Times New Roman" w:cs="Times New Roman"/>
          <w:szCs w:val="24"/>
        </w:rPr>
        <w:t>11.025</w:t>
      </w:r>
      <w:r w:rsidR="00667F03" w:rsidRPr="00285A77">
        <w:rPr>
          <w:rFonts w:eastAsia="Times New Roman" w:cs="Times New Roman"/>
          <w:szCs w:val="24"/>
        </w:rPr>
        <w:t>/kW-</w:t>
      </w:r>
      <w:proofErr w:type="spellStart"/>
      <w:r w:rsidR="00667F03" w:rsidRPr="00285A77">
        <w:rPr>
          <w:rFonts w:eastAsia="Times New Roman" w:cs="Times New Roman"/>
          <w:szCs w:val="24"/>
        </w:rPr>
        <w:t>mo</w:t>
      </w:r>
      <w:proofErr w:type="spellEnd"/>
      <w:r w:rsidRPr="00285A77">
        <w:rPr>
          <w:rFonts w:eastAsia="Times New Roman" w:cs="Times New Roman"/>
          <w:szCs w:val="24"/>
        </w:rPr>
        <w:t xml:space="preserve">, as shown in in </w:t>
      </w:r>
      <w:r w:rsidR="008254D7" w:rsidRPr="00285A77">
        <w:rPr>
          <w:rFonts w:eastAsia="Times New Roman" w:cs="Times New Roman"/>
          <w:szCs w:val="24"/>
        </w:rPr>
        <w:fldChar w:fldCharType="begin"/>
      </w:r>
      <w:r w:rsidR="008254D7" w:rsidRPr="00285A77">
        <w:rPr>
          <w:rFonts w:eastAsia="Times New Roman" w:cs="Times New Roman"/>
          <w:szCs w:val="24"/>
        </w:rPr>
        <w:instrText xml:space="preserve"> REF _Ref462649844 \h  \* MERGEFORMAT </w:instrText>
      </w:r>
      <w:r w:rsidR="008254D7" w:rsidRPr="00285A77">
        <w:rPr>
          <w:rFonts w:eastAsia="Times New Roman" w:cs="Times New Roman"/>
          <w:szCs w:val="24"/>
        </w:rPr>
      </w:r>
      <w:r w:rsidR="008254D7" w:rsidRPr="00285A77">
        <w:rPr>
          <w:rFonts w:eastAsia="Times New Roman" w:cs="Times New Roman"/>
          <w:szCs w:val="24"/>
        </w:rPr>
        <w:fldChar w:fldCharType="separate"/>
      </w:r>
      <w:r w:rsidR="006E2301" w:rsidRPr="00285A77">
        <w:rPr>
          <w:rFonts w:cs="Times New Roman"/>
        </w:rPr>
        <w:t xml:space="preserve">Table </w:t>
      </w:r>
      <w:r w:rsidR="00D91061">
        <w:rPr>
          <w:rFonts w:cs="Times New Roman"/>
        </w:rPr>
        <w:t>43</w:t>
      </w:r>
      <w:r w:rsidR="008254D7" w:rsidRPr="00285A77">
        <w:rPr>
          <w:rFonts w:eastAsia="Times New Roman" w:cs="Times New Roman"/>
          <w:szCs w:val="24"/>
        </w:rPr>
        <w:fldChar w:fldCharType="end"/>
      </w:r>
      <w:r w:rsidR="008254D7" w:rsidRPr="00285A77">
        <w:rPr>
          <w:rFonts w:eastAsia="Times New Roman" w:cs="Times New Roman"/>
          <w:szCs w:val="24"/>
        </w:rPr>
        <w:t xml:space="preserve"> </w:t>
      </w:r>
      <w:r w:rsidRPr="00285A77">
        <w:rPr>
          <w:rFonts w:eastAsia="Times New Roman" w:cs="Times New Roman"/>
          <w:szCs w:val="24"/>
        </w:rPr>
        <w:t>below.  Therefore, we recommend an ORTP value for onshore wind of $</w:t>
      </w:r>
      <w:r w:rsidR="00CE0799" w:rsidRPr="00285A77">
        <w:rPr>
          <w:rFonts w:eastAsia="Times New Roman" w:cs="Times New Roman"/>
          <w:szCs w:val="24"/>
        </w:rPr>
        <w:t>11.025</w:t>
      </w:r>
      <w:r>
        <w:rPr>
          <w:rFonts w:eastAsia="Times New Roman" w:cs="Times New Roman"/>
          <w:szCs w:val="24"/>
        </w:rPr>
        <w:t>/kW-month.</w:t>
      </w:r>
    </w:p>
    <w:p w14:paraId="746CAA75" w14:textId="17627DD9" w:rsidR="00EA0EB1" w:rsidRDefault="008254D7" w:rsidP="00D2628D">
      <w:pPr>
        <w:pStyle w:val="Caption"/>
        <w:rPr>
          <w:rFonts w:eastAsia="Times New Roman"/>
          <w:szCs w:val="24"/>
        </w:rPr>
      </w:pPr>
      <w:bookmarkStart w:id="116" w:name="_Ref462649844"/>
      <w:bookmarkStart w:id="117" w:name="_Toc465433466"/>
      <w:r>
        <w:t xml:space="preserve">Table </w:t>
      </w:r>
      <w:r w:rsidR="00FA6573">
        <w:fldChar w:fldCharType="begin"/>
      </w:r>
      <w:r w:rsidR="00FA6573">
        <w:instrText xml:space="preserve"> SEQ Table \* ARABIC </w:instrText>
      </w:r>
      <w:r w:rsidR="00FA6573">
        <w:fldChar w:fldCharType="separate"/>
      </w:r>
      <w:r w:rsidR="000637A3">
        <w:rPr>
          <w:noProof/>
        </w:rPr>
        <w:t>43</w:t>
      </w:r>
      <w:r w:rsidR="00FA6573">
        <w:rPr>
          <w:noProof/>
        </w:rPr>
        <w:fldChar w:fldCharType="end"/>
      </w:r>
      <w:bookmarkEnd w:id="116"/>
      <w:r>
        <w:t>:</w:t>
      </w:r>
      <w:r w:rsidR="003273D5">
        <w:t xml:space="preserve"> </w:t>
      </w:r>
      <w:r w:rsidR="00D114D2">
        <w:t>Wind Resource ORTP Calculation</w:t>
      </w:r>
      <w:bookmarkEnd w:id="117"/>
    </w:p>
    <w:tbl>
      <w:tblPr>
        <w:tblStyle w:val="GridTable4Accent3"/>
        <w:tblW w:w="5485" w:type="dxa"/>
        <w:jc w:val="center"/>
        <w:tblLook w:val="0420" w:firstRow="1" w:lastRow="0" w:firstColumn="0" w:lastColumn="0" w:noHBand="0" w:noVBand="1"/>
      </w:tblPr>
      <w:tblGrid>
        <w:gridCol w:w="4249"/>
        <w:gridCol w:w="1236"/>
      </w:tblGrid>
      <w:tr w:rsidR="00EA0EB1" w:rsidRPr="008A30D2" w14:paraId="1E06C3CD" w14:textId="77777777" w:rsidTr="00F80BFC">
        <w:trPr>
          <w:cnfStyle w:val="100000000000" w:firstRow="1" w:lastRow="0" w:firstColumn="0" w:lastColumn="0" w:oddVBand="0" w:evenVBand="0" w:oddHBand="0" w:evenHBand="0" w:firstRowFirstColumn="0" w:firstRowLastColumn="0" w:lastRowFirstColumn="0" w:lastRowLastColumn="0"/>
          <w:trHeight w:val="181"/>
          <w:jc w:val="center"/>
        </w:trPr>
        <w:tc>
          <w:tcPr>
            <w:tcW w:w="0" w:type="auto"/>
            <w:hideMark/>
          </w:tcPr>
          <w:p w14:paraId="07D4519A" w14:textId="3D726BDC" w:rsidR="00EA0EB1" w:rsidRPr="00667F03" w:rsidRDefault="00EA0EB1" w:rsidP="00F80BFC">
            <w:pPr>
              <w:keepNext/>
              <w:keepLines/>
              <w:spacing w:after="0" w:line="240" w:lineRule="auto"/>
              <w:rPr>
                <w:rFonts w:ascii="Garamond" w:eastAsia="Times New Roman" w:hAnsi="Garamond" w:cs="Calibri"/>
                <w:b w:val="0"/>
                <w:bCs w:val="0"/>
                <w:color w:val="FFFFFF"/>
                <w:sz w:val="24"/>
                <w:szCs w:val="24"/>
              </w:rPr>
            </w:pPr>
            <w:r w:rsidRPr="00667F03">
              <w:rPr>
                <w:rFonts w:ascii="Garamond" w:eastAsia="Times New Roman" w:hAnsi="Garamond" w:cs="Calibri"/>
                <w:bCs w:val="0"/>
                <w:color w:val="FFFFFF"/>
                <w:sz w:val="24"/>
                <w:szCs w:val="24"/>
              </w:rPr>
              <w:t> </w:t>
            </w:r>
          </w:p>
        </w:tc>
        <w:tc>
          <w:tcPr>
            <w:tcW w:w="1236" w:type="dxa"/>
            <w:hideMark/>
          </w:tcPr>
          <w:p w14:paraId="774B479A" w14:textId="77777777" w:rsidR="00EA0EB1" w:rsidRPr="00667F03" w:rsidRDefault="00EA0EB1" w:rsidP="00AC5AE1">
            <w:pPr>
              <w:keepNext/>
              <w:keepLines/>
              <w:spacing w:after="0" w:line="240" w:lineRule="auto"/>
              <w:jc w:val="center"/>
              <w:rPr>
                <w:rFonts w:ascii="Garamond" w:eastAsia="Times New Roman" w:hAnsi="Garamond" w:cs="Calibri"/>
                <w:b w:val="0"/>
                <w:bCs w:val="0"/>
                <w:color w:val="FFFFFF"/>
                <w:sz w:val="24"/>
                <w:szCs w:val="24"/>
              </w:rPr>
            </w:pPr>
            <w:r w:rsidRPr="00667F03">
              <w:rPr>
                <w:rFonts w:ascii="Garamond" w:eastAsia="Times New Roman" w:hAnsi="Garamond" w:cs="Calibri"/>
                <w:bCs w:val="0"/>
                <w:color w:val="FFFFFF"/>
                <w:sz w:val="24"/>
                <w:szCs w:val="24"/>
              </w:rPr>
              <w:t> </w:t>
            </w:r>
          </w:p>
        </w:tc>
      </w:tr>
      <w:tr w:rsidR="00EA0EB1" w:rsidRPr="00F80BFC" w14:paraId="27B5C11E" w14:textId="77777777" w:rsidTr="00D106BF">
        <w:trPr>
          <w:cnfStyle w:val="000000100000" w:firstRow="0" w:lastRow="0" w:firstColumn="0" w:lastColumn="0" w:oddVBand="0" w:evenVBand="0" w:oddHBand="1" w:evenHBand="0" w:firstRowFirstColumn="0" w:firstRowLastColumn="0" w:lastRowFirstColumn="0" w:lastRowLastColumn="0"/>
          <w:trHeight w:val="422"/>
          <w:jc w:val="center"/>
        </w:trPr>
        <w:tc>
          <w:tcPr>
            <w:tcW w:w="0" w:type="auto"/>
            <w:hideMark/>
          </w:tcPr>
          <w:p w14:paraId="049255D6" w14:textId="77777777" w:rsidR="00EA0EB1" w:rsidRPr="00F80BFC" w:rsidRDefault="00EA0EB1" w:rsidP="00AC5AE1">
            <w:pPr>
              <w:keepNext/>
              <w:keepLines/>
              <w:spacing w:after="0" w:line="240" w:lineRule="auto"/>
              <w:rPr>
                <w:rFonts w:ascii="Century Gothic" w:eastAsia="Times New Roman" w:hAnsi="Century Gothic" w:cs="Calibri"/>
                <w:b/>
                <w:color w:val="000000"/>
                <w:sz w:val="18"/>
                <w:szCs w:val="24"/>
              </w:rPr>
            </w:pPr>
            <w:r w:rsidRPr="00F80BFC">
              <w:rPr>
                <w:rFonts w:ascii="Century Gothic" w:eastAsia="Times New Roman" w:hAnsi="Century Gothic" w:cs="Calibri"/>
                <w:b/>
                <w:color w:val="000000"/>
                <w:sz w:val="18"/>
                <w:szCs w:val="24"/>
              </w:rPr>
              <w:t>Installed Capacity (MW)</w:t>
            </w:r>
          </w:p>
        </w:tc>
        <w:tc>
          <w:tcPr>
            <w:tcW w:w="1236" w:type="dxa"/>
            <w:hideMark/>
          </w:tcPr>
          <w:p w14:paraId="7CF3955B" w14:textId="77777777" w:rsidR="00EA0EB1" w:rsidRPr="00F80BFC" w:rsidRDefault="00EA0EB1" w:rsidP="00AC5AE1">
            <w:pPr>
              <w:keepNext/>
              <w:keepLines/>
              <w:spacing w:after="0" w:line="240" w:lineRule="auto"/>
              <w:jc w:val="right"/>
              <w:rPr>
                <w:rFonts w:ascii="Century Gothic" w:eastAsia="Times New Roman" w:hAnsi="Century Gothic" w:cs="Calibri"/>
                <w:color w:val="000000"/>
                <w:sz w:val="18"/>
                <w:szCs w:val="24"/>
              </w:rPr>
            </w:pPr>
            <w:r w:rsidRPr="00F80BFC">
              <w:rPr>
                <w:rFonts w:ascii="Century Gothic" w:eastAsia="Times New Roman" w:hAnsi="Century Gothic" w:cs="Calibri"/>
                <w:color w:val="000000"/>
                <w:sz w:val="18"/>
                <w:szCs w:val="24"/>
              </w:rPr>
              <w:t>52</w:t>
            </w:r>
          </w:p>
        </w:tc>
      </w:tr>
      <w:tr w:rsidR="00EA0EB1" w:rsidRPr="00F80BFC" w14:paraId="6908AA49" w14:textId="77777777" w:rsidTr="00F80BFC">
        <w:trPr>
          <w:trHeight w:val="373"/>
          <w:jc w:val="center"/>
        </w:trPr>
        <w:tc>
          <w:tcPr>
            <w:tcW w:w="0" w:type="auto"/>
            <w:hideMark/>
          </w:tcPr>
          <w:p w14:paraId="02BE5586" w14:textId="77777777" w:rsidR="00EA0EB1" w:rsidRPr="00F80BFC" w:rsidRDefault="00EA0EB1" w:rsidP="00AC5AE1">
            <w:pPr>
              <w:keepNext/>
              <w:keepLines/>
              <w:spacing w:after="0" w:line="240" w:lineRule="auto"/>
              <w:rPr>
                <w:rFonts w:ascii="Century Gothic" w:eastAsia="Times New Roman" w:hAnsi="Century Gothic" w:cs="Calibri"/>
                <w:b/>
                <w:color w:val="000000"/>
                <w:sz w:val="18"/>
                <w:szCs w:val="24"/>
              </w:rPr>
            </w:pPr>
            <w:r w:rsidRPr="00F80BFC">
              <w:rPr>
                <w:rFonts w:ascii="Century Gothic" w:eastAsia="Times New Roman" w:hAnsi="Century Gothic" w:cs="Calibri"/>
                <w:b/>
                <w:color w:val="000000"/>
                <w:sz w:val="18"/>
                <w:szCs w:val="24"/>
              </w:rPr>
              <w:t>Qualified Capacity (MW)</w:t>
            </w:r>
          </w:p>
        </w:tc>
        <w:tc>
          <w:tcPr>
            <w:tcW w:w="1236" w:type="dxa"/>
            <w:hideMark/>
          </w:tcPr>
          <w:p w14:paraId="5AE39CF1" w14:textId="77777777" w:rsidR="00EA0EB1" w:rsidRPr="00F80BFC" w:rsidRDefault="00EA0EB1" w:rsidP="00AC5AE1">
            <w:pPr>
              <w:keepNext/>
              <w:keepLines/>
              <w:spacing w:after="0" w:line="240" w:lineRule="auto"/>
              <w:jc w:val="right"/>
              <w:rPr>
                <w:rFonts w:ascii="Century Gothic" w:eastAsia="Times New Roman" w:hAnsi="Century Gothic" w:cs="Calibri"/>
                <w:color w:val="000000"/>
                <w:sz w:val="18"/>
                <w:szCs w:val="24"/>
              </w:rPr>
            </w:pPr>
            <w:r w:rsidRPr="00F80BFC">
              <w:rPr>
                <w:rFonts w:ascii="Century Gothic" w:eastAsia="Times New Roman" w:hAnsi="Century Gothic" w:cs="Calibri"/>
                <w:color w:val="000000"/>
                <w:sz w:val="18"/>
                <w:szCs w:val="24"/>
              </w:rPr>
              <w:t>15.6</w:t>
            </w:r>
          </w:p>
        </w:tc>
      </w:tr>
      <w:tr w:rsidR="00EA0EB1" w:rsidRPr="00F80BFC" w14:paraId="6C485BA4" w14:textId="77777777" w:rsidTr="00F80BFC">
        <w:trPr>
          <w:cnfStyle w:val="000000100000" w:firstRow="0" w:lastRow="0" w:firstColumn="0" w:lastColumn="0" w:oddVBand="0" w:evenVBand="0" w:oddHBand="1" w:evenHBand="0" w:firstRowFirstColumn="0" w:firstRowLastColumn="0" w:lastRowFirstColumn="0" w:lastRowLastColumn="0"/>
          <w:trHeight w:val="472"/>
          <w:jc w:val="center"/>
        </w:trPr>
        <w:tc>
          <w:tcPr>
            <w:tcW w:w="0" w:type="auto"/>
            <w:hideMark/>
          </w:tcPr>
          <w:p w14:paraId="0C79901C" w14:textId="77777777" w:rsidR="00EA0EB1" w:rsidRPr="00F80BFC" w:rsidRDefault="00EA0EB1" w:rsidP="00AC5AE1">
            <w:pPr>
              <w:keepNext/>
              <w:keepLines/>
              <w:spacing w:after="0" w:line="240" w:lineRule="auto"/>
              <w:rPr>
                <w:rFonts w:ascii="Century Gothic" w:eastAsia="Times New Roman" w:hAnsi="Century Gothic" w:cs="Calibri"/>
                <w:b/>
                <w:color w:val="000000"/>
                <w:sz w:val="18"/>
                <w:szCs w:val="24"/>
              </w:rPr>
            </w:pPr>
            <w:r w:rsidRPr="00F80BFC">
              <w:rPr>
                <w:rFonts w:ascii="Century Gothic" w:eastAsia="Times New Roman" w:hAnsi="Century Gothic" w:cs="Calibri"/>
                <w:b/>
                <w:color w:val="000000"/>
                <w:sz w:val="18"/>
                <w:szCs w:val="24"/>
              </w:rPr>
              <w:t>Capital Costs (Overnight) (2016$/kW)</w:t>
            </w:r>
          </w:p>
        </w:tc>
        <w:tc>
          <w:tcPr>
            <w:tcW w:w="1236" w:type="dxa"/>
            <w:hideMark/>
          </w:tcPr>
          <w:p w14:paraId="2E9A30A1" w14:textId="77777777" w:rsidR="00EA0EB1" w:rsidRPr="00F80BFC" w:rsidRDefault="00EA0EB1" w:rsidP="00AC5AE1">
            <w:pPr>
              <w:keepNext/>
              <w:keepLines/>
              <w:spacing w:after="0" w:line="240" w:lineRule="auto"/>
              <w:jc w:val="right"/>
              <w:rPr>
                <w:rFonts w:ascii="Century Gothic" w:eastAsia="Times New Roman" w:hAnsi="Century Gothic" w:cs="Calibri"/>
                <w:color w:val="000000"/>
                <w:sz w:val="18"/>
                <w:szCs w:val="24"/>
              </w:rPr>
            </w:pPr>
            <w:r w:rsidRPr="00F80BFC">
              <w:rPr>
                <w:rFonts w:ascii="Century Gothic" w:eastAsia="Times New Roman" w:hAnsi="Century Gothic" w:cs="Calibri"/>
                <w:color w:val="000000"/>
                <w:sz w:val="18"/>
                <w:szCs w:val="24"/>
              </w:rPr>
              <w:t>2,596</w:t>
            </w:r>
          </w:p>
        </w:tc>
      </w:tr>
      <w:tr w:rsidR="00EA0EB1" w:rsidRPr="00F80BFC" w14:paraId="137D473E" w14:textId="77777777" w:rsidTr="00F80BFC">
        <w:trPr>
          <w:trHeight w:val="373"/>
          <w:jc w:val="center"/>
        </w:trPr>
        <w:tc>
          <w:tcPr>
            <w:tcW w:w="0" w:type="auto"/>
            <w:hideMark/>
          </w:tcPr>
          <w:p w14:paraId="2EF08389" w14:textId="77777777" w:rsidR="00EA0EB1" w:rsidRPr="00F80BFC" w:rsidRDefault="00EA0EB1" w:rsidP="00AC5AE1">
            <w:pPr>
              <w:keepNext/>
              <w:keepLines/>
              <w:spacing w:after="0" w:line="240" w:lineRule="auto"/>
              <w:rPr>
                <w:rFonts w:ascii="Century Gothic" w:eastAsia="Times New Roman" w:hAnsi="Century Gothic" w:cs="Calibri"/>
                <w:b/>
                <w:color w:val="000000"/>
                <w:sz w:val="18"/>
                <w:szCs w:val="24"/>
              </w:rPr>
            </w:pPr>
            <w:r w:rsidRPr="00F80BFC">
              <w:rPr>
                <w:rFonts w:ascii="Century Gothic" w:eastAsia="Times New Roman" w:hAnsi="Century Gothic" w:cs="Calibri"/>
                <w:b/>
                <w:color w:val="000000"/>
                <w:sz w:val="18"/>
                <w:szCs w:val="24"/>
              </w:rPr>
              <w:t>ATWACC</w:t>
            </w:r>
          </w:p>
        </w:tc>
        <w:tc>
          <w:tcPr>
            <w:tcW w:w="1236" w:type="dxa"/>
            <w:hideMark/>
          </w:tcPr>
          <w:p w14:paraId="5BF2FA68" w14:textId="77777777" w:rsidR="00EA0EB1" w:rsidRPr="00F80BFC" w:rsidRDefault="00EA0EB1" w:rsidP="00AC5AE1">
            <w:pPr>
              <w:keepNext/>
              <w:keepLines/>
              <w:spacing w:after="0" w:line="240" w:lineRule="auto"/>
              <w:jc w:val="right"/>
              <w:rPr>
                <w:rFonts w:ascii="Century Gothic" w:eastAsia="Times New Roman" w:hAnsi="Century Gothic" w:cs="Calibri"/>
                <w:color w:val="000000"/>
                <w:sz w:val="18"/>
                <w:szCs w:val="24"/>
              </w:rPr>
            </w:pPr>
            <w:r w:rsidRPr="00F80BFC">
              <w:rPr>
                <w:rFonts w:ascii="Century Gothic" w:eastAsia="Times New Roman" w:hAnsi="Century Gothic" w:cs="Calibri"/>
                <w:color w:val="000000"/>
                <w:sz w:val="18"/>
                <w:szCs w:val="24"/>
              </w:rPr>
              <w:t>7.30%</w:t>
            </w:r>
          </w:p>
        </w:tc>
      </w:tr>
      <w:tr w:rsidR="00EA0EB1" w:rsidRPr="00F80BFC" w14:paraId="144C3AEB" w14:textId="77777777" w:rsidTr="00F80BFC">
        <w:trPr>
          <w:cnfStyle w:val="000000100000" w:firstRow="0" w:lastRow="0" w:firstColumn="0" w:lastColumn="0" w:oddVBand="0" w:evenVBand="0" w:oddHBand="1" w:evenHBand="0" w:firstRowFirstColumn="0" w:firstRowLastColumn="0" w:lastRowFirstColumn="0" w:lastRowLastColumn="0"/>
          <w:trHeight w:val="472"/>
          <w:jc w:val="center"/>
        </w:trPr>
        <w:tc>
          <w:tcPr>
            <w:tcW w:w="0" w:type="auto"/>
            <w:hideMark/>
          </w:tcPr>
          <w:p w14:paraId="4822D8BC" w14:textId="77777777" w:rsidR="00EA0EB1" w:rsidRPr="00F80BFC" w:rsidRDefault="00EA0EB1" w:rsidP="00AC5AE1">
            <w:pPr>
              <w:keepNext/>
              <w:keepLines/>
              <w:spacing w:after="0" w:line="240" w:lineRule="auto"/>
              <w:rPr>
                <w:rFonts w:ascii="Century Gothic" w:eastAsia="Times New Roman" w:hAnsi="Century Gothic" w:cs="Calibri"/>
                <w:b/>
                <w:color w:val="000000"/>
                <w:sz w:val="18"/>
                <w:szCs w:val="24"/>
              </w:rPr>
            </w:pPr>
            <w:r w:rsidRPr="00F80BFC">
              <w:rPr>
                <w:rFonts w:ascii="Century Gothic" w:eastAsia="Times New Roman" w:hAnsi="Century Gothic" w:cs="Calibri"/>
                <w:b/>
                <w:color w:val="000000"/>
                <w:sz w:val="18"/>
                <w:szCs w:val="24"/>
              </w:rPr>
              <w:t>Fixed O&amp;M ($/kW-</w:t>
            </w:r>
            <w:proofErr w:type="spellStart"/>
            <w:r w:rsidRPr="00F80BFC">
              <w:rPr>
                <w:rFonts w:ascii="Century Gothic" w:eastAsia="Times New Roman" w:hAnsi="Century Gothic" w:cs="Calibri"/>
                <w:b/>
                <w:color w:val="000000"/>
                <w:sz w:val="18"/>
                <w:szCs w:val="24"/>
              </w:rPr>
              <w:t>mo</w:t>
            </w:r>
            <w:proofErr w:type="spellEnd"/>
            <w:r w:rsidRPr="00F80BFC">
              <w:rPr>
                <w:rFonts w:ascii="Century Gothic" w:eastAsia="Times New Roman" w:hAnsi="Century Gothic" w:cs="Calibri"/>
                <w:b/>
                <w:color w:val="000000"/>
                <w:sz w:val="18"/>
                <w:szCs w:val="24"/>
              </w:rPr>
              <w:t>)</w:t>
            </w:r>
          </w:p>
        </w:tc>
        <w:tc>
          <w:tcPr>
            <w:tcW w:w="1236" w:type="dxa"/>
            <w:hideMark/>
          </w:tcPr>
          <w:p w14:paraId="7BE17B83" w14:textId="787B9677" w:rsidR="00EA0EB1" w:rsidRPr="00F80BFC" w:rsidRDefault="00667F03" w:rsidP="00667F03">
            <w:pPr>
              <w:keepNext/>
              <w:keepLines/>
              <w:spacing w:after="0" w:line="240" w:lineRule="auto"/>
              <w:jc w:val="right"/>
              <w:rPr>
                <w:rFonts w:ascii="Century Gothic" w:eastAsia="Times New Roman" w:hAnsi="Century Gothic" w:cs="Calibri"/>
                <w:color w:val="000000"/>
                <w:sz w:val="18"/>
                <w:szCs w:val="24"/>
              </w:rPr>
            </w:pPr>
            <w:r w:rsidRPr="00F80BFC">
              <w:rPr>
                <w:rFonts w:ascii="Century Gothic" w:eastAsia="Times New Roman" w:hAnsi="Century Gothic" w:cs="Calibri"/>
                <w:color w:val="000000"/>
                <w:sz w:val="18"/>
                <w:szCs w:val="24"/>
              </w:rPr>
              <w:t>$</w:t>
            </w:r>
            <w:r w:rsidR="00EA0EB1" w:rsidRPr="00F80BFC">
              <w:rPr>
                <w:rFonts w:ascii="Century Gothic" w:eastAsia="Times New Roman" w:hAnsi="Century Gothic" w:cs="Calibri"/>
                <w:color w:val="000000"/>
                <w:sz w:val="18"/>
                <w:szCs w:val="24"/>
              </w:rPr>
              <w:t>5.</w:t>
            </w:r>
            <w:r w:rsidRPr="00F80BFC">
              <w:rPr>
                <w:rFonts w:ascii="Century Gothic" w:eastAsia="Times New Roman" w:hAnsi="Century Gothic" w:cs="Calibri"/>
                <w:color w:val="000000"/>
                <w:sz w:val="18"/>
                <w:szCs w:val="24"/>
              </w:rPr>
              <w:t>30</w:t>
            </w:r>
          </w:p>
        </w:tc>
      </w:tr>
      <w:tr w:rsidR="00EA0EB1" w:rsidRPr="00F80BFC" w14:paraId="21555640" w14:textId="77777777" w:rsidTr="00F80BFC">
        <w:trPr>
          <w:trHeight w:val="472"/>
          <w:jc w:val="center"/>
        </w:trPr>
        <w:tc>
          <w:tcPr>
            <w:tcW w:w="0" w:type="auto"/>
            <w:hideMark/>
          </w:tcPr>
          <w:p w14:paraId="4B7CF341" w14:textId="77777777" w:rsidR="00EA0EB1" w:rsidRPr="00F80BFC" w:rsidRDefault="00EA0EB1" w:rsidP="00AC5AE1">
            <w:pPr>
              <w:keepNext/>
              <w:keepLines/>
              <w:spacing w:after="0" w:line="240" w:lineRule="auto"/>
              <w:rPr>
                <w:rFonts w:ascii="Century Gothic" w:eastAsia="Times New Roman" w:hAnsi="Century Gothic" w:cs="Calibri"/>
                <w:b/>
                <w:color w:val="000000"/>
                <w:sz w:val="18"/>
                <w:szCs w:val="24"/>
              </w:rPr>
            </w:pPr>
            <w:r w:rsidRPr="00F80BFC">
              <w:rPr>
                <w:rFonts w:ascii="Century Gothic" w:eastAsia="Times New Roman" w:hAnsi="Century Gothic" w:cs="Calibri"/>
                <w:b/>
                <w:color w:val="000000"/>
                <w:sz w:val="18"/>
                <w:szCs w:val="24"/>
              </w:rPr>
              <w:t>Gross CONE ($/kW-</w:t>
            </w:r>
            <w:proofErr w:type="spellStart"/>
            <w:r w:rsidRPr="00F80BFC">
              <w:rPr>
                <w:rFonts w:ascii="Century Gothic" w:eastAsia="Times New Roman" w:hAnsi="Century Gothic" w:cs="Calibri"/>
                <w:b/>
                <w:color w:val="000000"/>
                <w:sz w:val="18"/>
                <w:szCs w:val="24"/>
              </w:rPr>
              <w:t>mo</w:t>
            </w:r>
            <w:proofErr w:type="spellEnd"/>
            <w:r w:rsidRPr="00F80BFC">
              <w:rPr>
                <w:rFonts w:ascii="Century Gothic" w:eastAsia="Times New Roman" w:hAnsi="Century Gothic" w:cs="Calibri"/>
                <w:b/>
                <w:color w:val="000000"/>
                <w:sz w:val="18"/>
                <w:szCs w:val="24"/>
              </w:rPr>
              <w:t>)</w:t>
            </w:r>
          </w:p>
        </w:tc>
        <w:tc>
          <w:tcPr>
            <w:tcW w:w="1236" w:type="dxa"/>
            <w:hideMark/>
          </w:tcPr>
          <w:p w14:paraId="138CF310" w14:textId="25BD62C8" w:rsidR="00EA0EB1" w:rsidRPr="00F80BFC" w:rsidRDefault="00EA0EB1">
            <w:pPr>
              <w:keepNext/>
              <w:keepLines/>
              <w:spacing w:after="0" w:line="240" w:lineRule="auto"/>
              <w:jc w:val="right"/>
              <w:rPr>
                <w:rFonts w:ascii="Century Gothic" w:eastAsia="Times New Roman" w:hAnsi="Century Gothic" w:cs="Calibri"/>
                <w:color w:val="000000"/>
                <w:sz w:val="18"/>
                <w:szCs w:val="24"/>
              </w:rPr>
            </w:pPr>
            <w:r w:rsidRPr="00F80BFC">
              <w:rPr>
                <w:rFonts w:ascii="Century Gothic" w:eastAsia="Times New Roman" w:hAnsi="Century Gothic" w:cs="Calibri"/>
                <w:color w:val="000000"/>
                <w:sz w:val="18"/>
                <w:szCs w:val="24"/>
              </w:rPr>
              <w:t>$3</w:t>
            </w:r>
            <w:r w:rsidR="00667F03" w:rsidRPr="00F80BFC">
              <w:rPr>
                <w:rFonts w:ascii="Century Gothic" w:eastAsia="Times New Roman" w:hAnsi="Century Gothic" w:cs="Calibri"/>
                <w:color w:val="000000"/>
                <w:sz w:val="18"/>
                <w:szCs w:val="24"/>
              </w:rPr>
              <w:t>0.</w:t>
            </w:r>
            <w:r w:rsidR="00CE0799" w:rsidRPr="00F80BFC">
              <w:rPr>
                <w:rFonts w:ascii="Century Gothic" w:eastAsia="Times New Roman" w:hAnsi="Century Gothic" w:cs="Calibri"/>
                <w:color w:val="000000"/>
                <w:sz w:val="18"/>
                <w:szCs w:val="24"/>
              </w:rPr>
              <w:t>5</w:t>
            </w:r>
            <w:r w:rsidR="0083090C">
              <w:rPr>
                <w:rFonts w:ascii="Century Gothic" w:eastAsia="Times New Roman" w:hAnsi="Century Gothic" w:cs="Calibri"/>
                <w:color w:val="000000"/>
                <w:sz w:val="18"/>
                <w:szCs w:val="24"/>
              </w:rPr>
              <w:t>4</w:t>
            </w:r>
            <w:r w:rsidRPr="00F80BFC">
              <w:rPr>
                <w:rFonts w:ascii="Century Gothic" w:eastAsia="Times New Roman" w:hAnsi="Century Gothic" w:cs="Calibri"/>
                <w:color w:val="000000"/>
                <w:sz w:val="18"/>
                <w:szCs w:val="24"/>
              </w:rPr>
              <w:t xml:space="preserve"> </w:t>
            </w:r>
          </w:p>
        </w:tc>
      </w:tr>
      <w:tr w:rsidR="00EA0EB1" w:rsidRPr="00F80BFC" w14:paraId="4B1DF1E0" w14:textId="77777777" w:rsidTr="00F80BFC">
        <w:trPr>
          <w:cnfStyle w:val="000000100000" w:firstRow="0" w:lastRow="0" w:firstColumn="0" w:lastColumn="0" w:oddVBand="0" w:evenVBand="0" w:oddHBand="1" w:evenHBand="0" w:firstRowFirstColumn="0" w:firstRowLastColumn="0" w:lastRowFirstColumn="0" w:lastRowLastColumn="0"/>
          <w:trHeight w:val="373"/>
          <w:jc w:val="center"/>
        </w:trPr>
        <w:tc>
          <w:tcPr>
            <w:tcW w:w="0" w:type="auto"/>
            <w:hideMark/>
          </w:tcPr>
          <w:p w14:paraId="61DA99E2" w14:textId="77777777" w:rsidR="00EA0EB1" w:rsidRPr="00F80BFC" w:rsidRDefault="00EA0EB1" w:rsidP="00AC5AE1">
            <w:pPr>
              <w:keepNext/>
              <w:keepLines/>
              <w:spacing w:after="0" w:line="240" w:lineRule="auto"/>
              <w:rPr>
                <w:rFonts w:ascii="Century Gothic" w:eastAsia="Times New Roman" w:hAnsi="Century Gothic" w:cs="Calibri"/>
                <w:b/>
                <w:color w:val="000000"/>
                <w:sz w:val="18"/>
                <w:szCs w:val="24"/>
              </w:rPr>
            </w:pPr>
            <w:r w:rsidRPr="00F80BFC">
              <w:rPr>
                <w:rFonts w:ascii="Century Gothic" w:eastAsia="Times New Roman" w:hAnsi="Century Gothic" w:cs="Calibri"/>
                <w:b/>
                <w:color w:val="000000"/>
                <w:sz w:val="18"/>
                <w:szCs w:val="24"/>
              </w:rPr>
              <w:t>Revenue Offsets ($/kW-</w:t>
            </w:r>
            <w:proofErr w:type="spellStart"/>
            <w:r w:rsidRPr="00F80BFC">
              <w:rPr>
                <w:rFonts w:ascii="Century Gothic" w:eastAsia="Times New Roman" w:hAnsi="Century Gothic" w:cs="Calibri"/>
                <w:b/>
                <w:color w:val="000000"/>
                <w:sz w:val="18"/>
                <w:szCs w:val="24"/>
              </w:rPr>
              <w:t>mo</w:t>
            </w:r>
            <w:proofErr w:type="spellEnd"/>
            <w:r w:rsidRPr="00F80BFC">
              <w:rPr>
                <w:rFonts w:ascii="Century Gothic" w:eastAsia="Times New Roman" w:hAnsi="Century Gothic" w:cs="Calibri"/>
                <w:b/>
                <w:color w:val="000000"/>
                <w:sz w:val="18"/>
                <w:szCs w:val="24"/>
              </w:rPr>
              <w:t>)</w:t>
            </w:r>
          </w:p>
        </w:tc>
        <w:tc>
          <w:tcPr>
            <w:tcW w:w="1236" w:type="dxa"/>
            <w:hideMark/>
          </w:tcPr>
          <w:p w14:paraId="1A4E5BA1" w14:textId="6D835078" w:rsidR="00EA0EB1" w:rsidRPr="00F80BFC" w:rsidRDefault="00667F03" w:rsidP="00667F03">
            <w:pPr>
              <w:keepNext/>
              <w:keepLines/>
              <w:spacing w:after="0" w:line="240" w:lineRule="auto"/>
              <w:jc w:val="right"/>
              <w:rPr>
                <w:rFonts w:ascii="Century Gothic" w:eastAsia="Times New Roman" w:hAnsi="Century Gothic" w:cs="Calibri"/>
                <w:color w:val="000000"/>
                <w:sz w:val="18"/>
                <w:szCs w:val="24"/>
              </w:rPr>
            </w:pPr>
            <w:r w:rsidRPr="00F80BFC">
              <w:rPr>
                <w:rFonts w:ascii="Century Gothic" w:eastAsia="Times New Roman" w:hAnsi="Century Gothic" w:cs="Calibri"/>
                <w:color w:val="000000"/>
                <w:sz w:val="18"/>
                <w:szCs w:val="24"/>
              </w:rPr>
              <w:t>$</w:t>
            </w:r>
            <w:r w:rsidR="00EA0EB1" w:rsidRPr="00F80BFC">
              <w:rPr>
                <w:rFonts w:ascii="Century Gothic" w:eastAsia="Times New Roman" w:hAnsi="Century Gothic" w:cs="Calibri"/>
                <w:color w:val="000000"/>
                <w:sz w:val="18"/>
                <w:szCs w:val="24"/>
              </w:rPr>
              <w:t>19.5</w:t>
            </w:r>
            <w:r w:rsidR="00CE0799" w:rsidRPr="00F80BFC">
              <w:rPr>
                <w:rFonts w:ascii="Century Gothic" w:eastAsia="Times New Roman" w:hAnsi="Century Gothic" w:cs="Calibri"/>
                <w:color w:val="000000"/>
                <w:sz w:val="18"/>
                <w:szCs w:val="24"/>
              </w:rPr>
              <w:t>2</w:t>
            </w:r>
          </w:p>
        </w:tc>
      </w:tr>
      <w:tr w:rsidR="00EA0EB1" w:rsidRPr="00F80BFC" w14:paraId="5CFAFAC6" w14:textId="77777777" w:rsidTr="00F80BFC">
        <w:trPr>
          <w:trHeight w:val="472"/>
          <w:jc w:val="center"/>
        </w:trPr>
        <w:tc>
          <w:tcPr>
            <w:tcW w:w="0" w:type="auto"/>
            <w:hideMark/>
          </w:tcPr>
          <w:p w14:paraId="56D4F5AA" w14:textId="77777777" w:rsidR="00EA0EB1" w:rsidRPr="00F80BFC" w:rsidRDefault="00EA0EB1" w:rsidP="00AC5AE1">
            <w:pPr>
              <w:keepNext/>
              <w:keepLines/>
              <w:spacing w:after="0" w:line="240" w:lineRule="auto"/>
              <w:rPr>
                <w:rFonts w:ascii="Century Gothic" w:eastAsia="Times New Roman" w:hAnsi="Century Gothic" w:cs="Calibri"/>
                <w:b/>
                <w:color w:val="000000"/>
                <w:sz w:val="18"/>
                <w:szCs w:val="24"/>
              </w:rPr>
            </w:pPr>
            <w:r w:rsidRPr="00F80BFC">
              <w:rPr>
                <w:rFonts w:ascii="Century Gothic" w:eastAsia="Times New Roman" w:hAnsi="Century Gothic" w:cs="Calibri"/>
                <w:b/>
                <w:color w:val="000000"/>
                <w:sz w:val="18"/>
                <w:szCs w:val="24"/>
              </w:rPr>
              <w:t>ORTP ($/kW-</w:t>
            </w:r>
            <w:proofErr w:type="spellStart"/>
            <w:r w:rsidRPr="00F80BFC">
              <w:rPr>
                <w:rFonts w:ascii="Century Gothic" w:eastAsia="Times New Roman" w:hAnsi="Century Gothic" w:cs="Calibri"/>
                <w:b/>
                <w:color w:val="000000"/>
                <w:sz w:val="18"/>
                <w:szCs w:val="24"/>
              </w:rPr>
              <w:t>mo</w:t>
            </w:r>
            <w:proofErr w:type="spellEnd"/>
            <w:r w:rsidRPr="00F80BFC">
              <w:rPr>
                <w:rFonts w:ascii="Century Gothic" w:eastAsia="Times New Roman" w:hAnsi="Century Gothic" w:cs="Calibri"/>
                <w:b/>
                <w:color w:val="000000"/>
                <w:sz w:val="18"/>
                <w:szCs w:val="24"/>
              </w:rPr>
              <w:t>)</w:t>
            </w:r>
          </w:p>
        </w:tc>
        <w:tc>
          <w:tcPr>
            <w:tcW w:w="1236" w:type="dxa"/>
            <w:hideMark/>
          </w:tcPr>
          <w:p w14:paraId="42E16C0D" w14:textId="2C00CC7B" w:rsidR="00EA0EB1" w:rsidRPr="00F80BFC" w:rsidRDefault="00667F03" w:rsidP="009656E0">
            <w:pPr>
              <w:keepNext/>
              <w:keepLines/>
              <w:spacing w:after="0" w:line="240" w:lineRule="auto"/>
              <w:jc w:val="right"/>
              <w:rPr>
                <w:rFonts w:ascii="Century Gothic" w:eastAsia="Times New Roman" w:hAnsi="Century Gothic" w:cs="Calibri"/>
                <w:color w:val="000000"/>
                <w:sz w:val="18"/>
                <w:szCs w:val="24"/>
              </w:rPr>
            </w:pPr>
            <w:r w:rsidRPr="00F80BFC">
              <w:rPr>
                <w:rFonts w:ascii="Century Gothic" w:eastAsia="Times New Roman" w:hAnsi="Century Gothic" w:cs="Calibri"/>
                <w:color w:val="000000"/>
                <w:sz w:val="18"/>
                <w:szCs w:val="24"/>
              </w:rPr>
              <w:t>$1</w:t>
            </w:r>
            <w:r w:rsidR="00CE0799" w:rsidRPr="00F80BFC">
              <w:rPr>
                <w:rFonts w:ascii="Century Gothic" w:eastAsia="Times New Roman" w:hAnsi="Century Gothic" w:cs="Calibri"/>
                <w:color w:val="000000"/>
                <w:sz w:val="18"/>
                <w:szCs w:val="24"/>
              </w:rPr>
              <w:t>1.025</w:t>
            </w:r>
          </w:p>
        </w:tc>
      </w:tr>
    </w:tbl>
    <w:p w14:paraId="237365C8" w14:textId="5A96B944" w:rsidR="00386C57" w:rsidRDefault="00386C57" w:rsidP="00386C57">
      <w:pPr>
        <w:rPr>
          <w:rFonts w:eastAsia="Times New Roman" w:cs="Arial"/>
          <w:b/>
          <w:szCs w:val="24"/>
        </w:rPr>
      </w:pPr>
    </w:p>
    <w:p w14:paraId="1D147A0F" w14:textId="54DE2F23" w:rsidR="00EA0EB1" w:rsidRPr="00386C57" w:rsidRDefault="00EA0EB1" w:rsidP="00456566">
      <w:pPr>
        <w:pStyle w:val="Heading2"/>
        <w:numPr>
          <w:ilvl w:val="0"/>
          <w:numId w:val="6"/>
        </w:numPr>
      </w:pPr>
      <w:bookmarkStart w:id="118" w:name="_Toc468288325"/>
      <w:r w:rsidRPr="00386C57">
        <w:t xml:space="preserve">Energy </w:t>
      </w:r>
      <w:r w:rsidR="000A430F" w:rsidRPr="00386C57">
        <w:t>E</w:t>
      </w:r>
      <w:r w:rsidRPr="00386C57">
        <w:t xml:space="preserve">fficiency </w:t>
      </w:r>
      <w:r w:rsidR="00BB7FC8" w:rsidRPr="00386C57">
        <w:t>ORTP</w:t>
      </w:r>
      <w:bookmarkEnd w:id="118"/>
    </w:p>
    <w:p w14:paraId="359B411B" w14:textId="77777777" w:rsidR="00EA0EB1" w:rsidRDefault="00EA0EB1" w:rsidP="00A12D4D">
      <w:pPr>
        <w:pStyle w:val="Heading3"/>
        <w:numPr>
          <w:ilvl w:val="0"/>
          <w:numId w:val="33"/>
        </w:numPr>
      </w:pPr>
      <w:r w:rsidRPr="001D09D5">
        <w:t>Technical Specifications</w:t>
      </w:r>
    </w:p>
    <w:p w14:paraId="201D705E" w14:textId="03FAAE11" w:rsidR="00EA0EB1" w:rsidRPr="00C44187" w:rsidRDefault="00EA0EB1" w:rsidP="00EA0EB1">
      <w:pPr>
        <w:rPr>
          <w:rFonts w:eastAsia="Times New Roman" w:cs="Times New Roman"/>
          <w:szCs w:val="24"/>
        </w:rPr>
      </w:pPr>
      <w:r>
        <w:rPr>
          <w:rFonts w:eastAsia="Times New Roman" w:cs="Times New Roman"/>
          <w:szCs w:val="24"/>
        </w:rPr>
        <w:t>E</w:t>
      </w:r>
      <w:r w:rsidRPr="009F172A">
        <w:rPr>
          <w:rFonts w:eastAsia="Times New Roman" w:cs="Times New Roman"/>
          <w:szCs w:val="24"/>
        </w:rPr>
        <w:t xml:space="preserve">nergy efficiency </w:t>
      </w:r>
      <w:r w:rsidR="00127567">
        <w:rPr>
          <w:rFonts w:eastAsia="Times New Roman" w:cs="Times New Roman"/>
          <w:szCs w:val="24"/>
        </w:rPr>
        <w:t>(“EE”)</w:t>
      </w:r>
      <w:r w:rsidR="00376409">
        <w:rPr>
          <w:rFonts w:eastAsia="Times New Roman" w:cs="Times New Roman"/>
          <w:szCs w:val="24"/>
        </w:rPr>
        <w:t xml:space="preserve"> </w:t>
      </w:r>
      <w:r w:rsidRPr="009F172A">
        <w:rPr>
          <w:rFonts w:eastAsia="Times New Roman" w:cs="Times New Roman"/>
          <w:szCs w:val="24"/>
        </w:rPr>
        <w:t xml:space="preserve">resources participate in the </w:t>
      </w:r>
      <w:r w:rsidR="00127567">
        <w:rPr>
          <w:rFonts w:eastAsia="Times New Roman" w:cs="Times New Roman"/>
          <w:szCs w:val="24"/>
        </w:rPr>
        <w:t>FCM</w:t>
      </w:r>
      <w:r>
        <w:rPr>
          <w:rFonts w:eastAsia="Times New Roman" w:cs="Times New Roman"/>
          <w:szCs w:val="24"/>
        </w:rPr>
        <w:t xml:space="preserve"> consistent with the manner in which supply-side resources participate.  C</w:t>
      </w:r>
      <w:r w:rsidRPr="00C44187">
        <w:rPr>
          <w:rFonts w:eastAsia="Times New Roman" w:cs="Times New Roman"/>
          <w:szCs w:val="24"/>
        </w:rPr>
        <w:t xml:space="preserve">ompanies that operate EE programs are permitted to enter peak-load reductions into the FCM. </w:t>
      </w:r>
    </w:p>
    <w:p w14:paraId="246C8B89" w14:textId="45E1A31C" w:rsidR="00EA0EB1" w:rsidRDefault="00EA0EB1" w:rsidP="00EA0EB1">
      <w:pPr>
        <w:rPr>
          <w:rFonts w:eastAsia="Times New Roman" w:cs="Times New Roman"/>
          <w:szCs w:val="24"/>
        </w:rPr>
      </w:pPr>
      <w:r>
        <w:rPr>
          <w:rFonts w:eastAsia="Times New Roman" w:cs="Times New Roman"/>
          <w:szCs w:val="24"/>
        </w:rPr>
        <w:t xml:space="preserve">Many of the existing </w:t>
      </w:r>
      <w:r w:rsidR="00127567">
        <w:rPr>
          <w:rFonts w:eastAsia="Times New Roman" w:cs="Times New Roman"/>
          <w:szCs w:val="24"/>
        </w:rPr>
        <w:t xml:space="preserve">EE </w:t>
      </w:r>
      <w:r>
        <w:rPr>
          <w:rFonts w:eastAsia="Times New Roman" w:cs="Times New Roman"/>
          <w:szCs w:val="24"/>
        </w:rPr>
        <w:t xml:space="preserve">programs are established through state-sponsored mandates and implemented by each state’s investor-owned utilities.  </w:t>
      </w:r>
      <w:r w:rsidRPr="00C444F0">
        <w:rPr>
          <w:rFonts w:eastAsia="Times New Roman" w:cs="Times New Roman"/>
          <w:szCs w:val="24"/>
        </w:rPr>
        <w:t xml:space="preserve">As defined in Section I of the ISO’s tariff, </w:t>
      </w:r>
      <w:r w:rsidR="00127567">
        <w:rPr>
          <w:rFonts w:eastAsia="Times New Roman" w:cs="Times New Roman"/>
          <w:szCs w:val="24"/>
        </w:rPr>
        <w:t>EE</w:t>
      </w:r>
      <w:r w:rsidRPr="00C444F0">
        <w:rPr>
          <w:rFonts w:eastAsia="Times New Roman" w:cs="Times New Roman"/>
          <w:szCs w:val="24"/>
        </w:rPr>
        <w:t xml:space="preserve"> </w:t>
      </w:r>
      <w:r>
        <w:rPr>
          <w:rFonts w:eastAsia="Times New Roman" w:cs="Times New Roman"/>
          <w:szCs w:val="24"/>
        </w:rPr>
        <w:t>includes</w:t>
      </w:r>
      <w:r w:rsidRPr="00C444F0">
        <w:rPr>
          <w:rFonts w:eastAsia="Times New Roman" w:cs="Times New Roman"/>
          <w:szCs w:val="24"/>
        </w:rPr>
        <w:t xml:space="preserve"> installed measures (e.g., any combination of products, equipment, systems, services, practices, and strategies) on end-use customer facilities that reduce the total amount of electrical energy needed while delivering a comparable or improved level of end-use service. </w:t>
      </w:r>
      <w:r>
        <w:rPr>
          <w:rFonts w:eastAsia="Times New Roman" w:cs="Times New Roman"/>
          <w:szCs w:val="24"/>
        </w:rPr>
        <w:t xml:space="preserve">These measures can include the </w:t>
      </w:r>
      <w:r w:rsidRPr="00C444F0">
        <w:rPr>
          <w:rFonts w:eastAsia="Times New Roman" w:cs="Times New Roman"/>
          <w:szCs w:val="24"/>
        </w:rPr>
        <w:t xml:space="preserve">installation of more energy-efficient lighting, motors, refrigeration, HVAC (heating, ventilation, and air conditioning) equipment and control systems, </w:t>
      </w:r>
      <w:r w:rsidR="009822A1">
        <w:rPr>
          <w:rFonts w:eastAsia="Times New Roman" w:cs="Times New Roman"/>
          <w:szCs w:val="24"/>
        </w:rPr>
        <w:t>and alternative</w:t>
      </w:r>
      <w:r w:rsidRPr="00C444F0">
        <w:rPr>
          <w:rFonts w:eastAsia="Times New Roman" w:cs="Times New Roman"/>
          <w:szCs w:val="24"/>
        </w:rPr>
        <w:t xml:space="preserve"> operations and maintenance procedures</w:t>
      </w:r>
      <w:r>
        <w:rPr>
          <w:rFonts w:eastAsia="Times New Roman" w:cs="Times New Roman"/>
          <w:szCs w:val="24"/>
        </w:rPr>
        <w:t>. The p</w:t>
      </w:r>
      <w:r w:rsidRPr="00E879F6">
        <w:rPr>
          <w:rFonts w:eastAsia="Times New Roman" w:cs="Times New Roman"/>
          <w:szCs w:val="24"/>
        </w:rPr>
        <w:t>rograms generally cover the residential, commercial,</w:t>
      </w:r>
      <w:r>
        <w:rPr>
          <w:rFonts w:eastAsia="Times New Roman" w:cs="Times New Roman"/>
          <w:szCs w:val="24"/>
        </w:rPr>
        <w:t xml:space="preserve"> </w:t>
      </w:r>
      <w:r w:rsidRPr="00E879F6">
        <w:rPr>
          <w:rFonts w:eastAsia="Times New Roman" w:cs="Times New Roman"/>
          <w:szCs w:val="24"/>
        </w:rPr>
        <w:t xml:space="preserve">and industrial sectors. </w:t>
      </w:r>
    </w:p>
    <w:p w14:paraId="7331C1E3" w14:textId="4FA255CA" w:rsidR="00EA0EB1" w:rsidRDefault="00EA0EB1" w:rsidP="00EA0EB1">
      <w:pPr>
        <w:rPr>
          <w:rFonts w:eastAsia="Times New Roman" w:cs="Times New Roman"/>
          <w:szCs w:val="24"/>
        </w:rPr>
      </w:pPr>
      <w:r>
        <w:rPr>
          <w:rFonts w:eastAsia="Times New Roman" w:cs="Times New Roman"/>
          <w:szCs w:val="24"/>
        </w:rPr>
        <w:t xml:space="preserve">In calculating an appropriate ORTP for </w:t>
      </w:r>
      <w:r w:rsidR="00127567">
        <w:rPr>
          <w:rFonts w:eastAsia="Times New Roman" w:cs="Times New Roman"/>
          <w:szCs w:val="24"/>
        </w:rPr>
        <w:t xml:space="preserve">EE </w:t>
      </w:r>
      <w:r>
        <w:rPr>
          <w:rFonts w:eastAsia="Times New Roman" w:cs="Times New Roman"/>
          <w:szCs w:val="24"/>
        </w:rPr>
        <w:t xml:space="preserve">programs, we reviewed all investor -owned utility energy efficiency programs in </w:t>
      </w:r>
      <w:r w:rsidRPr="00C44187">
        <w:rPr>
          <w:rFonts w:eastAsia="Times New Roman" w:cs="Times New Roman"/>
          <w:szCs w:val="24"/>
        </w:rPr>
        <w:t>New England</w:t>
      </w:r>
      <w:r>
        <w:rPr>
          <w:rFonts w:eastAsia="Times New Roman" w:cs="Times New Roman"/>
          <w:szCs w:val="24"/>
        </w:rPr>
        <w:t xml:space="preserve">.  There </w:t>
      </w:r>
      <w:r w:rsidRPr="00C44187">
        <w:rPr>
          <w:rFonts w:eastAsia="Times New Roman" w:cs="Times New Roman"/>
          <w:szCs w:val="24"/>
        </w:rPr>
        <w:t>are currently forty-six EE programs, excluding programs targeted towards low-income customers.</w:t>
      </w:r>
      <w:r w:rsidRPr="00C44187">
        <w:rPr>
          <w:rStyle w:val="FootnoteReference"/>
          <w:rFonts w:eastAsia="Times New Roman" w:cs="Times New Roman"/>
          <w:szCs w:val="24"/>
        </w:rPr>
        <w:footnoteReference w:id="60"/>
      </w:r>
      <w:r>
        <w:rPr>
          <w:rFonts w:eastAsia="Times New Roman" w:cs="Times New Roman"/>
          <w:szCs w:val="24"/>
        </w:rPr>
        <w:t xml:space="preserve"> </w:t>
      </w:r>
      <w:r w:rsidR="00D91061">
        <w:rPr>
          <w:rFonts w:eastAsia="Times New Roman" w:cs="Times New Roman"/>
          <w:szCs w:val="24"/>
        </w:rPr>
        <w:t xml:space="preserve">Table 44 </w:t>
      </w:r>
      <w:r>
        <w:rPr>
          <w:rFonts w:eastAsia="Times New Roman" w:cs="Times New Roman"/>
          <w:szCs w:val="24"/>
        </w:rPr>
        <w:t xml:space="preserve">shows the EE programs that have been included in our ORTP calculation.  </w:t>
      </w:r>
    </w:p>
    <w:p w14:paraId="60893E92" w14:textId="77777777" w:rsidR="00EE5932" w:rsidRDefault="00EE5932" w:rsidP="00EA0EB1">
      <w:pPr>
        <w:rPr>
          <w:rFonts w:eastAsia="Times New Roman" w:cs="Times New Roman"/>
          <w:szCs w:val="24"/>
        </w:rPr>
      </w:pPr>
    </w:p>
    <w:p w14:paraId="3A162066" w14:textId="6A88CD42" w:rsidR="00D114D2" w:rsidRDefault="00CE0799" w:rsidP="00D2628D">
      <w:pPr>
        <w:pStyle w:val="Caption"/>
      </w:pPr>
      <w:bookmarkStart w:id="119" w:name="_Toc465433467"/>
      <w:r w:rsidRPr="00C44187">
        <w:rPr>
          <w:noProof/>
        </w:rPr>
        <w:drawing>
          <wp:anchor distT="0" distB="0" distL="114300" distR="114300" simplePos="0" relativeHeight="251662336" behindDoc="0" locked="0" layoutInCell="1" allowOverlap="1" wp14:anchorId="5734354E" wp14:editId="62694778">
            <wp:simplePos x="0" y="0"/>
            <wp:positionH relativeFrom="column">
              <wp:posOffset>163195</wp:posOffset>
            </wp:positionH>
            <wp:positionV relativeFrom="paragraph">
              <wp:posOffset>332105</wp:posOffset>
            </wp:positionV>
            <wp:extent cx="5538470" cy="4495800"/>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38470" cy="4495800"/>
                    </a:xfrm>
                    <a:prstGeom prst="rect">
                      <a:avLst/>
                    </a:prstGeom>
                    <a:noFill/>
                    <a:ln>
                      <a:noFill/>
                    </a:ln>
                  </pic:spPr>
                </pic:pic>
              </a:graphicData>
            </a:graphic>
          </wp:anchor>
        </w:drawing>
      </w:r>
      <w:r w:rsidR="00D114D2">
        <w:t xml:space="preserve">Table </w:t>
      </w:r>
      <w:r w:rsidR="00FA6573">
        <w:fldChar w:fldCharType="begin"/>
      </w:r>
      <w:r w:rsidR="00FA6573">
        <w:instrText xml:space="preserve"> SEQ Table \* ARABIC </w:instrText>
      </w:r>
      <w:r w:rsidR="00FA6573">
        <w:fldChar w:fldCharType="separate"/>
      </w:r>
      <w:r w:rsidR="000637A3">
        <w:rPr>
          <w:noProof/>
        </w:rPr>
        <w:t>44</w:t>
      </w:r>
      <w:r w:rsidR="00FA6573">
        <w:rPr>
          <w:noProof/>
        </w:rPr>
        <w:fldChar w:fldCharType="end"/>
      </w:r>
      <w:r w:rsidR="00D114D2">
        <w:t xml:space="preserve">: </w:t>
      </w:r>
      <w:r w:rsidR="00D114D2" w:rsidRPr="00C44187">
        <w:t xml:space="preserve">Energy Efficiency </w:t>
      </w:r>
      <w:r w:rsidR="00D114D2">
        <w:t>Programs Included in ORTP Analysis</w:t>
      </w:r>
      <w:r>
        <w:rPr>
          <w:rStyle w:val="FootnoteReference"/>
        </w:rPr>
        <w:footnoteReference w:id="61"/>
      </w:r>
      <w:bookmarkEnd w:id="119"/>
    </w:p>
    <w:p w14:paraId="2A4827D2" w14:textId="5524562C" w:rsidR="00EE5932" w:rsidRPr="00EE5932" w:rsidRDefault="00EE5932" w:rsidP="00D2628D">
      <w:pPr>
        <w:pStyle w:val="Caption"/>
      </w:pPr>
    </w:p>
    <w:p w14:paraId="4E80262A" w14:textId="578E055D" w:rsidR="00EA0EB1" w:rsidRDefault="00EA0EB1" w:rsidP="00EA0EB1">
      <w:pPr>
        <w:rPr>
          <w:rFonts w:eastAsia="Times New Roman" w:cs="Times New Roman"/>
          <w:szCs w:val="24"/>
        </w:rPr>
      </w:pPr>
      <w:r>
        <w:rPr>
          <w:rFonts w:eastAsia="Times New Roman" w:cs="Times New Roman"/>
          <w:szCs w:val="24"/>
        </w:rPr>
        <w:t xml:space="preserve">The investor-owned utility filings for the above programs contain information on forecasted program costs and savings.  A review of these filings showed a potential annualized savings of 1,994,937 </w:t>
      </w:r>
      <w:r w:rsidR="004A1C58">
        <w:rPr>
          <w:rFonts w:eastAsia="Times New Roman" w:cs="Times New Roman"/>
          <w:szCs w:val="24"/>
        </w:rPr>
        <w:t>M</w:t>
      </w:r>
      <w:r>
        <w:rPr>
          <w:rFonts w:eastAsia="Times New Roman" w:cs="Times New Roman"/>
          <w:szCs w:val="24"/>
        </w:rPr>
        <w:t xml:space="preserve">Wh and approximately 285 MW of summer peak-load savings at the customer meter over an estimated measure life of 11 years consistent with the average of existing programs.  In order to present the information contained in the filings on a consistent basis, we adjusted the </w:t>
      </w:r>
      <w:r>
        <w:rPr>
          <w:rFonts w:eastAsia="Times New Roman" w:cs="Times New Roman"/>
          <w:szCs w:val="24"/>
        </w:rPr>
        <w:lastRenderedPageBreak/>
        <w:t>program size to 1 MW of capacity by the ratio of the annual energy savings to the peak load reduction.  Based on this calculation, we assumed that a 1 MW EE measure would be expected to provide 7,009 MWh of annual energy savings.</w:t>
      </w:r>
    </w:p>
    <w:p w14:paraId="2544E756" w14:textId="77777777" w:rsidR="00EA0EB1" w:rsidRDefault="00EA0EB1" w:rsidP="00A12D4D">
      <w:pPr>
        <w:pStyle w:val="Heading3"/>
      </w:pPr>
      <w:r w:rsidRPr="004F3C37">
        <w:t>Capital Costs</w:t>
      </w:r>
    </w:p>
    <w:p w14:paraId="5F6B8C0E" w14:textId="35B1663F" w:rsidR="00EA0EB1" w:rsidRDefault="00EA0EB1" w:rsidP="00EA0EB1">
      <w:pPr>
        <w:rPr>
          <w:rFonts w:eastAsia="Times New Roman" w:cs="Times New Roman"/>
          <w:szCs w:val="24"/>
        </w:rPr>
      </w:pPr>
      <w:r>
        <w:rPr>
          <w:rFonts w:eastAsia="Times New Roman" w:cs="Times New Roman"/>
          <w:szCs w:val="24"/>
        </w:rPr>
        <w:t>We calculated the total capital costs of the EE programs using data from the investor-owned utility annual EE program annual reports.</w:t>
      </w:r>
      <w:r>
        <w:rPr>
          <w:rStyle w:val="FootnoteReference"/>
          <w:rFonts w:eastAsia="Times New Roman" w:cs="Times New Roman"/>
          <w:szCs w:val="24"/>
        </w:rPr>
        <w:footnoteReference w:id="62"/>
      </w:r>
      <w:r>
        <w:rPr>
          <w:rFonts w:eastAsia="Times New Roman" w:cs="Times New Roman"/>
          <w:szCs w:val="24"/>
        </w:rPr>
        <w:t xml:space="preserve">  The total costs </w:t>
      </w:r>
      <w:r w:rsidR="00576724">
        <w:rPr>
          <w:rFonts w:eastAsia="Times New Roman" w:cs="Times New Roman"/>
          <w:szCs w:val="24"/>
        </w:rPr>
        <w:t xml:space="preserve">of </w:t>
      </w:r>
      <w:r>
        <w:rPr>
          <w:rFonts w:eastAsia="Times New Roman" w:cs="Times New Roman"/>
          <w:szCs w:val="24"/>
        </w:rPr>
        <w:t>the programs are shown below</w:t>
      </w:r>
      <w:r w:rsidR="001152D4">
        <w:rPr>
          <w:rFonts w:eastAsia="Times New Roman" w:cs="Times New Roman"/>
          <w:szCs w:val="24"/>
        </w:rPr>
        <w:t xml:space="preserve"> in </w:t>
      </w:r>
      <w:r w:rsidR="00D91061">
        <w:rPr>
          <w:rFonts w:eastAsia="Times New Roman" w:cs="Times New Roman"/>
          <w:szCs w:val="24"/>
        </w:rPr>
        <w:t>Table 45</w:t>
      </w:r>
      <w:r>
        <w:rPr>
          <w:rFonts w:eastAsia="Times New Roman" w:cs="Times New Roman"/>
          <w:szCs w:val="24"/>
        </w:rPr>
        <w:t>.</w:t>
      </w:r>
    </w:p>
    <w:p w14:paraId="3BE8EFAB" w14:textId="28335F6F" w:rsidR="00EA0EB1" w:rsidRDefault="00EA7829" w:rsidP="00D2628D">
      <w:pPr>
        <w:pStyle w:val="Caption"/>
      </w:pPr>
      <w:bookmarkStart w:id="120" w:name="_Ref462653902"/>
      <w:bookmarkStart w:id="121" w:name="_Toc465433468"/>
      <w:r>
        <w:t xml:space="preserve">Table </w:t>
      </w:r>
      <w:r w:rsidR="00FA6573">
        <w:fldChar w:fldCharType="begin"/>
      </w:r>
      <w:r w:rsidR="00FA6573">
        <w:instrText xml:space="preserve"> SEQ Table \* ARABIC </w:instrText>
      </w:r>
      <w:r w:rsidR="00FA6573">
        <w:fldChar w:fldCharType="separate"/>
      </w:r>
      <w:r w:rsidR="000637A3">
        <w:rPr>
          <w:noProof/>
        </w:rPr>
        <w:t>45</w:t>
      </w:r>
      <w:r w:rsidR="00FA6573">
        <w:rPr>
          <w:noProof/>
        </w:rPr>
        <w:fldChar w:fldCharType="end"/>
      </w:r>
      <w:bookmarkEnd w:id="120"/>
      <w:r>
        <w:t xml:space="preserve">: </w:t>
      </w:r>
      <w:r w:rsidR="00EA0EB1" w:rsidRPr="00C44187">
        <w:t xml:space="preserve">Energy Efficiency </w:t>
      </w:r>
      <w:r w:rsidR="00EA0EB1">
        <w:t>Programs Costs</w:t>
      </w:r>
      <w:bookmarkEnd w:id="121"/>
    </w:p>
    <w:p w14:paraId="723F5340" w14:textId="77777777" w:rsidR="00EA0EB1" w:rsidRDefault="00EA0EB1" w:rsidP="00EA0EB1">
      <w:pPr>
        <w:jc w:val="center"/>
        <w:rPr>
          <w:rFonts w:eastAsia="Times New Roman" w:cs="Times New Roman"/>
          <w:szCs w:val="24"/>
        </w:rPr>
      </w:pPr>
      <w:r w:rsidRPr="002D7F39">
        <w:rPr>
          <w:noProof/>
        </w:rPr>
        <w:drawing>
          <wp:inline distT="0" distB="0" distL="0" distR="0" wp14:anchorId="2C16B1C0" wp14:editId="78E4C683">
            <wp:extent cx="4476750" cy="28003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0" cy="2800350"/>
                    </a:xfrm>
                    <a:prstGeom prst="rect">
                      <a:avLst/>
                    </a:prstGeom>
                    <a:noFill/>
                    <a:ln w="12700">
                      <a:solidFill>
                        <a:schemeClr val="tx1"/>
                      </a:solidFill>
                    </a:ln>
                  </pic:spPr>
                </pic:pic>
              </a:graphicData>
            </a:graphic>
          </wp:inline>
        </w:drawing>
      </w:r>
    </w:p>
    <w:p w14:paraId="0269C02E" w14:textId="77777777" w:rsidR="00EA0EB1" w:rsidRDefault="00EA0EB1" w:rsidP="00A12D4D">
      <w:pPr>
        <w:pStyle w:val="Heading3"/>
      </w:pPr>
      <w:r>
        <w:t>Revenue Offsets</w:t>
      </w:r>
    </w:p>
    <w:p w14:paraId="2DFE56FD" w14:textId="77777777" w:rsidR="00EA0EB1" w:rsidRPr="009F506B" w:rsidRDefault="00EA0EB1" w:rsidP="00EA0EB1">
      <w:pPr>
        <w:rPr>
          <w:rFonts w:eastAsia="Times New Roman" w:cs="Times New Roman"/>
          <w:szCs w:val="24"/>
        </w:rPr>
      </w:pPr>
      <w:r>
        <w:rPr>
          <w:rFonts w:eastAsia="Times New Roman" w:cs="Times New Roman"/>
          <w:szCs w:val="24"/>
        </w:rPr>
        <w:t xml:space="preserve">The calculation of revenue offsets includes both the value of the energy saved at the wholesale level, as well as avoided transmission and distribution costs.  For the energy-related savings, we used the average forecasted on-peak locational marginal price produced by the Aurora simulation model for 2021 through 2031.  For transmission and distribution cost savings, we used the Connecticut Light &amp; Power avoided transmission and distribution costs </w:t>
      </w:r>
      <w:r w:rsidRPr="009F506B">
        <w:rPr>
          <w:rFonts w:eastAsia="Times New Roman" w:cs="Times New Roman"/>
          <w:szCs w:val="24"/>
        </w:rPr>
        <w:t>t</w:t>
      </w:r>
      <w:r>
        <w:rPr>
          <w:rFonts w:eastAsia="Times New Roman" w:cs="Times New Roman"/>
          <w:szCs w:val="24"/>
        </w:rPr>
        <w:t xml:space="preserve">hat are </w:t>
      </w:r>
      <w:r w:rsidRPr="009F506B">
        <w:rPr>
          <w:rFonts w:eastAsia="Times New Roman" w:cs="Times New Roman"/>
          <w:szCs w:val="24"/>
        </w:rPr>
        <w:t>use</w:t>
      </w:r>
      <w:r>
        <w:rPr>
          <w:rFonts w:eastAsia="Times New Roman" w:cs="Times New Roman"/>
          <w:szCs w:val="24"/>
        </w:rPr>
        <w:t>d</w:t>
      </w:r>
      <w:r w:rsidRPr="009F506B">
        <w:rPr>
          <w:rFonts w:eastAsia="Times New Roman" w:cs="Times New Roman"/>
          <w:szCs w:val="24"/>
        </w:rPr>
        <w:t xml:space="preserve"> in their analyses of efficiency measure cost</w:t>
      </w:r>
      <w:r>
        <w:rPr>
          <w:rFonts w:eastAsia="Times New Roman" w:cs="Times New Roman"/>
          <w:szCs w:val="24"/>
        </w:rPr>
        <w:t>-</w:t>
      </w:r>
      <w:r w:rsidRPr="009F506B">
        <w:rPr>
          <w:rFonts w:eastAsia="Times New Roman" w:cs="Times New Roman"/>
          <w:szCs w:val="24"/>
        </w:rPr>
        <w:t>effectiveness.  The CL&amp;P avoided T&amp;D cost in 2015 was $33.44/kW-</w:t>
      </w:r>
      <w:proofErr w:type="spellStart"/>
      <w:r w:rsidRPr="009F506B">
        <w:rPr>
          <w:rFonts w:eastAsia="Times New Roman" w:cs="Times New Roman"/>
          <w:szCs w:val="24"/>
        </w:rPr>
        <w:t>yr</w:t>
      </w:r>
      <w:proofErr w:type="spellEnd"/>
      <w:r w:rsidRPr="009F506B">
        <w:rPr>
          <w:rFonts w:eastAsia="Times New Roman" w:cs="Times New Roman"/>
          <w:szCs w:val="24"/>
        </w:rPr>
        <w:t xml:space="preserve"> in 2015 dollars</w:t>
      </w:r>
      <w:r>
        <w:rPr>
          <w:rFonts w:eastAsia="Times New Roman" w:cs="Times New Roman"/>
          <w:szCs w:val="24"/>
        </w:rPr>
        <w:t>. Our analysis assumes the equivalent value in 2021 dollar of</w:t>
      </w:r>
      <w:r w:rsidRPr="009F506B">
        <w:rPr>
          <w:rFonts w:eastAsia="Times New Roman" w:cs="Times New Roman"/>
          <w:szCs w:val="24"/>
        </w:rPr>
        <w:t xml:space="preserve"> $37.66/kW-yr.</w:t>
      </w:r>
    </w:p>
    <w:p w14:paraId="115BFD2F" w14:textId="77777777" w:rsidR="00EA0EB1" w:rsidRPr="009F506B" w:rsidRDefault="00EA0EB1" w:rsidP="00A12D4D">
      <w:pPr>
        <w:pStyle w:val="Heading3"/>
      </w:pPr>
      <w:r>
        <w:t>ORTP Calculation</w:t>
      </w:r>
    </w:p>
    <w:p w14:paraId="110CB351" w14:textId="77777777" w:rsidR="00EA0EB1" w:rsidRDefault="00EA0EB1" w:rsidP="00EA0EB1">
      <w:pPr>
        <w:rPr>
          <w:rFonts w:eastAsia="Times New Roman" w:cs="Times New Roman"/>
          <w:szCs w:val="24"/>
        </w:rPr>
      </w:pPr>
      <w:r>
        <w:rPr>
          <w:rFonts w:eastAsia="Times New Roman" w:cs="Times New Roman"/>
          <w:szCs w:val="24"/>
        </w:rPr>
        <w:t>Based on the estimated program savings and costs contained in the investor-owned utility filings, the Net CONE calculation is $-2.16/kW-month.  Therefore, we recommend an ORTP value for EE programs of $0.00/kW-month.</w:t>
      </w:r>
    </w:p>
    <w:p w14:paraId="2F47E997" w14:textId="67A8F4C8" w:rsidR="00EA0EB1" w:rsidRDefault="003815A8" w:rsidP="00D2628D">
      <w:pPr>
        <w:pStyle w:val="Caption"/>
        <w:rPr>
          <w:rFonts w:eastAsia="Times New Roman"/>
          <w:szCs w:val="24"/>
        </w:rPr>
      </w:pPr>
      <w:bookmarkStart w:id="122" w:name="_Toc465433469"/>
      <w:r>
        <w:lastRenderedPageBreak/>
        <w:t xml:space="preserve">Table </w:t>
      </w:r>
      <w:r w:rsidR="00FA6573">
        <w:fldChar w:fldCharType="begin"/>
      </w:r>
      <w:r w:rsidR="00FA6573">
        <w:instrText xml:space="preserve"> SEQ Table \* ARABIC </w:instrText>
      </w:r>
      <w:r w:rsidR="00FA6573">
        <w:fldChar w:fldCharType="separate"/>
      </w:r>
      <w:r w:rsidR="000637A3">
        <w:rPr>
          <w:noProof/>
        </w:rPr>
        <w:t>46</w:t>
      </w:r>
      <w:r w:rsidR="00FA6573">
        <w:rPr>
          <w:noProof/>
        </w:rPr>
        <w:fldChar w:fldCharType="end"/>
      </w:r>
      <w:r w:rsidRPr="003815A8">
        <w:t xml:space="preserve">: </w:t>
      </w:r>
      <w:r w:rsidR="00EA0EB1" w:rsidRPr="003815A8">
        <w:t>Energy Efficiency Program ORTP Calculation</w:t>
      </w:r>
      <w:bookmarkEnd w:id="122"/>
    </w:p>
    <w:p w14:paraId="74D92469" w14:textId="05570CCD" w:rsidR="00B72F59" w:rsidRDefault="00E50EA1" w:rsidP="00B72F59">
      <w:pPr>
        <w:keepNext/>
        <w:keepLines/>
        <w:jc w:val="center"/>
        <w:rPr>
          <w:rFonts w:eastAsia="Times New Roman" w:cs="Arial"/>
          <w:b/>
          <w:bCs/>
          <w:caps/>
          <w:color w:val="632423"/>
          <w:kern w:val="32"/>
          <w:sz w:val="24"/>
          <w:szCs w:val="24"/>
        </w:rPr>
      </w:pPr>
      <w:r w:rsidRPr="00E50EA1">
        <w:rPr>
          <w:noProof/>
        </w:rPr>
        <w:drawing>
          <wp:inline distT="0" distB="0" distL="0" distR="0" wp14:anchorId="46953B21" wp14:editId="28CC3E64">
            <wp:extent cx="2857500" cy="34004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514"/>
                    <a:stretch/>
                  </pic:blipFill>
                  <pic:spPr bwMode="auto">
                    <a:xfrm>
                      <a:off x="0" y="0"/>
                      <a:ext cx="2857500" cy="34004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56D930" w14:textId="0C9E443B" w:rsidR="00EA0EB1" w:rsidRPr="00386C57" w:rsidRDefault="00EA0EB1" w:rsidP="00456566">
      <w:pPr>
        <w:pStyle w:val="Heading2"/>
        <w:numPr>
          <w:ilvl w:val="0"/>
          <w:numId w:val="6"/>
        </w:numPr>
      </w:pPr>
      <w:bookmarkStart w:id="123" w:name="_Toc468288326"/>
      <w:r w:rsidRPr="00386C57">
        <w:t>Demand R</w:t>
      </w:r>
      <w:r w:rsidR="00B72F59" w:rsidRPr="00386C57">
        <w:t>e</w:t>
      </w:r>
      <w:r w:rsidRPr="00386C57">
        <w:t>sponse</w:t>
      </w:r>
      <w:r w:rsidR="005510A1">
        <w:t xml:space="preserve"> </w:t>
      </w:r>
      <w:r w:rsidR="00952AAC">
        <w:t>Resource</w:t>
      </w:r>
      <w:r w:rsidR="00952AAC" w:rsidRPr="00386C57">
        <w:t xml:space="preserve"> </w:t>
      </w:r>
      <w:r w:rsidR="00B72F59" w:rsidRPr="00386C57">
        <w:t>ORTP</w:t>
      </w:r>
      <w:bookmarkEnd w:id="123"/>
    </w:p>
    <w:p w14:paraId="23D6E8D2" w14:textId="77777777" w:rsidR="00EA0EB1" w:rsidRDefault="00EA0EB1" w:rsidP="00A12D4D">
      <w:pPr>
        <w:pStyle w:val="Heading3"/>
        <w:numPr>
          <w:ilvl w:val="0"/>
          <w:numId w:val="34"/>
        </w:numPr>
      </w:pPr>
      <w:r w:rsidRPr="00FB5D32">
        <w:t>Technical Specifications</w:t>
      </w:r>
    </w:p>
    <w:p w14:paraId="06AE86BA" w14:textId="1330EDEA" w:rsidR="00EA0EB1" w:rsidRPr="006014AF" w:rsidRDefault="004A1C58" w:rsidP="00EA0EB1">
      <w:pPr>
        <w:rPr>
          <w:rFonts w:cs="Times New Roman"/>
        </w:rPr>
      </w:pPr>
      <w:r w:rsidRPr="006014AF">
        <w:rPr>
          <w:rFonts w:cs="Times New Roman"/>
          <w:shd w:val="clear" w:color="auto" w:fill="FFFFFF"/>
        </w:rPr>
        <w:t xml:space="preserve">Demand </w:t>
      </w:r>
      <w:r>
        <w:rPr>
          <w:rFonts w:cs="Times New Roman"/>
          <w:shd w:val="clear" w:color="auto" w:fill="FFFFFF"/>
        </w:rPr>
        <w:t xml:space="preserve">response </w:t>
      </w:r>
      <w:r w:rsidRPr="006014AF">
        <w:rPr>
          <w:rFonts w:cs="Times New Roman"/>
          <w:shd w:val="clear" w:color="auto" w:fill="FFFFFF"/>
        </w:rPr>
        <w:t>resources</w:t>
      </w:r>
      <w:r w:rsidR="00EA0EB1" w:rsidRPr="006014AF">
        <w:rPr>
          <w:rFonts w:cs="Times New Roman"/>
          <w:shd w:val="clear" w:color="auto" w:fill="FFFFFF"/>
        </w:rPr>
        <w:t>, like other supply resources, are competitive assets that help meet New England’s electricity needs. By reducing consumption, demand resources can help ensure enough electricity is available to maintain grid reliability.  Demand resources can take many forms. They can be a capacity product, type of equipment, system, service, practice, or strategy—almost anything that verifiably reduces end-use demand for electricity from the power system. (Reductions must be verified using an ISO-accepted measurement and verification protocol.)</w:t>
      </w:r>
      <w:r w:rsidR="00EA0EB1" w:rsidRPr="006014AF">
        <w:rPr>
          <w:rStyle w:val="apple-converted-space"/>
          <w:rFonts w:cs="Times New Roman"/>
          <w:shd w:val="clear" w:color="auto" w:fill="FFFFFF"/>
        </w:rPr>
        <w:t> </w:t>
      </w:r>
      <w:r w:rsidR="00EA0EB1" w:rsidRPr="006014AF">
        <w:rPr>
          <w:rFonts w:cs="Times New Roman"/>
        </w:rPr>
        <w:t>Demand response resources var</w:t>
      </w:r>
      <w:r w:rsidR="00EA0EB1">
        <w:rPr>
          <w:rFonts w:cs="Times New Roman"/>
        </w:rPr>
        <w:t>y</w:t>
      </w:r>
      <w:r w:rsidR="00EA0EB1" w:rsidRPr="006014AF">
        <w:rPr>
          <w:rFonts w:cs="Times New Roman"/>
        </w:rPr>
        <w:t xml:space="preserve"> in size and type.  A</w:t>
      </w:r>
      <w:r w:rsidR="00EA0EB1">
        <w:rPr>
          <w:rFonts w:cs="Times New Roman"/>
        </w:rPr>
        <w:t>s</w:t>
      </w:r>
      <w:r w:rsidR="00EA0EB1" w:rsidRPr="006014AF">
        <w:rPr>
          <w:rFonts w:cs="Times New Roman"/>
        </w:rPr>
        <w:t xml:space="preserve"> a result, capital costs </w:t>
      </w:r>
      <w:r>
        <w:rPr>
          <w:rFonts w:cs="Times New Roman"/>
        </w:rPr>
        <w:t xml:space="preserve">span </w:t>
      </w:r>
      <w:r w:rsidR="00EA0EB1">
        <w:rPr>
          <w:rFonts w:cs="Times New Roman"/>
        </w:rPr>
        <w:t>a large range</w:t>
      </w:r>
      <w:r w:rsidR="00EA0EB1" w:rsidRPr="006014AF">
        <w:rPr>
          <w:rFonts w:cs="Times New Roman"/>
        </w:rPr>
        <w:t>.</w:t>
      </w:r>
    </w:p>
    <w:p w14:paraId="70733727" w14:textId="77777777" w:rsidR="00EA0EB1" w:rsidRPr="006014AF" w:rsidRDefault="00EA0EB1" w:rsidP="00EA0EB1">
      <w:pPr>
        <w:rPr>
          <w:rFonts w:cs="Times New Roman"/>
        </w:rPr>
      </w:pPr>
      <w:r w:rsidRPr="006014AF">
        <w:rPr>
          <w:rFonts w:cs="Times New Roman"/>
        </w:rPr>
        <w:t xml:space="preserve">Consistent with the categories established in the </w:t>
      </w:r>
      <w:r>
        <w:rPr>
          <w:rFonts w:cs="Times New Roman"/>
        </w:rPr>
        <w:t xml:space="preserve">2013 </w:t>
      </w:r>
      <w:r w:rsidRPr="006014AF">
        <w:rPr>
          <w:rFonts w:cs="Times New Roman"/>
        </w:rPr>
        <w:t>ORTP study, we assumed two classes of demand response with the following characteristics:</w:t>
      </w:r>
    </w:p>
    <w:p w14:paraId="0F17CC1B" w14:textId="43F84DAA" w:rsidR="00EA0EB1" w:rsidRDefault="00EA0EB1" w:rsidP="00456566">
      <w:pPr>
        <w:pStyle w:val="ListParagraph"/>
        <w:numPr>
          <w:ilvl w:val="0"/>
          <w:numId w:val="2"/>
        </w:numPr>
      </w:pPr>
      <w:r w:rsidRPr="006014AF">
        <w:t>Large DR – medium-sized commercial facility with a 2 MW peak load and the ability to reduce load by 25% assumed to be 500</w:t>
      </w:r>
      <w:r w:rsidR="005632F6">
        <w:t xml:space="preserve"> </w:t>
      </w:r>
      <w:r w:rsidRPr="006014AF">
        <w:t>kW.  We assumed that the control technologies and systems required to implement the assumed peak load reduction are already in place, consistent with conservative cost assumptions to determine an OR</w:t>
      </w:r>
      <w:r w:rsidR="005632F6">
        <w:t>T</w:t>
      </w:r>
      <w:r w:rsidRPr="006014AF">
        <w:t>P at the low end of competitive range.</w:t>
      </w:r>
    </w:p>
    <w:p w14:paraId="1EFDE1E1" w14:textId="77777777" w:rsidR="00EA0EB1" w:rsidRPr="002835D0" w:rsidRDefault="00EA0EB1" w:rsidP="00456566">
      <w:pPr>
        <w:pStyle w:val="ListParagraph"/>
        <w:numPr>
          <w:ilvl w:val="0"/>
          <w:numId w:val="2"/>
        </w:numPr>
      </w:pPr>
      <w:r w:rsidRPr="006014AF">
        <w:lastRenderedPageBreak/>
        <w:t xml:space="preserve">Mass Market DR </w:t>
      </w:r>
      <w:r>
        <w:t>–</w:t>
      </w:r>
      <w:r w:rsidRPr="006014AF">
        <w:t xml:space="preserve"> </w:t>
      </w:r>
      <w:r w:rsidRPr="002835D0">
        <w:t xml:space="preserve">a measure implemented by an investor-owned utility or state program focused on residential or small commercial customers that control specific end-use processes and can provide </w:t>
      </w:r>
      <w:r>
        <w:t>1 kW of demand reduction.</w:t>
      </w:r>
    </w:p>
    <w:p w14:paraId="0CCF45D0" w14:textId="77777777" w:rsidR="00EA0EB1" w:rsidRDefault="00EA0EB1" w:rsidP="00A12D4D">
      <w:pPr>
        <w:pStyle w:val="Heading3"/>
      </w:pPr>
      <w:r>
        <w:t>Capital Costs</w:t>
      </w:r>
    </w:p>
    <w:p w14:paraId="06B60493" w14:textId="580F8DA9" w:rsidR="00EA0EB1" w:rsidRPr="002835D0" w:rsidRDefault="00EA0EB1" w:rsidP="002E2C77">
      <w:pPr>
        <w:keepNext/>
        <w:rPr>
          <w:rFonts w:cs="Times New Roman"/>
          <w:shd w:val="clear" w:color="auto" w:fill="FFFFFF"/>
        </w:rPr>
      </w:pPr>
      <w:r w:rsidRPr="002835D0">
        <w:rPr>
          <w:rFonts w:cs="Times New Roman"/>
          <w:shd w:val="clear" w:color="auto" w:fill="FFFFFF"/>
        </w:rPr>
        <w:t>To determine the ORTP f</w:t>
      </w:r>
      <w:r>
        <w:rPr>
          <w:rFonts w:cs="Times New Roman"/>
          <w:shd w:val="clear" w:color="auto" w:fill="FFFFFF"/>
        </w:rPr>
        <w:t xml:space="preserve">or Demand Response, Concentric </w:t>
      </w:r>
      <w:r w:rsidRPr="002835D0">
        <w:rPr>
          <w:rFonts w:cs="Times New Roman"/>
          <w:shd w:val="clear" w:color="auto" w:fill="FFFFFF"/>
        </w:rPr>
        <w:t>reviewed the methodology, data, and analysis from the 2013 Offer Review Trigger Price Study (“2013 ORTP Study”).   The 2013 ORTP Study identified challenges to obtai</w:t>
      </w:r>
      <w:r>
        <w:rPr>
          <w:rFonts w:cs="Times New Roman"/>
          <w:shd w:val="clear" w:color="auto" w:fill="FFFFFF"/>
        </w:rPr>
        <w:t xml:space="preserve">ning detailed cost information </w:t>
      </w:r>
      <w:r w:rsidRPr="002835D0">
        <w:rPr>
          <w:rFonts w:cs="Times New Roman"/>
          <w:shd w:val="clear" w:color="auto" w:fill="FFFFFF"/>
        </w:rPr>
        <w:t xml:space="preserve">due to (1) the variation in demand response resources, including in cost and type; </w:t>
      </w:r>
      <w:r w:rsidR="004A1C58">
        <w:rPr>
          <w:rFonts w:cs="Times New Roman"/>
          <w:shd w:val="clear" w:color="auto" w:fill="FFFFFF"/>
        </w:rPr>
        <w:t xml:space="preserve">and </w:t>
      </w:r>
      <w:r w:rsidRPr="002835D0">
        <w:rPr>
          <w:rFonts w:cs="Times New Roman"/>
          <w:shd w:val="clear" w:color="auto" w:fill="FFFFFF"/>
        </w:rPr>
        <w:t xml:space="preserve">(2) limited available detailed data </w:t>
      </w:r>
      <w:r>
        <w:rPr>
          <w:rFonts w:cs="Times New Roman"/>
          <w:shd w:val="clear" w:color="auto" w:fill="FFFFFF"/>
        </w:rPr>
        <w:t xml:space="preserve">required to determine the ORTP.  These </w:t>
      </w:r>
      <w:r w:rsidRPr="002835D0">
        <w:rPr>
          <w:rFonts w:cs="Times New Roman"/>
          <w:shd w:val="clear" w:color="auto" w:fill="FFFFFF"/>
        </w:rPr>
        <w:t>challenges still apply.</w:t>
      </w:r>
    </w:p>
    <w:p w14:paraId="0FDA1DDF" w14:textId="5723DCBC" w:rsidR="00EA0EB1" w:rsidRDefault="00EA0EB1" w:rsidP="00EA0EB1">
      <w:pPr>
        <w:rPr>
          <w:rFonts w:cs="Times New Roman"/>
          <w:shd w:val="clear" w:color="auto" w:fill="FFFFFF"/>
        </w:rPr>
      </w:pPr>
      <w:r w:rsidRPr="002835D0">
        <w:rPr>
          <w:rFonts w:cs="Times New Roman"/>
          <w:shd w:val="clear" w:color="auto" w:fill="FFFFFF"/>
        </w:rPr>
        <w:t xml:space="preserve">As the 2013 ORTP </w:t>
      </w:r>
      <w:r>
        <w:rPr>
          <w:rFonts w:cs="Times New Roman"/>
          <w:shd w:val="clear" w:color="auto" w:fill="FFFFFF"/>
        </w:rPr>
        <w:t>s</w:t>
      </w:r>
      <w:r w:rsidRPr="002835D0">
        <w:rPr>
          <w:rFonts w:cs="Times New Roman"/>
          <w:shd w:val="clear" w:color="auto" w:fill="FFFFFF"/>
        </w:rPr>
        <w:t xml:space="preserve">tudy approach and resulting ORTP recommendations were based largely on interviews with DR aggregators, Concentric reached out to </w:t>
      </w:r>
      <w:r>
        <w:rPr>
          <w:rFonts w:cs="Times New Roman"/>
          <w:shd w:val="clear" w:color="auto" w:fill="FFFFFF"/>
        </w:rPr>
        <w:t xml:space="preserve">six </w:t>
      </w:r>
      <w:r w:rsidRPr="002835D0">
        <w:rPr>
          <w:rFonts w:cs="Times New Roman"/>
          <w:shd w:val="clear" w:color="auto" w:fill="FFFFFF"/>
        </w:rPr>
        <w:t>DR aggregators to assess whether the information and methodolog</w:t>
      </w:r>
      <w:r>
        <w:rPr>
          <w:rFonts w:cs="Times New Roman"/>
          <w:shd w:val="clear" w:color="auto" w:fill="FFFFFF"/>
        </w:rPr>
        <w:t>y used in the 2013 ORTP study was</w:t>
      </w:r>
      <w:r w:rsidRPr="002835D0">
        <w:rPr>
          <w:rFonts w:cs="Times New Roman"/>
          <w:shd w:val="clear" w:color="auto" w:fill="FFFFFF"/>
        </w:rPr>
        <w:t xml:space="preserve"> still applicable.  Several Interviewees offered general support for the ORTP methodology, values, assumptions, and ORTP reco</w:t>
      </w:r>
      <w:r>
        <w:rPr>
          <w:rFonts w:cs="Times New Roman"/>
          <w:shd w:val="clear" w:color="auto" w:fill="FFFFFF"/>
        </w:rPr>
        <w:t>mmendation from the 2013 study (</w:t>
      </w:r>
      <w:r w:rsidRPr="002835D0">
        <w:rPr>
          <w:rFonts w:cs="Times New Roman"/>
          <w:shd w:val="clear" w:color="auto" w:fill="FFFFFF"/>
        </w:rPr>
        <w:t>i.e., that these continue to be applicable/ appropriate</w:t>
      </w:r>
      <w:r>
        <w:rPr>
          <w:rFonts w:cs="Times New Roman"/>
          <w:shd w:val="clear" w:color="auto" w:fill="FFFFFF"/>
        </w:rPr>
        <w:t>)</w:t>
      </w:r>
      <w:r w:rsidRPr="002835D0">
        <w:rPr>
          <w:rFonts w:cs="Times New Roman"/>
          <w:shd w:val="clear" w:color="auto" w:fill="FFFFFF"/>
        </w:rPr>
        <w:t>.  Interviewees suggested variations to some of the values used in 2013</w:t>
      </w:r>
      <w:r>
        <w:rPr>
          <w:rFonts w:cs="Times New Roman"/>
          <w:shd w:val="clear" w:color="auto" w:fill="FFFFFF"/>
        </w:rPr>
        <w:t xml:space="preserve">.  However, the majority of interviewees believed that the </w:t>
      </w:r>
      <w:r w:rsidRPr="002835D0">
        <w:rPr>
          <w:rFonts w:cs="Times New Roman"/>
          <w:shd w:val="clear" w:color="auto" w:fill="FFFFFF"/>
        </w:rPr>
        <w:t>equipment costs</w:t>
      </w:r>
      <w:r>
        <w:rPr>
          <w:rFonts w:cs="Times New Roman"/>
          <w:shd w:val="clear" w:color="auto" w:fill="FFFFFF"/>
        </w:rPr>
        <w:t xml:space="preserve">, customer incentives and sales representative commission costs </w:t>
      </w:r>
      <w:r w:rsidRPr="002835D0">
        <w:rPr>
          <w:rFonts w:cs="Times New Roman"/>
          <w:shd w:val="clear" w:color="auto" w:fill="FFFFFF"/>
        </w:rPr>
        <w:t xml:space="preserve">used in the 2013 </w:t>
      </w:r>
      <w:r>
        <w:rPr>
          <w:rFonts w:cs="Times New Roman"/>
          <w:shd w:val="clear" w:color="auto" w:fill="FFFFFF"/>
        </w:rPr>
        <w:t>s</w:t>
      </w:r>
      <w:r w:rsidRPr="002835D0">
        <w:rPr>
          <w:rFonts w:cs="Times New Roman"/>
          <w:shd w:val="clear" w:color="auto" w:fill="FFFFFF"/>
        </w:rPr>
        <w:t>tudy</w:t>
      </w:r>
      <w:r>
        <w:rPr>
          <w:rFonts w:cs="Times New Roman"/>
          <w:shd w:val="clear" w:color="auto" w:fill="FFFFFF"/>
        </w:rPr>
        <w:t xml:space="preserve"> continued to be appropriate and fall within a reasonable range.</w:t>
      </w:r>
      <w:r w:rsidRPr="002835D0">
        <w:rPr>
          <w:rFonts w:cs="Times New Roman"/>
          <w:shd w:val="clear" w:color="auto" w:fill="FFFFFF"/>
        </w:rPr>
        <w:t xml:space="preserve">  </w:t>
      </w:r>
    </w:p>
    <w:p w14:paraId="3DB8BCC4" w14:textId="51CCA3A8" w:rsidR="00EA0EB1" w:rsidRPr="002835D0" w:rsidRDefault="00EA0EB1" w:rsidP="00EA0EB1">
      <w:pPr>
        <w:rPr>
          <w:rFonts w:cs="Times New Roman"/>
          <w:shd w:val="clear" w:color="auto" w:fill="FFFFFF"/>
        </w:rPr>
      </w:pPr>
      <w:r>
        <w:rPr>
          <w:rFonts w:cs="Times New Roman"/>
          <w:shd w:val="clear" w:color="auto" w:fill="FFFFFF"/>
        </w:rPr>
        <w:t>Based on this information, we used the capital costs contained in the 2013 ORTP study to estimate the equivalent costs in 2021, and assumed a total cost of $</w:t>
      </w:r>
      <w:r w:rsidR="00922931">
        <w:rPr>
          <w:rFonts w:cs="Times New Roman"/>
          <w:shd w:val="clear" w:color="auto" w:fill="FFFFFF"/>
        </w:rPr>
        <w:t>3,700</w:t>
      </w:r>
      <w:r>
        <w:rPr>
          <w:rFonts w:cs="Times New Roman"/>
          <w:shd w:val="clear" w:color="auto" w:fill="FFFFFF"/>
        </w:rPr>
        <w:t>.  For the customer incentive payments, we assumed that these payments are 70% of the auction clearing price, consistent with the 2013 ORTP study, or approximately $4.92/kW-month. We assumed a 1% sales commission.</w:t>
      </w:r>
      <w:r w:rsidR="00922931">
        <w:rPr>
          <w:rFonts w:cs="Times New Roman"/>
          <w:shd w:val="clear" w:color="auto" w:fill="FFFFFF"/>
        </w:rPr>
        <w:t xml:space="preserve">  This information is shown in </w:t>
      </w:r>
      <w:r w:rsidR="00922931">
        <w:rPr>
          <w:rFonts w:cs="Times New Roman"/>
          <w:shd w:val="clear" w:color="auto" w:fill="FFFFFF"/>
        </w:rPr>
        <w:fldChar w:fldCharType="begin"/>
      </w:r>
      <w:r w:rsidR="00922931">
        <w:rPr>
          <w:rFonts w:cs="Times New Roman"/>
          <w:shd w:val="clear" w:color="auto" w:fill="FFFFFF"/>
        </w:rPr>
        <w:instrText xml:space="preserve"> REF _Ref462660196 \h </w:instrText>
      </w:r>
      <w:r w:rsidR="00922931">
        <w:rPr>
          <w:rFonts w:cs="Times New Roman"/>
          <w:shd w:val="clear" w:color="auto" w:fill="FFFFFF"/>
        </w:rPr>
      </w:r>
      <w:r w:rsidR="00922931">
        <w:rPr>
          <w:rFonts w:cs="Times New Roman"/>
          <w:shd w:val="clear" w:color="auto" w:fill="FFFFFF"/>
        </w:rPr>
        <w:fldChar w:fldCharType="separate"/>
      </w:r>
      <w:r w:rsidR="006E2301">
        <w:t xml:space="preserve">Table </w:t>
      </w:r>
      <w:r w:rsidR="006E2301">
        <w:rPr>
          <w:noProof/>
        </w:rPr>
        <w:t>45</w:t>
      </w:r>
      <w:r w:rsidR="00922931">
        <w:rPr>
          <w:rFonts w:cs="Times New Roman"/>
          <w:shd w:val="clear" w:color="auto" w:fill="FFFFFF"/>
        </w:rPr>
        <w:fldChar w:fldCharType="end"/>
      </w:r>
      <w:r w:rsidR="00922931">
        <w:rPr>
          <w:rFonts w:cs="Times New Roman"/>
          <w:shd w:val="clear" w:color="auto" w:fill="FFFFFF"/>
        </w:rPr>
        <w:t xml:space="preserve"> below.</w:t>
      </w:r>
    </w:p>
    <w:p w14:paraId="732E935A" w14:textId="32AF4FC7" w:rsidR="00EA0EB1" w:rsidRDefault="00EA0EB1" w:rsidP="00EA0EB1">
      <w:pPr>
        <w:rPr>
          <w:rFonts w:cs="Times New Roman"/>
          <w:shd w:val="clear" w:color="auto" w:fill="FFFFFF"/>
        </w:rPr>
      </w:pPr>
      <w:r>
        <w:rPr>
          <w:rFonts w:cs="Times New Roman"/>
          <w:shd w:val="clear" w:color="auto" w:fill="FFFFFF"/>
        </w:rPr>
        <w:t xml:space="preserve">For Mass Market DR, we used the information contained in the 2013 ORTP study, as well as information gained from our interviews.  </w:t>
      </w:r>
      <w:r w:rsidR="005510A1">
        <w:rPr>
          <w:rFonts w:cs="Times New Roman"/>
          <w:shd w:val="clear" w:color="auto" w:fill="FFFFFF"/>
        </w:rPr>
        <w:t>I</w:t>
      </w:r>
      <w:r w:rsidRPr="002835D0">
        <w:rPr>
          <w:rFonts w:cs="Times New Roman"/>
          <w:shd w:val="clear" w:color="auto" w:fill="FFFFFF"/>
        </w:rPr>
        <w:t>nterviewee</w:t>
      </w:r>
      <w:r>
        <w:rPr>
          <w:rFonts w:cs="Times New Roman"/>
          <w:shd w:val="clear" w:color="auto" w:fill="FFFFFF"/>
        </w:rPr>
        <w:t xml:space="preserve">s generally agreed that it is </w:t>
      </w:r>
      <w:r w:rsidRPr="002835D0">
        <w:rPr>
          <w:rFonts w:cs="Times New Roman"/>
          <w:shd w:val="clear" w:color="auto" w:fill="FFFFFF"/>
        </w:rPr>
        <w:t xml:space="preserve">appropriate to </w:t>
      </w:r>
      <w:r>
        <w:rPr>
          <w:rFonts w:cs="Times New Roman"/>
          <w:shd w:val="clear" w:color="auto" w:fill="FFFFFF"/>
        </w:rPr>
        <w:t>maintain</w:t>
      </w:r>
      <w:r w:rsidRPr="002835D0">
        <w:rPr>
          <w:rFonts w:cs="Times New Roman"/>
          <w:shd w:val="clear" w:color="auto" w:fill="FFFFFF"/>
        </w:rPr>
        <w:t xml:space="preserve"> the methodology from the 2013 ORTP </w:t>
      </w:r>
      <w:r>
        <w:rPr>
          <w:rFonts w:cs="Times New Roman"/>
          <w:shd w:val="clear" w:color="auto" w:fill="FFFFFF"/>
        </w:rPr>
        <w:t>s</w:t>
      </w:r>
      <w:r w:rsidRPr="002835D0">
        <w:rPr>
          <w:rFonts w:cs="Times New Roman"/>
          <w:shd w:val="clear" w:color="auto" w:fill="FFFFFF"/>
        </w:rPr>
        <w:t xml:space="preserve">tudy of keeping the two tiers </w:t>
      </w:r>
      <w:r>
        <w:rPr>
          <w:rFonts w:cs="Times New Roman"/>
          <w:shd w:val="clear" w:color="auto" w:fill="FFFFFF"/>
        </w:rPr>
        <w:t xml:space="preserve">of </w:t>
      </w:r>
      <w:r w:rsidR="00576724">
        <w:rPr>
          <w:rFonts w:cs="Times New Roman"/>
          <w:shd w:val="clear" w:color="auto" w:fill="FFFFFF"/>
        </w:rPr>
        <w:t>demand response</w:t>
      </w:r>
      <w:r w:rsidRPr="002835D0">
        <w:rPr>
          <w:rFonts w:cs="Times New Roman"/>
          <w:shd w:val="clear" w:color="auto" w:fill="FFFFFF"/>
        </w:rPr>
        <w:t xml:space="preserve"> in case such resources were to materialize going forward.  Given a lack of additional </w:t>
      </w:r>
      <w:r>
        <w:rPr>
          <w:rFonts w:cs="Times New Roman"/>
          <w:shd w:val="clear" w:color="auto" w:fill="FFFFFF"/>
        </w:rPr>
        <w:t xml:space="preserve">cost information, we have adjusted the capital cost </w:t>
      </w:r>
      <w:r w:rsidRPr="002835D0">
        <w:rPr>
          <w:rFonts w:cs="Times New Roman"/>
          <w:shd w:val="clear" w:color="auto" w:fill="FFFFFF"/>
        </w:rPr>
        <w:t>information</w:t>
      </w:r>
      <w:r>
        <w:rPr>
          <w:rFonts w:cs="Times New Roman"/>
          <w:shd w:val="clear" w:color="auto" w:fill="FFFFFF"/>
        </w:rPr>
        <w:t xml:space="preserve"> contained in the 2013 ORTP Study for inflation.  These values are shown in </w:t>
      </w:r>
      <w:r w:rsidR="00D91061">
        <w:rPr>
          <w:rFonts w:cs="Times New Roman"/>
          <w:shd w:val="clear" w:color="auto" w:fill="FFFFFF"/>
        </w:rPr>
        <w:t xml:space="preserve">Tables 47 and 48 </w:t>
      </w:r>
      <w:r>
        <w:rPr>
          <w:rFonts w:cs="Times New Roman"/>
          <w:shd w:val="clear" w:color="auto" w:fill="FFFFFF"/>
        </w:rPr>
        <w:t>below.</w:t>
      </w:r>
    </w:p>
    <w:p w14:paraId="5E5222B3" w14:textId="56A39A0D" w:rsidR="00EA0EB1" w:rsidRDefault="00476181" w:rsidP="00D2628D">
      <w:pPr>
        <w:pStyle w:val="Caption"/>
        <w:rPr>
          <w:rFonts w:eastAsia="Times New Roman" w:cs="Arial"/>
          <w:color w:val="A6A6A6" w:themeColor="background1" w:themeShade="A6"/>
          <w:szCs w:val="24"/>
        </w:rPr>
      </w:pPr>
      <w:bookmarkStart w:id="124" w:name="_Ref462660196"/>
      <w:bookmarkStart w:id="125" w:name="_Toc465433470"/>
      <w:r>
        <w:t xml:space="preserve">Table </w:t>
      </w:r>
      <w:r w:rsidR="00FA6573">
        <w:fldChar w:fldCharType="begin"/>
      </w:r>
      <w:r w:rsidR="00FA6573">
        <w:instrText xml:space="preserve"> SEQ Table \* ARABIC </w:instrText>
      </w:r>
      <w:r w:rsidR="00FA6573">
        <w:fldChar w:fldCharType="separate"/>
      </w:r>
      <w:r w:rsidR="000637A3">
        <w:rPr>
          <w:noProof/>
        </w:rPr>
        <w:t>47</w:t>
      </w:r>
      <w:r w:rsidR="00FA6573">
        <w:rPr>
          <w:noProof/>
        </w:rPr>
        <w:fldChar w:fldCharType="end"/>
      </w:r>
      <w:bookmarkEnd w:id="124"/>
      <w:r>
        <w:t xml:space="preserve">: </w:t>
      </w:r>
      <w:r w:rsidR="00EA0EB1" w:rsidRPr="00476181">
        <w:t>Large DR</w:t>
      </w:r>
      <w:r>
        <w:t xml:space="preserve">, </w:t>
      </w:r>
      <w:r w:rsidR="00EA0EB1" w:rsidRPr="00476181">
        <w:t>Capital and Annual Cost Estimates</w:t>
      </w:r>
      <w:bookmarkEnd w:id="125"/>
    </w:p>
    <w:tbl>
      <w:tblPr>
        <w:tblStyle w:val="GridTable4Accent3"/>
        <w:tblW w:w="5215" w:type="dxa"/>
        <w:jc w:val="center"/>
        <w:tblLook w:val="0420" w:firstRow="1" w:lastRow="0" w:firstColumn="0" w:lastColumn="0" w:noHBand="0" w:noVBand="1"/>
      </w:tblPr>
      <w:tblGrid>
        <w:gridCol w:w="2940"/>
        <w:gridCol w:w="2275"/>
      </w:tblGrid>
      <w:tr w:rsidR="00C07ED3" w:rsidRPr="007E4032" w14:paraId="3746EA29" w14:textId="77777777" w:rsidTr="00C07ED3">
        <w:trPr>
          <w:cnfStyle w:val="100000000000" w:firstRow="1" w:lastRow="0" w:firstColumn="0" w:lastColumn="0" w:oddVBand="0" w:evenVBand="0" w:oddHBand="0" w:evenHBand="0" w:firstRowFirstColumn="0" w:firstRowLastColumn="0" w:lastRowFirstColumn="0" w:lastRowLastColumn="0"/>
          <w:trHeight w:val="368"/>
          <w:jc w:val="center"/>
        </w:trPr>
        <w:tc>
          <w:tcPr>
            <w:tcW w:w="2940" w:type="dxa"/>
            <w:hideMark/>
          </w:tcPr>
          <w:p w14:paraId="553E033F" w14:textId="77777777" w:rsidR="00C07ED3" w:rsidRPr="00E41BFE" w:rsidRDefault="00C07ED3" w:rsidP="007129AF">
            <w:pPr>
              <w:spacing w:after="160" w:line="259" w:lineRule="auto"/>
              <w:rPr>
                <w:rFonts w:ascii="Century Gothic" w:hAnsi="Century Gothic"/>
                <w:color w:val="auto"/>
                <w:sz w:val="18"/>
              </w:rPr>
            </w:pPr>
            <w:r w:rsidRPr="00E41BFE">
              <w:rPr>
                <w:rFonts w:ascii="Century Gothic" w:hAnsi="Century Gothic"/>
                <w:color w:val="auto"/>
                <w:sz w:val="18"/>
              </w:rPr>
              <w:t>Cost Components</w:t>
            </w:r>
          </w:p>
        </w:tc>
        <w:tc>
          <w:tcPr>
            <w:tcW w:w="2275" w:type="dxa"/>
            <w:hideMark/>
          </w:tcPr>
          <w:p w14:paraId="470F76A1" w14:textId="77777777" w:rsidR="00C07ED3" w:rsidRPr="00E41BFE" w:rsidRDefault="00C07ED3" w:rsidP="007129AF">
            <w:pPr>
              <w:spacing w:after="160" w:line="259" w:lineRule="auto"/>
              <w:jc w:val="center"/>
              <w:rPr>
                <w:rFonts w:ascii="Century Gothic" w:hAnsi="Century Gothic"/>
                <w:color w:val="auto"/>
                <w:sz w:val="18"/>
              </w:rPr>
            </w:pPr>
            <w:r w:rsidRPr="00E41BFE">
              <w:rPr>
                <w:rFonts w:ascii="Century Gothic" w:hAnsi="Century Gothic"/>
                <w:color w:val="auto"/>
                <w:sz w:val="18"/>
              </w:rPr>
              <w:t>Cost (2021$)</w:t>
            </w:r>
          </w:p>
        </w:tc>
      </w:tr>
      <w:tr w:rsidR="00C07ED3" w:rsidRPr="007E4032" w14:paraId="11BFA581" w14:textId="77777777" w:rsidTr="00C07ED3">
        <w:trPr>
          <w:cnfStyle w:val="000000100000" w:firstRow="0" w:lastRow="0" w:firstColumn="0" w:lastColumn="0" w:oddVBand="0" w:evenVBand="0" w:oddHBand="1" w:evenHBand="0" w:firstRowFirstColumn="0" w:firstRowLastColumn="0" w:lastRowFirstColumn="0" w:lastRowLastColumn="0"/>
          <w:trHeight w:val="413"/>
          <w:jc w:val="center"/>
        </w:trPr>
        <w:tc>
          <w:tcPr>
            <w:tcW w:w="2940" w:type="dxa"/>
            <w:hideMark/>
          </w:tcPr>
          <w:p w14:paraId="36920169" w14:textId="77777777" w:rsidR="00C07ED3" w:rsidRPr="007E4032" w:rsidRDefault="00C07ED3" w:rsidP="007129AF">
            <w:pPr>
              <w:spacing w:after="160" w:line="259" w:lineRule="auto"/>
              <w:jc w:val="left"/>
              <w:rPr>
                <w:rFonts w:ascii="Century Gothic" w:hAnsi="Century Gothic"/>
                <w:sz w:val="16"/>
              </w:rPr>
            </w:pPr>
            <w:r>
              <w:rPr>
                <w:rFonts w:ascii="Century Gothic" w:hAnsi="Century Gothic"/>
                <w:sz w:val="16"/>
              </w:rPr>
              <w:t>Equipment Costs</w:t>
            </w:r>
          </w:p>
        </w:tc>
        <w:tc>
          <w:tcPr>
            <w:tcW w:w="2275" w:type="dxa"/>
            <w:hideMark/>
          </w:tcPr>
          <w:p w14:paraId="1A4CDCCF"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3,700</w:t>
            </w:r>
          </w:p>
        </w:tc>
      </w:tr>
      <w:tr w:rsidR="00C07ED3" w:rsidRPr="007E4032" w14:paraId="62710D36" w14:textId="77777777" w:rsidTr="00C07ED3">
        <w:trPr>
          <w:trHeight w:val="368"/>
          <w:jc w:val="center"/>
        </w:trPr>
        <w:tc>
          <w:tcPr>
            <w:tcW w:w="2940" w:type="dxa"/>
            <w:hideMark/>
          </w:tcPr>
          <w:p w14:paraId="003CF11A" w14:textId="77777777" w:rsidR="00C07ED3" w:rsidRPr="007E4032" w:rsidRDefault="00C07ED3" w:rsidP="007129AF">
            <w:pPr>
              <w:spacing w:after="160" w:line="259" w:lineRule="auto"/>
              <w:jc w:val="left"/>
              <w:rPr>
                <w:rFonts w:ascii="Century Gothic" w:hAnsi="Century Gothic"/>
                <w:sz w:val="16"/>
              </w:rPr>
            </w:pPr>
            <w:r>
              <w:rPr>
                <w:rFonts w:ascii="Century Gothic" w:hAnsi="Century Gothic"/>
                <w:sz w:val="16"/>
              </w:rPr>
              <w:t>Customer Incentives</w:t>
            </w:r>
          </w:p>
        </w:tc>
        <w:tc>
          <w:tcPr>
            <w:tcW w:w="2275" w:type="dxa"/>
            <w:hideMark/>
          </w:tcPr>
          <w:p w14:paraId="3CFA1E81"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4,330</w:t>
            </w:r>
          </w:p>
        </w:tc>
      </w:tr>
      <w:tr w:rsidR="00C07ED3" w:rsidRPr="007E4032" w14:paraId="05EB59DA" w14:textId="77777777" w:rsidTr="00C07ED3">
        <w:trPr>
          <w:cnfStyle w:val="000000100000" w:firstRow="0" w:lastRow="0" w:firstColumn="0" w:lastColumn="0" w:oddVBand="0" w:evenVBand="0" w:oddHBand="1" w:evenHBand="0" w:firstRowFirstColumn="0" w:firstRowLastColumn="0" w:lastRowFirstColumn="0" w:lastRowLastColumn="0"/>
          <w:trHeight w:val="350"/>
          <w:jc w:val="center"/>
        </w:trPr>
        <w:tc>
          <w:tcPr>
            <w:tcW w:w="2940" w:type="dxa"/>
            <w:hideMark/>
          </w:tcPr>
          <w:p w14:paraId="2614AA62" w14:textId="77777777" w:rsidR="00C07ED3" w:rsidRPr="007E4032" w:rsidRDefault="00C07ED3" w:rsidP="007129AF">
            <w:pPr>
              <w:spacing w:after="160" w:line="259" w:lineRule="auto"/>
              <w:jc w:val="left"/>
              <w:rPr>
                <w:rFonts w:ascii="Century Gothic" w:hAnsi="Century Gothic"/>
                <w:sz w:val="16"/>
              </w:rPr>
            </w:pPr>
            <w:r>
              <w:rPr>
                <w:rFonts w:ascii="Century Gothic" w:hAnsi="Century Gothic"/>
                <w:sz w:val="16"/>
              </w:rPr>
              <w:t>Sales Commission</w:t>
            </w:r>
          </w:p>
        </w:tc>
        <w:tc>
          <w:tcPr>
            <w:tcW w:w="2275" w:type="dxa"/>
            <w:hideMark/>
          </w:tcPr>
          <w:p w14:paraId="01D93C4F"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420</w:t>
            </w:r>
          </w:p>
        </w:tc>
      </w:tr>
    </w:tbl>
    <w:p w14:paraId="6FFD730B" w14:textId="01E0A2A8" w:rsidR="00EA0EB1" w:rsidRDefault="00EA0EB1" w:rsidP="00EA0EB1">
      <w:pPr>
        <w:jc w:val="center"/>
        <w:rPr>
          <w:rFonts w:eastAsia="Times New Roman" w:cs="Times New Roman"/>
          <w:szCs w:val="24"/>
        </w:rPr>
      </w:pPr>
    </w:p>
    <w:p w14:paraId="69336F85" w14:textId="142E8863" w:rsidR="00EA0EB1" w:rsidRDefault="00EA0EB1" w:rsidP="00EA0EB1">
      <w:pPr>
        <w:rPr>
          <w:rFonts w:cs="Times New Roman"/>
          <w:highlight w:val="yellow"/>
          <w:shd w:val="clear" w:color="auto" w:fill="FFFFFF"/>
        </w:rPr>
      </w:pPr>
    </w:p>
    <w:p w14:paraId="5833006D" w14:textId="267CAD25" w:rsidR="00C07ED3" w:rsidRDefault="00C07ED3" w:rsidP="00EA0EB1">
      <w:pPr>
        <w:rPr>
          <w:rFonts w:cs="Times New Roman"/>
          <w:highlight w:val="yellow"/>
          <w:shd w:val="clear" w:color="auto" w:fill="FFFFFF"/>
        </w:rPr>
      </w:pPr>
    </w:p>
    <w:p w14:paraId="180B1E24" w14:textId="373B0B94" w:rsidR="00C07ED3" w:rsidRDefault="00C07ED3" w:rsidP="00EA0EB1">
      <w:pPr>
        <w:rPr>
          <w:rFonts w:cs="Times New Roman"/>
          <w:highlight w:val="yellow"/>
          <w:shd w:val="clear" w:color="auto" w:fill="FFFFFF"/>
        </w:rPr>
      </w:pPr>
    </w:p>
    <w:p w14:paraId="6F3809C0" w14:textId="511B36C2" w:rsidR="00C07ED3" w:rsidRDefault="00C07ED3" w:rsidP="00EA0EB1">
      <w:pPr>
        <w:rPr>
          <w:rFonts w:cs="Times New Roman"/>
          <w:highlight w:val="yellow"/>
          <w:shd w:val="clear" w:color="auto" w:fill="FFFFFF"/>
        </w:rPr>
      </w:pPr>
    </w:p>
    <w:p w14:paraId="1C1092EF" w14:textId="70698B6E" w:rsidR="00C07ED3" w:rsidRDefault="00C07ED3" w:rsidP="00EA0EB1">
      <w:pPr>
        <w:rPr>
          <w:rFonts w:cs="Times New Roman"/>
          <w:highlight w:val="yellow"/>
          <w:shd w:val="clear" w:color="auto" w:fill="FFFFFF"/>
        </w:rPr>
      </w:pPr>
    </w:p>
    <w:p w14:paraId="396D8345" w14:textId="7AEAB2F4" w:rsidR="00EA0EB1" w:rsidRDefault="00802408" w:rsidP="00D2628D">
      <w:pPr>
        <w:pStyle w:val="Caption"/>
      </w:pPr>
      <w:bookmarkStart w:id="126" w:name="_Ref462924786"/>
      <w:bookmarkStart w:id="127" w:name="_Toc465433471"/>
      <w:r>
        <w:t xml:space="preserve">Table </w:t>
      </w:r>
      <w:r w:rsidR="00FA6573">
        <w:fldChar w:fldCharType="begin"/>
      </w:r>
      <w:r w:rsidR="00FA6573">
        <w:instrText xml:space="preserve"> SEQ Table \* ARABIC </w:instrText>
      </w:r>
      <w:r w:rsidR="00FA6573">
        <w:fldChar w:fldCharType="separate"/>
      </w:r>
      <w:r w:rsidR="000637A3">
        <w:rPr>
          <w:noProof/>
        </w:rPr>
        <w:t>48</w:t>
      </w:r>
      <w:r w:rsidR="00FA6573">
        <w:rPr>
          <w:noProof/>
        </w:rPr>
        <w:fldChar w:fldCharType="end"/>
      </w:r>
      <w:bookmarkEnd w:id="126"/>
      <w:r>
        <w:t xml:space="preserve">: </w:t>
      </w:r>
      <w:r w:rsidR="00EA0EB1">
        <w:t>Mass Market DR</w:t>
      </w:r>
      <w:r>
        <w:t xml:space="preserve">, </w:t>
      </w:r>
      <w:r w:rsidR="00EA0EB1">
        <w:t>Capital and Annual Cost Estimates</w:t>
      </w:r>
      <w:bookmarkEnd w:id="127"/>
    </w:p>
    <w:tbl>
      <w:tblPr>
        <w:tblStyle w:val="GridTable4Accent3"/>
        <w:tblW w:w="5215" w:type="dxa"/>
        <w:jc w:val="center"/>
        <w:tblLook w:val="0420" w:firstRow="1" w:lastRow="0" w:firstColumn="0" w:lastColumn="0" w:noHBand="0" w:noVBand="1"/>
      </w:tblPr>
      <w:tblGrid>
        <w:gridCol w:w="2940"/>
        <w:gridCol w:w="2275"/>
      </w:tblGrid>
      <w:tr w:rsidR="00C07ED3" w:rsidRPr="007E4032" w14:paraId="4201DDB2" w14:textId="77777777" w:rsidTr="00C07ED3">
        <w:trPr>
          <w:cnfStyle w:val="100000000000" w:firstRow="1" w:lastRow="0" w:firstColumn="0" w:lastColumn="0" w:oddVBand="0" w:evenVBand="0" w:oddHBand="0" w:evenHBand="0" w:firstRowFirstColumn="0" w:firstRowLastColumn="0" w:lastRowFirstColumn="0" w:lastRowLastColumn="0"/>
          <w:trHeight w:val="368"/>
          <w:jc w:val="center"/>
        </w:trPr>
        <w:tc>
          <w:tcPr>
            <w:tcW w:w="2940" w:type="dxa"/>
            <w:hideMark/>
          </w:tcPr>
          <w:p w14:paraId="4E79E714" w14:textId="77777777" w:rsidR="00C07ED3" w:rsidRPr="007E4032" w:rsidRDefault="00C07ED3" w:rsidP="007129AF">
            <w:pPr>
              <w:spacing w:after="160" w:line="259" w:lineRule="auto"/>
              <w:rPr>
                <w:rFonts w:ascii="Century Gothic" w:hAnsi="Century Gothic"/>
                <w:sz w:val="16"/>
              </w:rPr>
            </w:pPr>
            <w:r w:rsidRPr="00E41BFE">
              <w:rPr>
                <w:rFonts w:ascii="Century Gothic" w:hAnsi="Century Gothic"/>
                <w:color w:val="auto"/>
                <w:sz w:val="18"/>
              </w:rPr>
              <w:t>Cost Components</w:t>
            </w:r>
          </w:p>
        </w:tc>
        <w:tc>
          <w:tcPr>
            <w:tcW w:w="2275" w:type="dxa"/>
            <w:hideMark/>
          </w:tcPr>
          <w:p w14:paraId="35A2CF92" w14:textId="77777777" w:rsidR="00C07ED3" w:rsidRPr="007E4032" w:rsidRDefault="00C07ED3" w:rsidP="007129AF">
            <w:pPr>
              <w:spacing w:after="160" w:line="259" w:lineRule="auto"/>
              <w:jc w:val="center"/>
              <w:rPr>
                <w:rFonts w:ascii="Century Gothic" w:hAnsi="Century Gothic"/>
                <w:sz w:val="16"/>
              </w:rPr>
            </w:pPr>
            <w:r w:rsidRPr="00E41BFE">
              <w:rPr>
                <w:rFonts w:ascii="Century Gothic" w:hAnsi="Century Gothic"/>
                <w:color w:val="auto"/>
                <w:sz w:val="18"/>
              </w:rPr>
              <w:t>Cost (2021$)</w:t>
            </w:r>
          </w:p>
        </w:tc>
      </w:tr>
      <w:tr w:rsidR="00C07ED3" w:rsidRPr="007E4032" w14:paraId="761DFD32" w14:textId="77777777" w:rsidTr="00C07ED3">
        <w:trPr>
          <w:cnfStyle w:val="000000100000" w:firstRow="0" w:lastRow="0" w:firstColumn="0" w:lastColumn="0" w:oddVBand="0" w:evenVBand="0" w:oddHBand="1" w:evenHBand="0" w:firstRowFirstColumn="0" w:firstRowLastColumn="0" w:lastRowFirstColumn="0" w:lastRowLastColumn="0"/>
          <w:trHeight w:val="413"/>
          <w:jc w:val="center"/>
        </w:trPr>
        <w:tc>
          <w:tcPr>
            <w:tcW w:w="2940" w:type="dxa"/>
            <w:hideMark/>
          </w:tcPr>
          <w:p w14:paraId="5CA2BE58" w14:textId="77777777" w:rsidR="00C07ED3" w:rsidRPr="007E4032" w:rsidRDefault="00C07ED3" w:rsidP="007129AF">
            <w:pPr>
              <w:spacing w:after="160" w:line="259" w:lineRule="auto"/>
              <w:jc w:val="left"/>
              <w:rPr>
                <w:rFonts w:ascii="Century Gothic" w:hAnsi="Century Gothic"/>
                <w:sz w:val="16"/>
              </w:rPr>
            </w:pPr>
            <w:r>
              <w:rPr>
                <w:rFonts w:ascii="Century Gothic" w:hAnsi="Century Gothic"/>
                <w:sz w:val="16"/>
              </w:rPr>
              <w:t>Mktg, Sales and Recruitment</w:t>
            </w:r>
          </w:p>
        </w:tc>
        <w:tc>
          <w:tcPr>
            <w:tcW w:w="2275" w:type="dxa"/>
            <w:hideMark/>
          </w:tcPr>
          <w:p w14:paraId="6A6D1726"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42</w:t>
            </w:r>
          </w:p>
        </w:tc>
      </w:tr>
      <w:tr w:rsidR="00C07ED3" w:rsidRPr="007E4032" w14:paraId="37AFD1CD" w14:textId="77777777" w:rsidTr="00C07ED3">
        <w:trPr>
          <w:trHeight w:val="368"/>
          <w:jc w:val="center"/>
        </w:trPr>
        <w:tc>
          <w:tcPr>
            <w:tcW w:w="2940" w:type="dxa"/>
            <w:hideMark/>
          </w:tcPr>
          <w:p w14:paraId="778752AF" w14:textId="77777777" w:rsidR="00C07ED3" w:rsidRPr="007E4032" w:rsidRDefault="00C07ED3" w:rsidP="007129AF">
            <w:pPr>
              <w:spacing w:after="160" w:line="259" w:lineRule="auto"/>
              <w:jc w:val="left"/>
              <w:rPr>
                <w:rFonts w:ascii="Century Gothic" w:hAnsi="Century Gothic"/>
                <w:sz w:val="16"/>
              </w:rPr>
            </w:pPr>
            <w:r>
              <w:rPr>
                <w:rFonts w:ascii="Century Gothic" w:hAnsi="Century Gothic"/>
                <w:sz w:val="16"/>
              </w:rPr>
              <w:t>Equipment Costs</w:t>
            </w:r>
          </w:p>
        </w:tc>
        <w:tc>
          <w:tcPr>
            <w:tcW w:w="2275" w:type="dxa"/>
            <w:hideMark/>
          </w:tcPr>
          <w:p w14:paraId="1D7BF697"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133</w:t>
            </w:r>
          </w:p>
        </w:tc>
      </w:tr>
      <w:tr w:rsidR="00C07ED3" w:rsidRPr="007E4032" w14:paraId="1130B480" w14:textId="77777777" w:rsidTr="00C07ED3">
        <w:trPr>
          <w:cnfStyle w:val="000000100000" w:firstRow="0" w:lastRow="0" w:firstColumn="0" w:lastColumn="0" w:oddVBand="0" w:evenVBand="0" w:oddHBand="1" w:evenHBand="0" w:firstRowFirstColumn="0" w:firstRowLastColumn="0" w:lastRowFirstColumn="0" w:lastRowLastColumn="0"/>
          <w:trHeight w:val="350"/>
          <w:jc w:val="center"/>
        </w:trPr>
        <w:tc>
          <w:tcPr>
            <w:tcW w:w="2940" w:type="dxa"/>
            <w:hideMark/>
          </w:tcPr>
          <w:p w14:paraId="6F10823B" w14:textId="77777777" w:rsidR="00C07ED3" w:rsidRPr="007E4032" w:rsidRDefault="00C07ED3" w:rsidP="007129AF">
            <w:pPr>
              <w:spacing w:after="160" w:line="259" w:lineRule="auto"/>
              <w:jc w:val="left"/>
              <w:rPr>
                <w:rFonts w:ascii="Century Gothic" w:hAnsi="Century Gothic"/>
                <w:sz w:val="16"/>
              </w:rPr>
            </w:pPr>
            <w:r>
              <w:rPr>
                <w:rFonts w:ascii="Century Gothic" w:hAnsi="Century Gothic"/>
                <w:sz w:val="16"/>
              </w:rPr>
              <w:t>Customer Incentives</w:t>
            </w:r>
          </w:p>
        </w:tc>
        <w:tc>
          <w:tcPr>
            <w:tcW w:w="2275" w:type="dxa"/>
            <w:hideMark/>
          </w:tcPr>
          <w:p w14:paraId="67610CB0"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42</w:t>
            </w:r>
          </w:p>
        </w:tc>
      </w:tr>
      <w:tr w:rsidR="00C07ED3" w:rsidRPr="007E4032" w14:paraId="3061139F" w14:textId="77777777" w:rsidTr="00C07ED3">
        <w:trPr>
          <w:trHeight w:val="323"/>
          <w:jc w:val="center"/>
        </w:trPr>
        <w:tc>
          <w:tcPr>
            <w:tcW w:w="2940" w:type="dxa"/>
            <w:hideMark/>
          </w:tcPr>
          <w:p w14:paraId="14894FF2" w14:textId="77777777" w:rsidR="00C07ED3" w:rsidRPr="00ED4427" w:rsidRDefault="00C07ED3" w:rsidP="007129AF">
            <w:pPr>
              <w:spacing w:after="160" w:line="259" w:lineRule="auto"/>
              <w:ind w:left="720"/>
              <w:jc w:val="left"/>
              <w:rPr>
                <w:rFonts w:ascii="Century Gothic" w:hAnsi="Century Gothic"/>
                <w:b/>
                <w:i/>
                <w:sz w:val="16"/>
              </w:rPr>
            </w:pPr>
            <w:r w:rsidRPr="00ED4427">
              <w:rPr>
                <w:rFonts w:ascii="Century Gothic" w:hAnsi="Century Gothic"/>
                <w:b/>
                <w:i/>
                <w:sz w:val="16"/>
              </w:rPr>
              <w:t>Total Installation Costs</w:t>
            </w:r>
          </w:p>
        </w:tc>
        <w:tc>
          <w:tcPr>
            <w:tcW w:w="2275" w:type="dxa"/>
            <w:hideMark/>
          </w:tcPr>
          <w:p w14:paraId="72CCA84A" w14:textId="77777777" w:rsidR="00C07ED3" w:rsidRPr="00ED4427" w:rsidRDefault="00C07ED3" w:rsidP="007129AF">
            <w:pPr>
              <w:spacing w:after="160" w:line="259" w:lineRule="auto"/>
              <w:jc w:val="center"/>
              <w:rPr>
                <w:rFonts w:ascii="Century Gothic" w:hAnsi="Century Gothic"/>
                <w:b/>
                <w:i/>
                <w:sz w:val="16"/>
              </w:rPr>
            </w:pPr>
            <w:r w:rsidRPr="00ED4427">
              <w:rPr>
                <w:rFonts w:ascii="Century Gothic" w:hAnsi="Century Gothic"/>
                <w:b/>
                <w:i/>
                <w:sz w:val="16"/>
              </w:rPr>
              <w:t>218</w:t>
            </w:r>
          </w:p>
        </w:tc>
      </w:tr>
      <w:tr w:rsidR="00C07ED3" w:rsidRPr="007E4032" w14:paraId="336EEBCA" w14:textId="77777777" w:rsidTr="00C07ED3">
        <w:trPr>
          <w:cnfStyle w:val="000000100000" w:firstRow="0" w:lastRow="0" w:firstColumn="0" w:lastColumn="0" w:oddVBand="0" w:evenVBand="0" w:oddHBand="1" w:evenHBand="0" w:firstRowFirstColumn="0" w:firstRowLastColumn="0" w:lastRowFirstColumn="0" w:lastRowLastColumn="0"/>
          <w:trHeight w:val="305"/>
          <w:jc w:val="center"/>
        </w:trPr>
        <w:tc>
          <w:tcPr>
            <w:tcW w:w="2940" w:type="dxa"/>
            <w:hideMark/>
          </w:tcPr>
          <w:p w14:paraId="173A949B" w14:textId="77777777" w:rsidR="00C07ED3" w:rsidRPr="007E4032" w:rsidRDefault="00C07ED3" w:rsidP="007129AF">
            <w:pPr>
              <w:spacing w:after="160" w:line="259" w:lineRule="auto"/>
              <w:jc w:val="left"/>
              <w:rPr>
                <w:rFonts w:ascii="Century Gothic" w:hAnsi="Century Gothic"/>
                <w:sz w:val="16"/>
              </w:rPr>
            </w:pPr>
            <w:r w:rsidRPr="007E4032">
              <w:rPr>
                <w:rFonts w:ascii="Century Gothic" w:hAnsi="Century Gothic"/>
                <w:sz w:val="16"/>
              </w:rPr>
              <w:t>Annual Customer Incentives</w:t>
            </w:r>
          </w:p>
        </w:tc>
        <w:tc>
          <w:tcPr>
            <w:tcW w:w="2275" w:type="dxa"/>
            <w:hideMark/>
          </w:tcPr>
          <w:p w14:paraId="3D63A99E"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42</w:t>
            </w:r>
          </w:p>
        </w:tc>
      </w:tr>
      <w:tr w:rsidR="00C07ED3" w:rsidRPr="007E4032" w14:paraId="7E649F92" w14:textId="77777777" w:rsidTr="00C07ED3">
        <w:trPr>
          <w:trHeight w:val="368"/>
          <w:jc w:val="center"/>
        </w:trPr>
        <w:tc>
          <w:tcPr>
            <w:tcW w:w="2940" w:type="dxa"/>
            <w:hideMark/>
          </w:tcPr>
          <w:p w14:paraId="4158729C" w14:textId="77777777" w:rsidR="00C07ED3" w:rsidRPr="007E4032" w:rsidRDefault="00C07ED3" w:rsidP="007129AF">
            <w:pPr>
              <w:spacing w:after="160" w:line="259" w:lineRule="auto"/>
              <w:jc w:val="left"/>
              <w:rPr>
                <w:rFonts w:ascii="Century Gothic" w:hAnsi="Century Gothic"/>
                <w:sz w:val="16"/>
              </w:rPr>
            </w:pPr>
            <w:r w:rsidRPr="007E4032">
              <w:rPr>
                <w:rFonts w:ascii="Century Gothic" w:hAnsi="Century Gothic"/>
                <w:sz w:val="16"/>
              </w:rPr>
              <w:t>O&amp;M Costs</w:t>
            </w:r>
          </w:p>
        </w:tc>
        <w:tc>
          <w:tcPr>
            <w:tcW w:w="2275" w:type="dxa"/>
            <w:hideMark/>
          </w:tcPr>
          <w:p w14:paraId="7931966C"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11</w:t>
            </w:r>
          </w:p>
        </w:tc>
      </w:tr>
      <w:tr w:rsidR="00C07ED3" w:rsidRPr="007E4032" w14:paraId="235DDD01" w14:textId="77777777" w:rsidTr="00C07ED3">
        <w:trPr>
          <w:cnfStyle w:val="000000100000" w:firstRow="0" w:lastRow="0" w:firstColumn="0" w:lastColumn="0" w:oddVBand="0" w:evenVBand="0" w:oddHBand="1" w:evenHBand="0" w:firstRowFirstColumn="0" w:firstRowLastColumn="0" w:lastRowFirstColumn="0" w:lastRowLastColumn="0"/>
          <w:trHeight w:val="350"/>
          <w:jc w:val="center"/>
        </w:trPr>
        <w:tc>
          <w:tcPr>
            <w:tcW w:w="2940" w:type="dxa"/>
            <w:hideMark/>
          </w:tcPr>
          <w:p w14:paraId="754AAB6E" w14:textId="77777777" w:rsidR="00C07ED3" w:rsidRPr="007E4032" w:rsidRDefault="00C07ED3" w:rsidP="007129AF">
            <w:pPr>
              <w:spacing w:after="160" w:line="259" w:lineRule="auto"/>
              <w:jc w:val="left"/>
              <w:rPr>
                <w:rFonts w:ascii="Century Gothic" w:hAnsi="Century Gothic"/>
                <w:sz w:val="16"/>
              </w:rPr>
            </w:pPr>
            <w:r w:rsidRPr="007E4032">
              <w:rPr>
                <w:rFonts w:ascii="Century Gothic" w:hAnsi="Century Gothic"/>
                <w:sz w:val="16"/>
              </w:rPr>
              <w:t>Software/Communication</w:t>
            </w:r>
          </w:p>
        </w:tc>
        <w:tc>
          <w:tcPr>
            <w:tcW w:w="2275" w:type="dxa"/>
            <w:hideMark/>
          </w:tcPr>
          <w:p w14:paraId="4C9FA3DB" w14:textId="77777777" w:rsidR="00C07ED3" w:rsidRPr="007E4032" w:rsidRDefault="00C07ED3" w:rsidP="007129AF">
            <w:pPr>
              <w:spacing w:after="160" w:line="259" w:lineRule="auto"/>
              <w:jc w:val="center"/>
              <w:rPr>
                <w:rFonts w:ascii="Century Gothic" w:hAnsi="Century Gothic"/>
                <w:sz w:val="16"/>
              </w:rPr>
            </w:pPr>
            <w:r>
              <w:rPr>
                <w:rFonts w:ascii="Century Gothic" w:hAnsi="Century Gothic"/>
                <w:sz w:val="16"/>
              </w:rPr>
              <w:t>11</w:t>
            </w:r>
          </w:p>
        </w:tc>
      </w:tr>
    </w:tbl>
    <w:p w14:paraId="10386EEC" w14:textId="2D4C17E2" w:rsidR="00EA0EB1" w:rsidRPr="002835D0" w:rsidRDefault="00EA0EB1" w:rsidP="000B6502">
      <w:pPr>
        <w:keepNext/>
        <w:keepLines/>
        <w:jc w:val="center"/>
        <w:rPr>
          <w:rFonts w:cs="Times New Roman"/>
          <w:shd w:val="clear" w:color="auto" w:fill="FFFFFF"/>
        </w:rPr>
      </w:pPr>
    </w:p>
    <w:p w14:paraId="60041DD6" w14:textId="77777777" w:rsidR="00EA0EB1" w:rsidRDefault="00EA0EB1" w:rsidP="00A12D4D">
      <w:pPr>
        <w:pStyle w:val="Heading3"/>
      </w:pPr>
      <w:r>
        <w:t>ORTP Calculation</w:t>
      </w:r>
    </w:p>
    <w:p w14:paraId="18F98D3C" w14:textId="2049855D" w:rsidR="00EA0EB1" w:rsidRDefault="00EA0EB1" w:rsidP="00EA0EB1">
      <w:pPr>
        <w:rPr>
          <w:rFonts w:eastAsia="Times New Roman" w:cs="Times New Roman"/>
        </w:rPr>
      </w:pPr>
      <w:r w:rsidRPr="00997F46">
        <w:rPr>
          <w:rFonts w:eastAsia="Times New Roman" w:cs="Times New Roman"/>
        </w:rPr>
        <w:t xml:space="preserve">Based on the cost estimates detailed above and the financial assumptions </w:t>
      </w:r>
      <w:r>
        <w:rPr>
          <w:rFonts w:eastAsia="Times New Roman" w:cs="Times New Roman"/>
        </w:rPr>
        <w:t xml:space="preserve">shown in Section </w:t>
      </w:r>
      <w:r w:rsidR="00667F03">
        <w:rPr>
          <w:rFonts w:eastAsia="Times New Roman" w:cs="Times New Roman"/>
        </w:rPr>
        <w:t>4.D,</w:t>
      </w:r>
      <w:r>
        <w:rPr>
          <w:rFonts w:eastAsia="Times New Roman" w:cs="Times New Roman"/>
        </w:rPr>
        <w:t xml:space="preserve"> we recommend an ORTP value for Large DR of </w:t>
      </w:r>
      <w:r w:rsidR="00667F03">
        <w:rPr>
          <w:rFonts w:eastAsia="Times New Roman" w:cs="Times New Roman"/>
        </w:rPr>
        <w:t>$1.01</w:t>
      </w:r>
      <w:r>
        <w:rPr>
          <w:rFonts w:eastAsia="Times New Roman" w:cs="Times New Roman"/>
        </w:rPr>
        <w:t xml:space="preserve"> as shown in </w:t>
      </w:r>
      <w:r w:rsidR="00D91061">
        <w:rPr>
          <w:rFonts w:eastAsia="Times New Roman" w:cs="Times New Roman"/>
        </w:rPr>
        <w:t xml:space="preserve">Table 49 </w:t>
      </w:r>
      <w:r>
        <w:rPr>
          <w:rFonts w:eastAsia="Times New Roman" w:cs="Times New Roman"/>
        </w:rPr>
        <w:t>below.</w:t>
      </w:r>
    </w:p>
    <w:p w14:paraId="38ABFF41" w14:textId="466ADEF8" w:rsidR="00EA0EB1" w:rsidRDefault="005413BD" w:rsidP="00D2628D">
      <w:pPr>
        <w:pStyle w:val="Caption"/>
      </w:pPr>
      <w:bookmarkStart w:id="128" w:name="_Ref462660080"/>
      <w:bookmarkStart w:id="129" w:name="_Toc465433472"/>
      <w:r>
        <w:t xml:space="preserve">Table </w:t>
      </w:r>
      <w:r w:rsidR="00FA6573">
        <w:fldChar w:fldCharType="begin"/>
      </w:r>
      <w:r w:rsidR="00FA6573">
        <w:instrText xml:space="preserve"> SEQ Table \* ARABIC </w:instrText>
      </w:r>
      <w:r w:rsidR="00FA6573">
        <w:fldChar w:fldCharType="separate"/>
      </w:r>
      <w:r w:rsidR="000637A3">
        <w:rPr>
          <w:noProof/>
        </w:rPr>
        <w:t>49</w:t>
      </w:r>
      <w:r w:rsidR="00FA6573">
        <w:rPr>
          <w:noProof/>
        </w:rPr>
        <w:fldChar w:fldCharType="end"/>
      </w:r>
      <w:bookmarkEnd w:id="128"/>
      <w:r>
        <w:t xml:space="preserve">: </w:t>
      </w:r>
      <w:r w:rsidR="00EA0EB1" w:rsidRPr="005413BD">
        <w:t>Large DR ORTP Calculation</w:t>
      </w:r>
      <w:bookmarkEnd w:id="129"/>
    </w:p>
    <w:tbl>
      <w:tblPr>
        <w:tblStyle w:val="GridTable4Accent3"/>
        <w:tblW w:w="6030" w:type="dxa"/>
        <w:jc w:val="center"/>
        <w:tblLook w:val="0420" w:firstRow="1" w:lastRow="0" w:firstColumn="0" w:lastColumn="0" w:noHBand="0" w:noVBand="1"/>
      </w:tblPr>
      <w:tblGrid>
        <w:gridCol w:w="2195"/>
        <w:gridCol w:w="2305"/>
        <w:gridCol w:w="1530"/>
      </w:tblGrid>
      <w:tr w:rsidR="004D0689" w:rsidRPr="007E4032" w14:paraId="57C2FC59" w14:textId="77777777" w:rsidTr="004D0689">
        <w:trPr>
          <w:cnfStyle w:val="100000000000" w:firstRow="1" w:lastRow="0" w:firstColumn="0" w:lastColumn="0" w:oddVBand="0" w:evenVBand="0" w:oddHBand="0" w:evenHBand="0" w:firstRowFirstColumn="0" w:firstRowLastColumn="0" w:lastRowFirstColumn="0" w:lastRowLastColumn="0"/>
          <w:trHeight w:val="576"/>
          <w:jc w:val="center"/>
        </w:trPr>
        <w:tc>
          <w:tcPr>
            <w:tcW w:w="6030" w:type="dxa"/>
            <w:gridSpan w:val="3"/>
            <w:hideMark/>
          </w:tcPr>
          <w:p w14:paraId="07EABB85" w14:textId="77777777" w:rsidR="004D0689" w:rsidRPr="007E4032" w:rsidRDefault="004D0689" w:rsidP="00C07ED3">
            <w:pPr>
              <w:spacing w:after="0" w:line="259" w:lineRule="auto"/>
              <w:jc w:val="center"/>
              <w:rPr>
                <w:rFonts w:ascii="Century Gothic" w:hAnsi="Century Gothic"/>
                <w:color w:val="000000" w:themeColor="text1"/>
                <w:sz w:val="18"/>
              </w:rPr>
            </w:pPr>
            <w:r w:rsidRPr="007E4032">
              <w:rPr>
                <w:rFonts w:ascii="Century Gothic" w:hAnsi="Century Gothic"/>
                <w:color w:val="000000" w:themeColor="text1"/>
                <w:sz w:val="18"/>
              </w:rPr>
              <w:t>Large Commercial and Industrial</w:t>
            </w:r>
          </w:p>
          <w:p w14:paraId="53289AAF" w14:textId="77777777" w:rsidR="004D0689" w:rsidRPr="007E4032" w:rsidRDefault="004D0689" w:rsidP="00C07ED3">
            <w:pPr>
              <w:spacing w:after="0" w:line="259" w:lineRule="auto"/>
              <w:jc w:val="center"/>
              <w:rPr>
                <w:rFonts w:ascii="Century Gothic" w:hAnsi="Century Gothic"/>
                <w:sz w:val="18"/>
              </w:rPr>
            </w:pPr>
            <w:r w:rsidRPr="007E4032">
              <w:rPr>
                <w:rFonts w:ascii="Century Gothic" w:hAnsi="Century Gothic"/>
                <w:color w:val="000000" w:themeColor="text1"/>
                <w:sz w:val="18"/>
              </w:rPr>
              <w:t>(Load Management C&amp;I)</w:t>
            </w:r>
          </w:p>
        </w:tc>
      </w:tr>
      <w:tr w:rsidR="004D0689" w:rsidRPr="007E4032" w14:paraId="34983076" w14:textId="77777777" w:rsidTr="004D0689">
        <w:trPr>
          <w:cnfStyle w:val="000000100000" w:firstRow="0" w:lastRow="0" w:firstColumn="0" w:lastColumn="0" w:oddVBand="0" w:evenVBand="0" w:oddHBand="1" w:evenHBand="0" w:firstRowFirstColumn="0" w:firstRowLastColumn="0" w:lastRowFirstColumn="0" w:lastRowLastColumn="0"/>
          <w:trHeight w:val="350"/>
          <w:jc w:val="center"/>
        </w:trPr>
        <w:tc>
          <w:tcPr>
            <w:tcW w:w="2195" w:type="dxa"/>
            <w:hideMark/>
          </w:tcPr>
          <w:p w14:paraId="6E57B4D3" w14:textId="77777777" w:rsidR="004D0689" w:rsidRPr="007E4032" w:rsidRDefault="004D0689" w:rsidP="007129AF">
            <w:pPr>
              <w:spacing w:after="160" w:line="259" w:lineRule="auto"/>
              <w:rPr>
                <w:rFonts w:ascii="Century Gothic" w:hAnsi="Century Gothic"/>
                <w:sz w:val="18"/>
              </w:rPr>
            </w:pPr>
          </w:p>
        </w:tc>
        <w:tc>
          <w:tcPr>
            <w:tcW w:w="2305" w:type="dxa"/>
            <w:hideMark/>
          </w:tcPr>
          <w:p w14:paraId="35C10255" w14:textId="77777777" w:rsidR="004D0689" w:rsidRPr="007E4032" w:rsidRDefault="004D0689" w:rsidP="007129AF">
            <w:pPr>
              <w:spacing w:after="0" w:line="259" w:lineRule="auto"/>
              <w:jc w:val="center"/>
              <w:rPr>
                <w:rFonts w:ascii="Century Gothic" w:hAnsi="Century Gothic"/>
                <w:sz w:val="18"/>
              </w:rPr>
            </w:pPr>
            <w:r w:rsidRPr="007E4032">
              <w:rPr>
                <w:rFonts w:ascii="Century Gothic" w:hAnsi="Century Gothic"/>
                <w:b/>
                <w:bCs/>
                <w:sz w:val="18"/>
              </w:rPr>
              <w:t>Assumptions</w:t>
            </w:r>
          </w:p>
        </w:tc>
        <w:tc>
          <w:tcPr>
            <w:tcW w:w="1530" w:type="dxa"/>
            <w:hideMark/>
          </w:tcPr>
          <w:p w14:paraId="48833E23" w14:textId="77777777" w:rsidR="004D0689" w:rsidRPr="007E4032" w:rsidRDefault="004D0689" w:rsidP="007129AF">
            <w:pPr>
              <w:spacing w:after="0" w:line="259" w:lineRule="auto"/>
              <w:jc w:val="center"/>
              <w:rPr>
                <w:rFonts w:ascii="Century Gothic" w:hAnsi="Century Gothic"/>
                <w:sz w:val="18"/>
              </w:rPr>
            </w:pPr>
            <w:r w:rsidRPr="007E4032">
              <w:rPr>
                <w:rFonts w:ascii="Century Gothic" w:hAnsi="Century Gothic"/>
                <w:b/>
                <w:bCs/>
                <w:sz w:val="18"/>
              </w:rPr>
              <w:t>Value</w:t>
            </w:r>
          </w:p>
          <w:p w14:paraId="6DF39496" w14:textId="77777777" w:rsidR="004D0689" w:rsidRPr="007E4032" w:rsidRDefault="004D0689" w:rsidP="007129AF">
            <w:pPr>
              <w:spacing w:after="0" w:line="259" w:lineRule="auto"/>
              <w:jc w:val="center"/>
              <w:rPr>
                <w:rFonts w:ascii="Century Gothic" w:hAnsi="Century Gothic"/>
                <w:sz w:val="18"/>
              </w:rPr>
            </w:pPr>
            <w:r w:rsidRPr="007E4032">
              <w:rPr>
                <w:rFonts w:ascii="Century Gothic" w:hAnsi="Century Gothic"/>
                <w:b/>
                <w:bCs/>
                <w:sz w:val="18"/>
              </w:rPr>
              <w:t>($/kW-</w:t>
            </w:r>
            <w:proofErr w:type="spellStart"/>
            <w:r w:rsidRPr="007E4032">
              <w:rPr>
                <w:rFonts w:ascii="Century Gothic" w:hAnsi="Century Gothic"/>
                <w:b/>
                <w:bCs/>
                <w:sz w:val="18"/>
              </w:rPr>
              <w:t>mo</w:t>
            </w:r>
            <w:proofErr w:type="spellEnd"/>
            <w:r w:rsidRPr="007E4032">
              <w:rPr>
                <w:rFonts w:ascii="Century Gothic" w:hAnsi="Century Gothic"/>
                <w:b/>
                <w:bCs/>
                <w:sz w:val="18"/>
              </w:rPr>
              <w:t>)</w:t>
            </w:r>
          </w:p>
        </w:tc>
      </w:tr>
      <w:tr w:rsidR="004D0689" w:rsidRPr="007E4032" w14:paraId="49059430" w14:textId="77777777" w:rsidTr="004D0689">
        <w:trPr>
          <w:trHeight w:val="413"/>
          <w:jc w:val="center"/>
        </w:trPr>
        <w:tc>
          <w:tcPr>
            <w:tcW w:w="2195" w:type="dxa"/>
            <w:hideMark/>
          </w:tcPr>
          <w:p w14:paraId="4D87DCFB"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t>Demand Reduction (kW)</w:t>
            </w:r>
          </w:p>
        </w:tc>
        <w:tc>
          <w:tcPr>
            <w:tcW w:w="2305" w:type="dxa"/>
            <w:hideMark/>
          </w:tcPr>
          <w:p w14:paraId="70357946"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500</w:t>
            </w:r>
          </w:p>
        </w:tc>
        <w:tc>
          <w:tcPr>
            <w:tcW w:w="1530" w:type="dxa"/>
            <w:hideMark/>
          </w:tcPr>
          <w:p w14:paraId="4E7A6871" w14:textId="77777777" w:rsidR="004D0689" w:rsidRPr="007E4032" w:rsidRDefault="004D0689" w:rsidP="007129AF">
            <w:pPr>
              <w:spacing w:after="160" w:line="259" w:lineRule="auto"/>
              <w:jc w:val="center"/>
              <w:rPr>
                <w:rFonts w:ascii="Century Gothic" w:hAnsi="Century Gothic"/>
                <w:sz w:val="16"/>
              </w:rPr>
            </w:pPr>
          </w:p>
        </w:tc>
      </w:tr>
      <w:tr w:rsidR="004D0689" w:rsidRPr="007E4032" w14:paraId="0D5338F3" w14:textId="77777777" w:rsidTr="004D0689">
        <w:trPr>
          <w:cnfStyle w:val="000000100000" w:firstRow="0" w:lastRow="0" w:firstColumn="0" w:lastColumn="0" w:oddVBand="0" w:evenVBand="0" w:oddHBand="1" w:evenHBand="0" w:firstRowFirstColumn="0" w:firstRowLastColumn="0" w:lastRowFirstColumn="0" w:lastRowLastColumn="0"/>
          <w:trHeight w:val="350"/>
          <w:jc w:val="center"/>
        </w:trPr>
        <w:tc>
          <w:tcPr>
            <w:tcW w:w="2195" w:type="dxa"/>
            <w:hideMark/>
          </w:tcPr>
          <w:p w14:paraId="7612C6CF"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t>Contract Life (years)</w:t>
            </w:r>
          </w:p>
        </w:tc>
        <w:tc>
          <w:tcPr>
            <w:tcW w:w="2305" w:type="dxa"/>
            <w:hideMark/>
          </w:tcPr>
          <w:p w14:paraId="4961D714"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3</w:t>
            </w:r>
          </w:p>
        </w:tc>
        <w:tc>
          <w:tcPr>
            <w:tcW w:w="1530" w:type="dxa"/>
            <w:hideMark/>
          </w:tcPr>
          <w:p w14:paraId="4984F90D" w14:textId="77777777" w:rsidR="004D0689" w:rsidRPr="007E4032" w:rsidRDefault="004D0689" w:rsidP="007129AF">
            <w:pPr>
              <w:spacing w:after="160" w:line="259" w:lineRule="auto"/>
              <w:jc w:val="center"/>
              <w:rPr>
                <w:rFonts w:ascii="Century Gothic" w:hAnsi="Century Gothic"/>
                <w:sz w:val="16"/>
              </w:rPr>
            </w:pPr>
          </w:p>
        </w:tc>
      </w:tr>
      <w:tr w:rsidR="004D0689" w:rsidRPr="007E4032" w14:paraId="006D05E8" w14:textId="77777777" w:rsidTr="004D0689">
        <w:trPr>
          <w:trHeight w:val="413"/>
          <w:jc w:val="center"/>
        </w:trPr>
        <w:tc>
          <w:tcPr>
            <w:tcW w:w="2195" w:type="dxa"/>
            <w:hideMark/>
          </w:tcPr>
          <w:p w14:paraId="4CBC71DB"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t>ATWACC (%)</w:t>
            </w:r>
          </w:p>
        </w:tc>
        <w:tc>
          <w:tcPr>
            <w:tcW w:w="2305" w:type="dxa"/>
            <w:hideMark/>
          </w:tcPr>
          <w:p w14:paraId="7468C582"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7.3%</w:t>
            </w:r>
          </w:p>
        </w:tc>
        <w:tc>
          <w:tcPr>
            <w:tcW w:w="1530" w:type="dxa"/>
            <w:hideMark/>
          </w:tcPr>
          <w:p w14:paraId="726DFC17" w14:textId="77777777" w:rsidR="004D0689" w:rsidRPr="007E4032" w:rsidRDefault="004D0689" w:rsidP="007129AF">
            <w:pPr>
              <w:spacing w:after="160" w:line="259" w:lineRule="auto"/>
              <w:jc w:val="center"/>
              <w:rPr>
                <w:rFonts w:ascii="Century Gothic" w:hAnsi="Century Gothic"/>
                <w:sz w:val="16"/>
              </w:rPr>
            </w:pPr>
          </w:p>
        </w:tc>
      </w:tr>
      <w:tr w:rsidR="004D0689" w:rsidRPr="007E4032" w14:paraId="63B518E4" w14:textId="77777777" w:rsidTr="004D0689">
        <w:trPr>
          <w:cnfStyle w:val="000000100000" w:firstRow="0" w:lastRow="0" w:firstColumn="0" w:lastColumn="0" w:oddVBand="0" w:evenVBand="0" w:oddHBand="1" w:evenHBand="0" w:firstRowFirstColumn="0" w:firstRowLastColumn="0" w:lastRowFirstColumn="0" w:lastRowLastColumn="0"/>
          <w:trHeight w:val="350"/>
          <w:jc w:val="center"/>
        </w:trPr>
        <w:tc>
          <w:tcPr>
            <w:tcW w:w="2195" w:type="dxa"/>
            <w:hideMark/>
          </w:tcPr>
          <w:p w14:paraId="71883905"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t>Capacity Clearing Price</w:t>
            </w:r>
          </w:p>
        </w:tc>
        <w:tc>
          <w:tcPr>
            <w:tcW w:w="2305" w:type="dxa"/>
            <w:hideMark/>
          </w:tcPr>
          <w:p w14:paraId="12006750"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$7.03</w:t>
            </w:r>
          </w:p>
        </w:tc>
        <w:tc>
          <w:tcPr>
            <w:tcW w:w="1530" w:type="dxa"/>
            <w:hideMark/>
          </w:tcPr>
          <w:p w14:paraId="348815B2" w14:textId="77777777" w:rsidR="004D0689" w:rsidRPr="007E4032" w:rsidRDefault="004D0689" w:rsidP="007129AF">
            <w:pPr>
              <w:spacing w:after="160" w:line="259" w:lineRule="auto"/>
              <w:jc w:val="center"/>
              <w:rPr>
                <w:rFonts w:ascii="Century Gothic" w:hAnsi="Century Gothic"/>
                <w:sz w:val="16"/>
              </w:rPr>
            </w:pPr>
          </w:p>
        </w:tc>
      </w:tr>
      <w:tr w:rsidR="004D0689" w:rsidRPr="007E4032" w14:paraId="263A6910" w14:textId="77777777" w:rsidTr="004D0689">
        <w:trPr>
          <w:trHeight w:val="512"/>
          <w:jc w:val="center"/>
        </w:trPr>
        <w:tc>
          <w:tcPr>
            <w:tcW w:w="2195" w:type="dxa"/>
            <w:hideMark/>
          </w:tcPr>
          <w:p w14:paraId="3588CAC1"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t>Reconfiguration Auction Clearing Price</w:t>
            </w:r>
          </w:p>
        </w:tc>
        <w:tc>
          <w:tcPr>
            <w:tcW w:w="2305" w:type="dxa"/>
            <w:hideMark/>
          </w:tcPr>
          <w:p w14:paraId="5BD7257A"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$1.03</w:t>
            </w:r>
          </w:p>
        </w:tc>
        <w:tc>
          <w:tcPr>
            <w:tcW w:w="1530" w:type="dxa"/>
            <w:hideMark/>
          </w:tcPr>
          <w:p w14:paraId="67C5B194" w14:textId="77777777" w:rsidR="004D0689" w:rsidRPr="007E4032" w:rsidRDefault="004D0689" w:rsidP="007129AF">
            <w:pPr>
              <w:spacing w:after="160" w:line="259" w:lineRule="auto"/>
              <w:jc w:val="center"/>
              <w:rPr>
                <w:rFonts w:ascii="Century Gothic" w:hAnsi="Century Gothic"/>
                <w:sz w:val="16"/>
              </w:rPr>
            </w:pPr>
          </w:p>
        </w:tc>
      </w:tr>
      <w:tr w:rsidR="004D0689" w:rsidRPr="007E4032" w14:paraId="486369FA" w14:textId="77777777" w:rsidTr="004D0689">
        <w:trPr>
          <w:cnfStyle w:val="000000100000" w:firstRow="0" w:lastRow="0" w:firstColumn="0" w:lastColumn="0" w:oddVBand="0" w:evenVBand="0" w:oddHBand="1" w:evenHBand="0" w:firstRowFirstColumn="0" w:firstRowLastColumn="0" w:lastRowFirstColumn="0" w:lastRowLastColumn="0"/>
          <w:trHeight w:val="458"/>
          <w:jc w:val="center"/>
        </w:trPr>
        <w:tc>
          <w:tcPr>
            <w:tcW w:w="2195" w:type="dxa"/>
            <w:hideMark/>
          </w:tcPr>
          <w:p w14:paraId="29DD4CAD"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t>Customer Incentive</w:t>
            </w:r>
          </w:p>
        </w:tc>
        <w:tc>
          <w:tcPr>
            <w:tcW w:w="2305" w:type="dxa"/>
            <w:hideMark/>
          </w:tcPr>
          <w:p w14:paraId="29D355BA"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70% of Reconfiguration Clearing Price</w:t>
            </w:r>
          </w:p>
        </w:tc>
        <w:tc>
          <w:tcPr>
            <w:tcW w:w="1530" w:type="dxa"/>
            <w:hideMark/>
          </w:tcPr>
          <w:p w14:paraId="2B8C81FC"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$0.72</w:t>
            </w:r>
          </w:p>
        </w:tc>
      </w:tr>
      <w:tr w:rsidR="004D0689" w:rsidRPr="007E4032" w14:paraId="5A10D0B6" w14:textId="77777777" w:rsidTr="004D0689">
        <w:trPr>
          <w:trHeight w:val="440"/>
          <w:jc w:val="center"/>
        </w:trPr>
        <w:tc>
          <w:tcPr>
            <w:tcW w:w="2195" w:type="dxa"/>
            <w:hideMark/>
          </w:tcPr>
          <w:p w14:paraId="28E575F6"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t>Sales Commission</w:t>
            </w:r>
          </w:p>
        </w:tc>
        <w:tc>
          <w:tcPr>
            <w:tcW w:w="2305" w:type="dxa"/>
            <w:hideMark/>
          </w:tcPr>
          <w:p w14:paraId="05EB258E"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1% of FCA Clearing Price</w:t>
            </w:r>
          </w:p>
        </w:tc>
        <w:tc>
          <w:tcPr>
            <w:tcW w:w="1530" w:type="dxa"/>
            <w:hideMark/>
          </w:tcPr>
          <w:p w14:paraId="290C5B21"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$0.07</w:t>
            </w:r>
          </w:p>
        </w:tc>
      </w:tr>
      <w:tr w:rsidR="004D0689" w:rsidRPr="007E4032" w14:paraId="15D0AEF7" w14:textId="77777777" w:rsidTr="004D0689">
        <w:trPr>
          <w:cnfStyle w:val="000000100000" w:firstRow="0" w:lastRow="0" w:firstColumn="0" w:lastColumn="0" w:oddVBand="0" w:evenVBand="0" w:oddHBand="1" w:evenHBand="0" w:firstRowFirstColumn="0" w:firstRowLastColumn="0" w:lastRowFirstColumn="0" w:lastRowLastColumn="0"/>
          <w:trHeight w:val="395"/>
          <w:jc w:val="center"/>
        </w:trPr>
        <w:tc>
          <w:tcPr>
            <w:tcW w:w="2195" w:type="dxa"/>
            <w:hideMark/>
          </w:tcPr>
          <w:p w14:paraId="5223BA25"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t>Equipment Costs</w:t>
            </w:r>
          </w:p>
        </w:tc>
        <w:tc>
          <w:tcPr>
            <w:tcW w:w="2305" w:type="dxa"/>
            <w:hideMark/>
          </w:tcPr>
          <w:p w14:paraId="3FA90A16" w14:textId="77777777" w:rsidR="004D0689" w:rsidRPr="007E4032" w:rsidRDefault="004D0689" w:rsidP="007129AF">
            <w:pPr>
              <w:spacing w:after="160" w:line="259" w:lineRule="auto"/>
              <w:jc w:val="center"/>
              <w:rPr>
                <w:rFonts w:ascii="Century Gothic" w:hAnsi="Century Gothic"/>
                <w:sz w:val="16"/>
              </w:rPr>
            </w:pPr>
          </w:p>
        </w:tc>
        <w:tc>
          <w:tcPr>
            <w:tcW w:w="1530" w:type="dxa"/>
            <w:hideMark/>
          </w:tcPr>
          <w:p w14:paraId="52F4D65E" w14:textId="77777777" w:rsidR="004D0689" w:rsidRPr="007E4032" w:rsidRDefault="004D0689" w:rsidP="007129AF">
            <w:pPr>
              <w:spacing w:after="160" w:line="259" w:lineRule="auto"/>
              <w:jc w:val="center"/>
              <w:rPr>
                <w:rFonts w:ascii="Century Gothic" w:hAnsi="Century Gothic"/>
                <w:sz w:val="16"/>
              </w:rPr>
            </w:pPr>
            <w:r>
              <w:rPr>
                <w:rFonts w:ascii="Century Gothic" w:hAnsi="Century Gothic"/>
                <w:sz w:val="16"/>
              </w:rPr>
              <w:t>$0.22</w:t>
            </w:r>
          </w:p>
        </w:tc>
      </w:tr>
      <w:tr w:rsidR="004D0689" w:rsidRPr="007E4032" w14:paraId="31FE2C0D" w14:textId="77777777" w:rsidTr="004D0689">
        <w:trPr>
          <w:trHeight w:val="350"/>
          <w:jc w:val="center"/>
        </w:trPr>
        <w:tc>
          <w:tcPr>
            <w:tcW w:w="2195" w:type="dxa"/>
            <w:hideMark/>
          </w:tcPr>
          <w:p w14:paraId="01D4F2E8" w14:textId="77777777" w:rsidR="004D0689" w:rsidRPr="007E4032" w:rsidRDefault="004D0689" w:rsidP="007129AF">
            <w:pPr>
              <w:spacing w:after="160" w:line="259" w:lineRule="auto"/>
              <w:jc w:val="left"/>
              <w:rPr>
                <w:rFonts w:ascii="Century Gothic" w:hAnsi="Century Gothic"/>
                <w:b/>
                <w:sz w:val="16"/>
              </w:rPr>
            </w:pPr>
            <w:r w:rsidRPr="007E4032">
              <w:rPr>
                <w:rFonts w:ascii="Century Gothic" w:hAnsi="Century Gothic"/>
                <w:b/>
                <w:sz w:val="16"/>
              </w:rPr>
              <w:lastRenderedPageBreak/>
              <w:t>ORTP Value ($/kW-</w:t>
            </w:r>
            <w:proofErr w:type="spellStart"/>
            <w:r w:rsidRPr="007E4032">
              <w:rPr>
                <w:rFonts w:ascii="Century Gothic" w:hAnsi="Century Gothic"/>
                <w:b/>
                <w:sz w:val="16"/>
              </w:rPr>
              <w:t>mo</w:t>
            </w:r>
            <w:proofErr w:type="spellEnd"/>
            <w:r w:rsidRPr="007E4032">
              <w:rPr>
                <w:rFonts w:ascii="Century Gothic" w:hAnsi="Century Gothic"/>
                <w:b/>
                <w:sz w:val="16"/>
              </w:rPr>
              <w:t>)</w:t>
            </w:r>
          </w:p>
        </w:tc>
        <w:tc>
          <w:tcPr>
            <w:tcW w:w="2305" w:type="dxa"/>
            <w:hideMark/>
          </w:tcPr>
          <w:p w14:paraId="61775218" w14:textId="77777777" w:rsidR="004D0689" w:rsidRPr="007E4032" w:rsidRDefault="004D0689" w:rsidP="007129AF">
            <w:pPr>
              <w:spacing w:after="160" w:line="259" w:lineRule="auto"/>
              <w:jc w:val="center"/>
              <w:rPr>
                <w:rFonts w:ascii="Century Gothic" w:hAnsi="Century Gothic"/>
                <w:sz w:val="16"/>
              </w:rPr>
            </w:pPr>
          </w:p>
        </w:tc>
        <w:tc>
          <w:tcPr>
            <w:tcW w:w="1530" w:type="dxa"/>
            <w:hideMark/>
          </w:tcPr>
          <w:p w14:paraId="39955C2E"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$1.0</w:t>
            </w:r>
            <w:r>
              <w:rPr>
                <w:rFonts w:ascii="Century Gothic" w:hAnsi="Century Gothic"/>
                <w:sz w:val="16"/>
              </w:rPr>
              <w:t>1</w:t>
            </w:r>
          </w:p>
        </w:tc>
      </w:tr>
    </w:tbl>
    <w:p w14:paraId="0602FD39" w14:textId="7FDA00D6" w:rsidR="00EA0EB1" w:rsidRDefault="00EA0EB1" w:rsidP="00EA0EB1">
      <w:pPr>
        <w:jc w:val="center"/>
        <w:rPr>
          <w:rFonts w:eastAsia="Times New Roman" w:cs="Times New Roman"/>
        </w:rPr>
      </w:pPr>
    </w:p>
    <w:p w14:paraId="4B9C4B2A" w14:textId="41F0DCB6" w:rsidR="00EA0EB1" w:rsidRDefault="00EA0EB1" w:rsidP="00EA0EB1">
      <w:pPr>
        <w:rPr>
          <w:rFonts w:eastAsia="Times New Roman" w:cs="Times New Roman"/>
        </w:rPr>
      </w:pPr>
      <w:r w:rsidRPr="00997F46">
        <w:rPr>
          <w:rFonts w:eastAsia="Times New Roman" w:cs="Times New Roman"/>
        </w:rPr>
        <w:t xml:space="preserve">Based on the cost estimates detailed above and the financial assumptions </w:t>
      </w:r>
      <w:r>
        <w:rPr>
          <w:rFonts w:eastAsia="Times New Roman" w:cs="Times New Roman"/>
        </w:rPr>
        <w:t xml:space="preserve">shown in Section </w:t>
      </w:r>
      <w:r w:rsidR="00667F03">
        <w:rPr>
          <w:rFonts w:eastAsia="Times New Roman" w:cs="Times New Roman"/>
        </w:rPr>
        <w:t xml:space="preserve">4.D, </w:t>
      </w:r>
      <w:r>
        <w:rPr>
          <w:rFonts w:eastAsia="Times New Roman" w:cs="Times New Roman"/>
        </w:rPr>
        <w:t xml:space="preserve">we recommend an ORTP value for Mass Market DR of </w:t>
      </w:r>
      <w:r w:rsidR="00667F03">
        <w:rPr>
          <w:rFonts w:eastAsia="Times New Roman" w:cs="Times New Roman"/>
        </w:rPr>
        <w:t>$7.56</w:t>
      </w:r>
      <w:r>
        <w:rPr>
          <w:rFonts w:eastAsia="Times New Roman" w:cs="Times New Roman"/>
        </w:rPr>
        <w:t xml:space="preserve"> as shown in </w:t>
      </w:r>
      <w:r w:rsidR="00D91061">
        <w:rPr>
          <w:rFonts w:eastAsia="Times New Roman" w:cs="Times New Roman"/>
        </w:rPr>
        <w:t>Table 50</w:t>
      </w:r>
      <w:r w:rsidR="009A7A8E" w:rsidRPr="009A7A8E">
        <w:rPr>
          <w:rFonts w:eastAsia="Times New Roman" w:cs="Times New Roman"/>
        </w:rPr>
        <w:fldChar w:fldCharType="begin"/>
      </w:r>
      <w:r w:rsidR="009A7A8E" w:rsidRPr="009A7A8E">
        <w:rPr>
          <w:rFonts w:eastAsia="Times New Roman" w:cs="Times New Roman"/>
        </w:rPr>
        <w:instrText xml:space="preserve"> REF _Ref462659992 \h </w:instrText>
      </w:r>
      <w:r w:rsidR="009A7A8E">
        <w:rPr>
          <w:rFonts w:eastAsia="Times New Roman" w:cs="Times New Roman"/>
        </w:rPr>
        <w:instrText xml:space="preserve"> \* MERGEFORMAT </w:instrText>
      </w:r>
      <w:r w:rsidR="009A7A8E" w:rsidRPr="009A7A8E">
        <w:rPr>
          <w:rFonts w:eastAsia="Times New Roman" w:cs="Times New Roman"/>
        </w:rPr>
      </w:r>
      <w:r w:rsidR="009A7A8E" w:rsidRPr="009A7A8E">
        <w:rPr>
          <w:rFonts w:eastAsia="Times New Roman" w:cs="Times New Roman"/>
        </w:rPr>
        <w:fldChar w:fldCharType="end"/>
      </w:r>
      <w:r w:rsidR="009A7A8E">
        <w:rPr>
          <w:rFonts w:eastAsia="Times New Roman" w:cs="Times New Roman"/>
        </w:rPr>
        <w:t xml:space="preserve"> </w:t>
      </w:r>
      <w:r>
        <w:rPr>
          <w:rFonts w:eastAsia="Times New Roman" w:cs="Times New Roman"/>
        </w:rPr>
        <w:t>below.</w:t>
      </w:r>
    </w:p>
    <w:p w14:paraId="50501313" w14:textId="77777777" w:rsidR="004D0689" w:rsidRDefault="004D0689" w:rsidP="00EA0EB1">
      <w:pPr>
        <w:rPr>
          <w:rFonts w:eastAsia="Times New Roman" w:cs="Times New Roman"/>
        </w:rPr>
      </w:pPr>
    </w:p>
    <w:p w14:paraId="45FC6D9D" w14:textId="0D3ED3DF" w:rsidR="00EA0EB1" w:rsidRDefault="009A7A8E" w:rsidP="00D2628D">
      <w:pPr>
        <w:pStyle w:val="Caption"/>
      </w:pPr>
      <w:bookmarkStart w:id="130" w:name="_Ref462659992"/>
      <w:bookmarkStart w:id="131" w:name="_Toc465433473"/>
      <w:r>
        <w:t xml:space="preserve">Table </w:t>
      </w:r>
      <w:r w:rsidR="00FA6573">
        <w:fldChar w:fldCharType="begin"/>
      </w:r>
      <w:r w:rsidR="00FA6573">
        <w:instrText xml:space="preserve"> SEQ Table \* ARABIC </w:instrText>
      </w:r>
      <w:r w:rsidR="00FA6573">
        <w:fldChar w:fldCharType="separate"/>
      </w:r>
      <w:r w:rsidR="000637A3">
        <w:rPr>
          <w:noProof/>
        </w:rPr>
        <w:t>50</w:t>
      </w:r>
      <w:r w:rsidR="00FA6573">
        <w:rPr>
          <w:noProof/>
        </w:rPr>
        <w:fldChar w:fldCharType="end"/>
      </w:r>
      <w:bookmarkEnd w:id="130"/>
      <w:r>
        <w:t xml:space="preserve">: </w:t>
      </w:r>
      <w:r w:rsidR="00EA0EB1">
        <w:t>Mass Market DR ORTP Calculation</w:t>
      </w:r>
      <w:bookmarkEnd w:id="131"/>
    </w:p>
    <w:tbl>
      <w:tblPr>
        <w:tblStyle w:val="GridTable4Accent3"/>
        <w:tblW w:w="5215" w:type="dxa"/>
        <w:jc w:val="center"/>
        <w:tblLook w:val="0420" w:firstRow="1" w:lastRow="0" w:firstColumn="0" w:lastColumn="0" w:noHBand="0" w:noVBand="1"/>
      </w:tblPr>
      <w:tblGrid>
        <w:gridCol w:w="2940"/>
        <w:gridCol w:w="2275"/>
      </w:tblGrid>
      <w:tr w:rsidR="004D0689" w:rsidRPr="007E4032" w14:paraId="631AE7B9" w14:textId="77777777" w:rsidTr="004D0689">
        <w:trPr>
          <w:cnfStyle w:val="100000000000" w:firstRow="1" w:lastRow="0" w:firstColumn="0" w:lastColumn="0" w:oddVBand="0" w:evenVBand="0" w:oddHBand="0" w:evenHBand="0" w:firstRowFirstColumn="0" w:firstRowLastColumn="0" w:lastRowFirstColumn="0" w:lastRowLastColumn="0"/>
          <w:trHeight w:val="576"/>
          <w:jc w:val="center"/>
        </w:trPr>
        <w:tc>
          <w:tcPr>
            <w:tcW w:w="5215" w:type="dxa"/>
            <w:gridSpan w:val="2"/>
            <w:hideMark/>
          </w:tcPr>
          <w:p w14:paraId="62FBC984" w14:textId="77777777" w:rsidR="004D0689" w:rsidRPr="007E4032" w:rsidRDefault="004D0689" w:rsidP="007129AF">
            <w:pPr>
              <w:spacing w:after="0" w:line="240" w:lineRule="auto"/>
              <w:jc w:val="center"/>
              <w:rPr>
                <w:rFonts w:ascii="Century Gothic" w:hAnsi="Century Gothic"/>
                <w:color w:val="auto"/>
                <w:sz w:val="18"/>
              </w:rPr>
            </w:pPr>
            <w:r w:rsidRPr="007E4032">
              <w:rPr>
                <w:rFonts w:ascii="Century Gothic" w:hAnsi="Century Gothic"/>
                <w:color w:val="auto"/>
                <w:sz w:val="18"/>
              </w:rPr>
              <w:t>Mass Market</w:t>
            </w:r>
          </w:p>
          <w:p w14:paraId="706EBB78" w14:textId="77777777" w:rsidR="004D0689" w:rsidRPr="007E4032" w:rsidRDefault="004D0689" w:rsidP="007129AF">
            <w:pPr>
              <w:spacing w:after="0" w:line="240" w:lineRule="auto"/>
              <w:jc w:val="center"/>
              <w:rPr>
                <w:rFonts w:ascii="Century Gothic" w:hAnsi="Century Gothic"/>
              </w:rPr>
            </w:pPr>
            <w:r w:rsidRPr="007E4032">
              <w:rPr>
                <w:rFonts w:ascii="Century Gothic" w:hAnsi="Century Gothic"/>
                <w:color w:val="auto"/>
                <w:sz w:val="18"/>
              </w:rPr>
              <w:t>(Load Management Residential)</w:t>
            </w:r>
          </w:p>
        </w:tc>
      </w:tr>
      <w:tr w:rsidR="004D0689" w:rsidRPr="007E4032" w14:paraId="389B2D0E" w14:textId="77777777" w:rsidTr="004D0689">
        <w:trPr>
          <w:cnfStyle w:val="000000100000" w:firstRow="0" w:lastRow="0" w:firstColumn="0" w:lastColumn="0" w:oddVBand="0" w:evenVBand="0" w:oddHBand="1" w:evenHBand="0" w:firstRowFirstColumn="0" w:firstRowLastColumn="0" w:lastRowFirstColumn="0" w:lastRowLastColumn="0"/>
          <w:trHeight w:val="368"/>
          <w:jc w:val="center"/>
        </w:trPr>
        <w:tc>
          <w:tcPr>
            <w:tcW w:w="2940" w:type="dxa"/>
            <w:hideMark/>
          </w:tcPr>
          <w:p w14:paraId="1A388B3C" w14:textId="77777777" w:rsidR="004D0689" w:rsidRPr="007E4032" w:rsidRDefault="004D0689" w:rsidP="007129AF">
            <w:pPr>
              <w:spacing w:after="160" w:line="259" w:lineRule="auto"/>
              <w:rPr>
                <w:rFonts w:ascii="Century Gothic" w:hAnsi="Century Gothic"/>
                <w:sz w:val="16"/>
              </w:rPr>
            </w:pPr>
          </w:p>
        </w:tc>
        <w:tc>
          <w:tcPr>
            <w:tcW w:w="2275" w:type="dxa"/>
            <w:hideMark/>
          </w:tcPr>
          <w:p w14:paraId="06424D46"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b/>
                <w:bCs/>
                <w:sz w:val="16"/>
              </w:rPr>
              <w:t>Assumptions / Value</w:t>
            </w:r>
          </w:p>
        </w:tc>
      </w:tr>
      <w:tr w:rsidR="004D0689" w:rsidRPr="007E4032" w14:paraId="1EAF75A6" w14:textId="77777777" w:rsidTr="004D0689">
        <w:trPr>
          <w:trHeight w:val="413"/>
          <w:jc w:val="center"/>
        </w:trPr>
        <w:tc>
          <w:tcPr>
            <w:tcW w:w="2940" w:type="dxa"/>
            <w:hideMark/>
          </w:tcPr>
          <w:p w14:paraId="341C3586" w14:textId="77777777" w:rsidR="004D0689" w:rsidRPr="007E4032" w:rsidRDefault="004D0689" w:rsidP="007129AF">
            <w:pPr>
              <w:spacing w:after="160" w:line="259" w:lineRule="auto"/>
              <w:jc w:val="left"/>
              <w:rPr>
                <w:rFonts w:ascii="Century Gothic" w:hAnsi="Century Gothic"/>
                <w:sz w:val="16"/>
              </w:rPr>
            </w:pPr>
            <w:r w:rsidRPr="007E4032">
              <w:rPr>
                <w:rFonts w:ascii="Century Gothic" w:hAnsi="Century Gothic"/>
                <w:sz w:val="16"/>
              </w:rPr>
              <w:t>Demand Reduction (kW)</w:t>
            </w:r>
          </w:p>
        </w:tc>
        <w:tc>
          <w:tcPr>
            <w:tcW w:w="2275" w:type="dxa"/>
            <w:hideMark/>
          </w:tcPr>
          <w:p w14:paraId="393E1B70"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1</w:t>
            </w:r>
          </w:p>
        </w:tc>
      </w:tr>
      <w:tr w:rsidR="004D0689" w:rsidRPr="007E4032" w14:paraId="1BF62664" w14:textId="77777777" w:rsidTr="004D0689">
        <w:trPr>
          <w:cnfStyle w:val="000000100000" w:firstRow="0" w:lastRow="0" w:firstColumn="0" w:lastColumn="0" w:oddVBand="0" w:evenVBand="0" w:oddHBand="1" w:evenHBand="0" w:firstRowFirstColumn="0" w:firstRowLastColumn="0" w:lastRowFirstColumn="0" w:lastRowLastColumn="0"/>
          <w:trHeight w:val="368"/>
          <w:jc w:val="center"/>
        </w:trPr>
        <w:tc>
          <w:tcPr>
            <w:tcW w:w="2940" w:type="dxa"/>
            <w:hideMark/>
          </w:tcPr>
          <w:p w14:paraId="4C41329A" w14:textId="77777777" w:rsidR="004D0689" w:rsidRPr="007E4032" w:rsidRDefault="004D0689" w:rsidP="007129AF">
            <w:pPr>
              <w:spacing w:after="160" w:line="259" w:lineRule="auto"/>
              <w:jc w:val="left"/>
              <w:rPr>
                <w:rFonts w:ascii="Century Gothic" w:hAnsi="Century Gothic"/>
                <w:sz w:val="16"/>
              </w:rPr>
            </w:pPr>
            <w:r w:rsidRPr="007E4032">
              <w:rPr>
                <w:rFonts w:ascii="Century Gothic" w:hAnsi="Century Gothic"/>
                <w:sz w:val="16"/>
              </w:rPr>
              <w:t>Contract Life (years)</w:t>
            </w:r>
          </w:p>
        </w:tc>
        <w:tc>
          <w:tcPr>
            <w:tcW w:w="2275" w:type="dxa"/>
            <w:hideMark/>
          </w:tcPr>
          <w:p w14:paraId="7C3F1ADA"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10</w:t>
            </w:r>
          </w:p>
        </w:tc>
      </w:tr>
      <w:tr w:rsidR="004D0689" w:rsidRPr="007E4032" w14:paraId="261180D1" w14:textId="77777777" w:rsidTr="004D0689">
        <w:trPr>
          <w:trHeight w:val="350"/>
          <w:jc w:val="center"/>
        </w:trPr>
        <w:tc>
          <w:tcPr>
            <w:tcW w:w="2940" w:type="dxa"/>
            <w:hideMark/>
          </w:tcPr>
          <w:p w14:paraId="4D2B9448" w14:textId="77777777" w:rsidR="004D0689" w:rsidRPr="007E4032" w:rsidRDefault="004D0689" w:rsidP="007129AF">
            <w:pPr>
              <w:spacing w:after="160" w:line="259" w:lineRule="auto"/>
              <w:jc w:val="left"/>
              <w:rPr>
                <w:rFonts w:ascii="Century Gothic" w:hAnsi="Century Gothic"/>
                <w:sz w:val="16"/>
              </w:rPr>
            </w:pPr>
            <w:r w:rsidRPr="007E4032">
              <w:rPr>
                <w:rFonts w:ascii="Century Gothic" w:hAnsi="Century Gothic"/>
                <w:sz w:val="16"/>
              </w:rPr>
              <w:t>ATWACC (%)</w:t>
            </w:r>
          </w:p>
        </w:tc>
        <w:tc>
          <w:tcPr>
            <w:tcW w:w="2275" w:type="dxa"/>
            <w:hideMark/>
          </w:tcPr>
          <w:p w14:paraId="1BE472B6"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7.3%</w:t>
            </w:r>
          </w:p>
        </w:tc>
      </w:tr>
      <w:tr w:rsidR="004D0689" w:rsidRPr="007E4032" w14:paraId="66DD1CA5" w14:textId="77777777" w:rsidTr="004D0689">
        <w:trPr>
          <w:cnfStyle w:val="000000100000" w:firstRow="0" w:lastRow="0" w:firstColumn="0" w:lastColumn="0" w:oddVBand="0" w:evenVBand="0" w:oddHBand="1" w:evenHBand="0" w:firstRowFirstColumn="0" w:firstRowLastColumn="0" w:lastRowFirstColumn="0" w:lastRowLastColumn="0"/>
          <w:trHeight w:val="323"/>
          <w:jc w:val="center"/>
        </w:trPr>
        <w:tc>
          <w:tcPr>
            <w:tcW w:w="2940" w:type="dxa"/>
            <w:hideMark/>
          </w:tcPr>
          <w:p w14:paraId="08879D75" w14:textId="77777777" w:rsidR="004D0689" w:rsidRPr="007E4032" w:rsidRDefault="004D0689" w:rsidP="007129AF">
            <w:pPr>
              <w:spacing w:after="160" w:line="259" w:lineRule="auto"/>
              <w:jc w:val="left"/>
              <w:rPr>
                <w:rFonts w:ascii="Century Gothic" w:hAnsi="Century Gothic"/>
                <w:sz w:val="16"/>
              </w:rPr>
            </w:pPr>
            <w:r w:rsidRPr="007E4032">
              <w:rPr>
                <w:rFonts w:ascii="Century Gothic" w:hAnsi="Century Gothic"/>
                <w:sz w:val="16"/>
              </w:rPr>
              <w:t>Installation Costs</w:t>
            </w:r>
          </w:p>
        </w:tc>
        <w:tc>
          <w:tcPr>
            <w:tcW w:w="2275" w:type="dxa"/>
            <w:hideMark/>
          </w:tcPr>
          <w:p w14:paraId="55B04893"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$2.25</w:t>
            </w:r>
          </w:p>
        </w:tc>
      </w:tr>
      <w:tr w:rsidR="004D0689" w:rsidRPr="007E4032" w14:paraId="6405FE53" w14:textId="77777777" w:rsidTr="004D0689">
        <w:trPr>
          <w:trHeight w:val="305"/>
          <w:jc w:val="center"/>
        </w:trPr>
        <w:tc>
          <w:tcPr>
            <w:tcW w:w="2940" w:type="dxa"/>
            <w:hideMark/>
          </w:tcPr>
          <w:p w14:paraId="4BA0DFB3" w14:textId="77777777" w:rsidR="004D0689" w:rsidRPr="007E4032" w:rsidRDefault="004D0689" w:rsidP="007129AF">
            <w:pPr>
              <w:spacing w:after="160" w:line="259" w:lineRule="auto"/>
              <w:jc w:val="left"/>
              <w:rPr>
                <w:rFonts w:ascii="Century Gothic" w:hAnsi="Century Gothic"/>
                <w:sz w:val="16"/>
              </w:rPr>
            </w:pPr>
            <w:r w:rsidRPr="007E4032">
              <w:rPr>
                <w:rFonts w:ascii="Century Gothic" w:hAnsi="Century Gothic"/>
                <w:sz w:val="16"/>
              </w:rPr>
              <w:t>Annual Customer Incentives</w:t>
            </w:r>
          </w:p>
        </w:tc>
        <w:tc>
          <w:tcPr>
            <w:tcW w:w="2275" w:type="dxa"/>
            <w:hideMark/>
          </w:tcPr>
          <w:p w14:paraId="75B2B63B"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$3.54</w:t>
            </w:r>
          </w:p>
        </w:tc>
      </w:tr>
      <w:tr w:rsidR="004D0689" w:rsidRPr="007E4032" w14:paraId="78662131" w14:textId="77777777" w:rsidTr="004D0689">
        <w:trPr>
          <w:cnfStyle w:val="000000100000" w:firstRow="0" w:lastRow="0" w:firstColumn="0" w:lastColumn="0" w:oddVBand="0" w:evenVBand="0" w:oddHBand="1" w:evenHBand="0" w:firstRowFirstColumn="0" w:firstRowLastColumn="0" w:lastRowFirstColumn="0" w:lastRowLastColumn="0"/>
          <w:trHeight w:val="368"/>
          <w:jc w:val="center"/>
        </w:trPr>
        <w:tc>
          <w:tcPr>
            <w:tcW w:w="2940" w:type="dxa"/>
            <w:hideMark/>
          </w:tcPr>
          <w:p w14:paraId="54FAB0F5" w14:textId="77777777" w:rsidR="004D0689" w:rsidRPr="007E4032" w:rsidRDefault="004D0689" w:rsidP="007129AF">
            <w:pPr>
              <w:spacing w:after="160" w:line="259" w:lineRule="auto"/>
              <w:jc w:val="left"/>
              <w:rPr>
                <w:rFonts w:ascii="Century Gothic" w:hAnsi="Century Gothic"/>
                <w:sz w:val="16"/>
              </w:rPr>
            </w:pPr>
            <w:r w:rsidRPr="007E4032">
              <w:rPr>
                <w:rFonts w:ascii="Century Gothic" w:hAnsi="Century Gothic"/>
                <w:sz w:val="16"/>
              </w:rPr>
              <w:t>O&amp;M Costs</w:t>
            </w:r>
          </w:p>
        </w:tc>
        <w:tc>
          <w:tcPr>
            <w:tcW w:w="2275" w:type="dxa"/>
            <w:hideMark/>
          </w:tcPr>
          <w:p w14:paraId="30639C0B"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$0.88</w:t>
            </w:r>
          </w:p>
        </w:tc>
      </w:tr>
      <w:tr w:rsidR="004D0689" w:rsidRPr="007E4032" w14:paraId="5778C9FD" w14:textId="77777777" w:rsidTr="004D0689">
        <w:trPr>
          <w:trHeight w:val="350"/>
          <w:jc w:val="center"/>
        </w:trPr>
        <w:tc>
          <w:tcPr>
            <w:tcW w:w="2940" w:type="dxa"/>
            <w:hideMark/>
          </w:tcPr>
          <w:p w14:paraId="011454C8" w14:textId="77777777" w:rsidR="004D0689" w:rsidRPr="007E4032" w:rsidRDefault="004D0689" w:rsidP="007129AF">
            <w:pPr>
              <w:spacing w:after="160" w:line="259" w:lineRule="auto"/>
              <w:jc w:val="left"/>
              <w:rPr>
                <w:rFonts w:ascii="Century Gothic" w:hAnsi="Century Gothic"/>
                <w:sz w:val="16"/>
              </w:rPr>
            </w:pPr>
            <w:r w:rsidRPr="007E4032">
              <w:rPr>
                <w:rFonts w:ascii="Century Gothic" w:hAnsi="Century Gothic"/>
                <w:sz w:val="16"/>
              </w:rPr>
              <w:t>Software/Communication</w:t>
            </w:r>
          </w:p>
        </w:tc>
        <w:tc>
          <w:tcPr>
            <w:tcW w:w="2275" w:type="dxa"/>
            <w:hideMark/>
          </w:tcPr>
          <w:p w14:paraId="0405396D"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$0.88</w:t>
            </w:r>
          </w:p>
        </w:tc>
      </w:tr>
      <w:tr w:rsidR="004D0689" w:rsidRPr="007E4032" w14:paraId="126B97C6" w14:textId="77777777" w:rsidTr="004D0689">
        <w:trPr>
          <w:cnfStyle w:val="000000100000" w:firstRow="0" w:lastRow="0" w:firstColumn="0" w:lastColumn="0" w:oddVBand="0" w:evenVBand="0" w:oddHBand="1" w:evenHBand="0" w:firstRowFirstColumn="0" w:firstRowLastColumn="0" w:lastRowFirstColumn="0" w:lastRowLastColumn="0"/>
          <w:trHeight w:val="332"/>
          <w:jc w:val="center"/>
        </w:trPr>
        <w:tc>
          <w:tcPr>
            <w:tcW w:w="2940" w:type="dxa"/>
            <w:hideMark/>
          </w:tcPr>
          <w:p w14:paraId="4FE9C782" w14:textId="77777777" w:rsidR="004D0689" w:rsidRPr="007E4032" w:rsidRDefault="004D0689" w:rsidP="007129AF">
            <w:pPr>
              <w:spacing w:after="160" w:line="259" w:lineRule="auto"/>
              <w:jc w:val="left"/>
              <w:rPr>
                <w:rFonts w:ascii="Century Gothic" w:hAnsi="Century Gothic"/>
                <w:sz w:val="16"/>
              </w:rPr>
            </w:pPr>
            <w:r w:rsidRPr="007E4032">
              <w:rPr>
                <w:rFonts w:ascii="Century Gothic" w:hAnsi="Century Gothic"/>
                <w:sz w:val="16"/>
              </w:rPr>
              <w:t>ORTP Value ($/kW-</w:t>
            </w:r>
            <w:proofErr w:type="spellStart"/>
            <w:r w:rsidRPr="007E4032">
              <w:rPr>
                <w:rFonts w:ascii="Century Gothic" w:hAnsi="Century Gothic"/>
                <w:sz w:val="16"/>
              </w:rPr>
              <w:t>mo</w:t>
            </w:r>
            <w:proofErr w:type="spellEnd"/>
            <w:r w:rsidRPr="007E4032">
              <w:rPr>
                <w:rFonts w:ascii="Century Gothic" w:hAnsi="Century Gothic"/>
                <w:sz w:val="16"/>
              </w:rPr>
              <w:t>)</w:t>
            </w:r>
          </w:p>
        </w:tc>
        <w:tc>
          <w:tcPr>
            <w:tcW w:w="2275" w:type="dxa"/>
            <w:hideMark/>
          </w:tcPr>
          <w:p w14:paraId="5697A396" w14:textId="77777777" w:rsidR="004D0689" w:rsidRPr="007E4032" w:rsidRDefault="004D0689" w:rsidP="007129AF">
            <w:pPr>
              <w:spacing w:after="160" w:line="259" w:lineRule="auto"/>
              <w:jc w:val="center"/>
              <w:rPr>
                <w:rFonts w:ascii="Century Gothic" w:hAnsi="Century Gothic"/>
                <w:sz w:val="16"/>
              </w:rPr>
            </w:pPr>
            <w:r w:rsidRPr="007E4032">
              <w:rPr>
                <w:rFonts w:ascii="Century Gothic" w:hAnsi="Century Gothic"/>
                <w:sz w:val="16"/>
              </w:rPr>
              <w:t>$7.56</w:t>
            </w:r>
          </w:p>
        </w:tc>
      </w:tr>
    </w:tbl>
    <w:p w14:paraId="0112FBD6" w14:textId="18BFDC3F" w:rsidR="00500E63" w:rsidRDefault="00434656" w:rsidP="00456566">
      <w:pPr>
        <w:pStyle w:val="Heading2"/>
        <w:numPr>
          <w:ilvl w:val="0"/>
          <w:numId w:val="6"/>
        </w:numPr>
      </w:pPr>
      <w:bookmarkStart w:id="132" w:name="_Toc468288327"/>
      <w:r w:rsidRPr="00FA3A6E">
        <w:t>ORTP Annual Update Process</w:t>
      </w:r>
      <w:bookmarkEnd w:id="132"/>
    </w:p>
    <w:p w14:paraId="1594CFA6" w14:textId="77777777" w:rsidR="0051189D" w:rsidRPr="00FA3A6E" w:rsidRDefault="0051189D" w:rsidP="00A12D4D">
      <w:pPr>
        <w:pStyle w:val="Heading3"/>
        <w:numPr>
          <w:ilvl w:val="0"/>
          <w:numId w:val="35"/>
        </w:numPr>
      </w:pPr>
      <w:r w:rsidRPr="00FA3A6E">
        <w:t>E&amp;AS Revenues</w:t>
      </w:r>
    </w:p>
    <w:p w14:paraId="4F9CC0FA" w14:textId="79B2A603" w:rsidR="0027107E" w:rsidRDefault="00D114D2" w:rsidP="0027107E">
      <w:r>
        <w:t xml:space="preserve">E&amp;AS revenues for gas-fired technologies will be updated consistent with the proposed update process contained in Section </w:t>
      </w:r>
      <w:r w:rsidR="001F7171">
        <w:t>4</w:t>
      </w:r>
      <w:r w:rsidR="002C6D87">
        <w:t>.</w:t>
      </w:r>
      <w:r w:rsidR="001F7171">
        <w:t>K.  For wind facilities, pr</w:t>
      </w:r>
      <w:r w:rsidR="0027107E">
        <w:t xml:space="preserve">ofitability is a function of the overall level of energy prices, not the spread between energy and gas prices.  Therefore, the calculation supporting the adjustment of the energy portion of the E&amp;AS offset is based only on the NEP futures.  As of September 23, 2016, the average NEP settlement </w:t>
      </w:r>
      <w:r w:rsidR="004A1C58">
        <w:t xml:space="preserve">for </w:t>
      </w:r>
      <w:r w:rsidR="005510A1">
        <w:t>2021/</w:t>
      </w:r>
      <w:r w:rsidR="00667F03">
        <w:t>2022 is</w:t>
      </w:r>
      <w:r w:rsidR="0027107E">
        <w:t xml:space="preserve"> $45.86/MWh.  In the future, that average will be calculated again.  The percentage difference (positive or negative) in the averages will be applied to the en</w:t>
      </w:r>
      <w:r w:rsidR="00467C0D">
        <w:t xml:space="preserve">ergy portion of the E&amp;AS offset.  </w:t>
      </w:r>
      <w:r w:rsidR="001F7171">
        <w:t xml:space="preserve"> </w:t>
      </w:r>
    </w:p>
    <w:p w14:paraId="5F94CC92" w14:textId="77777777" w:rsidR="0051189D" w:rsidRPr="00FA3A6E" w:rsidRDefault="0051189D" w:rsidP="00A12D4D">
      <w:pPr>
        <w:pStyle w:val="Heading3"/>
      </w:pPr>
      <w:r w:rsidRPr="00FA3A6E">
        <w:t>Capital and Fixed costs updates</w:t>
      </w:r>
    </w:p>
    <w:p w14:paraId="26F4E4AB" w14:textId="42FB896B" w:rsidR="005E629C" w:rsidRDefault="0051189D" w:rsidP="0051189D">
      <w:pPr>
        <w:rPr>
          <w:rFonts w:cs="Times New Roman"/>
        </w:rPr>
      </w:pPr>
      <w:r w:rsidRPr="00770D51">
        <w:rPr>
          <w:rFonts w:eastAsia="MS Mincho" w:cs="Times New Roman"/>
          <w:szCs w:val="24"/>
          <w:lang w:eastAsia="ja-JP"/>
        </w:rPr>
        <w:t xml:space="preserve">Pursuant to tariff requirements, </w:t>
      </w:r>
      <w:r>
        <w:rPr>
          <w:rFonts w:eastAsia="MS Mincho" w:cs="Times New Roman"/>
          <w:szCs w:val="24"/>
          <w:lang w:eastAsia="ja-JP"/>
        </w:rPr>
        <w:t>f</w:t>
      </w:r>
      <w:r w:rsidRPr="00770D51">
        <w:rPr>
          <w:rFonts w:cs="Times New Roman"/>
        </w:rPr>
        <w:t xml:space="preserve">or years in which no full recalculation </w:t>
      </w:r>
      <w:r>
        <w:rPr>
          <w:rFonts w:cs="Times New Roman"/>
        </w:rPr>
        <w:t xml:space="preserve">of CONE/Net CONE values </w:t>
      </w:r>
      <w:r w:rsidRPr="00770D51">
        <w:rPr>
          <w:rFonts w:cs="Times New Roman"/>
        </w:rPr>
        <w:t>is performed</w:t>
      </w:r>
      <w:r>
        <w:rPr>
          <w:rFonts w:cs="Times New Roman"/>
        </w:rPr>
        <w:t xml:space="preserve">, the CONE/Net CONE values associated with the reference technology will be updated pursuant to the cost indices contained in Market Rule 1 Section III.A.21.2. </w:t>
      </w:r>
      <w:proofErr w:type="gramStart"/>
      <w:r>
        <w:rPr>
          <w:rFonts w:cs="Times New Roman"/>
        </w:rPr>
        <w:t>for</w:t>
      </w:r>
      <w:proofErr w:type="gramEnd"/>
      <w:r>
        <w:rPr>
          <w:rFonts w:cs="Times New Roman"/>
        </w:rPr>
        <w:t xml:space="preserve"> each relevant cost component. Indices covering the most recent 12 months at the time will be compared against the current values to calculate the appropriate escalation rates.</w:t>
      </w:r>
    </w:p>
    <w:p w14:paraId="0A4EA867" w14:textId="77777777" w:rsidR="004B6132" w:rsidRDefault="004B6132" w:rsidP="0051189D">
      <w:pPr>
        <w:rPr>
          <w:rFonts w:eastAsia="Times New Roman" w:cs="Arial"/>
          <w:b/>
          <w:bCs/>
          <w:caps/>
          <w:color w:val="632423"/>
          <w:kern w:val="32"/>
          <w:sz w:val="24"/>
          <w:szCs w:val="24"/>
        </w:rPr>
        <w:sectPr w:rsidR="004B6132" w:rsidSect="001E5686">
          <w:headerReference w:type="even" r:id="rId44"/>
          <w:pgSz w:w="12240" w:h="15840" w:code="1"/>
          <w:pgMar w:top="1440" w:right="1440" w:bottom="1440" w:left="1440" w:header="720" w:footer="720" w:gutter="0"/>
          <w:cols w:space="720"/>
          <w:docGrid w:linePitch="360"/>
        </w:sectPr>
      </w:pPr>
    </w:p>
    <w:p w14:paraId="0CF23FB0" w14:textId="77777777" w:rsidR="004B6132" w:rsidRPr="000B627D" w:rsidRDefault="004B6132" w:rsidP="004B6132">
      <w:pPr>
        <w:pStyle w:val="Header1"/>
        <w:rPr>
          <w:noProof/>
          <w:sz w:val="32"/>
          <w:szCs w:val="32"/>
        </w:rPr>
      </w:pPr>
      <w:bookmarkStart w:id="133" w:name="_Toc468288328"/>
      <w:r w:rsidRPr="000B627D">
        <w:rPr>
          <w:noProof/>
          <w:sz w:val="32"/>
          <w:szCs w:val="32"/>
        </w:rPr>
        <w:lastRenderedPageBreak/>
        <w:t>Appendix</w:t>
      </w:r>
      <w:bookmarkEnd w:id="133"/>
    </w:p>
    <w:p w14:paraId="44820DF1" w14:textId="52575F30" w:rsidR="004B6132" w:rsidRPr="0087442D" w:rsidRDefault="004B6132" w:rsidP="004B6132">
      <w:r w:rsidRPr="0087442D">
        <w:fldChar w:fldCharType="begin"/>
      </w:r>
      <w:r w:rsidRPr="0087442D">
        <w:instrText xml:space="preserve"> REF _Ref468283994 \h  \* MERGEFORMAT </w:instrText>
      </w:r>
      <w:r w:rsidRPr="0087442D">
        <w:fldChar w:fldCharType="separate"/>
      </w:r>
      <w:r w:rsidRPr="0087442D">
        <w:t xml:space="preserve">Table </w:t>
      </w:r>
      <w:r w:rsidR="00DE00FC">
        <w:t>A.</w:t>
      </w:r>
      <w:r w:rsidRPr="0087442D">
        <w:t>1</w:t>
      </w:r>
      <w:r w:rsidRPr="0087442D">
        <w:fldChar w:fldCharType="end"/>
      </w:r>
      <w:r w:rsidR="00DE00FC">
        <w:t xml:space="preserve"> </w:t>
      </w:r>
      <w:r w:rsidRPr="0087442D">
        <w:t xml:space="preserve">below, shows average monthly prices for SEMA for On-Peak and Off-Peak hours for the forecast period 2021 to 2040. </w:t>
      </w:r>
    </w:p>
    <w:p w14:paraId="4C5DA992" w14:textId="4627F284" w:rsidR="004B6132" w:rsidRPr="001425E5" w:rsidRDefault="004B6132" w:rsidP="004B6132">
      <w:pPr>
        <w:pStyle w:val="Caption"/>
        <w:rPr>
          <w:i/>
        </w:rPr>
      </w:pPr>
      <w:bookmarkStart w:id="134" w:name="_Ref468283994"/>
      <w:r w:rsidRPr="001425E5">
        <w:t xml:space="preserve">Table </w:t>
      </w:r>
      <w:r w:rsidR="00DE00FC">
        <w:t>A.</w:t>
      </w:r>
      <w:r w:rsidR="00FA6573">
        <w:fldChar w:fldCharType="begin"/>
      </w:r>
      <w:r w:rsidR="00FA6573">
        <w:instrText xml:space="preserve"> SEQ Table \* ARABIC </w:instrText>
      </w:r>
      <w:r w:rsidR="00FA6573">
        <w:fldChar w:fldCharType="separate"/>
      </w:r>
      <w:r>
        <w:rPr>
          <w:noProof/>
        </w:rPr>
        <w:t>1</w:t>
      </w:r>
      <w:r w:rsidR="00FA6573">
        <w:rPr>
          <w:noProof/>
        </w:rPr>
        <w:fldChar w:fldCharType="end"/>
      </w:r>
      <w:bookmarkEnd w:id="134"/>
      <w:r w:rsidRPr="001425E5">
        <w:t>.  Average Monthly On-Peak and Off-Peak SEMA LMPs (nominal $/MWh)</w:t>
      </w:r>
    </w:p>
    <w:tbl>
      <w:tblPr>
        <w:tblStyle w:val="GridTable4Accent3"/>
        <w:tblW w:w="6390" w:type="dxa"/>
        <w:jc w:val="center"/>
        <w:tblLook w:val="04A0" w:firstRow="1" w:lastRow="0" w:firstColumn="1" w:lastColumn="0" w:noHBand="0" w:noVBand="1"/>
      </w:tblPr>
      <w:tblGrid>
        <w:gridCol w:w="2120"/>
        <w:gridCol w:w="2135"/>
        <w:gridCol w:w="2135"/>
      </w:tblGrid>
      <w:tr w:rsidR="004B6132" w:rsidRPr="000B627D" w14:paraId="6E1CFDC2" w14:textId="77777777" w:rsidTr="00AF4FB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tcPr>
          <w:p w14:paraId="403F29C5" w14:textId="77777777" w:rsidR="004B6132" w:rsidRPr="000B627D" w:rsidRDefault="004B6132" w:rsidP="00AF4FB9">
            <w:pPr>
              <w:spacing w:after="0" w:line="240" w:lineRule="auto"/>
              <w:jc w:val="center"/>
              <w:rPr>
                <w:rFonts w:ascii="Century Gothic" w:eastAsia="Times New Roman" w:hAnsi="Century Gothic" w:cs="Times New Roman"/>
                <w:color w:val="000000"/>
                <w:sz w:val="20"/>
                <w:szCs w:val="18"/>
              </w:rPr>
            </w:pPr>
            <w:r w:rsidRPr="000B627D">
              <w:rPr>
                <w:rFonts w:ascii="Century Gothic" w:eastAsia="Times New Roman" w:hAnsi="Century Gothic" w:cs="Times New Roman"/>
                <w:color w:val="000000"/>
                <w:sz w:val="20"/>
                <w:szCs w:val="18"/>
              </w:rPr>
              <w:t>Month</w:t>
            </w:r>
          </w:p>
        </w:tc>
        <w:tc>
          <w:tcPr>
            <w:tcW w:w="2135" w:type="dxa"/>
            <w:noWrap/>
          </w:tcPr>
          <w:p w14:paraId="52323B57"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18"/>
              </w:rPr>
            </w:pPr>
            <w:r w:rsidRPr="000B627D">
              <w:rPr>
                <w:rFonts w:ascii="Century Gothic" w:eastAsia="Times New Roman" w:hAnsi="Century Gothic" w:cs="Times New Roman"/>
                <w:color w:val="000000"/>
                <w:sz w:val="20"/>
                <w:szCs w:val="18"/>
              </w:rPr>
              <w:t>Average On-Peak SEMA LMP</w:t>
            </w:r>
            <w:r w:rsidRPr="000B627D">
              <w:rPr>
                <w:rFonts w:ascii="Century Gothic" w:eastAsia="Times New Roman" w:hAnsi="Century Gothic" w:cs="Times New Roman"/>
                <w:color w:val="000000"/>
                <w:sz w:val="20"/>
                <w:szCs w:val="18"/>
              </w:rPr>
              <w:br/>
            </w:r>
            <w:r w:rsidRPr="000B627D">
              <w:rPr>
                <w:rFonts w:ascii="Century Gothic" w:eastAsia="Times New Roman" w:hAnsi="Century Gothic" w:cs="Times New Roman"/>
                <w:i/>
                <w:color w:val="000000"/>
                <w:sz w:val="20"/>
                <w:szCs w:val="18"/>
              </w:rPr>
              <w:t>($/MWh)</w:t>
            </w:r>
          </w:p>
        </w:tc>
        <w:tc>
          <w:tcPr>
            <w:tcW w:w="2135" w:type="dxa"/>
          </w:tcPr>
          <w:p w14:paraId="6C1B4B19"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18"/>
              </w:rPr>
            </w:pPr>
            <w:r w:rsidRPr="000B627D">
              <w:rPr>
                <w:rFonts w:ascii="Century Gothic" w:eastAsia="Times New Roman" w:hAnsi="Century Gothic" w:cs="Times New Roman"/>
                <w:color w:val="000000"/>
                <w:sz w:val="20"/>
                <w:szCs w:val="18"/>
              </w:rPr>
              <w:t>Average Off-Peak SEMA LMP</w:t>
            </w:r>
            <w:r w:rsidRPr="000B627D">
              <w:rPr>
                <w:rFonts w:ascii="Century Gothic" w:eastAsia="Times New Roman" w:hAnsi="Century Gothic" w:cs="Times New Roman"/>
                <w:color w:val="000000"/>
                <w:sz w:val="20"/>
                <w:szCs w:val="18"/>
              </w:rPr>
              <w:br/>
            </w:r>
            <w:r w:rsidRPr="000B627D">
              <w:rPr>
                <w:rFonts w:ascii="Century Gothic" w:eastAsia="Times New Roman" w:hAnsi="Century Gothic" w:cs="Times New Roman"/>
                <w:i/>
                <w:color w:val="000000"/>
                <w:sz w:val="20"/>
                <w:szCs w:val="18"/>
              </w:rPr>
              <w:t>($/MWh)</w:t>
            </w:r>
          </w:p>
        </w:tc>
      </w:tr>
      <w:tr w:rsidR="004B6132" w:rsidRPr="000B627D" w14:paraId="35CFCD9B"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93FE91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Jan-21</w:t>
            </w:r>
          </w:p>
        </w:tc>
        <w:tc>
          <w:tcPr>
            <w:tcW w:w="2135" w:type="dxa"/>
            <w:noWrap/>
            <w:hideMark/>
          </w:tcPr>
          <w:p w14:paraId="53DE340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65.73</w:t>
            </w:r>
          </w:p>
        </w:tc>
        <w:tc>
          <w:tcPr>
            <w:tcW w:w="2135" w:type="dxa"/>
          </w:tcPr>
          <w:p w14:paraId="0E7EE97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57.15</w:t>
            </w:r>
          </w:p>
        </w:tc>
      </w:tr>
      <w:tr w:rsidR="004B6132" w:rsidRPr="000B627D" w14:paraId="33BFCDB1"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00F767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Feb-21</w:t>
            </w:r>
          </w:p>
        </w:tc>
        <w:tc>
          <w:tcPr>
            <w:tcW w:w="2135" w:type="dxa"/>
            <w:noWrap/>
            <w:hideMark/>
          </w:tcPr>
          <w:p w14:paraId="6C3FC3A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64.75</w:t>
            </w:r>
          </w:p>
        </w:tc>
        <w:tc>
          <w:tcPr>
            <w:tcW w:w="2135" w:type="dxa"/>
          </w:tcPr>
          <w:p w14:paraId="654218D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55.23</w:t>
            </w:r>
          </w:p>
        </w:tc>
      </w:tr>
      <w:tr w:rsidR="004B6132" w:rsidRPr="000B627D" w14:paraId="3CD29BDE"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042D41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Mar-21</w:t>
            </w:r>
          </w:p>
        </w:tc>
        <w:tc>
          <w:tcPr>
            <w:tcW w:w="2135" w:type="dxa"/>
            <w:noWrap/>
            <w:hideMark/>
          </w:tcPr>
          <w:p w14:paraId="7ED0746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54.53</w:t>
            </w:r>
          </w:p>
        </w:tc>
        <w:tc>
          <w:tcPr>
            <w:tcW w:w="2135" w:type="dxa"/>
          </w:tcPr>
          <w:p w14:paraId="1E0EE77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45.85</w:t>
            </w:r>
          </w:p>
        </w:tc>
      </w:tr>
      <w:tr w:rsidR="004B6132" w:rsidRPr="000B627D" w14:paraId="1E98661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6B2731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Apr-21</w:t>
            </w:r>
          </w:p>
        </w:tc>
        <w:tc>
          <w:tcPr>
            <w:tcW w:w="2135" w:type="dxa"/>
            <w:noWrap/>
            <w:hideMark/>
          </w:tcPr>
          <w:p w14:paraId="36F6BC6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45.76</w:t>
            </w:r>
          </w:p>
        </w:tc>
        <w:tc>
          <w:tcPr>
            <w:tcW w:w="2135" w:type="dxa"/>
          </w:tcPr>
          <w:p w14:paraId="32A5D2E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39.68</w:t>
            </w:r>
          </w:p>
        </w:tc>
      </w:tr>
      <w:tr w:rsidR="004B6132" w:rsidRPr="000B627D" w14:paraId="2FDAA7C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7927F5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May-21</w:t>
            </w:r>
          </w:p>
        </w:tc>
        <w:tc>
          <w:tcPr>
            <w:tcW w:w="2135" w:type="dxa"/>
            <w:noWrap/>
            <w:hideMark/>
          </w:tcPr>
          <w:p w14:paraId="2A2B07E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45.29</w:t>
            </w:r>
          </w:p>
        </w:tc>
        <w:tc>
          <w:tcPr>
            <w:tcW w:w="2135" w:type="dxa"/>
          </w:tcPr>
          <w:p w14:paraId="4FDB6C6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38.72</w:t>
            </w:r>
          </w:p>
        </w:tc>
      </w:tr>
      <w:tr w:rsidR="004B6132" w:rsidRPr="000B627D" w14:paraId="06423C6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2642B0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Jun-21</w:t>
            </w:r>
          </w:p>
        </w:tc>
        <w:tc>
          <w:tcPr>
            <w:tcW w:w="2135" w:type="dxa"/>
            <w:noWrap/>
            <w:hideMark/>
          </w:tcPr>
          <w:p w14:paraId="07D3974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50.31</w:t>
            </w:r>
          </w:p>
        </w:tc>
        <w:tc>
          <w:tcPr>
            <w:tcW w:w="2135" w:type="dxa"/>
          </w:tcPr>
          <w:p w14:paraId="5B5FD38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39.49</w:t>
            </w:r>
          </w:p>
        </w:tc>
      </w:tr>
      <w:tr w:rsidR="004B6132" w:rsidRPr="000B627D" w14:paraId="28F0998C"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6151AC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Jul-21</w:t>
            </w:r>
          </w:p>
        </w:tc>
        <w:tc>
          <w:tcPr>
            <w:tcW w:w="2135" w:type="dxa"/>
            <w:noWrap/>
            <w:hideMark/>
          </w:tcPr>
          <w:p w14:paraId="62B0534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67.62</w:t>
            </w:r>
          </w:p>
        </w:tc>
        <w:tc>
          <w:tcPr>
            <w:tcW w:w="2135" w:type="dxa"/>
          </w:tcPr>
          <w:p w14:paraId="21788E1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43.30</w:t>
            </w:r>
          </w:p>
        </w:tc>
      </w:tr>
      <w:tr w:rsidR="004B6132" w:rsidRPr="000B627D" w14:paraId="7AD8B77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13F4D6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Aug-21</w:t>
            </w:r>
          </w:p>
        </w:tc>
        <w:tc>
          <w:tcPr>
            <w:tcW w:w="2135" w:type="dxa"/>
            <w:noWrap/>
            <w:hideMark/>
          </w:tcPr>
          <w:p w14:paraId="64883A9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58.57</w:t>
            </w:r>
          </w:p>
        </w:tc>
        <w:tc>
          <w:tcPr>
            <w:tcW w:w="2135" w:type="dxa"/>
          </w:tcPr>
          <w:p w14:paraId="593C56B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41.06</w:t>
            </w:r>
          </w:p>
        </w:tc>
      </w:tr>
      <w:tr w:rsidR="004B6132" w:rsidRPr="000B627D" w14:paraId="13632B0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7029D5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Sep-21</w:t>
            </w:r>
          </w:p>
        </w:tc>
        <w:tc>
          <w:tcPr>
            <w:tcW w:w="2135" w:type="dxa"/>
            <w:noWrap/>
            <w:hideMark/>
          </w:tcPr>
          <w:p w14:paraId="6A5B792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48.61</w:t>
            </w:r>
          </w:p>
        </w:tc>
        <w:tc>
          <w:tcPr>
            <w:tcW w:w="2135" w:type="dxa"/>
          </w:tcPr>
          <w:p w14:paraId="5243F03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41.05</w:t>
            </w:r>
          </w:p>
        </w:tc>
      </w:tr>
      <w:tr w:rsidR="004B6132" w:rsidRPr="000B627D" w14:paraId="08446174"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E77469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Oct-21</w:t>
            </w:r>
          </w:p>
        </w:tc>
        <w:tc>
          <w:tcPr>
            <w:tcW w:w="2135" w:type="dxa"/>
            <w:noWrap/>
            <w:hideMark/>
          </w:tcPr>
          <w:p w14:paraId="20DD24B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47.74</w:t>
            </w:r>
          </w:p>
        </w:tc>
        <w:tc>
          <w:tcPr>
            <w:tcW w:w="2135" w:type="dxa"/>
          </w:tcPr>
          <w:p w14:paraId="5ED764D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40.25</w:t>
            </w:r>
          </w:p>
        </w:tc>
      </w:tr>
      <w:tr w:rsidR="004B6132" w:rsidRPr="000B627D" w14:paraId="3EBD6D2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25B4E5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Nov-21</w:t>
            </w:r>
          </w:p>
        </w:tc>
        <w:tc>
          <w:tcPr>
            <w:tcW w:w="2135" w:type="dxa"/>
            <w:noWrap/>
            <w:hideMark/>
          </w:tcPr>
          <w:p w14:paraId="43D9707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55.06</w:t>
            </w:r>
          </w:p>
        </w:tc>
        <w:tc>
          <w:tcPr>
            <w:tcW w:w="2135" w:type="dxa"/>
          </w:tcPr>
          <w:p w14:paraId="07BB7D2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47.10</w:t>
            </w:r>
          </w:p>
        </w:tc>
      </w:tr>
      <w:tr w:rsidR="004B6132" w:rsidRPr="000B627D" w14:paraId="606F35C0"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4105FA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Dec-21</w:t>
            </w:r>
          </w:p>
        </w:tc>
        <w:tc>
          <w:tcPr>
            <w:tcW w:w="2135" w:type="dxa"/>
            <w:noWrap/>
            <w:hideMark/>
          </w:tcPr>
          <w:p w14:paraId="0332939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59.38</w:t>
            </w:r>
          </w:p>
        </w:tc>
        <w:tc>
          <w:tcPr>
            <w:tcW w:w="2135" w:type="dxa"/>
          </w:tcPr>
          <w:p w14:paraId="4655B0D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50.80</w:t>
            </w:r>
          </w:p>
        </w:tc>
      </w:tr>
      <w:tr w:rsidR="004B6132" w:rsidRPr="000B627D" w14:paraId="55B0715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56DF65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Jan-22</w:t>
            </w:r>
          </w:p>
        </w:tc>
        <w:tc>
          <w:tcPr>
            <w:tcW w:w="2135" w:type="dxa"/>
            <w:noWrap/>
            <w:hideMark/>
          </w:tcPr>
          <w:p w14:paraId="068F6D0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66.32</w:t>
            </w:r>
          </w:p>
        </w:tc>
        <w:tc>
          <w:tcPr>
            <w:tcW w:w="2135" w:type="dxa"/>
          </w:tcPr>
          <w:p w14:paraId="475652B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58.85</w:t>
            </w:r>
          </w:p>
        </w:tc>
      </w:tr>
      <w:tr w:rsidR="004B6132" w:rsidRPr="000B627D" w14:paraId="5684167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CF963F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Feb-22</w:t>
            </w:r>
          </w:p>
        </w:tc>
        <w:tc>
          <w:tcPr>
            <w:tcW w:w="2135" w:type="dxa"/>
            <w:noWrap/>
            <w:hideMark/>
          </w:tcPr>
          <w:p w14:paraId="367D8FA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65.41</w:t>
            </w:r>
          </w:p>
        </w:tc>
        <w:tc>
          <w:tcPr>
            <w:tcW w:w="2135" w:type="dxa"/>
          </w:tcPr>
          <w:p w14:paraId="09FD53C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56.70</w:t>
            </w:r>
          </w:p>
        </w:tc>
      </w:tr>
      <w:tr w:rsidR="004B6132" w:rsidRPr="000B627D" w14:paraId="37FAAC2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45FBCC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Mar-22</w:t>
            </w:r>
          </w:p>
        </w:tc>
        <w:tc>
          <w:tcPr>
            <w:tcW w:w="2135" w:type="dxa"/>
            <w:noWrap/>
            <w:hideMark/>
          </w:tcPr>
          <w:p w14:paraId="07D9484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57.13</w:t>
            </w:r>
          </w:p>
        </w:tc>
        <w:tc>
          <w:tcPr>
            <w:tcW w:w="2135" w:type="dxa"/>
          </w:tcPr>
          <w:p w14:paraId="35B6918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47.32</w:t>
            </w:r>
          </w:p>
        </w:tc>
      </w:tr>
      <w:tr w:rsidR="004B6132" w:rsidRPr="000B627D" w14:paraId="2424390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6AC586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Apr-22</w:t>
            </w:r>
          </w:p>
        </w:tc>
        <w:tc>
          <w:tcPr>
            <w:tcW w:w="2135" w:type="dxa"/>
            <w:noWrap/>
            <w:hideMark/>
          </w:tcPr>
          <w:p w14:paraId="3CC7116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46.33</w:t>
            </w:r>
          </w:p>
        </w:tc>
        <w:tc>
          <w:tcPr>
            <w:tcW w:w="2135" w:type="dxa"/>
          </w:tcPr>
          <w:p w14:paraId="3BF43F1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40.14</w:t>
            </w:r>
          </w:p>
        </w:tc>
      </w:tr>
      <w:tr w:rsidR="004B6132" w:rsidRPr="000B627D" w14:paraId="3A01555E"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CADABA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May-22</w:t>
            </w:r>
          </w:p>
        </w:tc>
        <w:tc>
          <w:tcPr>
            <w:tcW w:w="2135" w:type="dxa"/>
            <w:noWrap/>
            <w:hideMark/>
          </w:tcPr>
          <w:p w14:paraId="4D9FBA4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46.12</w:t>
            </w:r>
          </w:p>
        </w:tc>
        <w:tc>
          <w:tcPr>
            <w:tcW w:w="2135" w:type="dxa"/>
          </w:tcPr>
          <w:p w14:paraId="03BB0D7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39.42</w:t>
            </w:r>
          </w:p>
        </w:tc>
      </w:tr>
      <w:tr w:rsidR="004B6132" w:rsidRPr="000B627D" w14:paraId="5F90DD00"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034D2A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Jun-22</w:t>
            </w:r>
          </w:p>
        </w:tc>
        <w:tc>
          <w:tcPr>
            <w:tcW w:w="2135" w:type="dxa"/>
            <w:noWrap/>
            <w:hideMark/>
          </w:tcPr>
          <w:p w14:paraId="658188B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51.93</w:t>
            </w:r>
          </w:p>
        </w:tc>
        <w:tc>
          <w:tcPr>
            <w:tcW w:w="2135" w:type="dxa"/>
          </w:tcPr>
          <w:p w14:paraId="3567861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40.28</w:t>
            </w:r>
          </w:p>
        </w:tc>
      </w:tr>
      <w:tr w:rsidR="004B6132" w:rsidRPr="000B627D" w14:paraId="019C4179"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37B3A5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Jul-22</w:t>
            </w:r>
          </w:p>
        </w:tc>
        <w:tc>
          <w:tcPr>
            <w:tcW w:w="2135" w:type="dxa"/>
            <w:noWrap/>
            <w:hideMark/>
          </w:tcPr>
          <w:p w14:paraId="397AFB2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70.65</w:t>
            </w:r>
          </w:p>
        </w:tc>
        <w:tc>
          <w:tcPr>
            <w:tcW w:w="2135" w:type="dxa"/>
          </w:tcPr>
          <w:p w14:paraId="3E02845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44.74</w:t>
            </w:r>
          </w:p>
        </w:tc>
      </w:tr>
      <w:tr w:rsidR="004B6132" w:rsidRPr="000B627D" w14:paraId="203C481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2886B1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Aug-22</w:t>
            </w:r>
          </w:p>
        </w:tc>
        <w:tc>
          <w:tcPr>
            <w:tcW w:w="2135" w:type="dxa"/>
            <w:noWrap/>
            <w:hideMark/>
          </w:tcPr>
          <w:p w14:paraId="26812AA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60.70</w:t>
            </w:r>
          </w:p>
        </w:tc>
        <w:tc>
          <w:tcPr>
            <w:tcW w:w="2135" w:type="dxa"/>
          </w:tcPr>
          <w:p w14:paraId="444EDB3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41.76</w:t>
            </w:r>
          </w:p>
        </w:tc>
      </w:tr>
      <w:tr w:rsidR="004B6132" w:rsidRPr="000B627D" w14:paraId="120F9BB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3A73B6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Sep-22</w:t>
            </w:r>
          </w:p>
        </w:tc>
        <w:tc>
          <w:tcPr>
            <w:tcW w:w="2135" w:type="dxa"/>
            <w:noWrap/>
            <w:hideMark/>
          </w:tcPr>
          <w:p w14:paraId="019FBBF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51.52</w:t>
            </w:r>
          </w:p>
        </w:tc>
        <w:tc>
          <w:tcPr>
            <w:tcW w:w="2135" w:type="dxa"/>
          </w:tcPr>
          <w:p w14:paraId="67FA8D6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42.02</w:t>
            </w:r>
          </w:p>
        </w:tc>
      </w:tr>
      <w:tr w:rsidR="004B6132" w:rsidRPr="000B627D" w14:paraId="7BE5ECC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BD64F2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Oct-22</w:t>
            </w:r>
          </w:p>
        </w:tc>
        <w:tc>
          <w:tcPr>
            <w:tcW w:w="2135" w:type="dxa"/>
            <w:noWrap/>
            <w:hideMark/>
          </w:tcPr>
          <w:p w14:paraId="67A6FBB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52.16</w:t>
            </w:r>
          </w:p>
        </w:tc>
        <w:tc>
          <w:tcPr>
            <w:tcW w:w="2135" w:type="dxa"/>
          </w:tcPr>
          <w:p w14:paraId="0C14254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42.18</w:t>
            </w:r>
          </w:p>
        </w:tc>
      </w:tr>
      <w:tr w:rsidR="004B6132" w:rsidRPr="000B627D" w14:paraId="5D77DC2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EBA6B8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Nov-22</w:t>
            </w:r>
          </w:p>
        </w:tc>
        <w:tc>
          <w:tcPr>
            <w:tcW w:w="2135" w:type="dxa"/>
            <w:noWrap/>
            <w:hideMark/>
          </w:tcPr>
          <w:p w14:paraId="10BC326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58.05</w:t>
            </w:r>
          </w:p>
        </w:tc>
        <w:tc>
          <w:tcPr>
            <w:tcW w:w="2135" w:type="dxa"/>
          </w:tcPr>
          <w:p w14:paraId="1EE54AE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50.67</w:t>
            </w:r>
          </w:p>
        </w:tc>
      </w:tr>
      <w:tr w:rsidR="004B6132" w:rsidRPr="000B627D" w14:paraId="4A597A2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A44D81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Dec-22</w:t>
            </w:r>
          </w:p>
        </w:tc>
        <w:tc>
          <w:tcPr>
            <w:tcW w:w="2135" w:type="dxa"/>
            <w:noWrap/>
            <w:hideMark/>
          </w:tcPr>
          <w:p w14:paraId="1E23F9F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61.12</w:t>
            </w:r>
          </w:p>
        </w:tc>
        <w:tc>
          <w:tcPr>
            <w:tcW w:w="2135" w:type="dxa"/>
          </w:tcPr>
          <w:p w14:paraId="6538AD3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53.46</w:t>
            </w:r>
          </w:p>
        </w:tc>
      </w:tr>
      <w:tr w:rsidR="004B6132" w:rsidRPr="000B627D" w14:paraId="33B1CFA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5AF46D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Jan-23</w:t>
            </w:r>
          </w:p>
        </w:tc>
        <w:tc>
          <w:tcPr>
            <w:tcW w:w="2135" w:type="dxa"/>
            <w:noWrap/>
            <w:hideMark/>
          </w:tcPr>
          <w:p w14:paraId="103C78F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68.40</w:t>
            </w:r>
          </w:p>
        </w:tc>
        <w:tc>
          <w:tcPr>
            <w:tcW w:w="2135" w:type="dxa"/>
          </w:tcPr>
          <w:p w14:paraId="7AF8BE8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60.05</w:t>
            </w:r>
          </w:p>
        </w:tc>
      </w:tr>
      <w:tr w:rsidR="004B6132" w:rsidRPr="000B627D" w14:paraId="7F4CD8E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77823B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Feb-23</w:t>
            </w:r>
          </w:p>
        </w:tc>
        <w:tc>
          <w:tcPr>
            <w:tcW w:w="2135" w:type="dxa"/>
            <w:noWrap/>
            <w:hideMark/>
          </w:tcPr>
          <w:p w14:paraId="66FE17F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66.91</w:t>
            </w:r>
          </w:p>
        </w:tc>
        <w:tc>
          <w:tcPr>
            <w:tcW w:w="2135" w:type="dxa"/>
          </w:tcPr>
          <w:p w14:paraId="3CEA305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58.19</w:t>
            </w:r>
          </w:p>
        </w:tc>
      </w:tr>
      <w:tr w:rsidR="004B6132" w:rsidRPr="000B627D" w14:paraId="1B4F365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22B418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Mar-23</w:t>
            </w:r>
          </w:p>
        </w:tc>
        <w:tc>
          <w:tcPr>
            <w:tcW w:w="2135" w:type="dxa"/>
            <w:noWrap/>
            <w:hideMark/>
          </w:tcPr>
          <w:p w14:paraId="107DF03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57.44</w:t>
            </w:r>
          </w:p>
        </w:tc>
        <w:tc>
          <w:tcPr>
            <w:tcW w:w="2135" w:type="dxa"/>
          </w:tcPr>
          <w:p w14:paraId="4A75912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48.05</w:t>
            </w:r>
          </w:p>
        </w:tc>
      </w:tr>
      <w:tr w:rsidR="004B6132" w:rsidRPr="000B627D" w14:paraId="6E7B87D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8E4EDB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Apr-23</w:t>
            </w:r>
          </w:p>
        </w:tc>
        <w:tc>
          <w:tcPr>
            <w:tcW w:w="2135" w:type="dxa"/>
            <w:noWrap/>
            <w:hideMark/>
          </w:tcPr>
          <w:p w14:paraId="1180693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47.39</w:t>
            </w:r>
          </w:p>
        </w:tc>
        <w:tc>
          <w:tcPr>
            <w:tcW w:w="2135" w:type="dxa"/>
          </w:tcPr>
          <w:p w14:paraId="06510D6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41.44</w:t>
            </w:r>
          </w:p>
        </w:tc>
      </w:tr>
      <w:tr w:rsidR="004B6132" w:rsidRPr="000B627D" w14:paraId="031C0BA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41682F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May-23</w:t>
            </w:r>
          </w:p>
        </w:tc>
        <w:tc>
          <w:tcPr>
            <w:tcW w:w="2135" w:type="dxa"/>
            <w:noWrap/>
            <w:hideMark/>
          </w:tcPr>
          <w:p w14:paraId="3EAB2B5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48.07</w:t>
            </w:r>
          </w:p>
        </w:tc>
        <w:tc>
          <w:tcPr>
            <w:tcW w:w="2135" w:type="dxa"/>
          </w:tcPr>
          <w:p w14:paraId="47AAEB9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40.75</w:t>
            </w:r>
          </w:p>
        </w:tc>
      </w:tr>
      <w:tr w:rsidR="004B6132" w:rsidRPr="000B627D" w14:paraId="55619693"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5F776F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Jun-23</w:t>
            </w:r>
          </w:p>
        </w:tc>
        <w:tc>
          <w:tcPr>
            <w:tcW w:w="2135" w:type="dxa"/>
            <w:noWrap/>
            <w:hideMark/>
          </w:tcPr>
          <w:p w14:paraId="619C644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53.16</w:t>
            </w:r>
          </w:p>
        </w:tc>
        <w:tc>
          <w:tcPr>
            <w:tcW w:w="2135" w:type="dxa"/>
          </w:tcPr>
          <w:p w14:paraId="47C1157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41.55</w:t>
            </w:r>
          </w:p>
        </w:tc>
      </w:tr>
      <w:tr w:rsidR="004B6132" w:rsidRPr="000B627D" w14:paraId="1475919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BDA7A8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Jul-23</w:t>
            </w:r>
          </w:p>
        </w:tc>
        <w:tc>
          <w:tcPr>
            <w:tcW w:w="2135" w:type="dxa"/>
            <w:noWrap/>
            <w:hideMark/>
          </w:tcPr>
          <w:p w14:paraId="279AF01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70.89</w:t>
            </w:r>
          </w:p>
        </w:tc>
        <w:tc>
          <w:tcPr>
            <w:tcW w:w="2135" w:type="dxa"/>
          </w:tcPr>
          <w:p w14:paraId="7DFAAAC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45.97</w:t>
            </w:r>
          </w:p>
        </w:tc>
      </w:tr>
      <w:tr w:rsidR="004B6132" w:rsidRPr="000B627D" w14:paraId="4D8DBF51"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D603CA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Aug-23</w:t>
            </w:r>
          </w:p>
        </w:tc>
        <w:tc>
          <w:tcPr>
            <w:tcW w:w="2135" w:type="dxa"/>
            <w:noWrap/>
            <w:hideMark/>
          </w:tcPr>
          <w:p w14:paraId="7002CB5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61.17</w:t>
            </w:r>
          </w:p>
        </w:tc>
        <w:tc>
          <w:tcPr>
            <w:tcW w:w="2135" w:type="dxa"/>
          </w:tcPr>
          <w:p w14:paraId="363FEDA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43.51</w:t>
            </w:r>
          </w:p>
        </w:tc>
      </w:tr>
      <w:tr w:rsidR="004B6132" w:rsidRPr="000B627D" w14:paraId="24BC4DFB"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1F16C7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Sep-23</w:t>
            </w:r>
          </w:p>
        </w:tc>
        <w:tc>
          <w:tcPr>
            <w:tcW w:w="2135" w:type="dxa"/>
            <w:noWrap/>
            <w:hideMark/>
          </w:tcPr>
          <w:p w14:paraId="35DB6D4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53.36</w:t>
            </w:r>
          </w:p>
        </w:tc>
        <w:tc>
          <w:tcPr>
            <w:tcW w:w="2135" w:type="dxa"/>
          </w:tcPr>
          <w:p w14:paraId="3DFCC27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43.56</w:t>
            </w:r>
          </w:p>
        </w:tc>
      </w:tr>
      <w:tr w:rsidR="0087442D" w:rsidRPr="0087442D" w14:paraId="30E8DA13" w14:textId="77777777" w:rsidTr="0087442D">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shd w:val="clear" w:color="auto" w:fill="A6A6A6" w:themeFill="background1" w:themeFillShade="A6"/>
            <w:noWrap/>
          </w:tcPr>
          <w:p w14:paraId="53DCE5AD" w14:textId="77777777" w:rsidR="0087442D" w:rsidRPr="0087442D" w:rsidRDefault="0087442D" w:rsidP="007129AF">
            <w:pPr>
              <w:spacing w:after="0" w:line="240" w:lineRule="auto"/>
              <w:jc w:val="center"/>
              <w:rPr>
                <w:rFonts w:ascii="Century Gothic" w:eastAsia="Times New Roman" w:hAnsi="Century Gothic" w:cs="Times New Roman"/>
                <w:color w:val="000000"/>
                <w:sz w:val="20"/>
                <w:szCs w:val="18"/>
              </w:rPr>
            </w:pPr>
            <w:r w:rsidRPr="0087442D">
              <w:rPr>
                <w:rFonts w:ascii="Century Gothic" w:eastAsia="Times New Roman" w:hAnsi="Century Gothic" w:cs="Times New Roman"/>
                <w:color w:val="000000"/>
                <w:sz w:val="20"/>
                <w:szCs w:val="18"/>
              </w:rPr>
              <w:lastRenderedPageBreak/>
              <w:t>Month</w:t>
            </w:r>
          </w:p>
        </w:tc>
        <w:tc>
          <w:tcPr>
            <w:tcW w:w="2135" w:type="dxa"/>
            <w:shd w:val="clear" w:color="auto" w:fill="A6A6A6" w:themeFill="background1" w:themeFillShade="A6"/>
            <w:noWrap/>
          </w:tcPr>
          <w:p w14:paraId="5C640ADE" w14:textId="77777777" w:rsidR="0087442D" w:rsidRPr="0087442D" w:rsidRDefault="0087442D" w:rsidP="007129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On-Peak SEMA LMP</w:t>
            </w:r>
            <w:r w:rsidRPr="0087442D">
              <w:rPr>
                <w:rFonts w:ascii="Century Gothic" w:eastAsia="Times New Roman" w:hAnsi="Century Gothic" w:cs="Times New Roman"/>
                <w:b/>
                <w:color w:val="000000"/>
                <w:sz w:val="20"/>
                <w:szCs w:val="18"/>
              </w:rPr>
              <w:br/>
              <w:t>($/MWh)</w:t>
            </w:r>
          </w:p>
        </w:tc>
        <w:tc>
          <w:tcPr>
            <w:tcW w:w="2135" w:type="dxa"/>
            <w:shd w:val="clear" w:color="auto" w:fill="A6A6A6" w:themeFill="background1" w:themeFillShade="A6"/>
          </w:tcPr>
          <w:p w14:paraId="0501CB81" w14:textId="77777777" w:rsidR="0087442D" w:rsidRPr="0087442D" w:rsidRDefault="0087442D" w:rsidP="007129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Off-Peak SEMA LMP</w:t>
            </w:r>
            <w:r w:rsidRPr="0087442D">
              <w:rPr>
                <w:rFonts w:ascii="Century Gothic" w:eastAsia="Times New Roman" w:hAnsi="Century Gothic" w:cs="Times New Roman"/>
                <w:b/>
                <w:color w:val="000000"/>
                <w:sz w:val="20"/>
                <w:szCs w:val="18"/>
              </w:rPr>
              <w:br/>
              <w:t>($/MWh)</w:t>
            </w:r>
          </w:p>
        </w:tc>
      </w:tr>
      <w:tr w:rsidR="004B6132" w:rsidRPr="000B627D" w14:paraId="606D297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708635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Oct-23</w:t>
            </w:r>
          </w:p>
        </w:tc>
        <w:tc>
          <w:tcPr>
            <w:tcW w:w="2135" w:type="dxa"/>
            <w:noWrap/>
            <w:hideMark/>
          </w:tcPr>
          <w:p w14:paraId="47D89DB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52.05</w:t>
            </w:r>
          </w:p>
        </w:tc>
        <w:tc>
          <w:tcPr>
            <w:tcW w:w="2135" w:type="dxa"/>
          </w:tcPr>
          <w:p w14:paraId="5C27081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43.39</w:t>
            </w:r>
          </w:p>
        </w:tc>
      </w:tr>
      <w:tr w:rsidR="004B6132" w:rsidRPr="000B627D" w14:paraId="53DA0FE5"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6DC003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Nov-23</w:t>
            </w:r>
          </w:p>
        </w:tc>
        <w:tc>
          <w:tcPr>
            <w:tcW w:w="2135" w:type="dxa"/>
            <w:noWrap/>
            <w:hideMark/>
          </w:tcPr>
          <w:p w14:paraId="5101E75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58.88</w:t>
            </w:r>
          </w:p>
        </w:tc>
        <w:tc>
          <w:tcPr>
            <w:tcW w:w="2135" w:type="dxa"/>
          </w:tcPr>
          <w:p w14:paraId="5115FEB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51.67</w:t>
            </w:r>
          </w:p>
        </w:tc>
      </w:tr>
      <w:tr w:rsidR="004B6132" w:rsidRPr="000B627D" w14:paraId="76ED078B"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FA0945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Dec-23</w:t>
            </w:r>
          </w:p>
        </w:tc>
        <w:tc>
          <w:tcPr>
            <w:tcW w:w="2135" w:type="dxa"/>
            <w:noWrap/>
            <w:hideMark/>
          </w:tcPr>
          <w:p w14:paraId="7E689B4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63.48</w:t>
            </w:r>
          </w:p>
        </w:tc>
        <w:tc>
          <w:tcPr>
            <w:tcW w:w="2135" w:type="dxa"/>
          </w:tcPr>
          <w:p w14:paraId="0E192D5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55.69</w:t>
            </w:r>
          </w:p>
        </w:tc>
      </w:tr>
      <w:tr w:rsidR="004B6132" w:rsidRPr="000B627D" w14:paraId="5B057320"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E474E6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Jan-24</w:t>
            </w:r>
          </w:p>
        </w:tc>
        <w:tc>
          <w:tcPr>
            <w:tcW w:w="2135" w:type="dxa"/>
            <w:noWrap/>
            <w:hideMark/>
          </w:tcPr>
          <w:p w14:paraId="1097259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70.47</w:t>
            </w:r>
          </w:p>
        </w:tc>
        <w:tc>
          <w:tcPr>
            <w:tcW w:w="2135" w:type="dxa"/>
          </w:tcPr>
          <w:p w14:paraId="11894AC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60.87</w:t>
            </w:r>
          </w:p>
        </w:tc>
      </w:tr>
      <w:tr w:rsidR="004B6132" w:rsidRPr="000B627D" w14:paraId="4E147DC2"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B1E887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Feb-24</w:t>
            </w:r>
          </w:p>
        </w:tc>
        <w:tc>
          <w:tcPr>
            <w:tcW w:w="2135" w:type="dxa"/>
            <w:noWrap/>
            <w:hideMark/>
          </w:tcPr>
          <w:p w14:paraId="5D66F28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69.54</w:t>
            </w:r>
          </w:p>
        </w:tc>
        <w:tc>
          <w:tcPr>
            <w:tcW w:w="2135" w:type="dxa"/>
          </w:tcPr>
          <w:p w14:paraId="5173446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60.14</w:t>
            </w:r>
          </w:p>
        </w:tc>
      </w:tr>
      <w:tr w:rsidR="004B6132" w:rsidRPr="000B627D" w14:paraId="4A4E8469"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32960D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Mar-24</w:t>
            </w:r>
          </w:p>
        </w:tc>
        <w:tc>
          <w:tcPr>
            <w:tcW w:w="2135" w:type="dxa"/>
            <w:noWrap/>
            <w:hideMark/>
          </w:tcPr>
          <w:p w14:paraId="6575822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60.40</w:t>
            </w:r>
          </w:p>
        </w:tc>
        <w:tc>
          <w:tcPr>
            <w:tcW w:w="2135" w:type="dxa"/>
          </w:tcPr>
          <w:p w14:paraId="681009A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51.01</w:t>
            </w:r>
          </w:p>
        </w:tc>
      </w:tr>
      <w:tr w:rsidR="004B6132" w:rsidRPr="000B627D" w14:paraId="197878A4"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13A93F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Apr-24</w:t>
            </w:r>
          </w:p>
        </w:tc>
        <w:tc>
          <w:tcPr>
            <w:tcW w:w="2135" w:type="dxa"/>
            <w:noWrap/>
            <w:hideMark/>
          </w:tcPr>
          <w:p w14:paraId="7F4AA90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49.97</w:t>
            </w:r>
          </w:p>
        </w:tc>
        <w:tc>
          <w:tcPr>
            <w:tcW w:w="2135" w:type="dxa"/>
          </w:tcPr>
          <w:p w14:paraId="6E42F33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43.71</w:t>
            </w:r>
          </w:p>
        </w:tc>
      </w:tr>
      <w:tr w:rsidR="004B6132" w:rsidRPr="000B627D" w14:paraId="2E0518D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DB8FD5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May-24</w:t>
            </w:r>
          </w:p>
        </w:tc>
        <w:tc>
          <w:tcPr>
            <w:tcW w:w="2135" w:type="dxa"/>
            <w:noWrap/>
            <w:hideMark/>
          </w:tcPr>
          <w:p w14:paraId="7CDB398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50.02</w:t>
            </w:r>
          </w:p>
        </w:tc>
        <w:tc>
          <w:tcPr>
            <w:tcW w:w="2135" w:type="dxa"/>
          </w:tcPr>
          <w:p w14:paraId="013A20B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42.41</w:t>
            </w:r>
          </w:p>
        </w:tc>
      </w:tr>
      <w:tr w:rsidR="004B6132" w:rsidRPr="000B627D" w14:paraId="5686061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497CC1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Jun-24</w:t>
            </w:r>
          </w:p>
        </w:tc>
        <w:tc>
          <w:tcPr>
            <w:tcW w:w="2135" w:type="dxa"/>
            <w:noWrap/>
            <w:hideMark/>
          </w:tcPr>
          <w:p w14:paraId="1E7CC89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54.38</w:t>
            </w:r>
          </w:p>
        </w:tc>
        <w:tc>
          <w:tcPr>
            <w:tcW w:w="2135" w:type="dxa"/>
          </w:tcPr>
          <w:p w14:paraId="3426FB5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43.55</w:t>
            </w:r>
          </w:p>
        </w:tc>
      </w:tr>
      <w:tr w:rsidR="004B6132" w:rsidRPr="000B627D" w14:paraId="7D60771C"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EA3DC9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Jul-24</w:t>
            </w:r>
          </w:p>
        </w:tc>
        <w:tc>
          <w:tcPr>
            <w:tcW w:w="2135" w:type="dxa"/>
            <w:noWrap/>
            <w:hideMark/>
          </w:tcPr>
          <w:p w14:paraId="1F5221D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72.53</w:t>
            </w:r>
          </w:p>
        </w:tc>
        <w:tc>
          <w:tcPr>
            <w:tcW w:w="2135" w:type="dxa"/>
          </w:tcPr>
          <w:p w14:paraId="2CE8E33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47.84</w:t>
            </w:r>
          </w:p>
        </w:tc>
      </w:tr>
      <w:tr w:rsidR="004B6132" w:rsidRPr="000B627D" w14:paraId="77952B84"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8C662B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Aug-24</w:t>
            </w:r>
          </w:p>
        </w:tc>
        <w:tc>
          <w:tcPr>
            <w:tcW w:w="2135" w:type="dxa"/>
            <w:noWrap/>
            <w:hideMark/>
          </w:tcPr>
          <w:p w14:paraId="6DC69FF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65.53</w:t>
            </w:r>
          </w:p>
        </w:tc>
        <w:tc>
          <w:tcPr>
            <w:tcW w:w="2135" w:type="dxa"/>
          </w:tcPr>
          <w:p w14:paraId="77F470B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46.24</w:t>
            </w:r>
          </w:p>
        </w:tc>
      </w:tr>
      <w:tr w:rsidR="004B6132" w:rsidRPr="000B627D" w14:paraId="26F46FBA"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0B35DB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Sep-24</w:t>
            </w:r>
          </w:p>
        </w:tc>
        <w:tc>
          <w:tcPr>
            <w:tcW w:w="2135" w:type="dxa"/>
            <w:noWrap/>
            <w:hideMark/>
          </w:tcPr>
          <w:p w14:paraId="6C1F0B9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55.21</w:t>
            </w:r>
          </w:p>
        </w:tc>
        <w:tc>
          <w:tcPr>
            <w:tcW w:w="2135" w:type="dxa"/>
          </w:tcPr>
          <w:p w14:paraId="7E0BD4E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44.65</w:t>
            </w:r>
          </w:p>
        </w:tc>
      </w:tr>
      <w:tr w:rsidR="004B6132" w:rsidRPr="000B627D" w14:paraId="3E26EFBC"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A6EEE2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Oct-24</w:t>
            </w:r>
          </w:p>
        </w:tc>
        <w:tc>
          <w:tcPr>
            <w:tcW w:w="2135" w:type="dxa"/>
            <w:noWrap/>
            <w:hideMark/>
          </w:tcPr>
          <w:p w14:paraId="5CB29E1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51.89</w:t>
            </w:r>
          </w:p>
        </w:tc>
        <w:tc>
          <w:tcPr>
            <w:tcW w:w="2135" w:type="dxa"/>
          </w:tcPr>
          <w:p w14:paraId="4B66B47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43.82</w:t>
            </w:r>
          </w:p>
        </w:tc>
      </w:tr>
      <w:tr w:rsidR="004B6132" w:rsidRPr="000B627D" w14:paraId="0AA973D5"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6C7CE5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Nov-24</w:t>
            </w:r>
          </w:p>
        </w:tc>
        <w:tc>
          <w:tcPr>
            <w:tcW w:w="2135" w:type="dxa"/>
            <w:noWrap/>
            <w:hideMark/>
          </w:tcPr>
          <w:p w14:paraId="6A43F80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61.12</w:t>
            </w:r>
          </w:p>
        </w:tc>
        <w:tc>
          <w:tcPr>
            <w:tcW w:w="2135" w:type="dxa"/>
          </w:tcPr>
          <w:p w14:paraId="4C8E504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52.87</w:t>
            </w:r>
          </w:p>
        </w:tc>
      </w:tr>
      <w:tr w:rsidR="004B6132" w:rsidRPr="000B627D" w14:paraId="48D20B2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1CD57E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Dec-24</w:t>
            </w:r>
          </w:p>
        </w:tc>
        <w:tc>
          <w:tcPr>
            <w:tcW w:w="2135" w:type="dxa"/>
            <w:noWrap/>
            <w:hideMark/>
          </w:tcPr>
          <w:p w14:paraId="5DB2AC4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66.23</w:t>
            </w:r>
          </w:p>
        </w:tc>
        <w:tc>
          <w:tcPr>
            <w:tcW w:w="2135" w:type="dxa"/>
          </w:tcPr>
          <w:p w14:paraId="2A88452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57.79</w:t>
            </w:r>
          </w:p>
        </w:tc>
      </w:tr>
      <w:tr w:rsidR="004B6132" w:rsidRPr="000B627D" w14:paraId="795479AC"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D0318D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Jan-25</w:t>
            </w:r>
          </w:p>
        </w:tc>
        <w:tc>
          <w:tcPr>
            <w:tcW w:w="2135" w:type="dxa"/>
            <w:noWrap/>
            <w:hideMark/>
          </w:tcPr>
          <w:p w14:paraId="3ADD782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72.44</w:t>
            </w:r>
          </w:p>
        </w:tc>
        <w:tc>
          <w:tcPr>
            <w:tcW w:w="2135" w:type="dxa"/>
          </w:tcPr>
          <w:p w14:paraId="5D574DE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63.02</w:t>
            </w:r>
          </w:p>
        </w:tc>
      </w:tr>
      <w:tr w:rsidR="004B6132" w:rsidRPr="000B627D" w14:paraId="53ECF1E2"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8CCA4C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Feb-25</w:t>
            </w:r>
          </w:p>
        </w:tc>
        <w:tc>
          <w:tcPr>
            <w:tcW w:w="2135" w:type="dxa"/>
            <w:noWrap/>
            <w:hideMark/>
          </w:tcPr>
          <w:p w14:paraId="1DD9884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70.14</w:t>
            </w:r>
          </w:p>
        </w:tc>
        <w:tc>
          <w:tcPr>
            <w:tcW w:w="2135" w:type="dxa"/>
          </w:tcPr>
          <w:p w14:paraId="3D4D276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61.67</w:t>
            </w:r>
          </w:p>
        </w:tc>
      </w:tr>
      <w:tr w:rsidR="004B6132" w:rsidRPr="000B627D" w14:paraId="7AFEF086"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4083AA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Mar-25</w:t>
            </w:r>
          </w:p>
        </w:tc>
        <w:tc>
          <w:tcPr>
            <w:tcW w:w="2135" w:type="dxa"/>
            <w:noWrap/>
            <w:hideMark/>
          </w:tcPr>
          <w:p w14:paraId="0ABFD4F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61.41</w:t>
            </w:r>
          </w:p>
        </w:tc>
        <w:tc>
          <w:tcPr>
            <w:tcW w:w="2135" w:type="dxa"/>
          </w:tcPr>
          <w:p w14:paraId="7C58F01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52.67</w:t>
            </w:r>
          </w:p>
        </w:tc>
      </w:tr>
      <w:tr w:rsidR="004B6132" w:rsidRPr="000B627D" w14:paraId="539363CE"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15E4CF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Apr-25</w:t>
            </w:r>
          </w:p>
        </w:tc>
        <w:tc>
          <w:tcPr>
            <w:tcW w:w="2135" w:type="dxa"/>
            <w:noWrap/>
            <w:hideMark/>
          </w:tcPr>
          <w:p w14:paraId="39BBD5E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51.00</w:t>
            </w:r>
          </w:p>
        </w:tc>
        <w:tc>
          <w:tcPr>
            <w:tcW w:w="2135" w:type="dxa"/>
          </w:tcPr>
          <w:p w14:paraId="7609086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44.81</w:t>
            </w:r>
          </w:p>
        </w:tc>
      </w:tr>
      <w:tr w:rsidR="004B6132" w:rsidRPr="000B627D" w14:paraId="79EB95F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868A55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May-25</w:t>
            </w:r>
          </w:p>
        </w:tc>
        <w:tc>
          <w:tcPr>
            <w:tcW w:w="2135" w:type="dxa"/>
            <w:noWrap/>
            <w:hideMark/>
          </w:tcPr>
          <w:p w14:paraId="419BA35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49.94</w:t>
            </w:r>
          </w:p>
        </w:tc>
        <w:tc>
          <w:tcPr>
            <w:tcW w:w="2135" w:type="dxa"/>
          </w:tcPr>
          <w:p w14:paraId="0AD71FC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42.62</w:t>
            </w:r>
          </w:p>
        </w:tc>
      </w:tr>
      <w:tr w:rsidR="004B6132" w:rsidRPr="000B627D" w14:paraId="6C102C19"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DE63D0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Jun-25</w:t>
            </w:r>
          </w:p>
        </w:tc>
        <w:tc>
          <w:tcPr>
            <w:tcW w:w="2135" w:type="dxa"/>
            <w:noWrap/>
            <w:hideMark/>
          </w:tcPr>
          <w:p w14:paraId="64BF932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55.36</w:t>
            </w:r>
          </w:p>
        </w:tc>
        <w:tc>
          <w:tcPr>
            <w:tcW w:w="2135" w:type="dxa"/>
          </w:tcPr>
          <w:p w14:paraId="247D0AB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44.22</w:t>
            </w:r>
          </w:p>
        </w:tc>
      </w:tr>
      <w:tr w:rsidR="004B6132" w:rsidRPr="000B627D" w14:paraId="5D267C8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378A85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Jul-25</w:t>
            </w:r>
          </w:p>
        </w:tc>
        <w:tc>
          <w:tcPr>
            <w:tcW w:w="2135" w:type="dxa"/>
            <w:noWrap/>
            <w:hideMark/>
          </w:tcPr>
          <w:p w14:paraId="06DE721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72.54</w:t>
            </w:r>
          </w:p>
        </w:tc>
        <w:tc>
          <w:tcPr>
            <w:tcW w:w="2135" w:type="dxa"/>
          </w:tcPr>
          <w:p w14:paraId="1ECA979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48.11</w:t>
            </w:r>
          </w:p>
        </w:tc>
      </w:tr>
      <w:tr w:rsidR="004B6132" w:rsidRPr="000B627D" w14:paraId="41CEAC2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8835C5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Aug-25</w:t>
            </w:r>
          </w:p>
        </w:tc>
        <w:tc>
          <w:tcPr>
            <w:tcW w:w="2135" w:type="dxa"/>
            <w:noWrap/>
            <w:hideMark/>
          </w:tcPr>
          <w:p w14:paraId="527A82F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64.75</w:t>
            </w:r>
          </w:p>
        </w:tc>
        <w:tc>
          <w:tcPr>
            <w:tcW w:w="2135" w:type="dxa"/>
          </w:tcPr>
          <w:p w14:paraId="4100411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46.53</w:t>
            </w:r>
          </w:p>
        </w:tc>
      </w:tr>
      <w:tr w:rsidR="004B6132" w:rsidRPr="000B627D" w14:paraId="004FD4A6"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0AF645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Sep-25</w:t>
            </w:r>
          </w:p>
        </w:tc>
        <w:tc>
          <w:tcPr>
            <w:tcW w:w="2135" w:type="dxa"/>
            <w:noWrap/>
            <w:hideMark/>
          </w:tcPr>
          <w:p w14:paraId="53A8D6A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55.39</w:t>
            </w:r>
          </w:p>
        </w:tc>
        <w:tc>
          <w:tcPr>
            <w:tcW w:w="2135" w:type="dxa"/>
          </w:tcPr>
          <w:p w14:paraId="0F3F092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45.31</w:t>
            </w:r>
          </w:p>
        </w:tc>
      </w:tr>
      <w:tr w:rsidR="004B6132" w:rsidRPr="000B627D" w14:paraId="500D7A0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19D9AD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Oct-25</w:t>
            </w:r>
          </w:p>
        </w:tc>
        <w:tc>
          <w:tcPr>
            <w:tcW w:w="2135" w:type="dxa"/>
            <w:noWrap/>
            <w:hideMark/>
          </w:tcPr>
          <w:p w14:paraId="664A800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55.34</w:t>
            </w:r>
          </w:p>
        </w:tc>
        <w:tc>
          <w:tcPr>
            <w:tcW w:w="2135" w:type="dxa"/>
          </w:tcPr>
          <w:p w14:paraId="531E64C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45.66</w:t>
            </w:r>
          </w:p>
        </w:tc>
      </w:tr>
      <w:tr w:rsidR="004B6132" w:rsidRPr="000B627D" w14:paraId="1B77DDD0"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00FB79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Nov-25</w:t>
            </w:r>
          </w:p>
        </w:tc>
        <w:tc>
          <w:tcPr>
            <w:tcW w:w="2135" w:type="dxa"/>
            <w:noWrap/>
            <w:hideMark/>
          </w:tcPr>
          <w:p w14:paraId="6603BDA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62.83</w:t>
            </w:r>
          </w:p>
        </w:tc>
        <w:tc>
          <w:tcPr>
            <w:tcW w:w="2135" w:type="dxa"/>
          </w:tcPr>
          <w:p w14:paraId="3890862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55.17</w:t>
            </w:r>
          </w:p>
        </w:tc>
      </w:tr>
      <w:tr w:rsidR="004B6132" w:rsidRPr="000B627D" w14:paraId="3E8F02F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085454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Dec-25</w:t>
            </w:r>
          </w:p>
        </w:tc>
        <w:tc>
          <w:tcPr>
            <w:tcW w:w="2135" w:type="dxa"/>
            <w:noWrap/>
            <w:hideMark/>
          </w:tcPr>
          <w:p w14:paraId="73BEE6D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66.69</w:t>
            </w:r>
          </w:p>
        </w:tc>
        <w:tc>
          <w:tcPr>
            <w:tcW w:w="2135" w:type="dxa"/>
          </w:tcPr>
          <w:p w14:paraId="7DABB01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58.46</w:t>
            </w:r>
          </w:p>
        </w:tc>
      </w:tr>
      <w:tr w:rsidR="004B6132" w:rsidRPr="000B627D" w14:paraId="5F0623E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F70FEB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Jan-26</w:t>
            </w:r>
          </w:p>
        </w:tc>
        <w:tc>
          <w:tcPr>
            <w:tcW w:w="2135" w:type="dxa"/>
            <w:noWrap/>
            <w:hideMark/>
          </w:tcPr>
          <w:p w14:paraId="7CE8958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73.36</w:t>
            </w:r>
          </w:p>
        </w:tc>
        <w:tc>
          <w:tcPr>
            <w:tcW w:w="2135" w:type="dxa"/>
          </w:tcPr>
          <w:p w14:paraId="01BD878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64.52</w:t>
            </w:r>
          </w:p>
        </w:tc>
      </w:tr>
      <w:tr w:rsidR="004B6132" w:rsidRPr="000B627D" w14:paraId="772F830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99B720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Feb-26</w:t>
            </w:r>
          </w:p>
        </w:tc>
        <w:tc>
          <w:tcPr>
            <w:tcW w:w="2135" w:type="dxa"/>
            <w:noWrap/>
            <w:hideMark/>
          </w:tcPr>
          <w:p w14:paraId="2B71D6E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72.05</w:t>
            </w:r>
          </w:p>
        </w:tc>
        <w:tc>
          <w:tcPr>
            <w:tcW w:w="2135" w:type="dxa"/>
          </w:tcPr>
          <w:p w14:paraId="494F02E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63.44</w:t>
            </w:r>
          </w:p>
        </w:tc>
      </w:tr>
      <w:tr w:rsidR="004B6132" w:rsidRPr="000B627D" w14:paraId="3A1B1134"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4C384D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Mar-26</w:t>
            </w:r>
          </w:p>
        </w:tc>
        <w:tc>
          <w:tcPr>
            <w:tcW w:w="2135" w:type="dxa"/>
            <w:noWrap/>
            <w:hideMark/>
          </w:tcPr>
          <w:p w14:paraId="0BCBA3A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62.19</w:t>
            </w:r>
          </w:p>
        </w:tc>
        <w:tc>
          <w:tcPr>
            <w:tcW w:w="2135" w:type="dxa"/>
          </w:tcPr>
          <w:p w14:paraId="1E51905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52.66</w:t>
            </w:r>
          </w:p>
        </w:tc>
      </w:tr>
      <w:tr w:rsidR="004B6132" w:rsidRPr="000B627D" w14:paraId="045BB524"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B6FC93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Apr-26</w:t>
            </w:r>
          </w:p>
        </w:tc>
        <w:tc>
          <w:tcPr>
            <w:tcW w:w="2135" w:type="dxa"/>
            <w:noWrap/>
            <w:hideMark/>
          </w:tcPr>
          <w:p w14:paraId="4A86135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51.31</w:t>
            </w:r>
          </w:p>
        </w:tc>
        <w:tc>
          <w:tcPr>
            <w:tcW w:w="2135" w:type="dxa"/>
          </w:tcPr>
          <w:p w14:paraId="14A1202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45.03</w:t>
            </w:r>
          </w:p>
        </w:tc>
      </w:tr>
      <w:tr w:rsidR="004B6132" w:rsidRPr="000B627D" w14:paraId="1F5A1584"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D40DD4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May-26</w:t>
            </w:r>
          </w:p>
        </w:tc>
        <w:tc>
          <w:tcPr>
            <w:tcW w:w="2135" w:type="dxa"/>
            <w:noWrap/>
            <w:hideMark/>
          </w:tcPr>
          <w:p w14:paraId="4C76A7C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50.85</w:t>
            </w:r>
          </w:p>
        </w:tc>
        <w:tc>
          <w:tcPr>
            <w:tcW w:w="2135" w:type="dxa"/>
          </w:tcPr>
          <w:p w14:paraId="7F0FE1E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42.74</w:t>
            </w:r>
          </w:p>
        </w:tc>
      </w:tr>
      <w:tr w:rsidR="004B6132" w:rsidRPr="000B627D" w14:paraId="680D3E9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DF81E3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Jun-26</w:t>
            </w:r>
          </w:p>
        </w:tc>
        <w:tc>
          <w:tcPr>
            <w:tcW w:w="2135" w:type="dxa"/>
            <w:noWrap/>
            <w:hideMark/>
          </w:tcPr>
          <w:p w14:paraId="12AC768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56.31</w:t>
            </w:r>
          </w:p>
        </w:tc>
        <w:tc>
          <w:tcPr>
            <w:tcW w:w="2135" w:type="dxa"/>
          </w:tcPr>
          <w:p w14:paraId="7D4C029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45.32</w:t>
            </w:r>
          </w:p>
        </w:tc>
      </w:tr>
      <w:tr w:rsidR="004B6132" w:rsidRPr="000B627D" w14:paraId="7E88AA95"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F27F75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Jul-26</w:t>
            </w:r>
          </w:p>
        </w:tc>
        <w:tc>
          <w:tcPr>
            <w:tcW w:w="2135" w:type="dxa"/>
            <w:noWrap/>
            <w:hideMark/>
          </w:tcPr>
          <w:p w14:paraId="1B49549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72.77</w:t>
            </w:r>
          </w:p>
        </w:tc>
        <w:tc>
          <w:tcPr>
            <w:tcW w:w="2135" w:type="dxa"/>
          </w:tcPr>
          <w:p w14:paraId="673F32B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48.91</w:t>
            </w:r>
          </w:p>
        </w:tc>
      </w:tr>
      <w:tr w:rsidR="004B6132" w:rsidRPr="000B627D" w14:paraId="383442C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C0500C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Aug-26</w:t>
            </w:r>
          </w:p>
        </w:tc>
        <w:tc>
          <w:tcPr>
            <w:tcW w:w="2135" w:type="dxa"/>
            <w:noWrap/>
            <w:hideMark/>
          </w:tcPr>
          <w:p w14:paraId="46FAB1D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64.74</w:t>
            </w:r>
          </w:p>
        </w:tc>
        <w:tc>
          <w:tcPr>
            <w:tcW w:w="2135" w:type="dxa"/>
          </w:tcPr>
          <w:p w14:paraId="1A8695F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47.96</w:t>
            </w:r>
          </w:p>
        </w:tc>
      </w:tr>
      <w:tr w:rsidR="004B6132" w:rsidRPr="000B627D" w14:paraId="493173A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7F1C30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Sep-26</w:t>
            </w:r>
          </w:p>
        </w:tc>
        <w:tc>
          <w:tcPr>
            <w:tcW w:w="2135" w:type="dxa"/>
            <w:noWrap/>
            <w:hideMark/>
          </w:tcPr>
          <w:p w14:paraId="20D3A00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57.00</w:t>
            </w:r>
          </w:p>
        </w:tc>
        <w:tc>
          <w:tcPr>
            <w:tcW w:w="2135" w:type="dxa"/>
          </w:tcPr>
          <w:p w14:paraId="71AE5CF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46.14</w:t>
            </w:r>
          </w:p>
        </w:tc>
      </w:tr>
      <w:tr w:rsidR="004B6132" w:rsidRPr="000B627D" w14:paraId="71D03A7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92FAF1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Oct-26</w:t>
            </w:r>
          </w:p>
        </w:tc>
        <w:tc>
          <w:tcPr>
            <w:tcW w:w="2135" w:type="dxa"/>
            <w:noWrap/>
            <w:hideMark/>
          </w:tcPr>
          <w:p w14:paraId="055D70E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55.13</w:t>
            </w:r>
          </w:p>
        </w:tc>
        <w:tc>
          <w:tcPr>
            <w:tcW w:w="2135" w:type="dxa"/>
          </w:tcPr>
          <w:p w14:paraId="6CC2374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46.70</w:t>
            </w:r>
          </w:p>
        </w:tc>
      </w:tr>
      <w:tr w:rsidR="004B6132" w:rsidRPr="000B627D" w14:paraId="09BE6AD9"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C60021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Nov-26</w:t>
            </w:r>
          </w:p>
        </w:tc>
        <w:tc>
          <w:tcPr>
            <w:tcW w:w="2135" w:type="dxa"/>
            <w:noWrap/>
            <w:hideMark/>
          </w:tcPr>
          <w:p w14:paraId="6A3DB10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64.42</w:t>
            </w:r>
          </w:p>
        </w:tc>
        <w:tc>
          <w:tcPr>
            <w:tcW w:w="2135" w:type="dxa"/>
          </w:tcPr>
          <w:p w14:paraId="5BBD56F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56.37</w:t>
            </w:r>
          </w:p>
        </w:tc>
      </w:tr>
      <w:tr w:rsidR="004B6132" w:rsidRPr="000B627D" w14:paraId="619AA34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915B8E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Dec-26</w:t>
            </w:r>
          </w:p>
        </w:tc>
        <w:tc>
          <w:tcPr>
            <w:tcW w:w="2135" w:type="dxa"/>
            <w:noWrap/>
            <w:hideMark/>
          </w:tcPr>
          <w:p w14:paraId="01629CD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68.76</w:t>
            </w:r>
          </w:p>
        </w:tc>
        <w:tc>
          <w:tcPr>
            <w:tcW w:w="2135" w:type="dxa"/>
          </w:tcPr>
          <w:p w14:paraId="3F274BF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60.29</w:t>
            </w:r>
          </w:p>
        </w:tc>
      </w:tr>
      <w:tr w:rsidR="004B6132" w:rsidRPr="000B627D" w14:paraId="6228F07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47741A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lastRenderedPageBreak/>
              <w:t>Jan-27</w:t>
            </w:r>
          </w:p>
        </w:tc>
        <w:tc>
          <w:tcPr>
            <w:tcW w:w="2135" w:type="dxa"/>
            <w:noWrap/>
            <w:hideMark/>
          </w:tcPr>
          <w:p w14:paraId="6E1E492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76.13</w:t>
            </w:r>
          </w:p>
        </w:tc>
        <w:tc>
          <w:tcPr>
            <w:tcW w:w="2135" w:type="dxa"/>
          </w:tcPr>
          <w:p w14:paraId="1AE8704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67.22</w:t>
            </w:r>
          </w:p>
        </w:tc>
      </w:tr>
      <w:tr w:rsidR="0087442D" w:rsidRPr="0087442D" w14:paraId="42495DF8" w14:textId="77777777" w:rsidTr="007129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shd w:val="clear" w:color="auto" w:fill="A6A6A6" w:themeFill="background1" w:themeFillShade="A6"/>
            <w:noWrap/>
          </w:tcPr>
          <w:p w14:paraId="6740A66C" w14:textId="77777777" w:rsidR="0087442D" w:rsidRPr="0087442D" w:rsidRDefault="0087442D" w:rsidP="007129AF">
            <w:pPr>
              <w:spacing w:after="0" w:line="240" w:lineRule="auto"/>
              <w:jc w:val="center"/>
              <w:rPr>
                <w:rFonts w:ascii="Century Gothic" w:eastAsia="Times New Roman" w:hAnsi="Century Gothic" w:cs="Times New Roman"/>
                <w:color w:val="000000"/>
                <w:sz w:val="20"/>
                <w:szCs w:val="18"/>
              </w:rPr>
            </w:pPr>
            <w:r w:rsidRPr="0087442D">
              <w:rPr>
                <w:rFonts w:ascii="Century Gothic" w:eastAsia="Times New Roman" w:hAnsi="Century Gothic" w:cs="Times New Roman"/>
                <w:color w:val="000000"/>
                <w:sz w:val="20"/>
                <w:szCs w:val="18"/>
              </w:rPr>
              <w:t>Month</w:t>
            </w:r>
          </w:p>
        </w:tc>
        <w:tc>
          <w:tcPr>
            <w:tcW w:w="2135" w:type="dxa"/>
            <w:shd w:val="clear" w:color="auto" w:fill="A6A6A6" w:themeFill="background1" w:themeFillShade="A6"/>
            <w:noWrap/>
          </w:tcPr>
          <w:p w14:paraId="363D634A" w14:textId="77777777" w:rsidR="0087442D" w:rsidRPr="0087442D" w:rsidRDefault="0087442D" w:rsidP="007129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On-Peak SEMA LMP</w:t>
            </w:r>
            <w:r w:rsidRPr="0087442D">
              <w:rPr>
                <w:rFonts w:ascii="Century Gothic" w:eastAsia="Times New Roman" w:hAnsi="Century Gothic" w:cs="Times New Roman"/>
                <w:b/>
                <w:color w:val="000000"/>
                <w:sz w:val="20"/>
                <w:szCs w:val="18"/>
              </w:rPr>
              <w:br/>
              <w:t>($/MWh)</w:t>
            </w:r>
          </w:p>
        </w:tc>
        <w:tc>
          <w:tcPr>
            <w:tcW w:w="2135" w:type="dxa"/>
            <w:shd w:val="clear" w:color="auto" w:fill="A6A6A6" w:themeFill="background1" w:themeFillShade="A6"/>
          </w:tcPr>
          <w:p w14:paraId="6C16D07E" w14:textId="77777777" w:rsidR="0087442D" w:rsidRPr="0087442D" w:rsidRDefault="0087442D" w:rsidP="007129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Off-Peak SEMA LMP</w:t>
            </w:r>
            <w:r w:rsidRPr="0087442D">
              <w:rPr>
                <w:rFonts w:ascii="Century Gothic" w:eastAsia="Times New Roman" w:hAnsi="Century Gothic" w:cs="Times New Roman"/>
                <w:b/>
                <w:color w:val="000000"/>
                <w:sz w:val="20"/>
                <w:szCs w:val="18"/>
              </w:rPr>
              <w:br/>
              <w:t>($/MWh)</w:t>
            </w:r>
          </w:p>
        </w:tc>
      </w:tr>
      <w:tr w:rsidR="004B6132" w:rsidRPr="000B627D" w14:paraId="74491557"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79D214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Feb-27</w:t>
            </w:r>
          </w:p>
        </w:tc>
        <w:tc>
          <w:tcPr>
            <w:tcW w:w="2135" w:type="dxa"/>
            <w:noWrap/>
            <w:hideMark/>
          </w:tcPr>
          <w:p w14:paraId="42126EC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75.79</w:t>
            </w:r>
          </w:p>
        </w:tc>
        <w:tc>
          <w:tcPr>
            <w:tcW w:w="2135" w:type="dxa"/>
          </w:tcPr>
          <w:p w14:paraId="58313EF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65.36</w:t>
            </w:r>
          </w:p>
        </w:tc>
      </w:tr>
      <w:tr w:rsidR="004B6132" w:rsidRPr="000B627D" w14:paraId="572CDD7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2C4B0B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Mar-27</w:t>
            </w:r>
          </w:p>
        </w:tc>
        <w:tc>
          <w:tcPr>
            <w:tcW w:w="2135" w:type="dxa"/>
            <w:noWrap/>
            <w:hideMark/>
          </w:tcPr>
          <w:p w14:paraId="3EBCAEC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64.43</w:t>
            </w:r>
          </w:p>
        </w:tc>
        <w:tc>
          <w:tcPr>
            <w:tcW w:w="2135" w:type="dxa"/>
          </w:tcPr>
          <w:p w14:paraId="678AE98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54.49</w:t>
            </w:r>
          </w:p>
        </w:tc>
      </w:tr>
      <w:tr w:rsidR="004B6132" w:rsidRPr="000B627D" w14:paraId="634ACE7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F38213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Apr-27</w:t>
            </w:r>
          </w:p>
        </w:tc>
        <w:tc>
          <w:tcPr>
            <w:tcW w:w="2135" w:type="dxa"/>
            <w:noWrap/>
            <w:hideMark/>
          </w:tcPr>
          <w:p w14:paraId="57606EF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53.52</w:t>
            </w:r>
          </w:p>
        </w:tc>
        <w:tc>
          <w:tcPr>
            <w:tcW w:w="2135" w:type="dxa"/>
          </w:tcPr>
          <w:p w14:paraId="298EB88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47.41</w:t>
            </w:r>
          </w:p>
        </w:tc>
      </w:tr>
      <w:tr w:rsidR="004B6132" w:rsidRPr="000B627D" w14:paraId="2102BD4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7E0866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May-27</w:t>
            </w:r>
          </w:p>
        </w:tc>
        <w:tc>
          <w:tcPr>
            <w:tcW w:w="2135" w:type="dxa"/>
            <w:noWrap/>
            <w:hideMark/>
          </w:tcPr>
          <w:p w14:paraId="0B8FD91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53.69</w:t>
            </w:r>
          </w:p>
        </w:tc>
        <w:tc>
          <w:tcPr>
            <w:tcW w:w="2135" w:type="dxa"/>
          </w:tcPr>
          <w:p w14:paraId="2888BE8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46.16</w:t>
            </w:r>
          </w:p>
        </w:tc>
      </w:tr>
      <w:tr w:rsidR="004B6132" w:rsidRPr="000B627D" w14:paraId="049C4B4A"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123298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Jun-27</w:t>
            </w:r>
          </w:p>
        </w:tc>
        <w:tc>
          <w:tcPr>
            <w:tcW w:w="2135" w:type="dxa"/>
            <w:noWrap/>
            <w:hideMark/>
          </w:tcPr>
          <w:p w14:paraId="3CFCDB6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58.55</w:t>
            </w:r>
          </w:p>
        </w:tc>
        <w:tc>
          <w:tcPr>
            <w:tcW w:w="2135" w:type="dxa"/>
          </w:tcPr>
          <w:p w14:paraId="4B79396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46.93</w:t>
            </w:r>
          </w:p>
        </w:tc>
      </w:tr>
      <w:tr w:rsidR="004B6132" w:rsidRPr="000B627D" w14:paraId="5E1F27D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B00F6B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Jul-27</w:t>
            </w:r>
          </w:p>
        </w:tc>
        <w:tc>
          <w:tcPr>
            <w:tcW w:w="2135" w:type="dxa"/>
            <w:noWrap/>
            <w:hideMark/>
          </w:tcPr>
          <w:p w14:paraId="6F05204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74.88</w:t>
            </w:r>
          </w:p>
        </w:tc>
        <w:tc>
          <w:tcPr>
            <w:tcW w:w="2135" w:type="dxa"/>
          </w:tcPr>
          <w:p w14:paraId="32B4D36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50.80</w:t>
            </w:r>
          </w:p>
        </w:tc>
      </w:tr>
      <w:tr w:rsidR="004B6132" w:rsidRPr="000B627D" w14:paraId="79B41E3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C48C5B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Aug-27</w:t>
            </w:r>
          </w:p>
        </w:tc>
        <w:tc>
          <w:tcPr>
            <w:tcW w:w="2135" w:type="dxa"/>
            <w:noWrap/>
            <w:hideMark/>
          </w:tcPr>
          <w:p w14:paraId="3ED4D59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66.79</w:t>
            </w:r>
          </w:p>
        </w:tc>
        <w:tc>
          <w:tcPr>
            <w:tcW w:w="2135" w:type="dxa"/>
          </w:tcPr>
          <w:p w14:paraId="0611F36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48.75</w:t>
            </w:r>
          </w:p>
        </w:tc>
      </w:tr>
      <w:tr w:rsidR="004B6132" w:rsidRPr="000B627D" w14:paraId="131848B9"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DF9309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Sep-27</w:t>
            </w:r>
          </w:p>
        </w:tc>
        <w:tc>
          <w:tcPr>
            <w:tcW w:w="2135" w:type="dxa"/>
            <w:noWrap/>
            <w:hideMark/>
          </w:tcPr>
          <w:p w14:paraId="2BC9619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57.38</w:t>
            </w:r>
          </w:p>
        </w:tc>
        <w:tc>
          <w:tcPr>
            <w:tcW w:w="2135" w:type="dxa"/>
          </w:tcPr>
          <w:p w14:paraId="67B12D0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47.67</w:t>
            </w:r>
          </w:p>
        </w:tc>
      </w:tr>
      <w:tr w:rsidR="004B6132" w:rsidRPr="000B627D" w14:paraId="715FF8F8"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5AA8E0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Oct-27</w:t>
            </w:r>
          </w:p>
        </w:tc>
        <w:tc>
          <w:tcPr>
            <w:tcW w:w="2135" w:type="dxa"/>
            <w:noWrap/>
            <w:hideMark/>
          </w:tcPr>
          <w:p w14:paraId="1B16FAC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55.85</w:t>
            </w:r>
          </w:p>
        </w:tc>
        <w:tc>
          <w:tcPr>
            <w:tcW w:w="2135" w:type="dxa"/>
          </w:tcPr>
          <w:p w14:paraId="5B9EAD0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47.69</w:t>
            </w:r>
          </w:p>
        </w:tc>
      </w:tr>
      <w:tr w:rsidR="004B6132" w:rsidRPr="000B627D" w14:paraId="376A166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9DF3AB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Nov-27</w:t>
            </w:r>
          </w:p>
        </w:tc>
        <w:tc>
          <w:tcPr>
            <w:tcW w:w="2135" w:type="dxa"/>
            <w:noWrap/>
            <w:hideMark/>
          </w:tcPr>
          <w:p w14:paraId="53DCDC7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65.74</w:t>
            </w:r>
          </w:p>
        </w:tc>
        <w:tc>
          <w:tcPr>
            <w:tcW w:w="2135" w:type="dxa"/>
          </w:tcPr>
          <w:p w14:paraId="5B03AF5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57.56</w:t>
            </w:r>
          </w:p>
        </w:tc>
      </w:tr>
      <w:tr w:rsidR="004B6132" w:rsidRPr="000B627D" w14:paraId="39B33896"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BE9AAE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Dec-27</w:t>
            </w:r>
          </w:p>
        </w:tc>
        <w:tc>
          <w:tcPr>
            <w:tcW w:w="2135" w:type="dxa"/>
            <w:noWrap/>
            <w:hideMark/>
          </w:tcPr>
          <w:p w14:paraId="4E4D6E8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69.93</w:t>
            </w:r>
          </w:p>
        </w:tc>
        <w:tc>
          <w:tcPr>
            <w:tcW w:w="2135" w:type="dxa"/>
          </w:tcPr>
          <w:p w14:paraId="0B96F7F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61.67</w:t>
            </w:r>
          </w:p>
        </w:tc>
      </w:tr>
      <w:tr w:rsidR="004B6132" w:rsidRPr="000B627D" w14:paraId="5EC0EC3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B8EB06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Jan-28</w:t>
            </w:r>
          </w:p>
        </w:tc>
        <w:tc>
          <w:tcPr>
            <w:tcW w:w="2135" w:type="dxa"/>
            <w:noWrap/>
            <w:hideMark/>
          </w:tcPr>
          <w:p w14:paraId="1C11439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77.50</w:t>
            </w:r>
          </w:p>
        </w:tc>
        <w:tc>
          <w:tcPr>
            <w:tcW w:w="2135" w:type="dxa"/>
          </w:tcPr>
          <w:p w14:paraId="5D59F2B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67.60</w:t>
            </w:r>
          </w:p>
        </w:tc>
      </w:tr>
      <w:tr w:rsidR="004B6132" w:rsidRPr="000B627D" w14:paraId="10A1054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A32A10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Feb-28</w:t>
            </w:r>
          </w:p>
        </w:tc>
        <w:tc>
          <w:tcPr>
            <w:tcW w:w="2135" w:type="dxa"/>
            <w:noWrap/>
            <w:hideMark/>
          </w:tcPr>
          <w:p w14:paraId="735808A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76.36</w:t>
            </w:r>
          </w:p>
        </w:tc>
        <w:tc>
          <w:tcPr>
            <w:tcW w:w="2135" w:type="dxa"/>
          </w:tcPr>
          <w:p w14:paraId="135074E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66.19</w:t>
            </w:r>
          </w:p>
        </w:tc>
      </w:tr>
      <w:tr w:rsidR="004B6132" w:rsidRPr="000B627D" w14:paraId="4596392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C5536D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Mar-28</w:t>
            </w:r>
          </w:p>
        </w:tc>
        <w:tc>
          <w:tcPr>
            <w:tcW w:w="2135" w:type="dxa"/>
            <w:noWrap/>
            <w:hideMark/>
          </w:tcPr>
          <w:p w14:paraId="3C257DB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66.57</w:t>
            </w:r>
          </w:p>
        </w:tc>
        <w:tc>
          <w:tcPr>
            <w:tcW w:w="2135" w:type="dxa"/>
          </w:tcPr>
          <w:p w14:paraId="0555BF3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56.85</w:t>
            </w:r>
          </w:p>
        </w:tc>
      </w:tr>
      <w:tr w:rsidR="004B6132" w:rsidRPr="000B627D" w14:paraId="4AE0EF64"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F1AD37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Apr-28</w:t>
            </w:r>
          </w:p>
        </w:tc>
        <w:tc>
          <w:tcPr>
            <w:tcW w:w="2135" w:type="dxa"/>
            <w:noWrap/>
            <w:hideMark/>
          </w:tcPr>
          <w:p w14:paraId="332FA80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55.59</w:t>
            </w:r>
          </w:p>
        </w:tc>
        <w:tc>
          <w:tcPr>
            <w:tcW w:w="2135" w:type="dxa"/>
          </w:tcPr>
          <w:p w14:paraId="464E74B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49.34</w:t>
            </w:r>
          </w:p>
        </w:tc>
      </w:tr>
      <w:tr w:rsidR="004B6132" w:rsidRPr="000B627D" w14:paraId="2B6838FB"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24CB7C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May-28</w:t>
            </w:r>
          </w:p>
        </w:tc>
        <w:tc>
          <w:tcPr>
            <w:tcW w:w="2135" w:type="dxa"/>
            <w:noWrap/>
            <w:hideMark/>
          </w:tcPr>
          <w:p w14:paraId="44332F1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55.11</w:t>
            </w:r>
          </w:p>
        </w:tc>
        <w:tc>
          <w:tcPr>
            <w:tcW w:w="2135" w:type="dxa"/>
          </w:tcPr>
          <w:p w14:paraId="7AA1C75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46.62</w:t>
            </w:r>
          </w:p>
        </w:tc>
      </w:tr>
      <w:tr w:rsidR="004B6132" w:rsidRPr="000B627D" w14:paraId="4B2B5B24"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85EC4D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Jun-28</w:t>
            </w:r>
          </w:p>
        </w:tc>
        <w:tc>
          <w:tcPr>
            <w:tcW w:w="2135" w:type="dxa"/>
            <w:noWrap/>
            <w:hideMark/>
          </w:tcPr>
          <w:p w14:paraId="46B1FC7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61.14</w:t>
            </w:r>
          </w:p>
        </w:tc>
        <w:tc>
          <w:tcPr>
            <w:tcW w:w="2135" w:type="dxa"/>
          </w:tcPr>
          <w:p w14:paraId="352E457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48.74</w:t>
            </w:r>
          </w:p>
        </w:tc>
      </w:tr>
      <w:tr w:rsidR="004B6132" w:rsidRPr="000B627D" w14:paraId="7446255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954526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Jul-28</w:t>
            </w:r>
          </w:p>
        </w:tc>
        <w:tc>
          <w:tcPr>
            <w:tcW w:w="2135" w:type="dxa"/>
            <w:noWrap/>
            <w:hideMark/>
          </w:tcPr>
          <w:p w14:paraId="12EA7A4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77.40</w:t>
            </w:r>
          </w:p>
        </w:tc>
        <w:tc>
          <w:tcPr>
            <w:tcW w:w="2135" w:type="dxa"/>
          </w:tcPr>
          <w:p w14:paraId="48620AD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52.65</w:t>
            </w:r>
          </w:p>
        </w:tc>
      </w:tr>
      <w:tr w:rsidR="004B6132" w:rsidRPr="000B627D" w14:paraId="505907F6"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213F2B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Aug-28</w:t>
            </w:r>
          </w:p>
        </w:tc>
        <w:tc>
          <w:tcPr>
            <w:tcW w:w="2135" w:type="dxa"/>
            <w:noWrap/>
            <w:hideMark/>
          </w:tcPr>
          <w:p w14:paraId="12525A0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67.29</w:t>
            </w:r>
          </w:p>
        </w:tc>
        <w:tc>
          <w:tcPr>
            <w:tcW w:w="2135" w:type="dxa"/>
          </w:tcPr>
          <w:p w14:paraId="7C547D5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49.95</w:t>
            </w:r>
          </w:p>
        </w:tc>
      </w:tr>
      <w:tr w:rsidR="004B6132" w:rsidRPr="000B627D" w14:paraId="77490DB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293395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Sep-28</w:t>
            </w:r>
          </w:p>
        </w:tc>
        <w:tc>
          <w:tcPr>
            <w:tcW w:w="2135" w:type="dxa"/>
            <w:noWrap/>
            <w:hideMark/>
          </w:tcPr>
          <w:p w14:paraId="650C8C2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58.95</w:t>
            </w:r>
          </w:p>
        </w:tc>
        <w:tc>
          <w:tcPr>
            <w:tcW w:w="2135" w:type="dxa"/>
          </w:tcPr>
          <w:p w14:paraId="2D6ADA6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49.84</w:t>
            </w:r>
          </w:p>
        </w:tc>
      </w:tr>
      <w:tr w:rsidR="004B6132" w:rsidRPr="000B627D" w14:paraId="729B881B"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89FE1B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Oct-28</w:t>
            </w:r>
          </w:p>
        </w:tc>
        <w:tc>
          <w:tcPr>
            <w:tcW w:w="2135" w:type="dxa"/>
            <w:noWrap/>
            <w:hideMark/>
          </w:tcPr>
          <w:p w14:paraId="38A3518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60.67</w:t>
            </w:r>
          </w:p>
        </w:tc>
        <w:tc>
          <w:tcPr>
            <w:tcW w:w="2135" w:type="dxa"/>
          </w:tcPr>
          <w:p w14:paraId="6C7C2B7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50.33</w:t>
            </w:r>
          </w:p>
        </w:tc>
      </w:tr>
      <w:tr w:rsidR="004B6132" w:rsidRPr="000B627D" w14:paraId="1A3D569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3C16FF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Nov-28</w:t>
            </w:r>
          </w:p>
        </w:tc>
        <w:tc>
          <w:tcPr>
            <w:tcW w:w="2135" w:type="dxa"/>
            <w:noWrap/>
            <w:hideMark/>
          </w:tcPr>
          <w:p w14:paraId="3EF12FD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68.20</w:t>
            </w:r>
          </w:p>
        </w:tc>
        <w:tc>
          <w:tcPr>
            <w:tcW w:w="2135" w:type="dxa"/>
          </w:tcPr>
          <w:p w14:paraId="45C4640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60.54</w:t>
            </w:r>
          </w:p>
        </w:tc>
      </w:tr>
      <w:tr w:rsidR="004B6132" w:rsidRPr="000B627D" w14:paraId="0DE1E4F6"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E301C6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Dec-28</w:t>
            </w:r>
          </w:p>
        </w:tc>
        <w:tc>
          <w:tcPr>
            <w:tcW w:w="2135" w:type="dxa"/>
            <w:noWrap/>
            <w:hideMark/>
          </w:tcPr>
          <w:p w14:paraId="56BF4A3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72.69</w:t>
            </w:r>
          </w:p>
        </w:tc>
        <w:tc>
          <w:tcPr>
            <w:tcW w:w="2135" w:type="dxa"/>
          </w:tcPr>
          <w:p w14:paraId="038E871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64.40</w:t>
            </w:r>
          </w:p>
        </w:tc>
      </w:tr>
      <w:tr w:rsidR="004B6132" w:rsidRPr="000B627D" w14:paraId="4B5952A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E19762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Jan-29</w:t>
            </w:r>
          </w:p>
        </w:tc>
        <w:tc>
          <w:tcPr>
            <w:tcW w:w="2135" w:type="dxa"/>
            <w:noWrap/>
            <w:hideMark/>
          </w:tcPr>
          <w:p w14:paraId="21D6864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80.04</w:t>
            </w:r>
          </w:p>
        </w:tc>
        <w:tc>
          <w:tcPr>
            <w:tcW w:w="2135" w:type="dxa"/>
          </w:tcPr>
          <w:p w14:paraId="3DE9BF3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69.98</w:t>
            </w:r>
          </w:p>
        </w:tc>
      </w:tr>
      <w:tr w:rsidR="004B6132" w:rsidRPr="000B627D" w14:paraId="3749245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CC4E14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Feb-29</w:t>
            </w:r>
          </w:p>
        </w:tc>
        <w:tc>
          <w:tcPr>
            <w:tcW w:w="2135" w:type="dxa"/>
            <w:noWrap/>
            <w:hideMark/>
          </w:tcPr>
          <w:p w14:paraId="6803505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79.58</w:t>
            </w:r>
          </w:p>
        </w:tc>
        <w:tc>
          <w:tcPr>
            <w:tcW w:w="2135" w:type="dxa"/>
          </w:tcPr>
          <w:p w14:paraId="622EC50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69.58</w:t>
            </w:r>
          </w:p>
        </w:tc>
      </w:tr>
      <w:tr w:rsidR="004B6132" w:rsidRPr="000B627D" w14:paraId="6F730EDB"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C04CB9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Mar-29</w:t>
            </w:r>
          </w:p>
        </w:tc>
        <w:tc>
          <w:tcPr>
            <w:tcW w:w="2135" w:type="dxa"/>
            <w:noWrap/>
            <w:hideMark/>
          </w:tcPr>
          <w:p w14:paraId="2F0253F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69.00</w:t>
            </w:r>
          </w:p>
        </w:tc>
        <w:tc>
          <w:tcPr>
            <w:tcW w:w="2135" w:type="dxa"/>
          </w:tcPr>
          <w:p w14:paraId="075BFFD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59.18</w:t>
            </w:r>
          </w:p>
        </w:tc>
      </w:tr>
      <w:tr w:rsidR="004B6132" w:rsidRPr="000B627D" w14:paraId="7985C4D7"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C0DDE6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Apr-29</w:t>
            </w:r>
          </w:p>
        </w:tc>
        <w:tc>
          <w:tcPr>
            <w:tcW w:w="2135" w:type="dxa"/>
            <w:noWrap/>
            <w:hideMark/>
          </w:tcPr>
          <w:p w14:paraId="2B19A5D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57.95</w:t>
            </w:r>
          </w:p>
        </w:tc>
        <w:tc>
          <w:tcPr>
            <w:tcW w:w="2135" w:type="dxa"/>
          </w:tcPr>
          <w:p w14:paraId="11FB876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50.62</w:t>
            </w:r>
          </w:p>
        </w:tc>
      </w:tr>
      <w:tr w:rsidR="004B6132" w:rsidRPr="000B627D" w14:paraId="2D9B6E5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BDD712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May-29</w:t>
            </w:r>
          </w:p>
        </w:tc>
        <w:tc>
          <w:tcPr>
            <w:tcW w:w="2135" w:type="dxa"/>
            <w:noWrap/>
            <w:hideMark/>
          </w:tcPr>
          <w:p w14:paraId="194BBBF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56.85</w:t>
            </w:r>
          </w:p>
        </w:tc>
        <w:tc>
          <w:tcPr>
            <w:tcW w:w="2135" w:type="dxa"/>
          </w:tcPr>
          <w:p w14:paraId="0976CCC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47.91</w:t>
            </w:r>
          </w:p>
        </w:tc>
      </w:tr>
      <w:tr w:rsidR="004B6132" w:rsidRPr="000B627D" w14:paraId="550158E3"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EE4332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Jun-29</w:t>
            </w:r>
          </w:p>
        </w:tc>
        <w:tc>
          <w:tcPr>
            <w:tcW w:w="2135" w:type="dxa"/>
            <w:noWrap/>
            <w:hideMark/>
          </w:tcPr>
          <w:p w14:paraId="538C3B0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62.28</w:t>
            </w:r>
          </w:p>
        </w:tc>
        <w:tc>
          <w:tcPr>
            <w:tcW w:w="2135" w:type="dxa"/>
          </w:tcPr>
          <w:p w14:paraId="45C2960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51.04</w:t>
            </w:r>
          </w:p>
        </w:tc>
      </w:tr>
      <w:tr w:rsidR="004B6132" w:rsidRPr="000B627D" w14:paraId="7BF04D6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FBBE2F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Jul-29</w:t>
            </w:r>
          </w:p>
        </w:tc>
        <w:tc>
          <w:tcPr>
            <w:tcW w:w="2135" w:type="dxa"/>
            <w:noWrap/>
            <w:hideMark/>
          </w:tcPr>
          <w:p w14:paraId="55FF0A2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78.79</w:t>
            </w:r>
          </w:p>
        </w:tc>
        <w:tc>
          <w:tcPr>
            <w:tcW w:w="2135" w:type="dxa"/>
          </w:tcPr>
          <w:p w14:paraId="34354DA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54.87</w:t>
            </w:r>
          </w:p>
        </w:tc>
      </w:tr>
      <w:tr w:rsidR="004B6132" w:rsidRPr="000B627D" w14:paraId="6DD3FBC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CD5D3B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Aug-29</w:t>
            </w:r>
          </w:p>
        </w:tc>
        <w:tc>
          <w:tcPr>
            <w:tcW w:w="2135" w:type="dxa"/>
            <w:noWrap/>
            <w:hideMark/>
          </w:tcPr>
          <w:p w14:paraId="4228CE6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72.30</w:t>
            </w:r>
          </w:p>
        </w:tc>
        <w:tc>
          <w:tcPr>
            <w:tcW w:w="2135" w:type="dxa"/>
          </w:tcPr>
          <w:p w14:paraId="32832FF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52.79</w:t>
            </w:r>
          </w:p>
        </w:tc>
      </w:tr>
      <w:tr w:rsidR="004B6132" w:rsidRPr="000B627D" w14:paraId="7DA7852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8700F4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Sep-29</w:t>
            </w:r>
          </w:p>
        </w:tc>
        <w:tc>
          <w:tcPr>
            <w:tcW w:w="2135" w:type="dxa"/>
            <w:noWrap/>
            <w:hideMark/>
          </w:tcPr>
          <w:p w14:paraId="7E08451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64.28</w:t>
            </w:r>
          </w:p>
        </w:tc>
        <w:tc>
          <w:tcPr>
            <w:tcW w:w="2135" w:type="dxa"/>
          </w:tcPr>
          <w:p w14:paraId="1E4FFCF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52.49</w:t>
            </w:r>
          </w:p>
        </w:tc>
      </w:tr>
      <w:tr w:rsidR="004B6132" w:rsidRPr="000B627D" w14:paraId="1614D421"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EAD61E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Oct-29</w:t>
            </w:r>
          </w:p>
        </w:tc>
        <w:tc>
          <w:tcPr>
            <w:tcW w:w="2135" w:type="dxa"/>
            <w:noWrap/>
            <w:hideMark/>
          </w:tcPr>
          <w:p w14:paraId="7C9177E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61.36</w:t>
            </w:r>
          </w:p>
        </w:tc>
        <w:tc>
          <w:tcPr>
            <w:tcW w:w="2135" w:type="dxa"/>
          </w:tcPr>
          <w:p w14:paraId="73B2312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51.61</w:t>
            </w:r>
          </w:p>
        </w:tc>
      </w:tr>
      <w:tr w:rsidR="004B6132" w:rsidRPr="000B627D" w14:paraId="6471D0C9"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81AAE8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Nov-29</w:t>
            </w:r>
          </w:p>
        </w:tc>
        <w:tc>
          <w:tcPr>
            <w:tcW w:w="2135" w:type="dxa"/>
            <w:noWrap/>
            <w:hideMark/>
          </w:tcPr>
          <w:p w14:paraId="72A7831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69.53</w:t>
            </w:r>
          </w:p>
        </w:tc>
        <w:tc>
          <w:tcPr>
            <w:tcW w:w="2135" w:type="dxa"/>
          </w:tcPr>
          <w:p w14:paraId="1F5D96E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61.26</w:t>
            </w:r>
          </w:p>
        </w:tc>
      </w:tr>
      <w:tr w:rsidR="004B6132" w:rsidRPr="000B627D" w14:paraId="6FB97340"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D639EC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Dec-29</w:t>
            </w:r>
          </w:p>
        </w:tc>
        <w:tc>
          <w:tcPr>
            <w:tcW w:w="2135" w:type="dxa"/>
            <w:noWrap/>
            <w:hideMark/>
          </w:tcPr>
          <w:p w14:paraId="71D06BB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75.29</w:t>
            </w:r>
          </w:p>
        </w:tc>
        <w:tc>
          <w:tcPr>
            <w:tcW w:w="2135" w:type="dxa"/>
          </w:tcPr>
          <w:p w14:paraId="63C09FA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67.00</w:t>
            </w:r>
          </w:p>
        </w:tc>
      </w:tr>
      <w:tr w:rsidR="004B6132" w:rsidRPr="000B627D" w14:paraId="18DB23FB"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887572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Jan-30</w:t>
            </w:r>
          </w:p>
        </w:tc>
        <w:tc>
          <w:tcPr>
            <w:tcW w:w="2135" w:type="dxa"/>
            <w:noWrap/>
            <w:hideMark/>
          </w:tcPr>
          <w:p w14:paraId="3B28868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81.90</w:t>
            </w:r>
          </w:p>
        </w:tc>
        <w:tc>
          <w:tcPr>
            <w:tcW w:w="2135" w:type="dxa"/>
          </w:tcPr>
          <w:p w14:paraId="1CBCFA4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71.48</w:t>
            </w:r>
          </w:p>
        </w:tc>
      </w:tr>
      <w:tr w:rsidR="004B6132" w:rsidRPr="000B627D" w14:paraId="1669B3B1"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A001D0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Feb-30</w:t>
            </w:r>
          </w:p>
        </w:tc>
        <w:tc>
          <w:tcPr>
            <w:tcW w:w="2135" w:type="dxa"/>
            <w:noWrap/>
            <w:hideMark/>
          </w:tcPr>
          <w:p w14:paraId="6165EB3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81.99</w:t>
            </w:r>
          </w:p>
        </w:tc>
        <w:tc>
          <w:tcPr>
            <w:tcW w:w="2135" w:type="dxa"/>
          </w:tcPr>
          <w:p w14:paraId="1DFD386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71.83</w:t>
            </w:r>
          </w:p>
        </w:tc>
      </w:tr>
      <w:tr w:rsidR="004B6132" w:rsidRPr="000B627D" w14:paraId="4444584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01F52D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Mar-30</w:t>
            </w:r>
          </w:p>
        </w:tc>
        <w:tc>
          <w:tcPr>
            <w:tcW w:w="2135" w:type="dxa"/>
            <w:noWrap/>
            <w:hideMark/>
          </w:tcPr>
          <w:p w14:paraId="7CB9A4C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70.23</w:t>
            </w:r>
          </w:p>
        </w:tc>
        <w:tc>
          <w:tcPr>
            <w:tcW w:w="2135" w:type="dxa"/>
          </w:tcPr>
          <w:p w14:paraId="78F403D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61.26</w:t>
            </w:r>
          </w:p>
        </w:tc>
      </w:tr>
      <w:tr w:rsidR="004B6132" w:rsidRPr="000B627D" w14:paraId="70131BAC"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CFC4BE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lastRenderedPageBreak/>
              <w:t>Apr-30</w:t>
            </w:r>
          </w:p>
        </w:tc>
        <w:tc>
          <w:tcPr>
            <w:tcW w:w="2135" w:type="dxa"/>
            <w:noWrap/>
            <w:hideMark/>
          </w:tcPr>
          <w:p w14:paraId="45F9A7A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61.28</w:t>
            </w:r>
          </w:p>
        </w:tc>
        <w:tc>
          <w:tcPr>
            <w:tcW w:w="2135" w:type="dxa"/>
          </w:tcPr>
          <w:p w14:paraId="15A1825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53.95</w:t>
            </w:r>
          </w:p>
        </w:tc>
      </w:tr>
      <w:tr w:rsidR="004B6132" w:rsidRPr="000B627D" w14:paraId="48441BD0"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819994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May-30</w:t>
            </w:r>
          </w:p>
        </w:tc>
        <w:tc>
          <w:tcPr>
            <w:tcW w:w="2135" w:type="dxa"/>
            <w:noWrap/>
            <w:hideMark/>
          </w:tcPr>
          <w:p w14:paraId="791A4C7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60.63</w:t>
            </w:r>
          </w:p>
        </w:tc>
        <w:tc>
          <w:tcPr>
            <w:tcW w:w="2135" w:type="dxa"/>
          </w:tcPr>
          <w:p w14:paraId="00F4BEB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52.86</w:t>
            </w:r>
          </w:p>
        </w:tc>
      </w:tr>
      <w:tr w:rsidR="0087442D" w:rsidRPr="0087442D" w14:paraId="4B72F700" w14:textId="77777777" w:rsidTr="007129AF">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shd w:val="clear" w:color="auto" w:fill="A6A6A6" w:themeFill="background1" w:themeFillShade="A6"/>
            <w:noWrap/>
          </w:tcPr>
          <w:p w14:paraId="43453805" w14:textId="77777777" w:rsidR="0087442D" w:rsidRPr="0087442D" w:rsidRDefault="0087442D" w:rsidP="007129AF">
            <w:pPr>
              <w:spacing w:after="0" w:line="240" w:lineRule="auto"/>
              <w:jc w:val="center"/>
              <w:rPr>
                <w:rFonts w:ascii="Century Gothic" w:eastAsia="Times New Roman" w:hAnsi="Century Gothic" w:cs="Times New Roman"/>
                <w:color w:val="000000"/>
                <w:sz w:val="20"/>
                <w:szCs w:val="18"/>
              </w:rPr>
            </w:pPr>
            <w:r w:rsidRPr="0087442D">
              <w:rPr>
                <w:rFonts w:ascii="Century Gothic" w:eastAsia="Times New Roman" w:hAnsi="Century Gothic" w:cs="Times New Roman"/>
                <w:color w:val="000000"/>
                <w:sz w:val="20"/>
                <w:szCs w:val="18"/>
              </w:rPr>
              <w:t>Month</w:t>
            </w:r>
          </w:p>
        </w:tc>
        <w:tc>
          <w:tcPr>
            <w:tcW w:w="2135" w:type="dxa"/>
            <w:shd w:val="clear" w:color="auto" w:fill="A6A6A6" w:themeFill="background1" w:themeFillShade="A6"/>
            <w:noWrap/>
          </w:tcPr>
          <w:p w14:paraId="5182F64D" w14:textId="77777777" w:rsidR="0087442D" w:rsidRPr="0087442D" w:rsidRDefault="0087442D" w:rsidP="007129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On-Peak SEMA LMP</w:t>
            </w:r>
            <w:r w:rsidRPr="0087442D">
              <w:rPr>
                <w:rFonts w:ascii="Century Gothic" w:eastAsia="Times New Roman" w:hAnsi="Century Gothic" w:cs="Times New Roman"/>
                <w:b/>
                <w:color w:val="000000"/>
                <w:sz w:val="20"/>
                <w:szCs w:val="18"/>
              </w:rPr>
              <w:br/>
              <w:t>($/MWh)</w:t>
            </w:r>
          </w:p>
        </w:tc>
        <w:tc>
          <w:tcPr>
            <w:tcW w:w="2135" w:type="dxa"/>
            <w:shd w:val="clear" w:color="auto" w:fill="A6A6A6" w:themeFill="background1" w:themeFillShade="A6"/>
          </w:tcPr>
          <w:p w14:paraId="282FC3B0" w14:textId="77777777" w:rsidR="0087442D" w:rsidRPr="0087442D" w:rsidRDefault="0087442D" w:rsidP="007129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Off-Peak SEMA LMP</w:t>
            </w:r>
            <w:r w:rsidRPr="0087442D">
              <w:rPr>
                <w:rFonts w:ascii="Century Gothic" w:eastAsia="Times New Roman" w:hAnsi="Century Gothic" w:cs="Times New Roman"/>
                <w:b/>
                <w:color w:val="000000"/>
                <w:sz w:val="20"/>
                <w:szCs w:val="18"/>
              </w:rPr>
              <w:br/>
              <w:t>($/MWh)</w:t>
            </w:r>
          </w:p>
        </w:tc>
      </w:tr>
      <w:tr w:rsidR="004B6132" w:rsidRPr="000B627D" w14:paraId="149CA90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7EBC50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Jun-30</w:t>
            </w:r>
          </w:p>
        </w:tc>
        <w:tc>
          <w:tcPr>
            <w:tcW w:w="2135" w:type="dxa"/>
            <w:noWrap/>
            <w:hideMark/>
          </w:tcPr>
          <w:p w14:paraId="2AF30B1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66.40</w:t>
            </w:r>
          </w:p>
        </w:tc>
        <w:tc>
          <w:tcPr>
            <w:tcW w:w="2135" w:type="dxa"/>
          </w:tcPr>
          <w:p w14:paraId="48FC5D8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54.27</w:t>
            </w:r>
          </w:p>
        </w:tc>
      </w:tr>
      <w:tr w:rsidR="004B6132" w:rsidRPr="000B627D" w14:paraId="2DFA4711"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90E73F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Jul-30</w:t>
            </w:r>
          </w:p>
        </w:tc>
        <w:tc>
          <w:tcPr>
            <w:tcW w:w="2135" w:type="dxa"/>
            <w:noWrap/>
            <w:hideMark/>
          </w:tcPr>
          <w:p w14:paraId="1A83006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86.98</w:t>
            </w:r>
          </w:p>
        </w:tc>
        <w:tc>
          <w:tcPr>
            <w:tcW w:w="2135" w:type="dxa"/>
          </w:tcPr>
          <w:p w14:paraId="2EB3421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58.35</w:t>
            </w:r>
          </w:p>
        </w:tc>
      </w:tr>
      <w:tr w:rsidR="004B6132" w:rsidRPr="000B627D" w14:paraId="29A62817"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585163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Aug-30</w:t>
            </w:r>
          </w:p>
        </w:tc>
        <w:tc>
          <w:tcPr>
            <w:tcW w:w="2135" w:type="dxa"/>
            <w:noWrap/>
            <w:hideMark/>
          </w:tcPr>
          <w:p w14:paraId="0DB1266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76.09</w:t>
            </w:r>
          </w:p>
        </w:tc>
        <w:tc>
          <w:tcPr>
            <w:tcW w:w="2135" w:type="dxa"/>
          </w:tcPr>
          <w:p w14:paraId="601BE82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55.86</w:t>
            </w:r>
          </w:p>
        </w:tc>
      </w:tr>
      <w:tr w:rsidR="004B6132" w:rsidRPr="000B627D" w14:paraId="46119C43"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65CC0D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Sep-30</w:t>
            </w:r>
          </w:p>
        </w:tc>
        <w:tc>
          <w:tcPr>
            <w:tcW w:w="2135" w:type="dxa"/>
            <w:noWrap/>
            <w:hideMark/>
          </w:tcPr>
          <w:p w14:paraId="0F5FB53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66.53</w:t>
            </w:r>
          </w:p>
        </w:tc>
        <w:tc>
          <w:tcPr>
            <w:tcW w:w="2135" w:type="dxa"/>
          </w:tcPr>
          <w:p w14:paraId="65B75A5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55.27</w:t>
            </w:r>
          </w:p>
        </w:tc>
      </w:tr>
      <w:tr w:rsidR="004B6132" w:rsidRPr="000B627D" w14:paraId="5A3CBD5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CA49C5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Oct-30</w:t>
            </w:r>
          </w:p>
        </w:tc>
        <w:tc>
          <w:tcPr>
            <w:tcW w:w="2135" w:type="dxa"/>
            <w:noWrap/>
            <w:hideMark/>
          </w:tcPr>
          <w:p w14:paraId="420DB16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64.26</w:t>
            </w:r>
          </w:p>
        </w:tc>
        <w:tc>
          <w:tcPr>
            <w:tcW w:w="2135" w:type="dxa"/>
          </w:tcPr>
          <w:p w14:paraId="225CB94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54.54</w:t>
            </w:r>
          </w:p>
        </w:tc>
      </w:tr>
      <w:tr w:rsidR="004B6132" w:rsidRPr="000B627D" w14:paraId="40D9A0B9"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738D00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Nov-30</w:t>
            </w:r>
          </w:p>
        </w:tc>
        <w:tc>
          <w:tcPr>
            <w:tcW w:w="2135" w:type="dxa"/>
            <w:noWrap/>
            <w:hideMark/>
          </w:tcPr>
          <w:p w14:paraId="09918E7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74.31</w:t>
            </w:r>
          </w:p>
        </w:tc>
        <w:tc>
          <w:tcPr>
            <w:tcW w:w="2135" w:type="dxa"/>
          </w:tcPr>
          <w:p w14:paraId="301215C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65.14</w:t>
            </w:r>
          </w:p>
        </w:tc>
      </w:tr>
      <w:tr w:rsidR="004B6132" w:rsidRPr="000B627D" w14:paraId="39262979"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7F7AC9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Dec-30</w:t>
            </w:r>
          </w:p>
        </w:tc>
        <w:tc>
          <w:tcPr>
            <w:tcW w:w="2135" w:type="dxa"/>
            <w:noWrap/>
            <w:hideMark/>
          </w:tcPr>
          <w:p w14:paraId="73A5702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78.89</w:t>
            </w:r>
          </w:p>
        </w:tc>
        <w:tc>
          <w:tcPr>
            <w:tcW w:w="2135" w:type="dxa"/>
          </w:tcPr>
          <w:p w14:paraId="2CCC6AB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70.17</w:t>
            </w:r>
          </w:p>
        </w:tc>
      </w:tr>
      <w:tr w:rsidR="004B6132" w:rsidRPr="000B627D" w14:paraId="62DF515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811D5A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Jan-31</w:t>
            </w:r>
          </w:p>
        </w:tc>
        <w:tc>
          <w:tcPr>
            <w:tcW w:w="2135" w:type="dxa"/>
            <w:noWrap/>
            <w:hideMark/>
          </w:tcPr>
          <w:p w14:paraId="2F3D770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86.32</w:t>
            </w:r>
          </w:p>
        </w:tc>
        <w:tc>
          <w:tcPr>
            <w:tcW w:w="2135" w:type="dxa"/>
          </w:tcPr>
          <w:p w14:paraId="640D075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76.09</w:t>
            </w:r>
          </w:p>
        </w:tc>
      </w:tr>
      <w:tr w:rsidR="004B6132" w:rsidRPr="000B627D" w14:paraId="69A6EC9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C418F4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Feb-31</w:t>
            </w:r>
          </w:p>
        </w:tc>
        <w:tc>
          <w:tcPr>
            <w:tcW w:w="2135" w:type="dxa"/>
            <w:noWrap/>
            <w:hideMark/>
          </w:tcPr>
          <w:p w14:paraId="6A21F0C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86.51</w:t>
            </w:r>
          </w:p>
        </w:tc>
        <w:tc>
          <w:tcPr>
            <w:tcW w:w="2135" w:type="dxa"/>
          </w:tcPr>
          <w:p w14:paraId="331FE52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75.63</w:t>
            </w:r>
          </w:p>
        </w:tc>
      </w:tr>
      <w:tr w:rsidR="004B6132" w:rsidRPr="000B627D" w14:paraId="6895208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3CF84D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Mar-31</w:t>
            </w:r>
          </w:p>
        </w:tc>
        <w:tc>
          <w:tcPr>
            <w:tcW w:w="2135" w:type="dxa"/>
            <w:noWrap/>
            <w:hideMark/>
          </w:tcPr>
          <w:p w14:paraId="0B28357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75.91</w:t>
            </w:r>
          </w:p>
        </w:tc>
        <w:tc>
          <w:tcPr>
            <w:tcW w:w="2135" w:type="dxa"/>
          </w:tcPr>
          <w:p w14:paraId="2097549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65.91</w:t>
            </w:r>
          </w:p>
        </w:tc>
      </w:tr>
      <w:tr w:rsidR="004B6132" w:rsidRPr="000B627D" w14:paraId="07AE1EC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C0F09E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Apr-31</w:t>
            </w:r>
          </w:p>
        </w:tc>
        <w:tc>
          <w:tcPr>
            <w:tcW w:w="2135" w:type="dxa"/>
            <w:noWrap/>
            <w:hideMark/>
          </w:tcPr>
          <w:p w14:paraId="27FAE73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64.58</w:t>
            </w:r>
          </w:p>
        </w:tc>
        <w:tc>
          <w:tcPr>
            <w:tcW w:w="2135" w:type="dxa"/>
          </w:tcPr>
          <w:p w14:paraId="5F84E0B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57.53</w:t>
            </w:r>
          </w:p>
        </w:tc>
      </w:tr>
      <w:tr w:rsidR="004B6132" w:rsidRPr="000B627D" w14:paraId="088CDEF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DE0998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May-31</w:t>
            </w:r>
          </w:p>
        </w:tc>
        <w:tc>
          <w:tcPr>
            <w:tcW w:w="2135" w:type="dxa"/>
            <w:noWrap/>
            <w:hideMark/>
          </w:tcPr>
          <w:p w14:paraId="6C6DCD7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63.11</w:t>
            </w:r>
          </w:p>
        </w:tc>
        <w:tc>
          <w:tcPr>
            <w:tcW w:w="2135" w:type="dxa"/>
          </w:tcPr>
          <w:p w14:paraId="4B6F514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55.25</w:t>
            </w:r>
          </w:p>
        </w:tc>
      </w:tr>
      <w:tr w:rsidR="004B6132" w:rsidRPr="000B627D" w14:paraId="0E9AF8E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F53687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Jun-31</w:t>
            </w:r>
          </w:p>
        </w:tc>
        <w:tc>
          <w:tcPr>
            <w:tcW w:w="2135" w:type="dxa"/>
            <w:noWrap/>
            <w:hideMark/>
          </w:tcPr>
          <w:p w14:paraId="5DDBDE9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69.04</w:t>
            </w:r>
          </w:p>
        </w:tc>
        <w:tc>
          <w:tcPr>
            <w:tcW w:w="2135" w:type="dxa"/>
          </w:tcPr>
          <w:p w14:paraId="56F84C7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57.03</w:t>
            </w:r>
          </w:p>
        </w:tc>
      </w:tr>
      <w:tr w:rsidR="004B6132" w:rsidRPr="000B627D" w14:paraId="4D5F9E76"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A4B972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Jul-31</w:t>
            </w:r>
          </w:p>
        </w:tc>
        <w:tc>
          <w:tcPr>
            <w:tcW w:w="2135" w:type="dxa"/>
            <w:noWrap/>
            <w:hideMark/>
          </w:tcPr>
          <w:p w14:paraId="70F36A5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88.27</w:t>
            </w:r>
          </w:p>
        </w:tc>
        <w:tc>
          <w:tcPr>
            <w:tcW w:w="2135" w:type="dxa"/>
          </w:tcPr>
          <w:p w14:paraId="4543995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61.59</w:t>
            </w:r>
          </w:p>
        </w:tc>
      </w:tr>
      <w:tr w:rsidR="004B6132" w:rsidRPr="000B627D" w14:paraId="5D8FB5B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84F039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Aug-31</w:t>
            </w:r>
          </w:p>
        </w:tc>
        <w:tc>
          <w:tcPr>
            <w:tcW w:w="2135" w:type="dxa"/>
            <w:noWrap/>
            <w:hideMark/>
          </w:tcPr>
          <w:p w14:paraId="3A4A635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77.36</w:t>
            </w:r>
          </w:p>
        </w:tc>
        <w:tc>
          <w:tcPr>
            <w:tcW w:w="2135" w:type="dxa"/>
          </w:tcPr>
          <w:p w14:paraId="52D2017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59.19</w:t>
            </w:r>
          </w:p>
        </w:tc>
      </w:tr>
      <w:tr w:rsidR="004B6132" w:rsidRPr="000B627D" w14:paraId="69ABF2AB"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D3ABB6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Sep-31</w:t>
            </w:r>
          </w:p>
        </w:tc>
        <w:tc>
          <w:tcPr>
            <w:tcW w:w="2135" w:type="dxa"/>
            <w:noWrap/>
            <w:hideMark/>
          </w:tcPr>
          <w:p w14:paraId="0134C97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69.68</w:t>
            </w:r>
          </w:p>
        </w:tc>
        <w:tc>
          <w:tcPr>
            <w:tcW w:w="2135" w:type="dxa"/>
          </w:tcPr>
          <w:p w14:paraId="6121D31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58.44</w:t>
            </w:r>
          </w:p>
        </w:tc>
      </w:tr>
      <w:tr w:rsidR="004B6132" w:rsidRPr="000B627D" w14:paraId="0E0503F6"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489833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Oct-31</w:t>
            </w:r>
          </w:p>
        </w:tc>
        <w:tc>
          <w:tcPr>
            <w:tcW w:w="2135" w:type="dxa"/>
            <w:noWrap/>
            <w:hideMark/>
          </w:tcPr>
          <w:p w14:paraId="2A7B501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68.27</w:t>
            </w:r>
          </w:p>
        </w:tc>
        <w:tc>
          <w:tcPr>
            <w:tcW w:w="2135" w:type="dxa"/>
          </w:tcPr>
          <w:p w14:paraId="57BD236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58.13</w:t>
            </w:r>
          </w:p>
        </w:tc>
      </w:tr>
      <w:tr w:rsidR="004B6132" w:rsidRPr="000B627D" w14:paraId="4499D764"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175B56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Nov-31</w:t>
            </w:r>
          </w:p>
        </w:tc>
        <w:tc>
          <w:tcPr>
            <w:tcW w:w="2135" w:type="dxa"/>
            <w:noWrap/>
            <w:hideMark/>
          </w:tcPr>
          <w:p w14:paraId="4BBD23B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78.23</w:t>
            </w:r>
          </w:p>
        </w:tc>
        <w:tc>
          <w:tcPr>
            <w:tcW w:w="2135" w:type="dxa"/>
          </w:tcPr>
          <w:p w14:paraId="3210ABC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68.92</w:t>
            </w:r>
          </w:p>
        </w:tc>
      </w:tr>
      <w:tr w:rsidR="004B6132" w:rsidRPr="000B627D" w14:paraId="55DE2030"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CE8EDB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Dec-31</w:t>
            </w:r>
          </w:p>
        </w:tc>
        <w:tc>
          <w:tcPr>
            <w:tcW w:w="2135" w:type="dxa"/>
            <w:noWrap/>
            <w:hideMark/>
          </w:tcPr>
          <w:p w14:paraId="6EF4963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82.43</w:t>
            </w:r>
          </w:p>
        </w:tc>
        <w:tc>
          <w:tcPr>
            <w:tcW w:w="2135" w:type="dxa"/>
          </w:tcPr>
          <w:p w14:paraId="38349FA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73.55</w:t>
            </w:r>
          </w:p>
        </w:tc>
      </w:tr>
      <w:tr w:rsidR="004B6132" w:rsidRPr="000B627D" w14:paraId="5DC7FFD7"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585ACB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Jan-32</w:t>
            </w:r>
          </w:p>
        </w:tc>
        <w:tc>
          <w:tcPr>
            <w:tcW w:w="2135" w:type="dxa"/>
            <w:noWrap/>
            <w:hideMark/>
          </w:tcPr>
          <w:p w14:paraId="343F320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90.24</w:t>
            </w:r>
          </w:p>
        </w:tc>
        <w:tc>
          <w:tcPr>
            <w:tcW w:w="2135" w:type="dxa"/>
          </w:tcPr>
          <w:p w14:paraId="776E4E8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79.68</w:t>
            </w:r>
          </w:p>
        </w:tc>
      </w:tr>
      <w:tr w:rsidR="004B6132" w:rsidRPr="000B627D" w14:paraId="65B848F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CAEB0B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Feb-32</w:t>
            </w:r>
          </w:p>
        </w:tc>
        <w:tc>
          <w:tcPr>
            <w:tcW w:w="2135" w:type="dxa"/>
            <w:noWrap/>
            <w:hideMark/>
          </w:tcPr>
          <w:p w14:paraId="34BF80D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90.08</w:t>
            </w:r>
          </w:p>
        </w:tc>
        <w:tc>
          <w:tcPr>
            <w:tcW w:w="2135" w:type="dxa"/>
          </w:tcPr>
          <w:p w14:paraId="31BE1F0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78.27</w:t>
            </w:r>
          </w:p>
        </w:tc>
      </w:tr>
      <w:tr w:rsidR="004B6132" w:rsidRPr="000B627D" w14:paraId="2DADDF91"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9D4499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Mar-32</w:t>
            </w:r>
          </w:p>
        </w:tc>
        <w:tc>
          <w:tcPr>
            <w:tcW w:w="2135" w:type="dxa"/>
            <w:noWrap/>
            <w:hideMark/>
          </w:tcPr>
          <w:p w14:paraId="10188E4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79.16</w:t>
            </w:r>
          </w:p>
        </w:tc>
        <w:tc>
          <w:tcPr>
            <w:tcW w:w="2135" w:type="dxa"/>
          </w:tcPr>
          <w:p w14:paraId="19174B3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68.92</w:t>
            </w:r>
          </w:p>
        </w:tc>
      </w:tr>
      <w:tr w:rsidR="004B6132" w:rsidRPr="000B627D" w14:paraId="5CA61D90"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2667BF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Apr-32</w:t>
            </w:r>
          </w:p>
        </w:tc>
        <w:tc>
          <w:tcPr>
            <w:tcW w:w="2135" w:type="dxa"/>
            <w:noWrap/>
            <w:hideMark/>
          </w:tcPr>
          <w:p w14:paraId="30ADA43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67.58</w:t>
            </w:r>
          </w:p>
        </w:tc>
        <w:tc>
          <w:tcPr>
            <w:tcW w:w="2135" w:type="dxa"/>
          </w:tcPr>
          <w:p w14:paraId="1081BFC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60.47</w:t>
            </w:r>
          </w:p>
        </w:tc>
      </w:tr>
      <w:tr w:rsidR="004B6132" w:rsidRPr="000B627D" w14:paraId="2778E9B0"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BC8FDF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May-32</w:t>
            </w:r>
          </w:p>
        </w:tc>
        <w:tc>
          <w:tcPr>
            <w:tcW w:w="2135" w:type="dxa"/>
            <w:noWrap/>
            <w:hideMark/>
          </w:tcPr>
          <w:p w14:paraId="18C3F91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67.43</w:t>
            </w:r>
          </w:p>
        </w:tc>
        <w:tc>
          <w:tcPr>
            <w:tcW w:w="2135" w:type="dxa"/>
          </w:tcPr>
          <w:p w14:paraId="3137099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58.70</w:t>
            </w:r>
          </w:p>
        </w:tc>
      </w:tr>
      <w:tr w:rsidR="004B6132" w:rsidRPr="000B627D" w14:paraId="7F2A378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4A9BF0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Jun-32</w:t>
            </w:r>
          </w:p>
        </w:tc>
        <w:tc>
          <w:tcPr>
            <w:tcW w:w="2135" w:type="dxa"/>
            <w:noWrap/>
            <w:hideMark/>
          </w:tcPr>
          <w:p w14:paraId="5F1180C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74.22</w:t>
            </w:r>
          </w:p>
        </w:tc>
        <w:tc>
          <w:tcPr>
            <w:tcW w:w="2135" w:type="dxa"/>
          </w:tcPr>
          <w:p w14:paraId="3D87007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60.81</w:t>
            </w:r>
          </w:p>
        </w:tc>
      </w:tr>
      <w:tr w:rsidR="004B6132" w:rsidRPr="000B627D" w14:paraId="666EDF39"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1A08BB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Jul-32</w:t>
            </w:r>
          </w:p>
        </w:tc>
        <w:tc>
          <w:tcPr>
            <w:tcW w:w="2135" w:type="dxa"/>
            <w:noWrap/>
            <w:hideMark/>
          </w:tcPr>
          <w:p w14:paraId="571C86F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93.22</w:t>
            </w:r>
          </w:p>
        </w:tc>
        <w:tc>
          <w:tcPr>
            <w:tcW w:w="2135" w:type="dxa"/>
          </w:tcPr>
          <w:p w14:paraId="7C73180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65.96</w:t>
            </w:r>
          </w:p>
        </w:tc>
      </w:tr>
      <w:tr w:rsidR="004B6132" w:rsidRPr="000B627D" w14:paraId="696ABCF2"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6767D9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Aug-32</w:t>
            </w:r>
          </w:p>
        </w:tc>
        <w:tc>
          <w:tcPr>
            <w:tcW w:w="2135" w:type="dxa"/>
            <w:noWrap/>
            <w:hideMark/>
          </w:tcPr>
          <w:p w14:paraId="4ABC518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80.70</w:t>
            </w:r>
          </w:p>
        </w:tc>
        <w:tc>
          <w:tcPr>
            <w:tcW w:w="2135" w:type="dxa"/>
          </w:tcPr>
          <w:p w14:paraId="358FD1A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63.14</w:t>
            </w:r>
          </w:p>
        </w:tc>
      </w:tr>
      <w:tr w:rsidR="004B6132" w:rsidRPr="000B627D" w14:paraId="119B7749"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EDF827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Sep-32</w:t>
            </w:r>
          </w:p>
        </w:tc>
        <w:tc>
          <w:tcPr>
            <w:tcW w:w="2135" w:type="dxa"/>
            <w:noWrap/>
            <w:hideMark/>
          </w:tcPr>
          <w:p w14:paraId="1F9D781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74.86</w:t>
            </w:r>
          </w:p>
        </w:tc>
        <w:tc>
          <w:tcPr>
            <w:tcW w:w="2135" w:type="dxa"/>
          </w:tcPr>
          <w:p w14:paraId="7715925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62.68</w:t>
            </w:r>
          </w:p>
        </w:tc>
      </w:tr>
      <w:tr w:rsidR="004B6132" w:rsidRPr="000B627D" w14:paraId="0633F24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43BEC3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Oct-32</w:t>
            </w:r>
          </w:p>
        </w:tc>
        <w:tc>
          <w:tcPr>
            <w:tcW w:w="2135" w:type="dxa"/>
            <w:noWrap/>
            <w:hideMark/>
          </w:tcPr>
          <w:p w14:paraId="59E0978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72.86</w:t>
            </w:r>
          </w:p>
        </w:tc>
        <w:tc>
          <w:tcPr>
            <w:tcW w:w="2135" w:type="dxa"/>
          </w:tcPr>
          <w:p w14:paraId="1822B2D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62.07</w:t>
            </w:r>
          </w:p>
        </w:tc>
      </w:tr>
      <w:tr w:rsidR="004B6132" w:rsidRPr="000B627D" w14:paraId="6DF10BCA"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1E206D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Nov-32</w:t>
            </w:r>
          </w:p>
        </w:tc>
        <w:tc>
          <w:tcPr>
            <w:tcW w:w="2135" w:type="dxa"/>
            <w:noWrap/>
            <w:hideMark/>
          </w:tcPr>
          <w:p w14:paraId="272CAA9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82.98</w:t>
            </w:r>
          </w:p>
        </w:tc>
        <w:tc>
          <w:tcPr>
            <w:tcW w:w="2135" w:type="dxa"/>
          </w:tcPr>
          <w:p w14:paraId="779A1A5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72.49</w:t>
            </w:r>
          </w:p>
        </w:tc>
      </w:tr>
      <w:tr w:rsidR="004B6132" w:rsidRPr="000B627D" w14:paraId="0DA75CF0"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35E273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Dec-32</w:t>
            </w:r>
          </w:p>
        </w:tc>
        <w:tc>
          <w:tcPr>
            <w:tcW w:w="2135" w:type="dxa"/>
            <w:noWrap/>
            <w:hideMark/>
          </w:tcPr>
          <w:p w14:paraId="5E1332E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86.07</w:t>
            </w:r>
          </w:p>
        </w:tc>
        <w:tc>
          <w:tcPr>
            <w:tcW w:w="2135" w:type="dxa"/>
          </w:tcPr>
          <w:p w14:paraId="2195DF6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76.94</w:t>
            </w:r>
          </w:p>
        </w:tc>
      </w:tr>
      <w:tr w:rsidR="004B6132" w:rsidRPr="000B627D" w14:paraId="23EA0E03"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8A52EB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Jan-33</w:t>
            </w:r>
          </w:p>
        </w:tc>
        <w:tc>
          <w:tcPr>
            <w:tcW w:w="2135" w:type="dxa"/>
            <w:noWrap/>
            <w:hideMark/>
          </w:tcPr>
          <w:p w14:paraId="23FDFFE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94.66</w:t>
            </w:r>
          </w:p>
        </w:tc>
        <w:tc>
          <w:tcPr>
            <w:tcW w:w="2135" w:type="dxa"/>
          </w:tcPr>
          <w:p w14:paraId="624FA14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83.72</w:t>
            </w:r>
          </w:p>
        </w:tc>
      </w:tr>
      <w:tr w:rsidR="004B6132" w:rsidRPr="000B627D" w14:paraId="0F2153AC"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52842E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Feb-33</w:t>
            </w:r>
          </w:p>
        </w:tc>
        <w:tc>
          <w:tcPr>
            <w:tcW w:w="2135" w:type="dxa"/>
            <w:noWrap/>
            <w:hideMark/>
          </w:tcPr>
          <w:p w14:paraId="549CAD5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95.28</w:t>
            </w:r>
          </w:p>
        </w:tc>
        <w:tc>
          <w:tcPr>
            <w:tcW w:w="2135" w:type="dxa"/>
          </w:tcPr>
          <w:p w14:paraId="19B3506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83.38</w:t>
            </w:r>
          </w:p>
        </w:tc>
      </w:tr>
      <w:tr w:rsidR="004B6132" w:rsidRPr="000B627D" w14:paraId="7EA24EC3"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C939A7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Mar-33</w:t>
            </w:r>
          </w:p>
        </w:tc>
        <w:tc>
          <w:tcPr>
            <w:tcW w:w="2135" w:type="dxa"/>
            <w:noWrap/>
            <w:hideMark/>
          </w:tcPr>
          <w:p w14:paraId="1598BA4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81.15</w:t>
            </w:r>
          </w:p>
        </w:tc>
        <w:tc>
          <w:tcPr>
            <w:tcW w:w="2135" w:type="dxa"/>
          </w:tcPr>
          <w:p w14:paraId="1F2F8F8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71.87</w:t>
            </w:r>
          </w:p>
        </w:tc>
      </w:tr>
      <w:tr w:rsidR="004B6132" w:rsidRPr="000B627D" w14:paraId="4F648746"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3B4806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Apr-33</w:t>
            </w:r>
          </w:p>
        </w:tc>
        <w:tc>
          <w:tcPr>
            <w:tcW w:w="2135" w:type="dxa"/>
            <w:noWrap/>
            <w:hideMark/>
          </w:tcPr>
          <w:p w14:paraId="2EAFE3E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71.92</w:t>
            </w:r>
          </w:p>
        </w:tc>
        <w:tc>
          <w:tcPr>
            <w:tcW w:w="2135" w:type="dxa"/>
          </w:tcPr>
          <w:p w14:paraId="2CC652D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64.51</w:t>
            </w:r>
          </w:p>
        </w:tc>
      </w:tr>
      <w:tr w:rsidR="004B6132" w:rsidRPr="000B627D" w14:paraId="6B73964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EA676B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May-33</w:t>
            </w:r>
          </w:p>
        </w:tc>
        <w:tc>
          <w:tcPr>
            <w:tcW w:w="2135" w:type="dxa"/>
            <w:noWrap/>
            <w:hideMark/>
          </w:tcPr>
          <w:p w14:paraId="33257F6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72.04</w:t>
            </w:r>
          </w:p>
        </w:tc>
        <w:tc>
          <w:tcPr>
            <w:tcW w:w="2135" w:type="dxa"/>
          </w:tcPr>
          <w:p w14:paraId="4096923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63.67</w:t>
            </w:r>
          </w:p>
        </w:tc>
      </w:tr>
      <w:tr w:rsidR="004B6132" w:rsidRPr="000B627D" w14:paraId="3120F01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C59F7C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Jun-33</w:t>
            </w:r>
          </w:p>
        </w:tc>
        <w:tc>
          <w:tcPr>
            <w:tcW w:w="2135" w:type="dxa"/>
            <w:noWrap/>
            <w:hideMark/>
          </w:tcPr>
          <w:p w14:paraId="3282F45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78.19</w:t>
            </w:r>
          </w:p>
        </w:tc>
        <w:tc>
          <w:tcPr>
            <w:tcW w:w="2135" w:type="dxa"/>
          </w:tcPr>
          <w:p w14:paraId="64E49B2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64.58</w:t>
            </w:r>
          </w:p>
        </w:tc>
      </w:tr>
      <w:tr w:rsidR="004B6132" w:rsidRPr="000B627D" w14:paraId="7AEFCDE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7A6D8A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lastRenderedPageBreak/>
              <w:t>Jul-33</w:t>
            </w:r>
          </w:p>
        </w:tc>
        <w:tc>
          <w:tcPr>
            <w:tcW w:w="2135" w:type="dxa"/>
            <w:noWrap/>
            <w:hideMark/>
          </w:tcPr>
          <w:p w14:paraId="36D1562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93.91</w:t>
            </w:r>
          </w:p>
        </w:tc>
        <w:tc>
          <w:tcPr>
            <w:tcW w:w="2135" w:type="dxa"/>
          </w:tcPr>
          <w:p w14:paraId="17E302D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69.39</w:t>
            </w:r>
          </w:p>
        </w:tc>
      </w:tr>
      <w:tr w:rsidR="004B6132" w:rsidRPr="000B627D" w14:paraId="4255385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CBC4B0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Aug-33</w:t>
            </w:r>
          </w:p>
        </w:tc>
        <w:tc>
          <w:tcPr>
            <w:tcW w:w="2135" w:type="dxa"/>
            <w:noWrap/>
            <w:hideMark/>
          </w:tcPr>
          <w:p w14:paraId="3E961E8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84.03</w:t>
            </w:r>
          </w:p>
        </w:tc>
        <w:tc>
          <w:tcPr>
            <w:tcW w:w="2135" w:type="dxa"/>
          </w:tcPr>
          <w:p w14:paraId="201E37F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66.87</w:t>
            </w:r>
          </w:p>
        </w:tc>
      </w:tr>
      <w:tr w:rsidR="004B6132" w:rsidRPr="000B627D" w14:paraId="028630FC"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A607F3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Sep-33</w:t>
            </w:r>
          </w:p>
        </w:tc>
        <w:tc>
          <w:tcPr>
            <w:tcW w:w="2135" w:type="dxa"/>
            <w:noWrap/>
            <w:hideMark/>
          </w:tcPr>
          <w:p w14:paraId="42FD074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77.20</w:t>
            </w:r>
          </w:p>
        </w:tc>
        <w:tc>
          <w:tcPr>
            <w:tcW w:w="2135" w:type="dxa"/>
          </w:tcPr>
          <w:p w14:paraId="000CB4F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66.39</w:t>
            </w:r>
          </w:p>
        </w:tc>
      </w:tr>
      <w:tr w:rsidR="0087442D" w:rsidRPr="0087442D" w14:paraId="1F7BD746" w14:textId="77777777" w:rsidTr="007129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shd w:val="clear" w:color="auto" w:fill="A6A6A6" w:themeFill="background1" w:themeFillShade="A6"/>
            <w:noWrap/>
          </w:tcPr>
          <w:p w14:paraId="3590F266" w14:textId="77777777" w:rsidR="0087442D" w:rsidRPr="0087442D" w:rsidRDefault="0087442D" w:rsidP="007129AF">
            <w:pPr>
              <w:spacing w:after="0" w:line="240" w:lineRule="auto"/>
              <w:jc w:val="center"/>
              <w:rPr>
                <w:rFonts w:ascii="Century Gothic" w:eastAsia="Times New Roman" w:hAnsi="Century Gothic" w:cs="Times New Roman"/>
                <w:color w:val="000000"/>
                <w:sz w:val="20"/>
                <w:szCs w:val="18"/>
              </w:rPr>
            </w:pPr>
            <w:r w:rsidRPr="0087442D">
              <w:rPr>
                <w:rFonts w:ascii="Century Gothic" w:eastAsia="Times New Roman" w:hAnsi="Century Gothic" w:cs="Times New Roman"/>
                <w:color w:val="000000"/>
                <w:sz w:val="20"/>
                <w:szCs w:val="18"/>
              </w:rPr>
              <w:t>Month</w:t>
            </w:r>
          </w:p>
        </w:tc>
        <w:tc>
          <w:tcPr>
            <w:tcW w:w="2135" w:type="dxa"/>
            <w:shd w:val="clear" w:color="auto" w:fill="A6A6A6" w:themeFill="background1" w:themeFillShade="A6"/>
            <w:noWrap/>
          </w:tcPr>
          <w:p w14:paraId="14B00E8C" w14:textId="77777777" w:rsidR="0087442D" w:rsidRPr="0087442D" w:rsidRDefault="0087442D" w:rsidP="007129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On-Peak SEMA LMP</w:t>
            </w:r>
            <w:r w:rsidRPr="0087442D">
              <w:rPr>
                <w:rFonts w:ascii="Century Gothic" w:eastAsia="Times New Roman" w:hAnsi="Century Gothic" w:cs="Times New Roman"/>
                <w:b/>
                <w:color w:val="000000"/>
                <w:sz w:val="20"/>
                <w:szCs w:val="18"/>
              </w:rPr>
              <w:br/>
              <w:t>($/MWh)</w:t>
            </w:r>
          </w:p>
        </w:tc>
        <w:tc>
          <w:tcPr>
            <w:tcW w:w="2135" w:type="dxa"/>
            <w:shd w:val="clear" w:color="auto" w:fill="A6A6A6" w:themeFill="background1" w:themeFillShade="A6"/>
          </w:tcPr>
          <w:p w14:paraId="412ABC05" w14:textId="77777777" w:rsidR="0087442D" w:rsidRPr="0087442D" w:rsidRDefault="0087442D" w:rsidP="007129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Off-Peak SEMA LMP</w:t>
            </w:r>
            <w:r w:rsidRPr="0087442D">
              <w:rPr>
                <w:rFonts w:ascii="Century Gothic" w:eastAsia="Times New Roman" w:hAnsi="Century Gothic" w:cs="Times New Roman"/>
                <w:b/>
                <w:color w:val="000000"/>
                <w:sz w:val="20"/>
                <w:szCs w:val="18"/>
              </w:rPr>
              <w:br/>
              <w:t>($/MWh)</w:t>
            </w:r>
          </w:p>
        </w:tc>
      </w:tr>
      <w:tr w:rsidR="004B6132" w:rsidRPr="000B627D" w14:paraId="1753E6D6"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111E63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Oct-33</w:t>
            </w:r>
          </w:p>
        </w:tc>
        <w:tc>
          <w:tcPr>
            <w:tcW w:w="2135" w:type="dxa"/>
            <w:noWrap/>
            <w:hideMark/>
          </w:tcPr>
          <w:p w14:paraId="56B911E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76.93</w:t>
            </w:r>
          </w:p>
        </w:tc>
        <w:tc>
          <w:tcPr>
            <w:tcW w:w="2135" w:type="dxa"/>
          </w:tcPr>
          <w:p w14:paraId="14F1B25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66.85</w:t>
            </w:r>
          </w:p>
        </w:tc>
      </w:tr>
      <w:tr w:rsidR="004B6132" w:rsidRPr="000B627D" w14:paraId="443F4E0E"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8CB65C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Nov-33</w:t>
            </w:r>
          </w:p>
        </w:tc>
        <w:tc>
          <w:tcPr>
            <w:tcW w:w="2135" w:type="dxa"/>
            <w:noWrap/>
            <w:hideMark/>
          </w:tcPr>
          <w:p w14:paraId="7E0D3CF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86.88</w:t>
            </w:r>
          </w:p>
        </w:tc>
        <w:tc>
          <w:tcPr>
            <w:tcW w:w="2135" w:type="dxa"/>
          </w:tcPr>
          <w:p w14:paraId="5CE7D0B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76.97</w:t>
            </w:r>
          </w:p>
        </w:tc>
      </w:tr>
      <w:tr w:rsidR="004B6132" w:rsidRPr="000B627D" w14:paraId="231CA54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BA24AC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Dec-33</w:t>
            </w:r>
          </w:p>
        </w:tc>
        <w:tc>
          <w:tcPr>
            <w:tcW w:w="2135" w:type="dxa"/>
            <w:noWrap/>
            <w:hideMark/>
          </w:tcPr>
          <w:p w14:paraId="2C1C5A8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91.04</w:t>
            </w:r>
          </w:p>
        </w:tc>
        <w:tc>
          <w:tcPr>
            <w:tcW w:w="2135" w:type="dxa"/>
          </w:tcPr>
          <w:p w14:paraId="56CA1F3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82.23</w:t>
            </w:r>
          </w:p>
        </w:tc>
      </w:tr>
      <w:tr w:rsidR="004B6132" w:rsidRPr="000B627D" w14:paraId="62C92EEC"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CFE3B6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Jan-34</w:t>
            </w:r>
          </w:p>
        </w:tc>
        <w:tc>
          <w:tcPr>
            <w:tcW w:w="2135" w:type="dxa"/>
            <w:noWrap/>
            <w:hideMark/>
          </w:tcPr>
          <w:p w14:paraId="603A0D1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100.23</w:t>
            </w:r>
          </w:p>
        </w:tc>
        <w:tc>
          <w:tcPr>
            <w:tcW w:w="2135" w:type="dxa"/>
          </w:tcPr>
          <w:p w14:paraId="2E147B4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89.04</w:t>
            </w:r>
          </w:p>
        </w:tc>
      </w:tr>
      <w:tr w:rsidR="004B6132" w:rsidRPr="000B627D" w14:paraId="0937558A"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B1A0A6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Feb-34</w:t>
            </w:r>
          </w:p>
        </w:tc>
        <w:tc>
          <w:tcPr>
            <w:tcW w:w="2135" w:type="dxa"/>
            <w:noWrap/>
            <w:hideMark/>
          </w:tcPr>
          <w:p w14:paraId="110EA04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99.65</w:t>
            </w:r>
          </w:p>
        </w:tc>
        <w:tc>
          <w:tcPr>
            <w:tcW w:w="2135" w:type="dxa"/>
          </w:tcPr>
          <w:p w14:paraId="7927DC3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88.03</w:t>
            </w:r>
          </w:p>
        </w:tc>
      </w:tr>
      <w:tr w:rsidR="004B6132" w:rsidRPr="000B627D" w14:paraId="0DC06724"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AD94DD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Mar-34</w:t>
            </w:r>
          </w:p>
        </w:tc>
        <w:tc>
          <w:tcPr>
            <w:tcW w:w="2135" w:type="dxa"/>
            <w:noWrap/>
            <w:hideMark/>
          </w:tcPr>
          <w:p w14:paraId="6D8C58F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86.29</w:t>
            </w:r>
          </w:p>
        </w:tc>
        <w:tc>
          <w:tcPr>
            <w:tcW w:w="2135" w:type="dxa"/>
          </w:tcPr>
          <w:p w14:paraId="3C3D10F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76.94</w:t>
            </w:r>
          </w:p>
        </w:tc>
      </w:tr>
      <w:tr w:rsidR="004B6132" w:rsidRPr="000B627D" w14:paraId="3520F20A"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941854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Apr-34</w:t>
            </w:r>
          </w:p>
        </w:tc>
        <w:tc>
          <w:tcPr>
            <w:tcW w:w="2135" w:type="dxa"/>
            <w:noWrap/>
            <w:hideMark/>
          </w:tcPr>
          <w:p w14:paraId="51A2CD4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75.47</w:t>
            </w:r>
          </w:p>
        </w:tc>
        <w:tc>
          <w:tcPr>
            <w:tcW w:w="2135" w:type="dxa"/>
          </w:tcPr>
          <w:p w14:paraId="6DAA30D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68.61</w:t>
            </w:r>
          </w:p>
        </w:tc>
      </w:tr>
      <w:tr w:rsidR="004B6132" w:rsidRPr="000B627D" w14:paraId="3A9DA37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BF2313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May-34</w:t>
            </w:r>
          </w:p>
        </w:tc>
        <w:tc>
          <w:tcPr>
            <w:tcW w:w="2135" w:type="dxa"/>
            <w:noWrap/>
            <w:hideMark/>
          </w:tcPr>
          <w:p w14:paraId="2555EA3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75.63</w:t>
            </w:r>
          </w:p>
        </w:tc>
        <w:tc>
          <w:tcPr>
            <w:tcW w:w="2135" w:type="dxa"/>
          </w:tcPr>
          <w:p w14:paraId="6C05EE8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66.54</w:t>
            </w:r>
          </w:p>
        </w:tc>
      </w:tr>
      <w:tr w:rsidR="004B6132" w:rsidRPr="000B627D" w14:paraId="6A313C18"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C95CD7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Jun-34</w:t>
            </w:r>
          </w:p>
        </w:tc>
        <w:tc>
          <w:tcPr>
            <w:tcW w:w="2135" w:type="dxa"/>
            <w:noWrap/>
            <w:hideMark/>
          </w:tcPr>
          <w:p w14:paraId="29F782D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81.92</w:t>
            </w:r>
          </w:p>
        </w:tc>
        <w:tc>
          <w:tcPr>
            <w:tcW w:w="2135" w:type="dxa"/>
          </w:tcPr>
          <w:p w14:paraId="1763C96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67.86</w:t>
            </w:r>
          </w:p>
        </w:tc>
      </w:tr>
      <w:tr w:rsidR="004B6132" w:rsidRPr="000B627D" w14:paraId="6D423D2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DDB44D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Jul-34</w:t>
            </w:r>
          </w:p>
        </w:tc>
        <w:tc>
          <w:tcPr>
            <w:tcW w:w="2135" w:type="dxa"/>
            <w:noWrap/>
            <w:hideMark/>
          </w:tcPr>
          <w:p w14:paraId="5FED3AC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97.27</w:t>
            </w:r>
          </w:p>
        </w:tc>
        <w:tc>
          <w:tcPr>
            <w:tcW w:w="2135" w:type="dxa"/>
          </w:tcPr>
          <w:p w14:paraId="2AF3FD1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72.20</w:t>
            </w:r>
          </w:p>
        </w:tc>
      </w:tr>
      <w:tr w:rsidR="004B6132" w:rsidRPr="000B627D" w14:paraId="23F21D6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131693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Aug-34</w:t>
            </w:r>
          </w:p>
        </w:tc>
        <w:tc>
          <w:tcPr>
            <w:tcW w:w="2135" w:type="dxa"/>
            <w:noWrap/>
            <w:hideMark/>
          </w:tcPr>
          <w:p w14:paraId="7F9E780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86.13</w:t>
            </w:r>
          </w:p>
        </w:tc>
        <w:tc>
          <w:tcPr>
            <w:tcW w:w="2135" w:type="dxa"/>
          </w:tcPr>
          <w:p w14:paraId="7D6EEFC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69.86</w:t>
            </w:r>
          </w:p>
        </w:tc>
      </w:tr>
      <w:tr w:rsidR="004B6132" w:rsidRPr="000B627D" w14:paraId="7A20E2F9"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A5DFBF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Sep-34</w:t>
            </w:r>
          </w:p>
        </w:tc>
        <w:tc>
          <w:tcPr>
            <w:tcW w:w="2135" w:type="dxa"/>
            <w:noWrap/>
            <w:hideMark/>
          </w:tcPr>
          <w:p w14:paraId="2297F18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80.72</w:t>
            </w:r>
          </w:p>
        </w:tc>
        <w:tc>
          <w:tcPr>
            <w:tcW w:w="2135" w:type="dxa"/>
          </w:tcPr>
          <w:p w14:paraId="3A195D6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69.27</w:t>
            </w:r>
          </w:p>
        </w:tc>
      </w:tr>
      <w:tr w:rsidR="004B6132" w:rsidRPr="000B627D" w14:paraId="54C054A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AB0714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Oct-34</w:t>
            </w:r>
          </w:p>
        </w:tc>
        <w:tc>
          <w:tcPr>
            <w:tcW w:w="2135" w:type="dxa"/>
            <w:noWrap/>
            <w:hideMark/>
          </w:tcPr>
          <w:p w14:paraId="3DF59BC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80.37</w:t>
            </w:r>
          </w:p>
        </w:tc>
        <w:tc>
          <w:tcPr>
            <w:tcW w:w="2135" w:type="dxa"/>
          </w:tcPr>
          <w:p w14:paraId="126556D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69.61</w:t>
            </w:r>
          </w:p>
        </w:tc>
      </w:tr>
      <w:tr w:rsidR="004B6132" w:rsidRPr="000B627D" w14:paraId="694E2586"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17BBA5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Nov-34</w:t>
            </w:r>
          </w:p>
        </w:tc>
        <w:tc>
          <w:tcPr>
            <w:tcW w:w="2135" w:type="dxa"/>
            <w:noWrap/>
            <w:hideMark/>
          </w:tcPr>
          <w:p w14:paraId="32A8A69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91.49</w:t>
            </w:r>
          </w:p>
        </w:tc>
        <w:tc>
          <w:tcPr>
            <w:tcW w:w="2135" w:type="dxa"/>
          </w:tcPr>
          <w:p w14:paraId="0B0C135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81.37</w:t>
            </w:r>
          </w:p>
        </w:tc>
      </w:tr>
      <w:tr w:rsidR="004B6132" w:rsidRPr="000B627D" w14:paraId="077FC89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60285B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Dec-34</w:t>
            </w:r>
          </w:p>
        </w:tc>
        <w:tc>
          <w:tcPr>
            <w:tcW w:w="2135" w:type="dxa"/>
            <w:noWrap/>
            <w:hideMark/>
          </w:tcPr>
          <w:p w14:paraId="59D1410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94.80</w:t>
            </w:r>
          </w:p>
        </w:tc>
        <w:tc>
          <w:tcPr>
            <w:tcW w:w="2135" w:type="dxa"/>
          </w:tcPr>
          <w:p w14:paraId="4BB8B18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85.93</w:t>
            </w:r>
          </w:p>
        </w:tc>
      </w:tr>
      <w:tr w:rsidR="004B6132" w:rsidRPr="000B627D" w14:paraId="5C568D19"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C3FDB7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Jan-35</w:t>
            </w:r>
          </w:p>
        </w:tc>
        <w:tc>
          <w:tcPr>
            <w:tcW w:w="2135" w:type="dxa"/>
            <w:noWrap/>
            <w:hideMark/>
          </w:tcPr>
          <w:p w14:paraId="48D3596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105.11</w:t>
            </w:r>
          </w:p>
        </w:tc>
        <w:tc>
          <w:tcPr>
            <w:tcW w:w="2135" w:type="dxa"/>
          </w:tcPr>
          <w:p w14:paraId="6F1A3B0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92.51</w:t>
            </w:r>
          </w:p>
        </w:tc>
      </w:tr>
      <w:tr w:rsidR="004B6132" w:rsidRPr="000B627D" w14:paraId="05711088"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F6FDC1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Feb-35</w:t>
            </w:r>
          </w:p>
        </w:tc>
        <w:tc>
          <w:tcPr>
            <w:tcW w:w="2135" w:type="dxa"/>
            <w:noWrap/>
            <w:hideMark/>
          </w:tcPr>
          <w:p w14:paraId="015C0AD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105.71</w:t>
            </w:r>
          </w:p>
        </w:tc>
        <w:tc>
          <w:tcPr>
            <w:tcW w:w="2135" w:type="dxa"/>
          </w:tcPr>
          <w:p w14:paraId="4317DC7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92.80</w:t>
            </w:r>
          </w:p>
        </w:tc>
      </w:tr>
      <w:tr w:rsidR="004B6132" w:rsidRPr="000B627D" w14:paraId="7BA08C24"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D93EDC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Mar-35</w:t>
            </w:r>
          </w:p>
        </w:tc>
        <w:tc>
          <w:tcPr>
            <w:tcW w:w="2135" w:type="dxa"/>
            <w:noWrap/>
            <w:hideMark/>
          </w:tcPr>
          <w:p w14:paraId="0F16946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89.88</w:t>
            </w:r>
          </w:p>
        </w:tc>
        <w:tc>
          <w:tcPr>
            <w:tcW w:w="2135" w:type="dxa"/>
          </w:tcPr>
          <w:p w14:paraId="7047554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81.04</w:t>
            </w:r>
          </w:p>
        </w:tc>
      </w:tr>
      <w:tr w:rsidR="004B6132" w:rsidRPr="000B627D" w14:paraId="238FCDE4"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92D363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Apr-35</w:t>
            </w:r>
          </w:p>
        </w:tc>
        <w:tc>
          <w:tcPr>
            <w:tcW w:w="2135" w:type="dxa"/>
            <w:noWrap/>
            <w:hideMark/>
          </w:tcPr>
          <w:p w14:paraId="3684CC0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79.14</w:t>
            </w:r>
          </w:p>
        </w:tc>
        <w:tc>
          <w:tcPr>
            <w:tcW w:w="2135" w:type="dxa"/>
          </w:tcPr>
          <w:p w14:paraId="1F949E7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71.71</w:t>
            </w:r>
          </w:p>
        </w:tc>
      </w:tr>
      <w:tr w:rsidR="004B6132" w:rsidRPr="000B627D" w14:paraId="63D087F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EDA601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May-35</w:t>
            </w:r>
          </w:p>
        </w:tc>
        <w:tc>
          <w:tcPr>
            <w:tcW w:w="2135" w:type="dxa"/>
            <w:noWrap/>
            <w:hideMark/>
          </w:tcPr>
          <w:p w14:paraId="7AA46DE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79.18</w:t>
            </w:r>
          </w:p>
        </w:tc>
        <w:tc>
          <w:tcPr>
            <w:tcW w:w="2135" w:type="dxa"/>
          </w:tcPr>
          <w:p w14:paraId="1118145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69.45</w:t>
            </w:r>
          </w:p>
        </w:tc>
      </w:tr>
      <w:tr w:rsidR="004B6132" w:rsidRPr="000B627D" w14:paraId="03361F8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1FE254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Jun-35</w:t>
            </w:r>
          </w:p>
        </w:tc>
        <w:tc>
          <w:tcPr>
            <w:tcW w:w="2135" w:type="dxa"/>
            <w:noWrap/>
            <w:hideMark/>
          </w:tcPr>
          <w:p w14:paraId="1DE9780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84.85</w:t>
            </w:r>
          </w:p>
        </w:tc>
        <w:tc>
          <w:tcPr>
            <w:tcW w:w="2135" w:type="dxa"/>
          </w:tcPr>
          <w:p w14:paraId="20AF615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71.70</w:t>
            </w:r>
          </w:p>
        </w:tc>
      </w:tr>
      <w:tr w:rsidR="004B6132" w:rsidRPr="000B627D" w14:paraId="31BB09A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E6508A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Jul-35</w:t>
            </w:r>
          </w:p>
        </w:tc>
        <w:tc>
          <w:tcPr>
            <w:tcW w:w="2135" w:type="dxa"/>
            <w:noWrap/>
            <w:hideMark/>
          </w:tcPr>
          <w:p w14:paraId="150939B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101.64</w:t>
            </w:r>
          </w:p>
        </w:tc>
        <w:tc>
          <w:tcPr>
            <w:tcW w:w="2135" w:type="dxa"/>
          </w:tcPr>
          <w:p w14:paraId="1DF7426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76.12</w:t>
            </w:r>
          </w:p>
        </w:tc>
      </w:tr>
      <w:tr w:rsidR="004B6132" w:rsidRPr="000B627D" w14:paraId="625ED2D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F6D901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Aug-35</w:t>
            </w:r>
          </w:p>
        </w:tc>
        <w:tc>
          <w:tcPr>
            <w:tcW w:w="2135" w:type="dxa"/>
            <w:noWrap/>
            <w:hideMark/>
          </w:tcPr>
          <w:p w14:paraId="593DFFC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93.18</w:t>
            </w:r>
          </w:p>
        </w:tc>
        <w:tc>
          <w:tcPr>
            <w:tcW w:w="2135" w:type="dxa"/>
          </w:tcPr>
          <w:p w14:paraId="3A8A2FF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73.66</w:t>
            </w:r>
          </w:p>
        </w:tc>
      </w:tr>
      <w:tr w:rsidR="004B6132" w:rsidRPr="000B627D" w14:paraId="6673767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ACAB60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Sep-35</w:t>
            </w:r>
          </w:p>
        </w:tc>
        <w:tc>
          <w:tcPr>
            <w:tcW w:w="2135" w:type="dxa"/>
            <w:noWrap/>
            <w:hideMark/>
          </w:tcPr>
          <w:p w14:paraId="7DB702E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87.00</w:t>
            </w:r>
          </w:p>
        </w:tc>
        <w:tc>
          <w:tcPr>
            <w:tcW w:w="2135" w:type="dxa"/>
          </w:tcPr>
          <w:p w14:paraId="70F79DF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73.90</w:t>
            </w:r>
          </w:p>
        </w:tc>
      </w:tr>
      <w:tr w:rsidR="004B6132" w:rsidRPr="000B627D" w14:paraId="795FC9D1"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695024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Oct-35</w:t>
            </w:r>
          </w:p>
        </w:tc>
        <w:tc>
          <w:tcPr>
            <w:tcW w:w="2135" w:type="dxa"/>
            <w:noWrap/>
            <w:hideMark/>
          </w:tcPr>
          <w:p w14:paraId="4D8472F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84.89</w:t>
            </w:r>
          </w:p>
        </w:tc>
        <w:tc>
          <w:tcPr>
            <w:tcW w:w="2135" w:type="dxa"/>
          </w:tcPr>
          <w:p w14:paraId="6D3A872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72.96</w:t>
            </w:r>
          </w:p>
        </w:tc>
      </w:tr>
      <w:tr w:rsidR="004B6132" w:rsidRPr="000B627D" w14:paraId="701B319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ACE516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Nov-35</w:t>
            </w:r>
          </w:p>
        </w:tc>
        <w:tc>
          <w:tcPr>
            <w:tcW w:w="2135" w:type="dxa"/>
            <w:noWrap/>
            <w:hideMark/>
          </w:tcPr>
          <w:p w14:paraId="0816E89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93.11</w:t>
            </w:r>
          </w:p>
        </w:tc>
        <w:tc>
          <w:tcPr>
            <w:tcW w:w="2135" w:type="dxa"/>
          </w:tcPr>
          <w:p w14:paraId="71E4C30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83.95</w:t>
            </w:r>
          </w:p>
        </w:tc>
      </w:tr>
      <w:tr w:rsidR="004B6132" w:rsidRPr="000B627D" w14:paraId="12F33978"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E4A81D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Dec-35</w:t>
            </w:r>
          </w:p>
        </w:tc>
        <w:tc>
          <w:tcPr>
            <w:tcW w:w="2135" w:type="dxa"/>
            <w:noWrap/>
            <w:hideMark/>
          </w:tcPr>
          <w:p w14:paraId="6B63E50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99.79</w:t>
            </w:r>
          </w:p>
        </w:tc>
        <w:tc>
          <w:tcPr>
            <w:tcW w:w="2135" w:type="dxa"/>
          </w:tcPr>
          <w:p w14:paraId="72571CA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90.17</w:t>
            </w:r>
          </w:p>
        </w:tc>
      </w:tr>
      <w:tr w:rsidR="004B6132" w:rsidRPr="000B627D" w14:paraId="704EE88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7F05B6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Jan-36</w:t>
            </w:r>
          </w:p>
        </w:tc>
        <w:tc>
          <w:tcPr>
            <w:tcW w:w="2135" w:type="dxa"/>
            <w:noWrap/>
            <w:hideMark/>
          </w:tcPr>
          <w:p w14:paraId="7AEE673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109.07</w:t>
            </w:r>
          </w:p>
        </w:tc>
        <w:tc>
          <w:tcPr>
            <w:tcW w:w="2135" w:type="dxa"/>
          </w:tcPr>
          <w:p w14:paraId="26FA6DB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96.92</w:t>
            </w:r>
          </w:p>
        </w:tc>
      </w:tr>
      <w:tr w:rsidR="004B6132" w:rsidRPr="000B627D" w14:paraId="6E106D2B"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E3A887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Feb-36</w:t>
            </w:r>
          </w:p>
        </w:tc>
        <w:tc>
          <w:tcPr>
            <w:tcW w:w="2135" w:type="dxa"/>
            <w:noWrap/>
            <w:hideMark/>
          </w:tcPr>
          <w:p w14:paraId="4691EA6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108.63</w:t>
            </w:r>
          </w:p>
        </w:tc>
        <w:tc>
          <w:tcPr>
            <w:tcW w:w="2135" w:type="dxa"/>
          </w:tcPr>
          <w:p w14:paraId="66DAAC4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95.68</w:t>
            </w:r>
          </w:p>
        </w:tc>
      </w:tr>
      <w:tr w:rsidR="004B6132" w:rsidRPr="000B627D" w14:paraId="0AE08CF3"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739061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Mar-36</w:t>
            </w:r>
          </w:p>
        </w:tc>
        <w:tc>
          <w:tcPr>
            <w:tcW w:w="2135" w:type="dxa"/>
            <w:noWrap/>
            <w:hideMark/>
          </w:tcPr>
          <w:p w14:paraId="31ABFA7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93.59</w:t>
            </w:r>
          </w:p>
        </w:tc>
        <w:tc>
          <w:tcPr>
            <w:tcW w:w="2135" w:type="dxa"/>
          </w:tcPr>
          <w:p w14:paraId="2DB4C46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84.93</w:t>
            </w:r>
          </w:p>
        </w:tc>
      </w:tr>
      <w:tr w:rsidR="004B6132" w:rsidRPr="000B627D" w14:paraId="47999F8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38C09B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Apr-36</w:t>
            </w:r>
          </w:p>
        </w:tc>
        <w:tc>
          <w:tcPr>
            <w:tcW w:w="2135" w:type="dxa"/>
            <w:noWrap/>
            <w:hideMark/>
          </w:tcPr>
          <w:p w14:paraId="0E5D773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83.28</w:t>
            </w:r>
          </w:p>
        </w:tc>
        <w:tc>
          <w:tcPr>
            <w:tcW w:w="2135" w:type="dxa"/>
          </w:tcPr>
          <w:p w14:paraId="32B43D1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74.98</w:t>
            </w:r>
          </w:p>
        </w:tc>
      </w:tr>
      <w:tr w:rsidR="004B6132" w:rsidRPr="000B627D" w14:paraId="740BF9B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B8B0DD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May-36</w:t>
            </w:r>
          </w:p>
        </w:tc>
        <w:tc>
          <w:tcPr>
            <w:tcW w:w="2135" w:type="dxa"/>
            <w:noWrap/>
            <w:hideMark/>
          </w:tcPr>
          <w:p w14:paraId="509F93C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85.02</w:t>
            </w:r>
          </w:p>
        </w:tc>
        <w:tc>
          <w:tcPr>
            <w:tcW w:w="2135" w:type="dxa"/>
          </w:tcPr>
          <w:p w14:paraId="14F41D1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74.87</w:t>
            </w:r>
          </w:p>
        </w:tc>
      </w:tr>
      <w:tr w:rsidR="004B6132" w:rsidRPr="000B627D" w14:paraId="0FDBC4A0"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A784BA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Jun-36</w:t>
            </w:r>
          </w:p>
        </w:tc>
        <w:tc>
          <w:tcPr>
            <w:tcW w:w="2135" w:type="dxa"/>
            <w:noWrap/>
            <w:hideMark/>
          </w:tcPr>
          <w:p w14:paraId="43FA517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89.29</w:t>
            </w:r>
          </w:p>
        </w:tc>
        <w:tc>
          <w:tcPr>
            <w:tcW w:w="2135" w:type="dxa"/>
          </w:tcPr>
          <w:p w14:paraId="7513B38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75.52</w:t>
            </w:r>
          </w:p>
        </w:tc>
      </w:tr>
      <w:tr w:rsidR="004B6132" w:rsidRPr="000B627D" w14:paraId="29E6A32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D12DB9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Jul-36</w:t>
            </w:r>
          </w:p>
        </w:tc>
        <w:tc>
          <w:tcPr>
            <w:tcW w:w="2135" w:type="dxa"/>
            <w:noWrap/>
            <w:hideMark/>
          </w:tcPr>
          <w:p w14:paraId="577FACF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107.04</w:t>
            </w:r>
          </w:p>
        </w:tc>
        <w:tc>
          <w:tcPr>
            <w:tcW w:w="2135" w:type="dxa"/>
          </w:tcPr>
          <w:p w14:paraId="581B49A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79.67</w:t>
            </w:r>
          </w:p>
        </w:tc>
      </w:tr>
      <w:tr w:rsidR="004B6132" w:rsidRPr="000B627D" w14:paraId="0301B10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00CF9B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Aug-36</w:t>
            </w:r>
          </w:p>
        </w:tc>
        <w:tc>
          <w:tcPr>
            <w:tcW w:w="2135" w:type="dxa"/>
            <w:noWrap/>
            <w:hideMark/>
          </w:tcPr>
          <w:p w14:paraId="5CD3A07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95.28</w:t>
            </w:r>
          </w:p>
        </w:tc>
        <w:tc>
          <w:tcPr>
            <w:tcW w:w="2135" w:type="dxa"/>
          </w:tcPr>
          <w:p w14:paraId="3DBFD2A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77.88</w:t>
            </w:r>
          </w:p>
        </w:tc>
      </w:tr>
      <w:tr w:rsidR="004B6132" w:rsidRPr="000B627D" w14:paraId="4ADDC45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2F046C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Sep-36</w:t>
            </w:r>
          </w:p>
        </w:tc>
        <w:tc>
          <w:tcPr>
            <w:tcW w:w="2135" w:type="dxa"/>
            <w:noWrap/>
            <w:hideMark/>
          </w:tcPr>
          <w:p w14:paraId="06D760B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91.05</w:t>
            </w:r>
          </w:p>
        </w:tc>
        <w:tc>
          <w:tcPr>
            <w:tcW w:w="2135" w:type="dxa"/>
          </w:tcPr>
          <w:p w14:paraId="0FA5133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77.42</w:t>
            </w:r>
          </w:p>
        </w:tc>
      </w:tr>
      <w:tr w:rsidR="004B6132" w:rsidRPr="000B627D" w14:paraId="413DF678"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8C24EBE"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lastRenderedPageBreak/>
              <w:t>Oct-36</w:t>
            </w:r>
          </w:p>
        </w:tc>
        <w:tc>
          <w:tcPr>
            <w:tcW w:w="2135" w:type="dxa"/>
            <w:noWrap/>
            <w:hideMark/>
          </w:tcPr>
          <w:p w14:paraId="1153A2A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89.63</w:t>
            </w:r>
          </w:p>
        </w:tc>
        <w:tc>
          <w:tcPr>
            <w:tcW w:w="2135" w:type="dxa"/>
          </w:tcPr>
          <w:p w14:paraId="509362B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77.34</w:t>
            </w:r>
          </w:p>
        </w:tc>
      </w:tr>
      <w:tr w:rsidR="004B6132" w:rsidRPr="000B627D" w14:paraId="4548D482"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1252F1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Nov-36</w:t>
            </w:r>
          </w:p>
        </w:tc>
        <w:tc>
          <w:tcPr>
            <w:tcW w:w="2135" w:type="dxa"/>
            <w:noWrap/>
            <w:hideMark/>
          </w:tcPr>
          <w:p w14:paraId="0A8C428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100.38</w:t>
            </w:r>
          </w:p>
        </w:tc>
        <w:tc>
          <w:tcPr>
            <w:tcW w:w="2135" w:type="dxa"/>
          </w:tcPr>
          <w:p w14:paraId="41DFE45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90.07</w:t>
            </w:r>
          </w:p>
        </w:tc>
      </w:tr>
      <w:tr w:rsidR="004B6132" w:rsidRPr="000B627D" w14:paraId="219A7403"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60D660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Dec-36</w:t>
            </w:r>
          </w:p>
        </w:tc>
        <w:tc>
          <w:tcPr>
            <w:tcW w:w="2135" w:type="dxa"/>
            <w:noWrap/>
            <w:hideMark/>
          </w:tcPr>
          <w:p w14:paraId="1B0FFC7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106.41</w:t>
            </w:r>
          </w:p>
        </w:tc>
        <w:tc>
          <w:tcPr>
            <w:tcW w:w="2135" w:type="dxa"/>
          </w:tcPr>
          <w:p w14:paraId="4F55974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96.34</w:t>
            </w:r>
          </w:p>
        </w:tc>
      </w:tr>
      <w:tr w:rsidR="004B6132" w:rsidRPr="000B627D" w14:paraId="429C967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D61676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Jan-37</w:t>
            </w:r>
          </w:p>
        </w:tc>
        <w:tc>
          <w:tcPr>
            <w:tcW w:w="2135" w:type="dxa"/>
            <w:noWrap/>
            <w:hideMark/>
          </w:tcPr>
          <w:p w14:paraId="5CC91C8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117.06</w:t>
            </w:r>
          </w:p>
        </w:tc>
        <w:tc>
          <w:tcPr>
            <w:tcW w:w="2135" w:type="dxa"/>
          </w:tcPr>
          <w:p w14:paraId="2A5965A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105.71</w:t>
            </w:r>
          </w:p>
        </w:tc>
      </w:tr>
      <w:tr w:rsidR="0087442D" w:rsidRPr="0087442D" w14:paraId="7FCBBD33" w14:textId="77777777" w:rsidTr="007129AF">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shd w:val="clear" w:color="auto" w:fill="A6A6A6" w:themeFill="background1" w:themeFillShade="A6"/>
            <w:noWrap/>
          </w:tcPr>
          <w:p w14:paraId="2797205E" w14:textId="77777777" w:rsidR="0087442D" w:rsidRPr="0087442D" w:rsidRDefault="0087442D" w:rsidP="007129AF">
            <w:pPr>
              <w:spacing w:after="0" w:line="240" w:lineRule="auto"/>
              <w:jc w:val="center"/>
              <w:rPr>
                <w:rFonts w:ascii="Century Gothic" w:eastAsia="Times New Roman" w:hAnsi="Century Gothic" w:cs="Times New Roman"/>
                <w:color w:val="000000"/>
                <w:sz w:val="20"/>
                <w:szCs w:val="18"/>
              </w:rPr>
            </w:pPr>
            <w:r w:rsidRPr="0087442D">
              <w:rPr>
                <w:rFonts w:ascii="Century Gothic" w:eastAsia="Times New Roman" w:hAnsi="Century Gothic" w:cs="Times New Roman"/>
                <w:color w:val="000000"/>
                <w:sz w:val="20"/>
                <w:szCs w:val="18"/>
              </w:rPr>
              <w:t>Month</w:t>
            </w:r>
          </w:p>
        </w:tc>
        <w:tc>
          <w:tcPr>
            <w:tcW w:w="2135" w:type="dxa"/>
            <w:shd w:val="clear" w:color="auto" w:fill="A6A6A6" w:themeFill="background1" w:themeFillShade="A6"/>
            <w:noWrap/>
          </w:tcPr>
          <w:p w14:paraId="6BC18D83" w14:textId="77777777" w:rsidR="0087442D" w:rsidRPr="0087442D" w:rsidRDefault="0087442D" w:rsidP="007129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On-Peak SEMA LMP</w:t>
            </w:r>
            <w:r w:rsidRPr="0087442D">
              <w:rPr>
                <w:rFonts w:ascii="Century Gothic" w:eastAsia="Times New Roman" w:hAnsi="Century Gothic" w:cs="Times New Roman"/>
                <w:b/>
                <w:color w:val="000000"/>
                <w:sz w:val="20"/>
                <w:szCs w:val="18"/>
              </w:rPr>
              <w:br/>
              <w:t>($/MWh)</w:t>
            </w:r>
          </w:p>
        </w:tc>
        <w:tc>
          <w:tcPr>
            <w:tcW w:w="2135" w:type="dxa"/>
            <w:shd w:val="clear" w:color="auto" w:fill="A6A6A6" w:themeFill="background1" w:themeFillShade="A6"/>
          </w:tcPr>
          <w:p w14:paraId="7B5ED2D9" w14:textId="77777777" w:rsidR="0087442D" w:rsidRPr="0087442D" w:rsidRDefault="0087442D" w:rsidP="007129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Off-Peak SEMA LMP</w:t>
            </w:r>
            <w:r w:rsidRPr="0087442D">
              <w:rPr>
                <w:rFonts w:ascii="Century Gothic" w:eastAsia="Times New Roman" w:hAnsi="Century Gothic" w:cs="Times New Roman"/>
                <w:b/>
                <w:color w:val="000000"/>
                <w:sz w:val="20"/>
                <w:szCs w:val="18"/>
              </w:rPr>
              <w:br/>
              <w:t>($/MWh)</w:t>
            </w:r>
          </w:p>
        </w:tc>
      </w:tr>
      <w:tr w:rsidR="004B6132" w:rsidRPr="000B627D" w14:paraId="4D0119B2"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C466B2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Feb-37</w:t>
            </w:r>
          </w:p>
        </w:tc>
        <w:tc>
          <w:tcPr>
            <w:tcW w:w="2135" w:type="dxa"/>
            <w:noWrap/>
            <w:hideMark/>
          </w:tcPr>
          <w:p w14:paraId="0489183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115.90</w:t>
            </w:r>
          </w:p>
        </w:tc>
        <w:tc>
          <w:tcPr>
            <w:tcW w:w="2135" w:type="dxa"/>
          </w:tcPr>
          <w:p w14:paraId="1A731BE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103.09</w:t>
            </w:r>
          </w:p>
        </w:tc>
      </w:tr>
      <w:tr w:rsidR="004B6132" w:rsidRPr="000B627D" w14:paraId="4A73D875"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E4399C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Mar-37</w:t>
            </w:r>
          </w:p>
        </w:tc>
        <w:tc>
          <w:tcPr>
            <w:tcW w:w="2135" w:type="dxa"/>
            <w:noWrap/>
            <w:hideMark/>
          </w:tcPr>
          <w:p w14:paraId="426F588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101.01</w:t>
            </w:r>
          </w:p>
        </w:tc>
        <w:tc>
          <w:tcPr>
            <w:tcW w:w="2135" w:type="dxa"/>
          </w:tcPr>
          <w:p w14:paraId="44A35EA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91.25</w:t>
            </w:r>
          </w:p>
        </w:tc>
      </w:tr>
      <w:tr w:rsidR="004B6132" w:rsidRPr="000B627D" w14:paraId="7D9034C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943D08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Apr-37</w:t>
            </w:r>
          </w:p>
        </w:tc>
        <w:tc>
          <w:tcPr>
            <w:tcW w:w="2135" w:type="dxa"/>
            <w:noWrap/>
            <w:hideMark/>
          </w:tcPr>
          <w:p w14:paraId="19A3A49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89.06</w:t>
            </w:r>
          </w:p>
        </w:tc>
        <w:tc>
          <w:tcPr>
            <w:tcW w:w="2135" w:type="dxa"/>
          </w:tcPr>
          <w:p w14:paraId="35EDC44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81.08</w:t>
            </w:r>
          </w:p>
        </w:tc>
      </w:tr>
      <w:tr w:rsidR="004B6132" w:rsidRPr="000B627D" w14:paraId="77DCC1B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044C33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May-37</w:t>
            </w:r>
          </w:p>
        </w:tc>
        <w:tc>
          <w:tcPr>
            <w:tcW w:w="2135" w:type="dxa"/>
            <w:noWrap/>
            <w:hideMark/>
          </w:tcPr>
          <w:p w14:paraId="09017BB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88.56</w:t>
            </w:r>
          </w:p>
        </w:tc>
        <w:tc>
          <w:tcPr>
            <w:tcW w:w="2135" w:type="dxa"/>
          </w:tcPr>
          <w:p w14:paraId="18F4869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78.61</w:t>
            </w:r>
          </w:p>
        </w:tc>
      </w:tr>
      <w:tr w:rsidR="004B6132" w:rsidRPr="000B627D" w14:paraId="0DA9ED7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AFFBE4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Jun-37</w:t>
            </w:r>
          </w:p>
        </w:tc>
        <w:tc>
          <w:tcPr>
            <w:tcW w:w="2135" w:type="dxa"/>
            <w:noWrap/>
            <w:hideMark/>
          </w:tcPr>
          <w:p w14:paraId="70328F5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93.97</w:t>
            </w:r>
          </w:p>
        </w:tc>
        <w:tc>
          <w:tcPr>
            <w:tcW w:w="2135" w:type="dxa"/>
          </w:tcPr>
          <w:p w14:paraId="5EB2D53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79.56</w:t>
            </w:r>
          </w:p>
        </w:tc>
      </w:tr>
      <w:tr w:rsidR="004B6132" w:rsidRPr="000B627D" w14:paraId="69C0A5C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B07528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Jul-37</w:t>
            </w:r>
          </w:p>
        </w:tc>
        <w:tc>
          <w:tcPr>
            <w:tcW w:w="2135" w:type="dxa"/>
            <w:noWrap/>
            <w:hideMark/>
          </w:tcPr>
          <w:p w14:paraId="72F5171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109.47</w:t>
            </w:r>
          </w:p>
        </w:tc>
        <w:tc>
          <w:tcPr>
            <w:tcW w:w="2135" w:type="dxa"/>
          </w:tcPr>
          <w:p w14:paraId="3F84EE8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83.13</w:t>
            </w:r>
          </w:p>
        </w:tc>
      </w:tr>
      <w:tr w:rsidR="004B6132" w:rsidRPr="000B627D" w14:paraId="483E5088"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EA5E97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Aug-37</w:t>
            </w:r>
          </w:p>
        </w:tc>
        <w:tc>
          <w:tcPr>
            <w:tcW w:w="2135" w:type="dxa"/>
            <w:noWrap/>
            <w:hideMark/>
          </w:tcPr>
          <w:p w14:paraId="5DF9557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98.08</w:t>
            </w:r>
          </w:p>
        </w:tc>
        <w:tc>
          <w:tcPr>
            <w:tcW w:w="2135" w:type="dxa"/>
          </w:tcPr>
          <w:p w14:paraId="41507FA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81.67</w:t>
            </w:r>
          </w:p>
        </w:tc>
      </w:tr>
      <w:tr w:rsidR="004B6132" w:rsidRPr="000B627D" w14:paraId="0D7F5129"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9A45EF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Sep-37</w:t>
            </w:r>
          </w:p>
        </w:tc>
        <w:tc>
          <w:tcPr>
            <w:tcW w:w="2135" w:type="dxa"/>
            <w:noWrap/>
            <w:hideMark/>
          </w:tcPr>
          <w:p w14:paraId="51DB7F8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94.01</w:t>
            </w:r>
          </w:p>
        </w:tc>
        <w:tc>
          <w:tcPr>
            <w:tcW w:w="2135" w:type="dxa"/>
          </w:tcPr>
          <w:p w14:paraId="6CB8ED9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81.56</w:t>
            </w:r>
          </w:p>
        </w:tc>
      </w:tr>
      <w:tr w:rsidR="004B6132" w:rsidRPr="000B627D" w14:paraId="7E89C18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859584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Oct-37</w:t>
            </w:r>
          </w:p>
        </w:tc>
        <w:tc>
          <w:tcPr>
            <w:tcW w:w="2135" w:type="dxa"/>
            <w:noWrap/>
            <w:hideMark/>
          </w:tcPr>
          <w:p w14:paraId="469B7E9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95.65</w:t>
            </w:r>
          </w:p>
        </w:tc>
        <w:tc>
          <w:tcPr>
            <w:tcW w:w="2135" w:type="dxa"/>
          </w:tcPr>
          <w:p w14:paraId="565463E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82.74</w:t>
            </w:r>
          </w:p>
        </w:tc>
      </w:tr>
      <w:tr w:rsidR="004B6132" w:rsidRPr="000B627D" w14:paraId="2DDFD1B7"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5D32B3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Nov-37</w:t>
            </w:r>
          </w:p>
        </w:tc>
        <w:tc>
          <w:tcPr>
            <w:tcW w:w="2135" w:type="dxa"/>
            <w:noWrap/>
            <w:hideMark/>
          </w:tcPr>
          <w:p w14:paraId="112ECE7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106.90</w:t>
            </w:r>
          </w:p>
        </w:tc>
        <w:tc>
          <w:tcPr>
            <w:tcW w:w="2135" w:type="dxa"/>
          </w:tcPr>
          <w:p w14:paraId="4BB3055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94.64</w:t>
            </w:r>
          </w:p>
        </w:tc>
      </w:tr>
      <w:tr w:rsidR="004B6132" w:rsidRPr="000B627D" w14:paraId="1B72A30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E7D126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Dec-37</w:t>
            </w:r>
          </w:p>
        </w:tc>
        <w:tc>
          <w:tcPr>
            <w:tcW w:w="2135" w:type="dxa"/>
            <w:noWrap/>
            <w:hideMark/>
          </w:tcPr>
          <w:p w14:paraId="1F38BB3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111.41</w:t>
            </w:r>
          </w:p>
        </w:tc>
        <w:tc>
          <w:tcPr>
            <w:tcW w:w="2135" w:type="dxa"/>
          </w:tcPr>
          <w:p w14:paraId="5E73CC5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101.11</w:t>
            </w:r>
          </w:p>
        </w:tc>
      </w:tr>
      <w:tr w:rsidR="004B6132" w:rsidRPr="000B627D" w14:paraId="38906AD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7E6498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Jan-38</w:t>
            </w:r>
          </w:p>
        </w:tc>
        <w:tc>
          <w:tcPr>
            <w:tcW w:w="2135" w:type="dxa"/>
            <w:noWrap/>
            <w:hideMark/>
          </w:tcPr>
          <w:p w14:paraId="78A0443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123.71</w:t>
            </w:r>
          </w:p>
        </w:tc>
        <w:tc>
          <w:tcPr>
            <w:tcW w:w="2135" w:type="dxa"/>
          </w:tcPr>
          <w:p w14:paraId="3764FED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111.74</w:t>
            </w:r>
          </w:p>
        </w:tc>
      </w:tr>
      <w:tr w:rsidR="004B6132" w:rsidRPr="000B627D" w14:paraId="04B9A5C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760C9C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Feb-38</w:t>
            </w:r>
          </w:p>
        </w:tc>
        <w:tc>
          <w:tcPr>
            <w:tcW w:w="2135" w:type="dxa"/>
            <w:noWrap/>
            <w:hideMark/>
          </w:tcPr>
          <w:p w14:paraId="772985D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120.94</w:t>
            </w:r>
          </w:p>
        </w:tc>
        <w:tc>
          <w:tcPr>
            <w:tcW w:w="2135" w:type="dxa"/>
          </w:tcPr>
          <w:p w14:paraId="0EFFC1C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108.02</w:t>
            </w:r>
          </w:p>
        </w:tc>
      </w:tr>
      <w:tr w:rsidR="004B6132" w:rsidRPr="000B627D" w14:paraId="68A11B4A"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1192C1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Mar-38</w:t>
            </w:r>
          </w:p>
        </w:tc>
        <w:tc>
          <w:tcPr>
            <w:tcW w:w="2135" w:type="dxa"/>
            <w:noWrap/>
            <w:hideMark/>
          </w:tcPr>
          <w:p w14:paraId="1DBC562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104.83</w:t>
            </w:r>
          </w:p>
        </w:tc>
        <w:tc>
          <w:tcPr>
            <w:tcW w:w="2135" w:type="dxa"/>
          </w:tcPr>
          <w:p w14:paraId="5D42D98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95.00</w:t>
            </w:r>
          </w:p>
        </w:tc>
      </w:tr>
      <w:tr w:rsidR="004B6132" w:rsidRPr="000B627D" w14:paraId="4821423B"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7A0C5A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Apr-38</w:t>
            </w:r>
          </w:p>
        </w:tc>
        <w:tc>
          <w:tcPr>
            <w:tcW w:w="2135" w:type="dxa"/>
            <w:noWrap/>
            <w:hideMark/>
          </w:tcPr>
          <w:p w14:paraId="3DCB03A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91.13</w:t>
            </w:r>
          </w:p>
        </w:tc>
        <w:tc>
          <w:tcPr>
            <w:tcW w:w="2135" w:type="dxa"/>
          </w:tcPr>
          <w:p w14:paraId="3058577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83.19</w:t>
            </w:r>
          </w:p>
        </w:tc>
      </w:tr>
      <w:tr w:rsidR="004B6132" w:rsidRPr="000B627D" w14:paraId="3CA05B82"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EF6B9E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May-38</w:t>
            </w:r>
          </w:p>
        </w:tc>
        <w:tc>
          <w:tcPr>
            <w:tcW w:w="2135" w:type="dxa"/>
            <w:noWrap/>
            <w:hideMark/>
          </w:tcPr>
          <w:p w14:paraId="1A45F4E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93.71</w:t>
            </w:r>
          </w:p>
        </w:tc>
        <w:tc>
          <w:tcPr>
            <w:tcW w:w="2135" w:type="dxa"/>
          </w:tcPr>
          <w:p w14:paraId="08D05D8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82.53</w:t>
            </w:r>
          </w:p>
        </w:tc>
      </w:tr>
      <w:tr w:rsidR="004B6132" w:rsidRPr="000B627D" w14:paraId="28FA6C07"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EE359C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Jun-38</w:t>
            </w:r>
          </w:p>
        </w:tc>
        <w:tc>
          <w:tcPr>
            <w:tcW w:w="2135" w:type="dxa"/>
            <w:noWrap/>
            <w:hideMark/>
          </w:tcPr>
          <w:p w14:paraId="22F8E39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99.88</w:t>
            </w:r>
          </w:p>
        </w:tc>
        <w:tc>
          <w:tcPr>
            <w:tcW w:w="2135" w:type="dxa"/>
          </w:tcPr>
          <w:p w14:paraId="413F004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84.96</w:t>
            </w:r>
          </w:p>
        </w:tc>
      </w:tr>
      <w:tr w:rsidR="004B6132" w:rsidRPr="000B627D" w14:paraId="7CFB5A3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A0EFFE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Jul-38</w:t>
            </w:r>
          </w:p>
        </w:tc>
        <w:tc>
          <w:tcPr>
            <w:tcW w:w="2135" w:type="dxa"/>
            <w:noWrap/>
            <w:hideMark/>
          </w:tcPr>
          <w:p w14:paraId="1C7C96C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115.11</w:t>
            </w:r>
          </w:p>
        </w:tc>
        <w:tc>
          <w:tcPr>
            <w:tcW w:w="2135" w:type="dxa"/>
          </w:tcPr>
          <w:p w14:paraId="72B0A01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89.58</w:t>
            </w:r>
          </w:p>
        </w:tc>
      </w:tr>
      <w:tr w:rsidR="004B6132" w:rsidRPr="000B627D" w14:paraId="69E5EEB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1C1D0F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Aug-38</w:t>
            </w:r>
          </w:p>
        </w:tc>
        <w:tc>
          <w:tcPr>
            <w:tcW w:w="2135" w:type="dxa"/>
            <w:noWrap/>
            <w:hideMark/>
          </w:tcPr>
          <w:p w14:paraId="137A88D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105.13</w:t>
            </w:r>
          </w:p>
        </w:tc>
        <w:tc>
          <w:tcPr>
            <w:tcW w:w="2135" w:type="dxa"/>
          </w:tcPr>
          <w:p w14:paraId="5EE09CA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86.99</w:t>
            </w:r>
          </w:p>
        </w:tc>
      </w:tr>
      <w:tr w:rsidR="004B6132" w:rsidRPr="000B627D" w14:paraId="522993BA"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503794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Sep-38</w:t>
            </w:r>
          </w:p>
        </w:tc>
        <w:tc>
          <w:tcPr>
            <w:tcW w:w="2135" w:type="dxa"/>
            <w:noWrap/>
            <w:hideMark/>
          </w:tcPr>
          <w:p w14:paraId="614FBB3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100.79</w:t>
            </w:r>
          </w:p>
        </w:tc>
        <w:tc>
          <w:tcPr>
            <w:tcW w:w="2135" w:type="dxa"/>
          </w:tcPr>
          <w:p w14:paraId="4ACDBF1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87.24</w:t>
            </w:r>
          </w:p>
        </w:tc>
      </w:tr>
      <w:tr w:rsidR="004B6132" w:rsidRPr="000B627D" w14:paraId="398E5FF5"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015186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Oct-38</w:t>
            </w:r>
          </w:p>
        </w:tc>
        <w:tc>
          <w:tcPr>
            <w:tcW w:w="2135" w:type="dxa"/>
            <w:noWrap/>
            <w:hideMark/>
          </w:tcPr>
          <w:p w14:paraId="64559BA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100.79</w:t>
            </w:r>
          </w:p>
        </w:tc>
        <w:tc>
          <w:tcPr>
            <w:tcW w:w="2135" w:type="dxa"/>
          </w:tcPr>
          <w:p w14:paraId="4341420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88.30</w:t>
            </w:r>
          </w:p>
        </w:tc>
      </w:tr>
      <w:tr w:rsidR="004B6132" w:rsidRPr="000B627D" w14:paraId="269EF640"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603FEF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Nov-38</w:t>
            </w:r>
          </w:p>
        </w:tc>
        <w:tc>
          <w:tcPr>
            <w:tcW w:w="2135" w:type="dxa"/>
            <w:noWrap/>
            <w:hideMark/>
          </w:tcPr>
          <w:p w14:paraId="02581B3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110.34</w:t>
            </w:r>
          </w:p>
        </w:tc>
        <w:tc>
          <w:tcPr>
            <w:tcW w:w="2135" w:type="dxa"/>
          </w:tcPr>
          <w:p w14:paraId="091931F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98.16</w:t>
            </w:r>
          </w:p>
        </w:tc>
      </w:tr>
      <w:tr w:rsidR="004B6132" w:rsidRPr="000B627D" w14:paraId="2234E1F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B59C91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Dec-38</w:t>
            </w:r>
          </w:p>
        </w:tc>
        <w:tc>
          <w:tcPr>
            <w:tcW w:w="2135" w:type="dxa"/>
            <w:noWrap/>
            <w:hideMark/>
          </w:tcPr>
          <w:p w14:paraId="7E84256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115.40</w:t>
            </w:r>
          </w:p>
        </w:tc>
        <w:tc>
          <w:tcPr>
            <w:tcW w:w="2135" w:type="dxa"/>
          </w:tcPr>
          <w:p w14:paraId="2E9B987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104.79</w:t>
            </w:r>
          </w:p>
        </w:tc>
      </w:tr>
      <w:tr w:rsidR="004B6132" w:rsidRPr="000B627D" w14:paraId="2F03FD4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1CDF80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Jan-39</w:t>
            </w:r>
          </w:p>
        </w:tc>
        <w:tc>
          <w:tcPr>
            <w:tcW w:w="2135" w:type="dxa"/>
            <w:noWrap/>
            <w:hideMark/>
          </w:tcPr>
          <w:p w14:paraId="35B0237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130.40</w:t>
            </w:r>
          </w:p>
        </w:tc>
        <w:tc>
          <w:tcPr>
            <w:tcW w:w="2135" w:type="dxa"/>
          </w:tcPr>
          <w:p w14:paraId="414C812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116.65</w:t>
            </w:r>
          </w:p>
        </w:tc>
      </w:tr>
      <w:tr w:rsidR="004B6132" w:rsidRPr="000B627D" w14:paraId="1EDC3C7F"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719530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Feb-39</w:t>
            </w:r>
          </w:p>
        </w:tc>
        <w:tc>
          <w:tcPr>
            <w:tcW w:w="2135" w:type="dxa"/>
            <w:noWrap/>
            <w:hideMark/>
          </w:tcPr>
          <w:p w14:paraId="31932E8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126.71</w:t>
            </w:r>
          </w:p>
        </w:tc>
        <w:tc>
          <w:tcPr>
            <w:tcW w:w="2135" w:type="dxa"/>
          </w:tcPr>
          <w:p w14:paraId="766BC11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113.72</w:t>
            </w:r>
          </w:p>
        </w:tc>
      </w:tr>
      <w:tr w:rsidR="004B6132" w:rsidRPr="000B627D" w14:paraId="0F19224C"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209883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Mar-39</w:t>
            </w:r>
          </w:p>
        </w:tc>
        <w:tc>
          <w:tcPr>
            <w:tcW w:w="2135" w:type="dxa"/>
            <w:noWrap/>
            <w:hideMark/>
          </w:tcPr>
          <w:p w14:paraId="42BB62A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109.52</w:t>
            </w:r>
          </w:p>
        </w:tc>
        <w:tc>
          <w:tcPr>
            <w:tcW w:w="2135" w:type="dxa"/>
          </w:tcPr>
          <w:p w14:paraId="29C53F4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98.48</w:t>
            </w:r>
          </w:p>
        </w:tc>
      </w:tr>
      <w:tr w:rsidR="004B6132" w:rsidRPr="000B627D" w14:paraId="34716DF4"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245641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Apr-39</w:t>
            </w:r>
          </w:p>
        </w:tc>
        <w:tc>
          <w:tcPr>
            <w:tcW w:w="2135" w:type="dxa"/>
            <w:noWrap/>
            <w:hideMark/>
          </w:tcPr>
          <w:p w14:paraId="4B1EE10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96.07</w:t>
            </w:r>
          </w:p>
        </w:tc>
        <w:tc>
          <w:tcPr>
            <w:tcW w:w="2135" w:type="dxa"/>
          </w:tcPr>
          <w:p w14:paraId="7AAC060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87.27</w:t>
            </w:r>
          </w:p>
        </w:tc>
      </w:tr>
      <w:tr w:rsidR="004B6132" w:rsidRPr="000B627D" w14:paraId="62427275"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E93F0E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May-39</w:t>
            </w:r>
          </w:p>
        </w:tc>
        <w:tc>
          <w:tcPr>
            <w:tcW w:w="2135" w:type="dxa"/>
            <w:noWrap/>
            <w:hideMark/>
          </w:tcPr>
          <w:p w14:paraId="0C8D776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100.99</w:t>
            </w:r>
          </w:p>
        </w:tc>
        <w:tc>
          <w:tcPr>
            <w:tcW w:w="2135" w:type="dxa"/>
          </w:tcPr>
          <w:p w14:paraId="2A2B82B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88.69</w:t>
            </w:r>
          </w:p>
        </w:tc>
      </w:tr>
      <w:tr w:rsidR="004B6132" w:rsidRPr="000B627D" w14:paraId="33446C61"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A2DD36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Jun-39</w:t>
            </w:r>
          </w:p>
        </w:tc>
        <w:tc>
          <w:tcPr>
            <w:tcW w:w="2135" w:type="dxa"/>
            <w:noWrap/>
            <w:hideMark/>
          </w:tcPr>
          <w:p w14:paraId="3B13517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106.63</w:t>
            </w:r>
          </w:p>
        </w:tc>
        <w:tc>
          <w:tcPr>
            <w:tcW w:w="2135" w:type="dxa"/>
          </w:tcPr>
          <w:p w14:paraId="6F29D7B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90.89</w:t>
            </w:r>
          </w:p>
        </w:tc>
      </w:tr>
      <w:tr w:rsidR="004B6132" w:rsidRPr="000B627D" w14:paraId="4C1B37CD"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2FE9F6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Jul-39</w:t>
            </w:r>
          </w:p>
        </w:tc>
        <w:tc>
          <w:tcPr>
            <w:tcW w:w="2135" w:type="dxa"/>
            <w:noWrap/>
            <w:hideMark/>
          </w:tcPr>
          <w:p w14:paraId="5D35136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123.98</w:t>
            </w:r>
          </w:p>
        </w:tc>
        <w:tc>
          <w:tcPr>
            <w:tcW w:w="2135" w:type="dxa"/>
          </w:tcPr>
          <w:p w14:paraId="5836DF2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95.87</w:t>
            </w:r>
          </w:p>
        </w:tc>
      </w:tr>
      <w:tr w:rsidR="004B6132" w:rsidRPr="000B627D" w14:paraId="762919BC"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B38978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Aug-39</w:t>
            </w:r>
          </w:p>
        </w:tc>
        <w:tc>
          <w:tcPr>
            <w:tcW w:w="2135" w:type="dxa"/>
            <w:noWrap/>
            <w:hideMark/>
          </w:tcPr>
          <w:p w14:paraId="5518F62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110.20</w:t>
            </w:r>
          </w:p>
        </w:tc>
        <w:tc>
          <w:tcPr>
            <w:tcW w:w="2135" w:type="dxa"/>
          </w:tcPr>
          <w:p w14:paraId="39A7D1D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92.33</w:t>
            </w:r>
          </w:p>
        </w:tc>
      </w:tr>
      <w:tr w:rsidR="004B6132" w:rsidRPr="000B627D" w14:paraId="3FC9BC67"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1CD473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Sep-39</w:t>
            </w:r>
          </w:p>
        </w:tc>
        <w:tc>
          <w:tcPr>
            <w:tcW w:w="2135" w:type="dxa"/>
            <w:noWrap/>
            <w:hideMark/>
          </w:tcPr>
          <w:p w14:paraId="5B31136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105.73</w:t>
            </w:r>
          </w:p>
        </w:tc>
        <w:tc>
          <w:tcPr>
            <w:tcW w:w="2135" w:type="dxa"/>
          </w:tcPr>
          <w:p w14:paraId="04C2C9F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91.93</w:t>
            </w:r>
          </w:p>
        </w:tc>
      </w:tr>
      <w:tr w:rsidR="004B6132" w:rsidRPr="000B627D" w14:paraId="7AB9235D"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94D887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Oct-39</w:t>
            </w:r>
          </w:p>
        </w:tc>
        <w:tc>
          <w:tcPr>
            <w:tcW w:w="2135" w:type="dxa"/>
            <w:noWrap/>
            <w:hideMark/>
          </w:tcPr>
          <w:p w14:paraId="6E784CC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104.92</w:t>
            </w:r>
          </w:p>
        </w:tc>
        <w:tc>
          <w:tcPr>
            <w:tcW w:w="2135" w:type="dxa"/>
          </w:tcPr>
          <w:p w14:paraId="1825BC6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92.31</w:t>
            </w:r>
          </w:p>
        </w:tc>
      </w:tr>
      <w:tr w:rsidR="004B6132" w:rsidRPr="000B627D" w14:paraId="77B2CA7C"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B8E9B3A"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Nov-39</w:t>
            </w:r>
          </w:p>
        </w:tc>
        <w:tc>
          <w:tcPr>
            <w:tcW w:w="2135" w:type="dxa"/>
            <w:noWrap/>
            <w:hideMark/>
          </w:tcPr>
          <w:p w14:paraId="18E5BE0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117.57</w:t>
            </w:r>
          </w:p>
        </w:tc>
        <w:tc>
          <w:tcPr>
            <w:tcW w:w="2135" w:type="dxa"/>
          </w:tcPr>
          <w:p w14:paraId="40B8416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104.50</w:t>
            </w:r>
          </w:p>
        </w:tc>
      </w:tr>
      <w:tr w:rsidR="004B6132" w:rsidRPr="000B627D" w14:paraId="6338668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10EF9B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Dec-39</w:t>
            </w:r>
          </w:p>
        </w:tc>
        <w:tc>
          <w:tcPr>
            <w:tcW w:w="2135" w:type="dxa"/>
            <w:noWrap/>
            <w:hideMark/>
          </w:tcPr>
          <w:p w14:paraId="568EFFA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122.58</w:t>
            </w:r>
          </w:p>
        </w:tc>
        <w:tc>
          <w:tcPr>
            <w:tcW w:w="2135" w:type="dxa"/>
          </w:tcPr>
          <w:p w14:paraId="46F2948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112.02</w:t>
            </w:r>
          </w:p>
        </w:tc>
      </w:tr>
      <w:tr w:rsidR="004B6132" w:rsidRPr="000B627D" w14:paraId="3B7C801E"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5C2AD2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lastRenderedPageBreak/>
              <w:t>Jan-40</w:t>
            </w:r>
          </w:p>
        </w:tc>
        <w:tc>
          <w:tcPr>
            <w:tcW w:w="2135" w:type="dxa"/>
            <w:noWrap/>
            <w:hideMark/>
          </w:tcPr>
          <w:p w14:paraId="18787B2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136.99</w:t>
            </w:r>
          </w:p>
        </w:tc>
        <w:tc>
          <w:tcPr>
            <w:tcW w:w="2135" w:type="dxa"/>
          </w:tcPr>
          <w:p w14:paraId="6119F29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122.63</w:t>
            </w:r>
          </w:p>
        </w:tc>
      </w:tr>
      <w:tr w:rsidR="004B6132" w:rsidRPr="000B627D" w14:paraId="569A0B12"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24BE30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Feb-40</w:t>
            </w:r>
          </w:p>
        </w:tc>
        <w:tc>
          <w:tcPr>
            <w:tcW w:w="2135" w:type="dxa"/>
            <w:noWrap/>
            <w:hideMark/>
          </w:tcPr>
          <w:p w14:paraId="24506A9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131.52</w:t>
            </w:r>
          </w:p>
        </w:tc>
        <w:tc>
          <w:tcPr>
            <w:tcW w:w="2135" w:type="dxa"/>
          </w:tcPr>
          <w:p w14:paraId="3C16ED4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117.95</w:t>
            </w:r>
          </w:p>
        </w:tc>
      </w:tr>
      <w:tr w:rsidR="004B6132" w:rsidRPr="000B627D" w14:paraId="30F1B23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EA78D8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Mar-40</w:t>
            </w:r>
          </w:p>
        </w:tc>
        <w:tc>
          <w:tcPr>
            <w:tcW w:w="2135" w:type="dxa"/>
            <w:noWrap/>
            <w:hideMark/>
          </w:tcPr>
          <w:p w14:paraId="2CEE362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117.86</w:t>
            </w:r>
          </w:p>
        </w:tc>
        <w:tc>
          <w:tcPr>
            <w:tcW w:w="2135" w:type="dxa"/>
          </w:tcPr>
          <w:p w14:paraId="49A097F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106.23</w:t>
            </w:r>
          </w:p>
        </w:tc>
      </w:tr>
      <w:tr w:rsidR="004B6132" w:rsidRPr="000B627D" w14:paraId="245E651E"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34FEF7B"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Apr-40</w:t>
            </w:r>
          </w:p>
        </w:tc>
        <w:tc>
          <w:tcPr>
            <w:tcW w:w="2135" w:type="dxa"/>
            <w:noWrap/>
            <w:hideMark/>
          </w:tcPr>
          <w:p w14:paraId="6CA31E4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106.89</w:t>
            </w:r>
          </w:p>
        </w:tc>
        <w:tc>
          <w:tcPr>
            <w:tcW w:w="2135" w:type="dxa"/>
          </w:tcPr>
          <w:p w14:paraId="48CE109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95.22</w:t>
            </w:r>
          </w:p>
        </w:tc>
      </w:tr>
      <w:tr w:rsidR="004B6132" w:rsidRPr="000B627D" w14:paraId="335C356B"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459EC9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May-40</w:t>
            </w:r>
          </w:p>
        </w:tc>
        <w:tc>
          <w:tcPr>
            <w:tcW w:w="2135" w:type="dxa"/>
            <w:noWrap/>
            <w:hideMark/>
          </w:tcPr>
          <w:p w14:paraId="18D63BA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108.83</w:t>
            </w:r>
          </w:p>
        </w:tc>
        <w:tc>
          <w:tcPr>
            <w:tcW w:w="2135" w:type="dxa"/>
          </w:tcPr>
          <w:p w14:paraId="6DBAD3C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93.90</w:t>
            </w:r>
          </w:p>
        </w:tc>
      </w:tr>
      <w:tr w:rsidR="0087442D" w:rsidRPr="0087442D" w14:paraId="3B49CBDB" w14:textId="77777777" w:rsidTr="007129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shd w:val="clear" w:color="auto" w:fill="A6A6A6" w:themeFill="background1" w:themeFillShade="A6"/>
            <w:noWrap/>
          </w:tcPr>
          <w:p w14:paraId="069111F2" w14:textId="77777777" w:rsidR="0087442D" w:rsidRPr="0087442D" w:rsidRDefault="0087442D" w:rsidP="007129AF">
            <w:pPr>
              <w:spacing w:after="0" w:line="240" w:lineRule="auto"/>
              <w:jc w:val="center"/>
              <w:rPr>
                <w:rFonts w:ascii="Century Gothic" w:eastAsia="Times New Roman" w:hAnsi="Century Gothic" w:cs="Times New Roman"/>
                <w:color w:val="000000"/>
                <w:sz w:val="20"/>
                <w:szCs w:val="18"/>
              </w:rPr>
            </w:pPr>
            <w:r w:rsidRPr="0087442D">
              <w:rPr>
                <w:rFonts w:ascii="Century Gothic" w:eastAsia="Times New Roman" w:hAnsi="Century Gothic" w:cs="Times New Roman"/>
                <w:color w:val="000000"/>
                <w:sz w:val="20"/>
                <w:szCs w:val="18"/>
              </w:rPr>
              <w:t>Month</w:t>
            </w:r>
          </w:p>
        </w:tc>
        <w:tc>
          <w:tcPr>
            <w:tcW w:w="2135" w:type="dxa"/>
            <w:shd w:val="clear" w:color="auto" w:fill="A6A6A6" w:themeFill="background1" w:themeFillShade="A6"/>
            <w:noWrap/>
          </w:tcPr>
          <w:p w14:paraId="066A1BDA" w14:textId="77777777" w:rsidR="0087442D" w:rsidRPr="0087442D" w:rsidRDefault="0087442D" w:rsidP="007129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On-Peak SEMA LMP</w:t>
            </w:r>
            <w:r w:rsidRPr="0087442D">
              <w:rPr>
                <w:rFonts w:ascii="Century Gothic" w:eastAsia="Times New Roman" w:hAnsi="Century Gothic" w:cs="Times New Roman"/>
                <w:b/>
                <w:color w:val="000000"/>
                <w:sz w:val="20"/>
                <w:szCs w:val="18"/>
              </w:rPr>
              <w:br/>
              <w:t>($/MWh)</w:t>
            </w:r>
          </w:p>
        </w:tc>
        <w:tc>
          <w:tcPr>
            <w:tcW w:w="2135" w:type="dxa"/>
            <w:shd w:val="clear" w:color="auto" w:fill="A6A6A6" w:themeFill="background1" w:themeFillShade="A6"/>
          </w:tcPr>
          <w:p w14:paraId="2FBB30BF" w14:textId="77777777" w:rsidR="0087442D" w:rsidRPr="0087442D" w:rsidRDefault="0087442D" w:rsidP="007129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18"/>
              </w:rPr>
            </w:pPr>
            <w:r w:rsidRPr="0087442D">
              <w:rPr>
                <w:rFonts w:ascii="Century Gothic" w:eastAsia="Times New Roman" w:hAnsi="Century Gothic" w:cs="Times New Roman"/>
                <w:b/>
                <w:color w:val="000000"/>
                <w:sz w:val="20"/>
                <w:szCs w:val="18"/>
              </w:rPr>
              <w:t>Average Off-Peak SEMA LMP</w:t>
            </w:r>
            <w:r w:rsidRPr="0087442D">
              <w:rPr>
                <w:rFonts w:ascii="Century Gothic" w:eastAsia="Times New Roman" w:hAnsi="Century Gothic" w:cs="Times New Roman"/>
                <w:b/>
                <w:color w:val="000000"/>
                <w:sz w:val="20"/>
                <w:szCs w:val="18"/>
              </w:rPr>
              <w:br/>
              <w:t>($/MWh)</w:t>
            </w:r>
          </w:p>
        </w:tc>
      </w:tr>
      <w:tr w:rsidR="004B6132" w:rsidRPr="000B627D" w14:paraId="265499C5"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37A0A88"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Jun-40</w:t>
            </w:r>
          </w:p>
        </w:tc>
        <w:tc>
          <w:tcPr>
            <w:tcW w:w="2135" w:type="dxa"/>
            <w:noWrap/>
            <w:hideMark/>
          </w:tcPr>
          <w:p w14:paraId="2BF2FA3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114.96</w:t>
            </w:r>
          </w:p>
        </w:tc>
        <w:tc>
          <w:tcPr>
            <w:tcW w:w="2135" w:type="dxa"/>
          </w:tcPr>
          <w:p w14:paraId="2376F9A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97.57</w:t>
            </w:r>
          </w:p>
        </w:tc>
      </w:tr>
      <w:tr w:rsidR="004B6132" w:rsidRPr="000B627D" w14:paraId="1133D510"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69BD81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Jul-40</w:t>
            </w:r>
          </w:p>
        </w:tc>
        <w:tc>
          <w:tcPr>
            <w:tcW w:w="2135" w:type="dxa"/>
            <w:noWrap/>
            <w:hideMark/>
          </w:tcPr>
          <w:p w14:paraId="73BD7C5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129.88</w:t>
            </w:r>
          </w:p>
        </w:tc>
        <w:tc>
          <w:tcPr>
            <w:tcW w:w="2135" w:type="dxa"/>
          </w:tcPr>
          <w:p w14:paraId="4757DFD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102.72</w:t>
            </w:r>
          </w:p>
        </w:tc>
      </w:tr>
      <w:tr w:rsidR="004B6132" w:rsidRPr="000B627D" w14:paraId="62A2D45F"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C818DFF"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Aug-40</w:t>
            </w:r>
          </w:p>
        </w:tc>
        <w:tc>
          <w:tcPr>
            <w:tcW w:w="2135" w:type="dxa"/>
            <w:noWrap/>
            <w:hideMark/>
          </w:tcPr>
          <w:p w14:paraId="6131388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116.63</w:t>
            </w:r>
          </w:p>
        </w:tc>
        <w:tc>
          <w:tcPr>
            <w:tcW w:w="2135" w:type="dxa"/>
          </w:tcPr>
          <w:p w14:paraId="3852FC3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98.91</w:t>
            </w:r>
          </w:p>
        </w:tc>
      </w:tr>
      <w:tr w:rsidR="004B6132" w:rsidRPr="000B627D" w14:paraId="7166B240"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BBA2D2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Sep-40</w:t>
            </w:r>
          </w:p>
        </w:tc>
        <w:tc>
          <w:tcPr>
            <w:tcW w:w="2135" w:type="dxa"/>
            <w:noWrap/>
            <w:hideMark/>
          </w:tcPr>
          <w:p w14:paraId="50633FE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111.49</w:t>
            </w:r>
          </w:p>
        </w:tc>
        <w:tc>
          <w:tcPr>
            <w:tcW w:w="2135" w:type="dxa"/>
          </w:tcPr>
          <w:p w14:paraId="0A97821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96.63</w:t>
            </w:r>
          </w:p>
        </w:tc>
      </w:tr>
      <w:tr w:rsidR="004B6132" w:rsidRPr="000B627D" w14:paraId="1A417C6C"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BD131C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Oct-40</w:t>
            </w:r>
          </w:p>
        </w:tc>
        <w:tc>
          <w:tcPr>
            <w:tcW w:w="2135" w:type="dxa"/>
            <w:noWrap/>
            <w:hideMark/>
          </w:tcPr>
          <w:p w14:paraId="73700BF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113.47</w:t>
            </w:r>
          </w:p>
        </w:tc>
        <w:tc>
          <w:tcPr>
            <w:tcW w:w="2135" w:type="dxa"/>
          </w:tcPr>
          <w:p w14:paraId="2C88E18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97.64</w:t>
            </w:r>
          </w:p>
        </w:tc>
      </w:tr>
      <w:tr w:rsidR="004B6132" w:rsidRPr="000B627D" w14:paraId="6EEC5A0A" w14:textId="77777777" w:rsidTr="00AF4FB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D4EF66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Nov-40</w:t>
            </w:r>
          </w:p>
        </w:tc>
        <w:tc>
          <w:tcPr>
            <w:tcW w:w="2135" w:type="dxa"/>
            <w:noWrap/>
            <w:hideMark/>
          </w:tcPr>
          <w:p w14:paraId="3950A07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121.16</w:t>
            </w:r>
          </w:p>
        </w:tc>
        <w:tc>
          <w:tcPr>
            <w:tcW w:w="2135" w:type="dxa"/>
          </w:tcPr>
          <w:p w14:paraId="6528F28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107.53</w:t>
            </w:r>
          </w:p>
        </w:tc>
      </w:tr>
      <w:tr w:rsidR="004B6132" w:rsidRPr="000B627D" w14:paraId="6DF23311" w14:textId="77777777" w:rsidTr="00AF4FB9">
        <w:trPr>
          <w:trHeight w:val="2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C47124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Dec-40</w:t>
            </w:r>
          </w:p>
        </w:tc>
        <w:tc>
          <w:tcPr>
            <w:tcW w:w="2135" w:type="dxa"/>
            <w:noWrap/>
            <w:hideMark/>
          </w:tcPr>
          <w:p w14:paraId="4D95870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124.80</w:t>
            </w:r>
          </w:p>
        </w:tc>
        <w:tc>
          <w:tcPr>
            <w:tcW w:w="2135" w:type="dxa"/>
          </w:tcPr>
          <w:p w14:paraId="7C6947B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113.44</w:t>
            </w:r>
          </w:p>
        </w:tc>
      </w:tr>
    </w:tbl>
    <w:p w14:paraId="7F9DF481" w14:textId="77777777" w:rsidR="004B6132" w:rsidRDefault="004B6132" w:rsidP="004B6132"/>
    <w:p w14:paraId="69B9F744" w14:textId="77777777" w:rsidR="004B6132" w:rsidRDefault="004B6132" w:rsidP="004B6132">
      <w:r>
        <w:br w:type="page"/>
      </w:r>
    </w:p>
    <w:p w14:paraId="1E4FD607" w14:textId="77777777" w:rsidR="004B6132" w:rsidRPr="00AD639D" w:rsidRDefault="004B6132" w:rsidP="0087442D">
      <w:pPr>
        <w:rPr>
          <w:i/>
        </w:rPr>
      </w:pPr>
      <w:r>
        <w:lastRenderedPageBreak/>
        <w:t xml:space="preserve">Plant additions and retirements from the Aurora simulation are shown below.  For each year, the amount of capacity added and/or retired is aggregate and includes the total change for each category in that year.  Behind-the-meter resources are excluded.  </w:t>
      </w:r>
    </w:p>
    <w:p w14:paraId="77D29AB7" w14:textId="2C592402" w:rsidR="004B6132" w:rsidRPr="007F0EE8" w:rsidRDefault="004B6132" w:rsidP="004B6132">
      <w:pPr>
        <w:pStyle w:val="Caption"/>
        <w:rPr>
          <w:i/>
        </w:rPr>
      </w:pPr>
      <w:r w:rsidRPr="007F0EE8">
        <w:t xml:space="preserve">Table </w:t>
      </w:r>
      <w:r w:rsidR="00DE00FC">
        <w:t>A.</w:t>
      </w:r>
      <w:r w:rsidR="00FA6573">
        <w:fldChar w:fldCharType="begin"/>
      </w:r>
      <w:r w:rsidR="00FA6573">
        <w:instrText xml:space="preserve"> SEQ Table \* ARABIC </w:instrText>
      </w:r>
      <w:r w:rsidR="00FA6573">
        <w:fldChar w:fldCharType="separate"/>
      </w:r>
      <w:r>
        <w:rPr>
          <w:noProof/>
        </w:rPr>
        <w:t>2</w:t>
      </w:r>
      <w:r w:rsidR="00FA6573">
        <w:rPr>
          <w:noProof/>
        </w:rPr>
        <w:fldChar w:fldCharType="end"/>
      </w:r>
      <w:r w:rsidRPr="007F0EE8">
        <w:t>.  Total Plant Additions and Retirements by Year (MW)</w:t>
      </w:r>
    </w:p>
    <w:tbl>
      <w:tblPr>
        <w:tblStyle w:val="GridTable4Accent3"/>
        <w:tblW w:w="3553" w:type="dxa"/>
        <w:jc w:val="center"/>
        <w:tblLook w:val="04A0" w:firstRow="1" w:lastRow="0" w:firstColumn="1" w:lastColumn="0" w:noHBand="0" w:noVBand="1"/>
      </w:tblPr>
      <w:tblGrid>
        <w:gridCol w:w="1620"/>
        <w:gridCol w:w="1032"/>
        <w:gridCol w:w="1469"/>
      </w:tblGrid>
      <w:tr w:rsidR="004B6132" w:rsidRPr="000B627D" w14:paraId="37E9D3FF" w14:textId="77777777" w:rsidTr="0087442D">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658645F4" w14:textId="77777777" w:rsidR="004B6132" w:rsidRPr="000B627D" w:rsidRDefault="004B6132" w:rsidP="00AF4FB9">
            <w:pPr>
              <w:spacing w:after="0" w:line="240" w:lineRule="auto"/>
              <w:jc w:val="center"/>
              <w:rPr>
                <w:rFonts w:ascii="Century Gothic" w:eastAsia="Times New Roman" w:hAnsi="Century Gothic" w:cs="Times New Roman"/>
                <w:color w:val="auto"/>
                <w:sz w:val="20"/>
                <w:szCs w:val="18"/>
              </w:rPr>
            </w:pPr>
            <w:r w:rsidRPr="000B627D">
              <w:rPr>
                <w:rFonts w:ascii="Century Gothic" w:eastAsia="Times New Roman" w:hAnsi="Century Gothic" w:cs="Times New Roman"/>
                <w:color w:val="auto"/>
                <w:sz w:val="20"/>
                <w:szCs w:val="18"/>
              </w:rPr>
              <w:t>Year</w:t>
            </w:r>
          </w:p>
        </w:tc>
        <w:tc>
          <w:tcPr>
            <w:tcW w:w="464" w:type="dxa"/>
            <w:noWrap/>
            <w:hideMark/>
          </w:tcPr>
          <w:p w14:paraId="6B369BFF"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0"/>
                <w:szCs w:val="18"/>
              </w:rPr>
            </w:pPr>
            <w:r w:rsidRPr="000B627D">
              <w:rPr>
                <w:rFonts w:ascii="Century Gothic" w:eastAsia="Times New Roman" w:hAnsi="Century Gothic" w:cs="Times New Roman"/>
                <w:color w:val="auto"/>
                <w:sz w:val="20"/>
                <w:szCs w:val="18"/>
              </w:rPr>
              <w:t>Addition</w:t>
            </w:r>
          </w:p>
        </w:tc>
        <w:tc>
          <w:tcPr>
            <w:tcW w:w="1469" w:type="dxa"/>
            <w:noWrap/>
            <w:hideMark/>
          </w:tcPr>
          <w:p w14:paraId="290B773B"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18"/>
              </w:rPr>
            </w:pPr>
            <w:r w:rsidRPr="000B627D">
              <w:rPr>
                <w:rFonts w:ascii="Century Gothic" w:eastAsia="Times New Roman" w:hAnsi="Century Gothic" w:cs="Times New Roman"/>
                <w:color w:val="000000"/>
                <w:sz w:val="20"/>
                <w:szCs w:val="18"/>
              </w:rPr>
              <w:t>Retirements</w:t>
            </w:r>
          </w:p>
        </w:tc>
      </w:tr>
      <w:tr w:rsidR="004B6132" w:rsidRPr="000B627D" w14:paraId="3C8DCA4B"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076B50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2021</w:t>
            </w:r>
          </w:p>
        </w:tc>
        <w:tc>
          <w:tcPr>
            <w:tcW w:w="464" w:type="dxa"/>
            <w:noWrap/>
            <w:hideMark/>
          </w:tcPr>
          <w:p w14:paraId="050AB94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772</w:t>
            </w:r>
          </w:p>
        </w:tc>
        <w:tc>
          <w:tcPr>
            <w:tcW w:w="1469" w:type="dxa"/>
            <w:noWrap/>
            <w:hideMark/>
          </w:tcPr>
          <w:p w14:paraId="0772074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560</w:t>
            </w:r>
          </w:p>
        </w:tc>
      </w:tr>
      <w:tr w:rsidR="004B6132" w:rsidRPr="000B627D" w14:paraId="404695F4"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6966C20"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2022</w:t>
            </w:r>
          </w:p>
        </w:tc>
        <w:tc>
          <w:tcPr>
            <w:tcW w:w="464" w:type="dxa"/>
            <w:noWrap/>
            <w:hideMark/>
          </w:tcPr>
          <w:p w14:paraId="73BEC90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79334E0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556</w:t>
            </w:r>
          </w:p>
        </w:tc>
      </w:tr>
      <w:tr w:rsidR="004B6132" w:rsidRPr="000B627D" w14:paraId="4E601A75"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6EF378E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2023</w:t>
            </w:r>
          </w:p>
        </w:tc>
        <w:tc>
          <w:tcPr>
            <w:tcW w:w="464" w:type="dxa"/>
            <w:noWrap/>
            <w:hideMark/>
          </w:tcPr>
          <w:p w14:paraId="0D71DF6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386</w:t>
            </w:r>
          </w:p>
        </w:tc>
        <w:tc>
          <w:tcPr>
            <w:tcW w:w="1469" w:type="dxa"/>
            <w:noWrap/>
            <w:hideMark/>
          </w:tcPr>
          <w:p w14:paraId="64954AB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547</w:t>
            </w:r>
          </w:p>
        </w:tc>
      </w:tr>
      <w:tr w:rsidR="004B6132" w:rsidRPr="000B627D" w14:paraId="66129460"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7E3DB63"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2024</w:t>
            </w:r>
          </w:p>
        </w:tc>
        <w:tc>
          <w:tcPr>
            <w:tcW w:w="464" w:type="dxa"/>
            <w:noWrap/>
            <w:hideMark/>
          </w:tcPr>
          <w:p w14:paraId="5B64397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2EFE1FB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827</w:t>
            </w:r>
          </w:p>
        </w:tc>
      </w:tr>
      <w:tr w:rsidR="004B6132" w:rsidRPr="000B627D" w14:paraId="31E93F66"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71D32739"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2025</w:t>
            </w:r>
          </w:p>
        </w:tc>
        <w:tc>
          <w:tcPr>
            <w:tcW w:w="464" w:type="dxa"/>
            <w:noWrap/>
            <w:hideMark/>
          </w:tcPr>
          <w:p w14:paraId="4C94BBA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386</w:t>
            </w:r>
          </w:p>
        </w:tc>
        <w:tc>
          <w:tcPr>
            <w:tcW w:w="1469" w:type="dxa"/>
            <w:noWrap/>
            <w:hideMark/>
          </w:tcPr>
          <w:p w14:paraId="00F0D35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354</w:t>
            </w:r>
          </w:p>
        </w:tc>
      </w:tr>
      <w:tr w:rsidR="004B6132" w:rsidRPr="000B627D" w14:paraId="4CA7F62D"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C31F0C4"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2026</w:t>
            </w:r>
          </w:p>
        </w:tc>
        <w:tc>
          <w:tcPr>
            <w:tcW w:w="464" w:type="dxa"/>
            <w:noWrap/>
            <w:hideMark/>
          </w:tcPr>
          <w:p w14:paraId="02EE63D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436</w:t>
            </w:r>
          </w:p>
        </w:tc>
        <w:tc>
          <w:tcPr>
            <w:tcW w:w="1469" w:type="dxa"/>
            <w:noWrap/>
            <w:hideMark/>
          </w:tcPr>
          <w:p w14:paraId="0E78D59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675A1C61"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629BFCC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2027</w:t>
            </w:r>
          </w:p>
        </w:tc>
        <w:tc>
          <w:tcPr>
            <w:tcW w:w="464" w:type="dxa"/>
            <w:noWrap/>
            <w:hideMark/>
          </w:tcPr>
          <w:p w14:paraId="153D55B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326</w:t>
            </w:r>
          </w:p>
        </w:tc>
        <w:tc>
          <w:tcPr>
            <w:tcW w:w="1469" w:type="dxa"/>
            <w:noWrap/>
            <w:hideMark/>
          </w:tcPr>
          <w:p w14:paraId="6D0EAEF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2717A094"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06FFA45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2028</w:t>
            </w:r>
          </w:p>
        </w:tc>
        <w:tc>
          <w:tcPr>
            <w:tcW w:w="464" w:type="dxa"/>
            <w:noWrap/>
            <w:hideMark/>
          </w:tcPr>
          <w:p w14:paraId="18511F3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7B27208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4D71EC35"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07816D2"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2029</w:t>
            </w:r>
          </w:p>
        </w:tc>
        <w:tc>
          <w:tcPr>
            <w:tcW w:w="464" w:type="dxa"/>
            <w:noWrap/>
            <w:hideMark/>
          </w:tcPr>
          <w:p w14:paraId="2A1053F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50</w:t>
            </w:r>
          </w:p>
        </w:tc>
        <w:tc>
          <w:tcPr>
            <w:tcW w:w="1469" w:type="dxa"/>
            <w:noWrap/>
            <w:hideMark/>
          </w:tcPr>
          <w:p w14:paraId="4F716D1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330</w:t>
            </w:r>
          </w:p>
        </w:tc>
      </w:tr>
      <w:tr w:rsidR="004B6132" w:rsidRPr="000B627D" w14:paraId="7ACCF358"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67F8E9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2030</w:t>
            </w:r>
          </w:p>
        </w:tc>
        <w:tc>
          <w:tcPr>
            <w:tcW w:w="464" w:type="dxa"/>
            <w:noWrap/>
            <w:hideMark/>
          </w:tcPr>
          <w:p w14:paraId="068DE87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386</w:t>
            </w:r>
          </w:p>
        </w:tc>
        <w:tc>
          <w:tcPr>
            <w:tcW w:w="1469" w:type="dxa"/>
            <w:noWrap/>
            <w:hideMark/>
          </w:tcPr>
          <w:p w14:paraId="0D1BB3C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1,247</w:t>
            </w:r>
          </w:p>
        </w:tc>
      </w:tr>
      <w:tr w:rsidR="004B6132" w:rsidRPr="000B627D" w14:paraId="017CA094"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3A0623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2031</w:t>
            </w:r>
          </w:p>
        </w:tc>
        <w:tc>
          <w:tcPr>
            <w:tcW w:w="464" w:type="dxa"/>
            <w:noWrap/>
            <w:hideMark/>
          </w:tcPr>
          <w:p w14:paraId="5AE3C8F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386</w:t>
            </w:r>
          </w:p>
        </w:tc>
        <w:tc>
          <w:tcPr>
            <w:tcW w:w="1469" w:type="dxa"/>
            <w:noWrap/>
            <w:hideMark/>
          </w:tcPr>
          <w:p w14:paraId="6FA0A8E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53D5B20D"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5290E9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2032</w:t>
            </w:r>
          </w:p>
        </w:tc>
        <w:tc>
          <w:tcPr>
            <w:tcW w:w="464" w:type="dxa"/>
            <w:noWrap/>
            <w:hideMark/>
          </w:tcPr>
          <w:p w14:paraId="3321222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1928F89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6C09F8E3"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81C8236"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2033</w:t>
            </w:r>
          </w:p>
        </w:tc>
        <w:tc>
          <w:tcPr>
            <w:tcW w:w="464" w:type="dxa"/>
            <w:noWrap/>
            <w:hideMark/>
          </w:tcPr>
          <w:p w14:paraId="08BC3FE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772</w:t>
            </w:r>
          </w:p>
        </w:tc>
        <w:tc>
          <w:tcPr>
            <w:tcW w:w="1469" w:type="dxa"/>
            <w:noWrap/>
            <w:hideMark/>
          </w:tcPr>
          <w:p w14:paraId="38ECB5D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68B2AABA"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59E043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2034</w:t>
            </w:r>
          </w:p>
        </w:tc>
        <w:tc>
          <w:tcPr>
            <w:tcW w:w="464" w:type="dxa"/>
            <w:noWrap/>
            <w:hideMark/>
          </w:tcPr>
          <w:p w14:paraId="2A15880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171055A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485FD7A8"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94C9137"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2035</w:t>
            </w:r>
          </w:p>
        </w:tc>
        <w:tc>
          <w:tcPr>
            <w:tcW w:w="464" w:type="dxa"/>
            <w:noWrap/>
            <w:hideMark/>
          </w:tcPr>
          <w:p w14:paraId="796BB72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345F558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876</w:t>
            </w:r>
          </w:p>
        </w:tc>
      </w:tr>
      <w:tr w:rsidR="004B6132" w:rsidRPr="000B627D" w14:paraId="2F9D44A5"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1FE11EC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2036</w:t>
            </w:r>
          </w:p>
        </w:tc>
        <w:tc>
          <w:tcPr>
            <w:tcW w:w="464" w:type="dxa"/>
            <w:noWrap/>
            <w:hideMark/>
          </w:tcPr>
          <w:p w14:paraId="1A675EF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386</w:t>
            </w:r>
          </w:p>
        </w:tc>
        <w:tc>
          <w:tcPr>
            <w:tcW w:w="1469" w:type="dxa"/>
            <w:noWrap/>
            <w:hideMark/>
          </w:tcPr>
          <w:p w14:paraId="0AB3D27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11D913DB"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3F5F30A1"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2037</w:t>
            </w:r>
          </w:p>
        </w:tc>
        <w:tc>
          <w:tcPr>
            <w:tcW w:w="464" w:type="dxa"/>
            <w:noWrap/>
            <w:hideMark/>
          </w:tcPr>
          <w:p w14:paraId="41D95D4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436</w:t>
            </w:r>
          </w:p>
        </w:tc>
        <w:tc>
          <w:tcPr>
            <w:tcW w:w="1469" w:type="dxa"/>
            <w:noWrap/>
            <w:hideMark/>
          </w:tcPr>
          <w:p w14:paraId="4ADCC0B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45FC0F93"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FDB6BF5"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2038</w:t>
            </w:r>
          </w:p>
        </w:tc>
        <w:tc>
          <w:tcPr>
            <w:tcW w:w="464" w:type="dxa"/>
            <w:noWrap/>
            <w:hideMark/>
          </w:tcPr>
          <w:p w14:paraId="2FC9871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614F9B0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47BA0417" w14:textId="77777777" w:rsidTr="00AF4F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71EE49AC"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2039</w:t>
            </w:r>
          </w:p>
        </w:tc>
        <w:tc>
          <w:tcPr>
            <w:tcW w:w="464" w:type="dxa"/>
            <w:noWrap/>
            <w:hideMark/>
          </w:tcPr>
          <w:p w14:paraId="5D8D526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11A0250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r w:rsidR="004B6132" w:rsidRPr="000B627D" w14:paraId="3C403D51" w14:textId="77777777" w:rsidTr="00AF4FB9">
        <w:trPr>
          <w:trHeight w:val="30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63BD22D" w14:textId="77777777" w:rsidR="004B6132" w:rsidRPr="000B627D" w:rsidRDefault="004B6132" w:rsidP="00AF4FB9">
            <w:pPr>
              <w:spacing w:after="0" w:line="240" w:lineRule="auto"/>
              <w:jc w:val="center"/>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2040</w:t>
            </w:r>
          </w:p>
        </w:tc>
        <w:tc>
          <w:tcPr>
            <w:tcW w:w="464" w:type="dxa"/>
            <w:noWrap/>
            <w:hideMark/>
          </w:tcPr>
          <w:p w14:paraId="7FFAF0C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c>
          <w:tcPr>
            <w:tcW w:w="1469" w:type="dxa"/>
            <w:noWrap/>
            <w:hideMark/>
          </w:tcPr>
          <w:p w14:paraId="58F4A3E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rPr>
            </w:pPr>
            <w:r w:rsidRPr="000B627D">
              <w:rPr>
                <w:rFonts w:ascii="Century Gothic" w:eastAsia="Times New Roman" w:hAnsi="Century Gothic" w:cs="Times New Roman"/>
                <w:color w:val="000000"/>
                <w:sz w:val="18"/>
                <w:szCs w:val="18"/>
              </w:rPr>
              <w:t>0</w:t>
            </w:r>
          </w:p>
        </w:tc>
      </w:tr>
    </w:tbl>
    <w:p w14:paraId="077D1DF4" w14:textId="7EF0D111" w:rsidR="004B6132" w:rsidRDefault="004B6132" w:rsidP="004B6132"/>
    <w:p w14:paraId="65F2BEBA" w14:textId="77777777" w:rsidR="004B6132" w:rsidRDefault="004B6132" w:rsidP="004B6132"/>
    <w:p w14:paraId="2C8BE267" w14:textId="77777777" w:rsidR="004B6132" w:rsidRDefault="004B6132" w:rsidP="004B6132">
      <w:pPr>
        <w:sectPr w:rsidR="004B6132" w:rsidSect="009308D8">
          <w:pgSz w:w="12240" w:h="15840" w:code="1"/>
          <w:pgMar w:top="1440" w:right="1440" w:bottom="1440" w:left="1440" w:header="720" w:footer="720" w:gutter="0"/>
          <w:cols w:space="720"/>
          <w:docGrid w:linePitch="360"/>
        </w:sectPr>
      </w:pPr>
    </w:p>
    <w:p w14:paraId="0D79546D" w14:textId="247A119B" w:rsidR="004B6132" w:rsidRPr="00AD639D" w:rsidRDefault="004B6132" w:rsidP="00DE00FC">
      <w:pPr>
        <w:rPr>
          <w:i/>
        </w:rPr>
      </w:pPr>
      <w:r>
        <w:lastRenderedPageBreak/>
        <w:t xml:space="preserve">The load forecast used in the Aurora simulations is shown below in </w:t>
      </w:r>
      <w:r>
        <w:rPr>
          <w:i/>
        </w:rPr>
        <w:fldChar w:fldCharType="begin"/>
      </w:r>
      <w:r>
        <w:instrText xml:space="preserve"> REF _Ref468284155 \h  \* MERGEFORMAT </w:instrText>
      </w:r>
      <w:r>
        <w:rPr>
          <w:i/>
        </w:rPr>
      </w:r>
      <w:r>
        <w:rPr>
          <w:i/>
        </w:rPr>
        <w:fldChar w:fldCharType="separate"/>
      </w:r>
      <w:r w:rsidRPr="00AD639D">
        <w:t>Table</w:t>
      </w:r>
      <w:r w:rsidR="00DE00FC">
        <w:t xml:space="preserve"> A.</w:t>
      </w:r>
      <w:r w:rsidRPr="00AD639D">
        <w:t>3</w:t>
      </w:r>
      <w:r>
        <w:rPr>
          <w:i/>
        </w:rPr>
        <w:fldChar w:fldCharType="end"/>
      </w:r>
      <w:r>
        <w:t xml:space="preserve"> and </w:t>
      </w:r>
      <w:r>
        <w:rPr>
          <w:i/>
        </w:rPr>
        <w:fldChar w:fldCharType="begin"/>
      </w:r>
      <w:r>
        <w:instrText xml:space="preserve"> REF _Ref468284160 \h  \* MERGEFORMAT </w:instrText>
      </w:r>
      <w:r>
        <w:rPr>
          <w:i/>
        </w:rPr>
      </w:r>
      <w:r>
        <w:rPr>
          <w:i/>
        </w:rPr>
        <w:fldChar w:fldCharType="separate"/>
      </w:r>
      <w:r w:rsidRPr="00AD639D">
        <w:t xml:space="preserve">Table </w:t>
      </w:r>
      <w:r w:rsidR="00DE00FC">
        <w:t>A.</w:t>
      </w:r>
      <w:r w:rsidRPr="00AD639D">
        <w:t>4</w:t>
      </w:r>
      <w:r>
        <w:rPr>
          <w:i/>
        </w:rPr>
        <w:fldChar w:fldCharType="end"/>
      </w:r>
      <w:r>
        <w:t xml:space="preserve">.  As discussed above, the load forecast is based on the CELT report published by ISO-NE. </w:t>
      </w:r>
    </w:p>
    <w:p w14:paraId="02A88642" w14:textId="35F7E26B" w:rsidR="004B6132" w:rsidRPr="007F0EE8" w:rsidRDefault="004B6132" w:rsidP="004B6132">
      <w:pPr>
        <w:pStyle w:val="Caption"/>
        <w:rPr>
          <w:i/>
        </w:rPr>
      </w:pPr>
      <w:bookmarkStart w:id="135" w:name="_Ref468284155"/>
      <w:r w:rsidRPr="007F0EE8">
        <w:t xml:space="preserve">Table </w:t>
      </w:r>
      <w:r w:rsidR="00DE00FC">
        <w:t>A.</w:t>
      </w:r>
      <w:r w:rsidR="00FA6573">
        <w:fldChar w:fldCharType="begin"/>
      </w:r>
      <w:r w:rsidR="00FA6573">
        <w:instrText xml:space="preserve"> SEQ Table \* ARABIC </w:instrText>
      </w:r>
      <w:r w:rsidR="00FA6573">
        <w:fldChar w:fldCharType="separate"/>
      </w:r>
      <w:r>
        <w:rPr>
          <w:noProof/>
        </w:rPr>
        <w:t>3</w:t>
      </w:r>
      <w:r w:rsidR="00FA6573">
        <w:rPr>
          <w:noProof/>
        </w:rPr>
        <w:fldChar w:fldCharType="end"/>
      </w:r>
      <w:bookmarkEnd w:id="135"/>
      <w:r w:rsidRPr="007F0EE8">
        <w:t>.  ISO New England Projected Load (</w:t>
      </w:r>
      <w:proofErr w:type="spellStart"/>
      <w:r w:rsidRPr="007F0EE8">
        <w:t>GWh</w:t>
      </w:r>
      <w:proofErr w:type="spellEnd"/>
      <w:r w:rsidRPr="007F0EE8">
        <w:t>)</w:t>
      </w:r>
    </w:p>
    <w:tbl>
      <w:tblPr>
        <w:tblStyle w:val="GridTable4Accent3"/>
        <w:tblW w:w="0" w:type="auto"/>
        <w:jc w:val="center"/>
        <w:tblLook w:val="04A0" w:firstRow="1" w:lastRow="0" w:firstColumn="1" w:lastColumn="0" w:noHBand="0" w:noVBand="1"/>
      </w:tblPr>
      <w:tblGrid>
        <w:gridCol w:w="530"/>
        <w:gridCol w:w="643"/>
        <w:gridCol w:w="643"/>
        <w:gridCol w:w="643"/>
        <w:gridCol w:w="566"/>
        <w:gridCol w:w="566"/>
        <w:gridCol w:w="643"/>
        <w:gridCol w:w="643"/>
        <w:gridCol w:w="643"/>
        <w:gridCol w:w="643"/>
        <w:gridCol w:w="566"/>
        <w:gridCol w:w="566"/>
        <w:gridCol w:w="643"/>
        <w:gridCol w:w="721"/>
      </w:tblGrid>
      <w:tr w:rsidR="004B6132" w:rsidRPr="000B627D" w14:paraId="503A7A71" w14:textId="77777777" w:rsidTr="00AF4FB9">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334F59" w14:textId="77777777" w:rsidR="004B6132" w:rsidRPr="0087442D" w:rsidRDefault="004B6132" w:rsidP="00AF4FB9">
            <w:pPr>
              <w:spacing w:after="0" w:line="240" w:lineRule="auto"/>
              <w:jc w:val="center"/>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Year</w:t>
            </w:r>
          </w:p>
        </w:tc>
        <w:tc>
          <w:tcPr>
            <w:tcW w:w="0" w:type="auto"/>
            <w:noWrap/>
            <w:hideMark/>
          </w:tcPr>
          <w:p w14:paraId="4977B3BE"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1</w:t>
            </w:r>
          </w:p>
        </w:tc>
        <w:tc>
          <w:tcPr>
            <w:tcW w:w="0" w:type="auto"/>
            <w:noWrap/>
            <w:hideMark/>
          </w:tcPr>
          <w:p w14:paraId="10376987"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2</w:t>
            </w:r>
          </w:p>
        </w:tc>
        <w:tc>
          <w:tcPr>
            <w:tcW w:w="0" w:type="auto"/>
            <w:noWrap/>
            <w:hideMark/>
          </w:tcPr>
          <w:p w14:paraId="38D809EE"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3</w:t>
            </w:r>
          </w:p>
        </w:tc>
        <w:tc>
          <w:tcPr>
            <w:tcW w:w="0" w:type="auto"/>
            <w:noWrap/>
            <w:hideMark/>
          </w:tcPr>
          <w:p w14:paraId="5301B78B"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4</w:t>
            </w:r>
          </w:p>
        </w:tc>
        <w:tc>
          <w:tcPr>
            <w:tcW w:w="0" w:type="auto"/>
            <w:noWrap/>
            <w:hideMark/>
          </w:tcPr>
          <w:p w14:paraId="03EB1F4C"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5</w:t>
            </w:r>
          </w:p>
        </w:tc>
        <w:tc>
          <w:tcPr>
            <w:tcW w:w="0" w:type="auto"/>
            <w:noWrap/>
            <w:hideMark/>
          </w:tcPr>
          <w:p w14:paraId="6E1C6B3E"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6</w:t>
            </w:r>
          </w:p>
        </w:tc>
        <w:tc>
          <w:tcPr>
            <w:tcW w:w="0" w:type="auto"/>
            <w:noWrap/>
            <w:hideMark/>
          </w:tcPr>
          <w:p w14:paraId="534B120C"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7</w:t>
            </w:r>
          </w:p>
        </w:tc>
        <w:tc>
          <w:tcPr>
            <w:tcW w:w="0" w:type="auto"/>
            <w:noWrap/>
            <w:hideMark/>
          </w:tcPr>
          <w:p w14:paraId="02003F30"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8</w:t>
            </w:r>
          </w:p>
        </w:tc>
        <w:tc>
          <w:tcPr>
            <w:tcW w:w="0" w:type="auto"/>
            <w:noWrap/>
            <w:hideMark/>
          </w:tcPr>
          <w:p w14:paraId="5E84CC55"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9</w:t>
            </w:r>
          </w:p>
        </w:tc>
        <w:tc>
          <w:tcPr>
            <w:tcW w:w="0" w:type="auto"/>
            <w:noWrap/>
            <w:hideMark/>
          </w:tcPr>
          <w:p w14:paraId="279FC60E"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10</w:t>
            </w:r>
          </w:p>
        </w:tc>
        <w:tc>
          <w:tcPr>
            <w:tcW w:w="0" w:type="auto"/>
            <w:noWrap/>
            <w:hideMark/>
          </w:tcPr>
          <w:p w14:paraId="377DC427"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11</w:t>
            </w:r>
          </w:p>
        </w:tc>
        <w:tc>
          <w:tcPr>
            <w:tcW w:w="0" w:type="auto"/>
            <w:noWrap/>
            <w:hideMark/>
          </w:tcPr>
          <w:p w14:paraId="6EDAE76E"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12</w:t>
            </w:r>
          </w:p>
        </w:tc>
        <w:tc>
          <w:tcPr>
            <w:tcW w:w="0" w:type="auto"/>
            <w:noWrap/>
            <w:hideMark/>
          </w:tcPr>
          <w:p w14:paraId="5EED49F1" w14:textId="77777777" w:rsidR="004B6132" w:rsidRPr="0087442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000000"/>
                <w:sz w:val="14"/>
                <w:szCs w:val="14"/>
              </w:rPr>
            </w:pPr>
            <w:r w:rsidRPr="0087442D">
              <w:rPr>
                <w:rFonts w:ascii="Century Gothic" w:eastAsia="Times New Roman" w:hAnsi="Century Gothic" w:cs="Times New Roman"/>
                <w:bCs w:val="0"/>
                <w:color w:val="000000"/>
                <w:sz w:val="14"/>
                <w:szCs w:val="14"/>
              </w:rPr>
              <w:t>Annual</w:t>
            </w:r>
          </w:p>
        </w:tc>
      </w:tr>
      <w:tr w:rsidR="004B6132" w:rsidRPr="000B627D" w14:paraId="5B190C1F"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781D5C"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110B4A3C"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2021</w:t>
            </w:r>
          </w:p>
        </w:tc>
        <w:tc>
          <w:tcPr>
            <w:tcW w:w="0" w:type="auto"/>
            <w:noWrap/>
            <w:hideMark/>
          </w:tcPr>
          <w:p w14:paraId="792BA45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11,325</w:t>
            </w:r>
          </w:p>
        </w:tc>
        <w:tc>
          <w:tcPr>
            <w:tcW w:w="0" w:type="auto"/>
            <w:noWrap/>
            <w:hideMark/>
          </w:tcPr>
          <w:p w14:paraId="1A4D189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9,926</w:t>
            </w:r>
          </w:p>
        </w:tc>
        <w:tc>
          <w:tcPr>
            <w:tcW w:w="0" w:type="auto"/>
            <w:noWrap/>
            <w:hideMark/>
          </w:tcPr>
          <w:p w14:paraId="1AB62C0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10,280</w:t>
            </w:r>
          </w:p>
        </w:tc>
        <w:tc>
          <w:tcPr>
            <w:tcW w:w="0" w:type="auto"/>
            <w:noWrap/>
            <w:hideMark/>
          </w:tcPr>
          <w:p w14:paraId="59C4F9F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9,226</w:t>
            </w:r>
          </w:p>
        </w:tc>
        <w:tc>
          <w:tcPr>
            <w:tcW w:w="0" w:type="auto"/>
            <w:noWrap/>
            <w:hideMark/>
          </w:tcPr>
          <w:p w14:paraId="74B558C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9,626</w:t>
            </w:r>
          </w:p>
        </w:tc>
        <w:tc>
          <w:tcPr>
            <w:tcW w:w="0" w:type="auto"/>
            <w:noWrap/>
            <w:hideMark/>
          </w:tcPr>
          <w:p w14:paraId="6C1AEBE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10,696</w:t>
            </w:r>
          </w:p>
        </w:tc>
        <w:tc>
          <w:tcPr>
            <w:tcW w:w="0" w:type="auto"/>
            <w:noWrap/>
            <w:hideMark/>
          </w:tcPr>
          <w:p w14:paraId="5FD81C0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13,214</w:t>
            </w:r>
          </w:p>
        </w:tc>
        <w:tc>
          <w:tcPr>
            <w:tcW w:w="0" w:type="auto"/>
            <w:noWrap/>
            <w:hideMark/>
          </w:tcPr>
          <w:p w14:paraId="00B8648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11,913</w:t>
            </w:r>
          </w:p>
        </w:tc>
        <w:tc>
          <w:tcPr>
            <w:tcW w:w="0" w:type="auto"/>
            <w:noWrap/>
            <w:hideMark/>
          </w:tcPr>
          <w:p w14:paraId="3CF47D8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10,126</w:t>
            </w:r>
          </w:p>
        </w:tc>
        <w:tc>
          <w:tcPr>
            <w:tcW w:w="0" w:type="auto"/>
            <w:noWrap/>
            <w:hideMark/>
          </w:tcPr>
          <w:p w14:paraId="0A80ADF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9,619</w:t>
            </w:r>
          </w:p>
        </w:tc>
        <w:tc>
          <w:tcPr>
            <w:tcW w:w="0" w:type="auto"/>
            <w:noWrap/>
            <w:hideMark/>
          </w:tcPr>
          <w:p w14:paraId="059F913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9,780</w:t>
            </w:r>
          </w:p>
        </w:tc>
        <w:tc>
          <w:tcPr>
            <w:tcW w:w="0" w:type="auto"/>
            <w:noWrap/>
            <w:hideMark/>
          </w:tcPr>
          <w:p w14:paraId="5592975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10,963</w:t>
            </w:r>
          </w:p>
        </w:tc>
        <w:tc>
          <w:tcPr>
            <w:tcW w:w="0" w:type="auto"/>
            <w:noWrap/>
            <w:hideMark/>
          </w:tcPr>
          <w:p w14:paraId="73C4AC7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126,693</w:t>
            </w:r>
          </w:p>
        </w:tc>
      </w:tr>
      <w:tr w:rsidR="004B6132" w:rsidRPr="000B627D" w14:paraId="1119A88C"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F2F8C5"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063E92E8"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2022</w:t>
            </w:r>
          </w:p>
        </w:tc>
        <w:tc>
          <w:tcPr>
            <w:tcW w:w="0" w:type="auto"/>
            <w:noWrap/>
            <w:hideMark/>
          </w:tcPr>
          <w:p w14:paraId="2996932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11,301</w:t>
            </w:r>
          </w:p>
        </w:tc>
        <w:tc>
          <w:tcPr>
            <w:tcW w:w="0" w:type="auto"/>
            <w:noWrap/>
            <w:hideMark/>
          </w:tcPr>
          <w:p w14:paraId="1097A32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9,862</w:t>
            </w:r>
          </w:p>
        </w:tc>
        <w:tc>
          <w:tcPr>
            <w:tcW w:w="0" w:type="auto"/>
            <w:noWrap/>
            <w:hideMark/>
          </w:tcPr>
          <w:p w14:paraId="245A9ED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10,210</w:t>
            </w:r>
          </w:p>
        </w:tc>
        <w:tc>
          <w:tcPr>
            <w:tcW w:w="0" w:type="auto"/>
            <w:noWrap/>
            <w:hideMark/>
          </w:tcPr>
          <w:p w14:paraId="438C036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9,132</w:t>
            </w:r>
          </w:p>
        </w:tc>
        <w:tc>
          <w:tcPr>
            <w:tcW w:w="0" w:type="auto"/>
            <w:noWrap/>
            <w:hideMark/>
          </w:tcPr>
          <w:p w14:paraId="6D6C79A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9,637</w:t>
            </w:r>
          </w:p>
        </w:tc>
        <w:tc>
          <w:tcPr>
            <w:tcW w:w="0" w:type="auto"/>
            <w:noWrap/>
            <w:hideMark/>
          </w:tcPr>
          <w:p w14:paraId="75852FE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10,740</w:t>
            </w:r>
          </w:p>
        </w:tc>
        <w:tc>
          <w:tcPr>
            <w:tcW w:w="0" w:type="auto"/>
            <w:noWrap/>
            <w:hideMark/>
          </w:tcPr>
          <w:p w14:paraId="118B782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13,136</w:t>
            </w:r>
          </w:p>
        </w:tc>
        <w:tc>
          <w:tcPr>
            <w:tcW w:w="0" w:type="auto"/>
            <w:noWrap/>
            <w:hideMark/>
          </w:tcPr>
          <w:p w14:paraId="2E8E264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11,901</w:t>
            </w:r>
          </w:p>
        </w:tc>
        <w:tc>
          <w:tcPr>
            <w:tcW w:w="0" w:type="auto"/>
            <w:noWrap/>
            <w:hideMark/>
          </w:tcPr>
          <w:p w14:paraId="1E60042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10,022</w:t>
            </w:r>
          </w:p>
        </w:tc>
        <w:tc>
          <w:tcPr>
            <w:tcW w:w="0" w:type="auto"/>
            <w:noWrap/>
            <w:hideMark/>
          </w:tcPr>
          <w:p w14:paraId="648D38F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9,564</w:t>
            </w:r>
          </w:p>
        </w:tc>
        <w:tc>
          <w:tcPr>
            <w:tcW w:w="0" w:type="auto"/>
            <w:noWrap/>
            <w:hideMark/>
          </w:tcPr>
          <w:p w14:paraId="18D051C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9,767</w:t>
            </w:r>
          </w:p>
        </w:tc>
        <w:tc>
          <w:tcPr>
            <w:tcW w:w="0" w:type="auto"/>
            <w:noWrap/>
            <w:hideMark/>
          </w:tcPr>
          <w:p w14:paraId="0ADDE92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10,910</w:t>
            </w:r>
          </w:p>
        </w:tc>
        <w:tc>
          <w:tcPr>
            <w:tcW w:w="0" w:type="auto"/>
            <w:noWrap/>
            <w:hideMark/>
          </w:tcPr>
          <w:p w14:paraId="7E4751C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126,182</w:t>
            </w:r>
          </w:p>
        </w:tc>
      </w:tr>
      <w:tr w:rsidR="004B6132" w:rsidRPr="000B627D" w14:paraId="662E472E"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63C792"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2EEBF52C"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2023</w:t>
            </w:r>
          </w:p>
        </w:tc>
        <w:tc>
          <w:tcPr>
            <w:tcW w:w="0" w:type="auto"/>
            <w:noWrap/>
            <w:hideMark/>
          </w:tcPr>
          <w:p w14:paraId="2D29574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11,315</w:t>
            </w:r>
          </w:p>
        </w:tc>
        <w:tc>
          <w:tcPr>
            <w:tcW w:w="0" w:type="auto"/>
            <w:noWrap/>
            <w:hideMark/>
          </w:tcPr>
          <w:p w14:paraId="260509E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9,813</w:t>
            </w:r>
          </w:p>
        </w:tc>
        <w:tc>
          <w:tcPr>
            <w:tcW w:w="0" w:type="auto"/>
            <w:noWrap/>
            <w:hideMark/>
          </w:tcPr>
          <w:p w14:paraId="2A5A43C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10,140</w:t>
            </w:r>
          </w:p>
        </w:tc>
        <w:tc>
          <w:tcPr>
            <w:tcW w:w="0" w:type="auto"/>
            <w:noWrap/>
            <w:hideMark/>
          </w:tcPr>
          <w:p w14:paraId="63E7071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9,036</w:t>
            </w:r>
          </w:p>
        </w:tc>
        <w:tc>
          <w:tcPr>
            <w:tcW w:w="0" w:type="auto"/>
            <w:noWrap/>
            <w:hideMark/>
          </w:tcPr>
          <w:p w14:paraId="31085A2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9,677</w:t>
            </w:r>
          </w:p>
        </w:tc>
        <w:tc>
          <w:tcPr>
            <w:tcW w:w="0" w:type="auto"/>
            <w:noWrap/>
            <w:hideMark/>
          </w:tcPr>
          <w:p w14:paraId="287808C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10,776</w:t>
            </w:r>
          </w:p>
        </w:tc>
        <w:tc>
          <w:tcPr>
            <w:tcW w:w="0" w:type="auto"/>
            <w:noWrap/>
            <w:hideMark/>
          </w:tcPr>
          <w:p w14:paraId="1FF5760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13,123</w:t>
            </w:r>
          </w:p>
        </w:tc>
        <w:tc>
          <w:tcPr>
            <w:tcW w:w="0" w:type="auto"/>
            <w:noWrap/>
            <w:hideMark/>
          </w:tcPr>
          <w:p w14:paraId="26BD220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11,844</w:t>
            </w:r>
          </w:p>
        </w:tc>
        <w:tc>
          <w:tcPr>
            <w:tcW w:w="0" w:type="auto"/>
            <w:noWrap/>
            <w:hideMark/>
          </w:tcPr>
          <w:p w14:paraId="40CEAD8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9,904</w:t>
            </w:r>
          </w:p>
        </w:tc>
        <w:tc>
          <w:tcPr>
            <w:tcW w:w="0" w:type="auto"/>
            <w:noWrap/>
            <w:hideMark/>
          </w:tcPr>
          <w:p w14:paraId="53E3BEC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9,544</w:t>
            </w:r>
          </w:p>
        </w:tc>
        <w:tc>
          <w:tcPr>
            <w:tcW w:w="0" w:type="auto"/>
            <w:noWrap/>
            <w:hideMark/>
          </w:tcPr>
          <w:p w14:paraId="6319BA1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9,750</w:t>
            </w:r>
          </w:p>
        </w:tc>
        <w:tc>
          <w:tcPr>
            <w:tcW w:w="0" w:type="auto"/>
            <w:noWrap/>
            <w:hideMark/>
          </w:tcPr>
          <w:p w14:paraId="6D06001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10,866</w:t>
            </w:r>
          </w:p>
        </w:tc>
        <w:tc>
          <w:tcPr>
            <w:tcW w:w="0" w:type="auto"/>
            <w:noWrap/>
            <w:hideMark/>
          </w:tcPr>
          <w:p w14:paraId="1A3E617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125,790</w:t>
            </w:r>
          </w:p>
        </w:tc>
      </w:tr>
      <w:tr w:rsidR="004B6132" w:rsidRPr="000B627D" w14:paraId="301D5EE4"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6DA2F4"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41112C0E"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2024</w:t>
            </w:r>
          </w:p>
        </w:tc>
        <w:tc>
          <w:tcPr>
            <w:tcW w:w="0" w:type="auto"/>
            <w:noWrap/>
            <w:hideMark/>
          </w:tcPr>
          <w:p w14:paraId="4AD3DE8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11,208</w:t>
            </w:r>
          </w:p>
        </w:tc>
        <w:tc>
          <w:tcPr>
            <w:tcW w:w="0" w:type="auto"/>
            <w:noWrap/>
            <w:hideMark/>
          </w:tcPr>
          <w:p w14:paraId="3D0C481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10,268</w:t>
            </w:r>
          </w:p>
        </w:tc>
        <w:tc>
          <w:tcPr>
            <w:tcW w:w="0" w:type="auto"/>
            <w:noWrap/>
            <w:hideMark/>
          </w:tcPr>
          <w:p w14:paraId="1B3687E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10,142</w:t>
            </w:r>
          </w:p>
        </w:tc>
        <w:tc>
          <w:tcPr>
            <w:tcW w:w="0" w:type="auto"/>
            <w:noWrap/>
            <w:hideMark/>
          </w:tcPr>
          <w:p w14:paraId="160871D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9,116</w:t>
            </w:r>
          </w:p>
        </w:tc>
        <w:tc>
          <w:tcPr>
            <w:tcW w:w="0" w:type="auto"/>
            <w:noWrap/>
            <w:hideMark/>
          </w:tcPr>
          <w:p w14:paraId="5D037B6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9,445</w:t>
            </w:r>
          </w:p>
        </w:tc>
        <w:tc>
          <w:tcPr>
            <w:tcW w:w="0" w:type="auto"/>
            <w:noWrap/>
            <w:hideMark/>
          </w:tcPr>
          <w:p w14:paraId="69A0F5E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10,281</w:t>
            </w:r>
          </w:p>
        </w:tc>
        <w:tc>
          <w:tcPr>
            <w:tcW w:w="0" w:type="auto"/>
            <w:noWrap/>
            <w:hideMark/>
          </w:tcPr>
          <w:p w14:paraId="5F068B9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13,161</w:t>
            </w:r>
          </w:p>
        </w:tc>
        <w:tc>
          <w:tcPr>
            <w:tcW w:w="0" w:type="auto"/>
            <w:noWrap/>
            <w:hideMark/>
          </w:tcPr>
          <w:p w14:paraId="1924FBB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11,979</w:t>
            </w:r>
          </w:p>
        </w:tc>
        <w:tc>
          <w:tcPr>
            <w:tcW w:w="0" w:type="auto"/>
            <w:noWrap/>
            <w:hideMark/>
          </w:tcPr>
          <w:p w14:paraId="3AD869C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10,067</w:t>
            </w:r>
          </w:p>
        </w:tc>
        <w:tc>
          <w:tcPr>
            <w:tcW w:w="0" w:type="auto"/>
            <w:noWrap/>
            <w:hideMark/>
          </w:tcPr>
          <w:p w14:paraId="1B5DCA4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9,536</w:t>
            </w:r>
          </w:p>
        </w:tc>
        <w:tc>
          <w:tcPr>
            <w:tcW w:w="0" w:type="auto"/>
            <w:noWrap/>
            <w:hideMark/>
          </w:tcPr>
          <w:p w14:paraId="78261CB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9,507</w:t>
            </w:r>
          </w:p>
        </w:tc>
        <w:tc>
          <w:tcPr>
            <w:tcW w:w="0" w:type="auto"/>
            <w:noWrap/>
            <w:hideMark/>
          </w:tcPr>
          <w:p w14:paraId="6927D21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10,757</w:t>
            </w:r>
          </w:p>
        </w:tc>
        <w:tc>
          <w:tcPr>
            <w:tcW w:w="0" w:type="auto"/>
            <w:noWrap/>
            <w:hideMark/>
          </w:tcPr>
          <w:p w14:paraId="37B4DA0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125,467</w:t>
            </w:r>
          </w:p>
        </w:tc>
      </w:tr>
      <w:tr w:rsidR="004B6132" w:rsidRPr="000B627D" w14:paraId="2C9D5C5A"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CE1F93"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0B9E46F0"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2025</w:t>
            </w:r>
          </w:p>
        </w:tc>
        <w:tc>
          <w:tcPr>
            <w:tcW w:w="0" w:type="auto"/>
            <w:noWrap/>
            <w:hideMark/>
          </w:tcPr>
          <w:p w14:paraId="5214147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11,266</w:t>
            </w:r>
          </w:p>
        </w:tc>
        <w:tc>
          <w:tcPr>
            <w:tcW w:w="0" w:type="auto"/>
            <w:noWrap/>
            <w:hideMark/>
          </w:tcPr>
          <w:p w14:paraId="67620AA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9,875</w:t>
            </w:r>
          </w:p>
        </w:tc>
        <w:tc>
          <w:tcPr>
            <w:tcW w:w="0" w:type="auto"/>
            <w:noWrap/>
            <w:hideMark/>
          </w:tcPr>
          <w:p w14:paraId="3740427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10,122</w:t>
            </w:r>
          </w:p>
        </w:tc>
        <w:tc>
          <w:tcPr>
            <w:tcW w:w="0" w:type="auto"/>
            <w:noWrap/>
            <w:hideMark/>
          </w:tcPr>
          <w:p w14:paraId="3742FB9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9,101</w:t>
            </w:r>
          </w:p>
        </w:tc>
        <w:tc>
          <w:tcPr>
            <w:tcW w:w="0" w:type="auto"/>
            <w:noWrap/>
            <w:hideMark/>
          </w:tcPr>
          <w:p w14:paraId="1FB9BAD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9,442</w:t>
            </w:r>
          </w:p>
        </w:tc>
        <w:tc>
          <w:tcPr>
            <w:tcW w:w="0" w:type="auto"/>
            <w:noWrap/>
            <w:hideMark/>
          </w:tcPr>
          <w:p w14:paraId="3340FFA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10,383</w:t>
            </w:r>
          </w:p>
        </w:tc>
        <w:tc>
          <w:tcPr>
            <w:tcW w:w="0" w:type="auto"/>
            <w:noWrap/>
            <w:hideMark/>
          </w:tcPr>
          <w:p w14:paraId="5F9B883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13,202</w:t>
            </w:r>
          </w:p>
        </w:tc>
        <w:tc>
          <w:tcPr>
            <w:tcW w:w="0" w:type="auto"/>
            <w:noWrap/>
            <w:hideMark/>
          </w:tcPr>
          <w:p w14:paraId="6CC4D5A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11,905</w:t>
            </w:r>
          </w:p>
        </w:tc>
        <w:tc>
          <w:tcPr>
            <w:tcW w:w="0" w:type="auto"/>
            <w:noWrap/>
            <w:hideMark/>
          </w:tcPr>
          <w:p w14:paraId="564572A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10,071</w:t>
            </w:r>
          </w:p>
        </w:tc>
        <w:tc>
          <w:tcPr>
            <w:tcW w:w="0" w:type="auto"/>
            <w:noWrap/>
            <w:hideMark/>
          </w:tcPr>
          <w:p w14:paraId="414C952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9,528</w:t>
            </w:r>
          </w:p>
        </w:tc>
        <w:tc>
          <w:tcPr>
            <w:tcW w:w="0" w:type="auto"/>
            <w:noWrap/>
            <w:hideMark/>
          </w:tcPr>
          <w:p w14:paraId="32022E1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9,513</w:t>
            </w:r>
          </w:p>
        </w:tc>
        <w:tc>
          <w:tcPr>
            <w:tcW w:w="0" w:type="auto"/>
            <w:noWrap/>
            <w:hideMark/>
          </w:tcPr>
          <w:p w14:paraId="18AF020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10,804</w:t>
            </w:r>
          </w:p>
        </w:tc>
        <w:tc>
          <w:tcPr>
            <w:tcW w:w="0" w:type="auto"/>
            <w:noWrap/>
            <w:hideMark/>
          </w:tcPr>
          <w:p w14:paraId="0CEE4A1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125,212</w:t>
            </w:r>
          </w:p>
        </w:tc>
      </w:tr>
      <w:tr w:rsidR="004B6132" w:rsidRPr="000B627D" w14:paraId="18766E46"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ECB62C"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331588C8"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2026</w:t>
            </w:r>
          </w:p>
        </w:tc>
        <w:tc>
          <w:tcPr>
            <w:tcW w:w="0" w:type="auto"/>
            <w:noWrap/>
            <w:hideMark/>
          </w:tcPr>
          <w:p w14:paraId="5C2D2F7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11,230</w:t>
            </w:r>
          </w:p>
        </w:tc>
        <w:tc>
          <w:tcPr>
            <w:tcW w:w="0" w:type="auto"/>
            <w:noWrap/>
            <w:hideMark/>
          </w:tcPr>
          <w:p w14:paraId="4C835ED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9,826</w:t>
            </w:r>
          </w:p>
        </w:tc>
        <w:tc>
          <w:tcPr>
            <w:tcW w:w="0" w:type="auto"/>
            <w:noWrap/>
            <w:hideMark/>
          </w:tcPr>
          <w:p w14:paraId="66D96FA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10,098</w:t>
            </w:r>
          </w:p>
        </w:tc>
        <w:tc>
          <w:tcPr>
            <w:tcW w:w="0" w:type="auto"/>
            <w:noWrap/>
            <w:hideMark/>
          </w:tcPr>
          <w:p w14:paraId="3E9D8A4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9,047</w:t>
            </w:r>
          </w:p>
        </w:tc>
        <w:tc>
          <w:tcPr>
            <w:tcW w:w="0" w:type="auto"/>
            <w:noWrap/>
            <w:hideMark/>
          </w:tcPr>
          <w:p w14:paraId="3CCE7E2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9,396</w:t>
            </w:r>
          </w:p>
        </w:tc>
        <w:tc>
          <w:tcPr>
            <w:tcW w:w="0" w:type="auto"/>
            <w:noWrap/>
            <w:hideMark/>
          </w:tcPr>
          <w:p w14:paraId="58C9F55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10,465</w:t>
            </w:r>
          </w:p>
        </w:tc>
        <w:tc>
          <w:tcPr>
            <w:tcW w:w="0" w:type="auto"/>
            <w:noWrap/>
            <w:hideMark/>
          </w:tcPr>
          <w:p w14:paraId="56D597F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13,221</w:t>
            </w:r>
          </w:p>
        </w:tc>
        <w:tc>
          <w:tcPr>
            <w:tcW w:w="0" w:type="auto"/>
            <w:noWrap/>
            <w:hideMark/>
          </w:tcPr>
          <w:p w14:paraId="5B32DF2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11,825</w:t>
            </w:r>
          </w:p>
        </w:tc>
        <w:tc>
          <w:tcPr>
            <w:tcW w:w="0" w:type="auto"/>
            <w:noWrap/>
            <w:hideMark/>
          </w:tcPr>
          <w:p w14:paraId="49A6C20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10,016</w:t>
            </w:r>
          </w:p>
        </w:tc>
        <w:tc>
          <w:tcPr>
            <w:tcW w:w="0" w:type="auto"/>
            <w:noWrap/>
            <w:hideMark/>
          </w:tcPr>
          <w:p w14:paraId="1D6DE2C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9,460</w:t>
            </w:r>
          </w:p>
        </w:tc>
        <w:tc>
          <w:tcPr>
            <w:tcW w:w="0" w:type="auto"/>
            <w:noWrap/>
            <w:hideMark/>
          </w:tcPr>
          <w:p w14:paraId="1BA2BA0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9,536</w:t>
            </w:r>
          </w:p>
        </w:tc>
        <w:tc>
          <w:tcPr>
            <w:tcW w:w="0" w:type="auto"/>
            <w:noWrap/>
            <w:hideMark/>
          </w:tcPr>
          <w:p w14:paraId="4CC7531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10,808</w:t>
            </w:r>
          </w:p>
        </w:tc>
        <w:tc>
          <w:tcPr>
            <w:tcW w:w="0" w:type="auto"/>
            <w:noWrap/>
            <w:hideMark/>
          </w:tcPr>
          <w:p w14:paraId="15CA99A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124,927</w:t>
            </w:r>
          </w:p>
        </w:tc>
      </w:tr>
      <w:tr w:rsidR="004B6132" w:rsidRPr="000B627D" w14:paraId="025E2725"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71208A"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18FA0EF3"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2027</w:t>
            </w:r>
          </w:p>
        </w:tc>
        <w:tc>
          <w:tcPr>
            <w:tcW w:w="0" w:type="auto"/>
            <w:noWrap/>
            <w:hideMark/>
          </w:tcPr>
          <w:p w14:paraId="4C1C385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11,183</w:t>
            </w:r>
          </w:p>
        </w:tc>
        <w:tc>
          <w:tcPr>
            <w:tcW w:w="0" w:type="auto"/>
            <w:noWrap/>
            <w:hideMark/>
          </w:tcPr>
          <w:p w14:paraId="71A99CE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9,780</w:t>
            </w:r>
          </w:p>
        </w:tc>
        <w:tc>
          <w:tcPr>
            <w:tcW w:w="0" w:type="auto"/>
            <w:noWrap/>
            <w:hideMark/>
          </w:tcPr>
          <w:p w14:paraId="12F4E7B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10,077</w:t>
            </w:r>
          </w:p>
        </w:tc>
        <w:tc>
          <w:tcPr>
            <w:tcW w:w="0" w:type="auto"/>
            <w:noWrap/>
            <w:hideMark/>
          </w:tcPr>
          <w:p w14:paraId="586B22E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8,988</w:t>
            </w:r>
          </w:p>
        </w:tc>
        <w:tc>
          <w:tcPr>
            <w:tcW w:w="0" w:type="auto"/>
            <w:noWrap/>
            <w:hideMark/>
          </w:tcPr>
          <w:p w14:paraId="2126478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9,385</w:t>
            </w:r>
          </w:p>
        </w:tc>
        <w:tc>
          <w:tcPr>
            <w:tcW w:w="0" w:type="auto"/>
            <w:noWrap/>
            <w:hideMark/>
          </w:tcPr>
          <w:p w14:paraId="54925FC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10,542</w:t>
            </w:r>
          </w:p>
        </w:tc>
        <w:tc>
          <w:tcPr>
            <w:tcW w:w="0" w:type="auto"/>
            <w:noWrap/>
            <w:hideMark/>
          </w:tcPr>
          <w:p w14:paraId="0E704FE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13,183</w:t>
            </w:r>
          </w:p>
        </w:tc>
        <w:tc>
          <w:tcPr>
            <w:tcW w:w="0" w:type="auto"/>
            <w:noWrap/>
            <w:hideMark/>
          </w:tcPr>
          <w:p w14:paraId="05B6DE4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11,807</w:t>
            </w:r>
          </w:p>
        </w:tc>
        <w:tc>
          <w:tcPr>
            <w:tcW w:w="0" w:type="auto"/>
            <w:noWrap/>
            <w:hideMark/>
          </w:tcPr>
          <w:p w14:paraId="537A704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9,941</w:t>
            </w:r>
          </w:p>
        </w:tc>
        <w:tc>
          <w:tcPr>
            <w:tcW w:w="0" w:type="auto"/>
            <w:noWrap/>
            <w:hideMark/>
          </w:tcPr>
          <w:p w14:paraId="1B326B3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9,380</w:t>
            </w:r>
          </w:p>
        </w:tc>
        <w:tc>
          <w:tcPr>
            <w:tcW w:w="0" w:type="auto"/>
            <w:noWrap/>
            <w:hideMark/>
          </w:tcPr>
          <w:p w14:paraId="7848473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9,576</w:t>
            </w:r>
          </w:p>
        </w:tc>
        <w:tc>
          <w:tcPr>
            <w:tcW w:w="0" w:type="auto"/>
            <w:noWrap/>
            <w:hideMark/>
          </w:tcPr>
          <w:p w14:paraId="07E0FD3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10,802</w:t>
            </w:r>
          </w:p>
        </w:tc>
        <w:tc>
          <w:tcPr>
            <w:tcW w:w="0" w:type="auto"/>
            <w:noWrap/>
            <w:hideMark/>
          </w:tcPr>
          <w:p w14:paraId="5D5E368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124,644</w:t>
            </w:r>
          </w:p>
        </w:tc>
      </w:tr>
      <w:tr w:rsidR="004B6132" w:rsidRPr="000B627D" w14:paraId="3848D2F2"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106AF7"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1DE46C3D"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2028</w:t>
            </w:r>
          </w:p>
        </w:tc>
        <w:tc>
          <w:tcPr>
            <w:tcW w:w="0" w:type="auto"/>
            <w:noWrap/>
            <w:hideMark/>
          </w:tcPr>
          <w:p w14:paraId="5F1916E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11,155</w:t>
            </w:r>
          </w:p>
        </w:tc>
        <w:tc>
          <w:tcPr>
            <w:tcW w:w="0" w:type="auto"/>
            <w:noWrap/>
            <w:hideMark/>
          </w:tcPr>
          <w:p w14:paraId="6091A03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10,055</w:t>
            </w:r>
          </w:p>
        </w:tc>
        <w:tc>
          <w:tcPr>
            <w:tcW w:w="0" w:type="auto"/>
            <w:noWrap/>
            <w:hideMark/>
          </w:tcPr>
          <w:p w14:paraId="4DBB820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9,963</w:t>
            </w:r>
          </w:p>
        </w:tc>
        <w:tc>
          <w:tcPr>
            <w:tcW w:w="0" w:type="auto"/>
            <w:noWrap/>
            <w:hideMark/>
          </w:tcPr>
          <w:p w14:paraId="2D78BEB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8,824</w:t>
            </w:r>
          </w:p>
        </w:tc>
        <w:tc>
          <w:tcPr>
            <w:tcW w:w="0" w:type="auto"/>
            <w:noWrap/>
            <w:hideMark/>
          </w:tcPr>
          <w:p w14:paraId="0C38F00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9,476</w:t>
            </w:r>
          </w:p>
        </w:tc>
        <w:tc>
          <w:tcPr>
            <w:tcW w:w="0" w:type="auto"/>
            <w:noWrap/>
            <w:hideMark/>
          </w:tcPr>
          <w:p w14:paraId="7F5C56C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10,653</w:t>
            </w:r>
          </w:p>
        </w:tc>
        <w:tc>
          <w:tcPr>
            <w:tcW w:w="0" w:type="auto"/>
            <w:noWrap/>
            <w:hideMark/>
          </w:tcPr>
          <w:p w14:paraId="147A69F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13,100</w:t>
            </w:r>
          </w:p>
        </w:tc>
        <w:tc>
          <w:tcPr>
            <w:tcW w:w="0" w:type="auto"/>
            <w:noWrap/>
            <w:hideMark/>
          </w:tcPr>
          <w:p w14:paraId="373FCF7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11,756</w:t>
            </w:r>
          </w:p>
        </w:tc>
        <w:tc>
          <w:tcPr>
            <w:tcW w:w="0" w:type="auto"/>
            <w:noWrap/>
            <w:hideMark/>
          </w:tcPr>
          <w:p w14:paraId="260704E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9,737</w:t>
            </w:r>
          </w:p>
        </w:tc>
        <w:tc>
          <w:tcPr>
            <w:tcW w:w="0" w:type="auto"/>
            <w:noWrap/>
            <w:hideMark/>
          </w:tcPr>
          <w:p w14:paraId="7654421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9,337</w:t>
            </w:r>
          </w:p>
        </w:tc>
        <w:tc>
          <w:tcPr>
            <w:tcW w:w="0" w:type="auto"/>
            <w:noWrap/>
            <w:hideMark/>
          </w:tcPr>
          <w:p w14:paraId="1977AE2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9,577</w:t>
            </w:r>
          </w:p>
        </w:tc>
        <w:tc>
          <w:tcPr>
            <w:tcW w:w="0" w:type="auto"/>
            <w:noWrap/>
            <w:hideMark/>
          </w:tcPr>
          <w:p w14:paraId="1F61646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10,728</w:t>
            </w:r>
          </w:p>
        </w:tc>
        <w:tc>
          <w:tcPr>
            <w:tcW w:w="0" w:type="auto"/>
            <w:noWrap/>
            <w:hideMark/>
          </w:tcPr>
          <w:p w14:paraId="76550FB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124,362</w:t>
            </w:r>
          </w:p>
        </w:tc>
      </w:tr>
      <w:tr w:rsidR="004B6132" w:rsidRPr="000B627D" w14:paraId="135A38A7"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D1644E"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6801EEBB"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2029</w:t>
            </w:r>
          </w:p>
        </w:tc>
        <w:tc>
          <w:tcPr>
            <w:tcW w:w="0" w:type="auto"/>
            <w:noWrap/>
            <w:hideMark/>
          </w:tcPr>
          <w:p w14:paraId="2D30797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11,146</w:t>
            </w:r>
          </w:p>
        </w:tc>
        <w:tc>
          <w:tcPr>
            <w:tcW w:w="0" w:type="auto"/>
            <w:noWrap/>
            <w:hideMark/>
          </w:tcPr>
          <w:p w14:paraId="37AFA10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9,848</w:t>
            </w:r>
          </w:p>
        </w:tc>
        <w:tc>
          <w:tcPr>
            <w:tcW w:w="0" w:type="auto"/>
            <w:noWrap/>
            <w:hideMark/>
          </w:tcPr>
          <w:p w14:paraId="67C1F74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10,099</w:t>
            </w:r>
          </w:p>
        </w:tc>
        <w:tc>
          <w:tcPr>
            <w:tcW w:w="0" w:type="auto"/>
            <w:noWrap/>
            <w:hideMark/>
          </w:tcPr>
          <w:p w14:paraId="1738B8F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8,958</w:t>
            </w:r>
          </w:p>
        </w:tc>
        <w:tc>
          <w:tcPr>
            <w:tcW w:w="0" w:type="auto"/>
            <w:noWrap/>
            <w:hideMark/>
          </w:tcPr>
          <w:p w14:paraId="761D72F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9,281</w:t>
            </w:r>
          </w:p>
        </w:tc>
        <w:tc>
          <w:tcPr>
            <w:tcW w:w="0" w:type="auto"/>
            <w:noWrap/>
            <w:hideMark/>
          </w:tcPr>
          <w:p w14:paraId="62D12CC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10,175</w:t>
            </w:r>
          </w:p>
        </w:tc>
        <w:tc>
          <w:tcPr>
            <w:tcW w:w="0" w:type="auto"/>
            <w:noWrap/>
            <w:hideMark/>
          </w:tcPr>
          <w:p w14:paraId="0DAF924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13,116</w:t>
            </w:r>
          </w:p>
        </w:tc>
        <w:tc>
          <w:tcPr>
            <w:tcW w:w="0" w:type="auto"/>
            <w:noWrap/>
            <w:hideMark/>
          </w:tcPr>
          <w:p w14:paraId="238A97C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12,030</w:t>
            </w:r>
          </w:p>
        </w:tc>
        <w:tc>
          <w:tcPr>
            <w:tcW w:w="0" w:type="auto"/>
            <w:noWrap/>
            <w:hideMark/>
          </w:tcPr>
          <w:p w14:paraId="16EDE18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10,001</w:t>
            </w:r>
          </w:p>
        </w:tc>
        <w:tc>
          <w:tcPr>
            <w:tcW w:w="0" w:type="auto"/>
            <w:noWrap/>
            <w:hideMark/>
          </w:tcPr>
          <w:p w14:paraId="3EF0990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9,404</w:t>
            </w:r>
          </w:p>
        </w:tc>
        <w:tc>
          <w:tcPr>
            <w:tcW w:w="0" w:type="auto"/>
            <w:noWrap/>
            <w:hideMark/>
          </w:tcPr>
          <w:p w14:paraId="2F2C98B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9,388</w:t>
            </w:r>
          </w:p>
        </w:tc>
        <w:tc>
          <w:tcPr>
            <w:tcW w:w="0" w:type="auto"/>
            <w:noWrap/>
            <w:hideMark/>
          </w:tcPr>
          <w:p w14:paraId="5CEB43C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10,638</w:t>
            </w:r>
          </w:p>
        </w:tc>
        <w:tc>
          <w:tcPr>
            <w:tcW w:w="0" w:type="auto"/>
            <w:noWrap/>
            <w:hideMark/>
          </w:tcPr>
          <w:p w14:paraId="4894E67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124,082</w:t>
            </w:r>
          </w:p>
        </w:tc>
      </w:tr>
      <w:tr w:rsidR="004B6132" w:rsidRPr="000B627D" w14:paraId="3EC4A3DC"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3C14D8"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26F86276"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2030</w:t>
            </w:r>
          </w:p>
        </w:tc>
        <w:tc>
          <w:tcPr>
            <w:tcW w:w="0" w:type="auto"/>
            <w:noWrap/>
            <w:hideMark/>
          </w:tcPr>
          <w:p w14:paraId="21E600F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11,159</w:t>
            </w:r>
          </w:p>
        </w:tc>
        <w:tc>
          <w:tcPr>
            <w:tcW w:w="0" w:type="auto"/>
            <w:noWrap/>
            <w:hideMark/>
          </w:tcPr>
          <w:p w14:paraId="0FC0C5A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9,808</w:t>
            </w:r>
          </w:p>
        </w:tc>
        <w:tc>
          <w:tcPr>
            <w:tcW w:w="0" w:type="auto"/>
            <w:noWrap/>
            <w:hideMark/>
          </w:tcPr>
          <w:p w14:paraId="716A4B3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10,002</w:t>
            </w:r>
          </w:p>
        </w:tc>
        <w:tc>
          <w:tcPr>
            <w:tcW w:w="0" w:type="auto"/>
            <w:noWrap/>
            <w:hideMark/>
          </w:tcPr>
          <w:p w14:paraId="15D355E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8,944</w:t>
            </w:r>
          </w:p>
        </w:tc>
        <w:tc>
          <w:tcPr>
            <w:tcW w:w="0" w:type="auto"/>
            <w:noWrap/>
            <w:hideMark/>
          </w:tcPr>
          <w:p w14:paraId="6792E39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9,268</w:t>
            </w:r>
          </w:p>
        </w:tc>
        <w:tc>
          <w:tcPr>
            <w:tcW w:w="0" w:type="auto"/>
            <w:noWrap/>
            <w:hideMark/>
          </w:tcPr>
          <w:p w14:paraId="0931266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10,171</w:t>
            </w:r>
          </w:p>
        </w:tc>
        <w:tc>
          <w:tcPr>
            <w:tcW w:w="0" w:type="auto"/>
            <w:noWrap/>
            <w:hideMark/>
          </w:tcPr>
          <w:p w14:paraId="3D9B8A3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13,188</w:t>
            </w:r>
          </w:p>
        </w:tc>
        <w:tc>
          <w:tcPr>
            <w:tcW w:w="0" w:type="auto"/>
            <w:noWrap/>
            <w:hideMark/>
          </w:tcPr>
          <w:p w14:paraId="13118A4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11,943</w:t>
            </w:r>
          </w:p>
        </w:tc>
        <w:tc>
          <w:tcPr>
            <w:tcW w:w="0" w:type="auto"/>
            <w:noWrap/>
            <w:hideMark/>
          </w:tcPr>
          <w:p w14:paraId="22F20DF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9,947</w:t>
            </w:r>
          </w:p>
        </w:tc>
        <w:tc>
          <w:tcPr>
            <w:tcW w:w="0" w:type="auto"/>
            <w:noWrap/>
            <w:hideMark/>
          </w:tcPr>
          <w:p w14:paraId="3B0ED6E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9,365</w:t>
            </w:r>
          </w:p>
        </w:tc>
        <w:tc>
          <w:tcPr>
            <w:tcW w:w="0" w:type="auto"/>
            <w:noWrap/>
            <w:hideMark/>
          </w:tcPr>
          <w:p w14:paraId="4358619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9,357</w:t>
            </w:r>
          </w:p>
        </w:tc>
        <w:tc>
          <w:tcPr>
            <w:tcW w:w="0" w:type="auto"/>
            <w:noWrap/>
            <w:hideMark/>
          </w:tcPr>
          <w:p w14:paraId="30A5DF9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10,654</w:t>
            </w:r>
          </w:p>
        </w:tc>
        <w:tc>
          <w:tcPr>
            <w:tcW w:w="0" w:type="auto"/>
            <w:noWrap/>
            <w:hideMark/>
          </w:tcPr>
          <w:p w14:paraId="667F5AA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123,805</w:t>
            </w:r>
          </w:p>
        </w:tc>
      </w:tr>
      <w:tr w:rsidR="004B6132" w:rsidRPr="000B627D" w14:paraId="151B6611"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CF12CE"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5B11212E"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2031</w:t>
            </w:r>
          </w:p>
        </w:tc>
        <w:tc>
          <w:tcPr>
            <w:tcW w:w="0" w:type="auto"/>
            <w:noWrap/>
            <w:hideMark/>
          </w:tcPr>
          <w:p w14:paraId="3B32D25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11,159</w:t>
            </w:r>
          </w:p>
        </w:tc>
        <w:tc>
          <w:tcPr>
            <w:tcW w:w="0" w:type="auto"/>
            <w:noWrap/>
            <w:hideMark/>
          </w:tcPr>
          <w:p w14:paraId="27BBBA9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9,761</w:t>
            </w:r>
          </w:p>
        </w:tc>
        <w:tc>
          <w:tcPr>
            <w:tcW w:w="0" w:type="auto"/>
            <w:noWrap/>
            <w:hideMark/>
          </w:tcPr>
          <w:p w14:paraId="67F1A65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9,948</w:t>
            </w:r>
          </w:p>
        </w:tc>
        <w:tc>
          <w:tcPr>
            <w:tcW w:w="0" w:type="auto"/>
            <w:noWrap/>
            <w:hideMark/>
          </w:tcPr>
          <w:p w14:paraId="3C874AF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8,894</w:t>
            </w:r>
          </w:p>
        </w:tc>
        <w:tc>
          <w:tcPr>
            <w:tcW w:w="0" w:type="auto"/>
            <w:noWrap/>
            <w:hideMark/>
          </w:tcPr>
          <w:p w14:paraId="2D54E7F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9,229</w:t>
            </w:r>
          </w:p>
        </w:tc>
        <w:tc>
          <w:tcPr>
            <w:tcW w:w="0" w:type="auto"/>
            <w:noWrap/>
            <w:hideMark/>
          </w:tcPr>
          <w:p w14:paraId="2D54961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10,248</w:t>
            </w:r>
          </w:p>
        </w:tc>
        <w:tc>
          <w:tcPr>
            <w:tcW w:w="0" w:type="auto"/>
            <w:noWrap/>
            <w:hideMark/>
          </w:tcPr>
          <w:p w14:paraId="210F17F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13,207</w:t>
            </w:r>
          </w:p>
        </w:tc>
        <w:tc>
          <w:tcPr>
            <w:tcW w:w="0" w:type="auto"/>
            <w:noWrap/>
            <w:hideMark/>
          </w:tcPr>
          <w:p w14:paraId="5B176B9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11,836</w:t>
            </w:r>
          </w:p>
        </w:tc>
        <w:tc>
          <w:tcPr>
            <w:tcW w:w="0" w:type="auto"/>
            <w:noWrap/>
            <w:hideMark/>
          </w:tcPr>
          <w:p w14:paraId="2C8792A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9,920</w:t>
            </w:r>
          </w:p>
        </w:tc>
        <w:tc>
          <w:tcPr>
            <w:tcW w:w="0" w:type="auto"/>
            <w:noWrap/>
            <w:hideMark/>
          </w:tcPr>
          <w:p w14:paraId="6811710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9,322</w:t>
            </w:r>
          </w:p>
        </w:tc>
        <w:tc>
          <w:tcPr>
            <w:tcW w:w="0" w:type="auto"/>
            <w:noWrap/>
            <w:hideMark/>
          </w:tcPr>
          <w:p w14:paraId="002AC08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9,331</w:t>
            </w:r>
          </w:p>
        </w:tc>
        <w:tc>
          <w:tcPr>
            <w:tcW w:w="0" w:type="auto"/>
            <w:noWrap/>
            <w:hideMark/>
          </w:tcPr>
          <w:p w14:paraId="0329262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10,672</w:t>
            </w:r>
          </w:p>
        </w:tc>
        <w:tc>
          <w:tcPr>
            <w:tcW w:w="0" w:type="auto"/>
            <w:noWrap/>
            <w:hideMark/>
          </w:tcPr>
          <w:p w14:paraId="5CAA8774"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123,529</w:t>
            </w:r>
          </w:p>
        </w:tc>
      </w:tr>
      <w:tr w:rsidR="004B6132" w:rsidRPr="000B627D" w14:paraId="1615DAF7"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27542B"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1AD4E617"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2032</w:t>
            </w:r>
          </w:p>
        </w:tc>
        <w:tc>
          <w:tcPr>
            <w:tcW w:w="0" w:type="auto"/>
            <w:noWrap/>
            <w:hideMark/>
          </w:tcPr>
          <w:p w14:paraId="748BCC7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11,095</w:t>
            </w:r>
          </w:p>
        </w:tc>
        <w:tc>
          <w:tcPr>
            <w:tcW w:w="0" w:type="auto"/>
            <w:noWrap/>
            <w:hideMark/>
          </w:tcPr>
          <w:p w14:paraId="3230798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9,992</w:t>
            </w:r>
          </w:p>
        </w:tc>
        <w:tc>
          <w:tcPr>
            <w:tcW w:w="0" w:type="auto"/>
            <w:noWrap/>
            <w:hideMark/>
          </w:tcPr>
          <w:p w14:paraId="08B2163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9,901</w:t>
            </w:r>
          </w:p>
        </w:tc>
        <w:tc>
          <w:tcPr>
            <w:tcW w:w="0" w:type="auto"/>
            <w:noWrap/>
            <w:hideMark/>
          </w:tcPr>
          <w:p w14:paraId="330B195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8,781</w:t>
            </w:r>
          </w:p>
        </w:tc>
        <w:tc>
          <w:tcPr>
            <w:tcW w:w="0" w:type="auto"/>
            <w:noWrap/>
            <w:hideMark/>
          </w:tcPr>
          <w:p w14:paraId="4BD804E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9,176</w:t>
            </w:r>
          </w:p>
        </w:tc>
        <w:tc>
          <w:tcPr>
            <w:tcW w:w="0" w:type="auto"/>
            <w:noWrap/>
            <w:hideMark/>
          </w:tcPr>
          <w:p w14:paraId="3940299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10,411</w:t>
            </w:r>
          </w:p>
        </w:tc>
        <w:tc>
          <w:tcPr>
            <w:tcW w:w="0" w:type="auto"/>
            <w:noWrap/>
            <w:hideMark/>
          </w:tcPr>
          <w:p w14:paraId="6D89723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13,164</w:t>
            </w:r>
          </w:p>
        </w:tc>
        <w:tc>
          <w:tcPr>
            <w:tcW w:w="0" w:type="auto"/>
            <w:noWrap/>
            <w:hideMark/>
          </w:tcPr>
          <w:p w14:paraId="4CF0277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11,720</w:t>
            </w:r>
          </w:p>
        </w:tc>
        <w:tc>
          <w:tcPr>
            <w:tcW w:w="0" w:type="auto"/>
            <w:noWrap/>
            <w:hideMark/>
          </w:tcPr>
          <w:p w14:paraId="3427A92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9,781</w:t>
            </w:r>
          </w:p>
        </w:tc>
        <w:tc>
          <w:tcPr>
            <w:tcW w:w="0" w:type="auto"/>
            <w:noWrap/>
            <w:hideMark/>
          </w:tcPr>
          <w:p w14:paraId="7091D0C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9,172</w:t>
            </w:r>
          </w:p>
        </w:tc>
        <w:tc>
          <w:tcPr>
            <w:tcW w:w="0" w:type="auto"/>
            <w:noWrap/>
            <w:hideMark/>
          </w:tcPr>
          <w:p w14:paraId="250258C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9,398</w:t>
            </w:r>
          </w:p>
        </w:tc>
        <w:tc>
          <w:tcPr>
            <w:tcW w:w="0" w:type="auto"/>
            <w:noWrap/>
            <w:hideMark/>
          </w:tcPr>
          <w:p w14:paraId="66157E7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10,663</w:t>
            </w:r>
          </w:p>
        </w:tc>
        <w:tc>
          <w:tcPr>
            <w:tcW w:w="0" w:type="auto"/>
            <w:noWrap/>
            <w:hideMark/>
          </w:tcPr>
          <w:p w14:paraId="61A1C52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123,255</w:t>
            </w:r>
          </w:p>
        </w:tc>
      </w:tr>
      <w:tr w:rsidR="004B6132" w:rsidRPr="000B627D" w14:paraId="5C972E35"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7DEF20"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7D4B7DB5"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2033</w:t>
            </w:r>
          </w:p>
        </w:tc>
        <w:tc>
          <w:tcPr>
            <w:tcW w:w="0" w:type="auto"/>
            <w:noWrap/>
            <w:hideMark/>
          </w:tcPr>
          <w:p w14:paraId="542275D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11,092</w:t>
            </w:r>
          </w:p>
        </w:tc>
        <w:tc>
          <w:tcPr>
            <w:tcW w:w="0" w:type="auto"/>
            <w:noWrap/>
            <w:hideMark/>
          </w:tcPr>
          <w:p w14:paraId="490FF1A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9,635</w:t>
            </w:r>
          </w:p>
        </w:tc>
        <w:tc>
          <w:tcPr>
            <w:tcW w:w="0" w:type="auto"/>
            <w:noWrap/>
            <w:hideMark/>
          </w:tcPr>
          <w:p w14:paraId="03B67C1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9,882</w:t>
            </w:r>
          </w:p>
        </w:tc>
        <w:tc>
          <w:tcPr>
            <w:tcW w:w="0" w:type="auto"/>
            <w:noWrap/>
            <w:hideMark/>
          </w:tcPr>
          <w:p w14:paraId="0AC46CA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8,734</w:t>
            </w:r>
          </w:p>
        </w:tc>
        <w:tc>
          <w:tcPr>
            <w:tcW w:w="0" w:type="auto"/>
            <w:noWrap/>
            <w:hideMark/>
          </w:tcPr>
          <w:p w14:paraId="2C8A2AA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9,247</w:t>
            </w:r>
          </w:p>
        </w:tc>
        <w:tc>
          <w:tcPr>
            <w:tcW w:w="0" w:type="auto"/>
            <w:noWrap/>
            <w:hideMark/>
          </w:tcPr>
          <w:p w14:paraId="4B9206A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10,514</w:t>
            </w:r>
          </w:p>
        </w:tc>
        <w:tc>
          <w:tcPr>
            <w:tcW w:w="0" w:type="auto"/>
            <w:noWrap/>
            <w:hideMark/>
          </w:tcPr>
          <w:p w14:paraId="3C1710C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13,127</w:t>
            </w:r>
          </w:p>
        </w:tc>
        <w:tc>
          <w:tcPr>
            <w:tcW w:w="0" w:type="auto"/>
            <w:noWrap/>
            <w:hideMark/>
          </w:tcPr>
          <w:p w14:paraId="5BEBC51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11,760</w:t>
            </w:r>
          </w:p>
        </w:tc>
        <w:tc>
          <w:tcPr>
            <w:tcW w:w="0" w:type="auto"/>
            <w:noWrap/>
            <w:hideMark/>
          </w:tcPr>
          <w:p w14:paraId="7EF5B80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9,721</w:t>
            </w:r>
          </w:p>
        </w:tc>
        <w:tc>
          <w:tcPr>
            <w:tcW w:w="0" w:type="auto"/>
            <w:noWrap/>
            <w:hideMark/>
          </w:tcPr>
          <w:p w14:paraId="33A2FF1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9,169</w:t>
            </w:r>
          </w:p>
        </w:tc>
        <w:tc>
          <w:tcPr>
            <w:tcW w:w="0" w:type="auto"/>
            <w:noWrap/>
            <w:hideMark/>
          </w:tcPr>
          <w:p w14:paraId="0F205DD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9,440</w:t>
            </w:r>
          </w:p>
        </w:tc>
        <w:tc>
          <w:tcPr>
            <w:tcW w:w="0" w:type="auto"/>
            <w:noWrap/>
            <w:hideMark/>
          </w:tcPr>
          <w:p w14:paraId="67BC9DB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10,662</w:t>
            </w:r>
          </w:p>
        </w:tc>
        <w:tc>
          <w:tcPr>
            <w:tcW w:w="0" w:type="auto"/>
            <w:noWrap/>
            <w:hideMark/>
          </w:tcPr>
          <w:p w14:paraId="49FBD13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122,982</w:t>
            </w:r>
          </w:p>
        </w:tc>
      </w:tr>
      <w:tr w:rsidR="004B6132" w:rsidRPr="000B627D" w14:paraId="0D926621"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D49CAB"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2D8B17CD"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2034</w:t>
            </w:r>
          </w:p>
        </w:tc>
        <w:tc>
          <w:tcPr>
            <w:tcW w:w="0" w:type="auto"/>
            <w:noWrap/>
            <w:hideMark/>
          </w:tcPr>
          <w:p w14:paraId="4C1CD87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11,121</w:t>
            </w:r>
          </w:p>
        </w:tc>
        <w:tc>
          <w:tcPr>
            <w:tcW w:w="0" w:type="auto"/>
            <w:noWrap/>
            <w:hideMark/>
          </w:tcPr>
          <w:p w14:paraId="09A9CBB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9,593</w:t>
            </w:r>
          </w:p>
        </w:tc>
        <w:tc>
          <w:tcPr>
            <w:tcW w:w="0" w:type="auto"/>
            <w:noWrap/>
            <w:hideMark/>
          </w:tcPr>
          <w:p w14:paraId="51F7F31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9,819</w:t>
            </w:r>
          </w:p>
        </w:tc>
        <w:tc>
          <w:tcPr>
            <w:tcW w:w="0" w:type="auto"/>
            <w:noWrap/>
            <w:hideMark/>
          </w:tcPr>
          <w:p w14:paraId="303545C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8,641</w:t>
            </w:r>
          </w:p>
        </w:tc>
        <w:tc>
          <w:tcPr>
            <w:tcW w:w="0" w:type="auto"/>
            <w:noWrap/>
            <w:hideMark/>
          </w:tcPr>
          <w:p w14:paraId="06C35C6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9,305</w:t>
            </w:r>
          </w:p>
        </w:tc>
        <w:tc>
          <w:tcPr>
            <w:tcW w:w="0" w:type="auto"/>
            <w:noWrap/>
            <w:hideMark/>
          </w:tcPr>
          <w:p w14:paraId="0FBDC01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10,568</w:t>
            </w:r>
          </w:p>
        </w:tc>
        <w:tc>
          <w:tcPr>
            <w:tcW w:w="0" w:type="auto"/>
            <w:noWrap/>
            <w:hideMark/>
          </w:tcPr>
          <w:p w14:paraId="7D7E8A1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13,126</w:t>
            </w:r>
          </w:p>
        </w:tc>
        <w:tc>
          <w:tcPr>
            <w:tcW w:w="0" w:type="auto"/>
            <w:noWrap/>
            <w:hideMark/>
          </w:tcPr>
          <w:p w14:paraId="7A858C5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11,711</w:t>
            </w:r>
          </w:p>
        </w:tc>
        <w:tc>
          <w:tcPr>
            <w:tcW w:w="0" w:type="auto"/>
            <w:noWrap/>
            <w:hideMark/>
          </w:tcPr>
          <w:p w14:paraId="7065F81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9,604</w:t>
            </w:r>
          </w:p>
        </w:tc>
        <w:tc>
          <w:tcPr>
            <w:tcW w:w="0" w:type="auto"/>
            <w:noWrap/>
            <w:hideMark/>
          </w:tcPr>
          <w:p w14:paraId="12EB686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9,161</w:t>
            </w:r>
          </w:p>
        </w:tc>
        <w:tc>
          <w:tcPr>
            <w:tcW w:w="0" w:type="auto"/>
            <w:noWrap/>
            <w:hideMark/>
          </w:tcPr>
          <w:p w14:paraId="6C109CA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9,435</w:t>
            </w:r>
          </w:p>
        </w:tc>
        <w:tc>
          <w:tcPr>
            <w:tcW w:w="0" w:type="auto"/>
            <w:noWrap/>
            <w:hideMark/>
          </w:tcPr>
          <w:p w14:paraId="54572BE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10,627</w:t>
            </w:r>
          </w:p>
        </w:tc>
        <w:tc>
          <w:tcPr>
            <w:tcW w:w="0" w:type="auto"/>
            <w:noWrap/>
            <w:hideMark/>
          </w:tcPr>
          <w:p w14:paraId="2F3B35F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122,712</w:t>
            </w:r>
          </w:p>
        </w:tc>
      </w:tr>
      <w:tr w:rsidR="004B6132" w:rsidRPr="000B627D" w14:paraId="463B7AF1"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64BD34"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67BB5D16"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2035</w:t>
            </w:r>
          </w:p>
        </w:tc>
        <w:tc>
          <w:tcPr>
            <w:tcW w:w="0" w:type="auto"/>
            <w:noWrap/>
            <w:hideMark/>
          </w:tcPr>
          <w:p w14:paraId="19EF161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11,041</w:t>
            </w:r>
          </w:p>
        </w:tc>
        <w:tc>
          <w:tcPr>
            <w:tcW w:w="0" w:type="auto"/>
            <w:noWrap/>
            <w:hideMark/>
          </w:tcPr>
          <w:p w14:paraId="042F6F4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9,740</w:t>
            </w:r>
          </w:p>
        </w:tc>
        <w:tc>
          <w:tcPr>
            <w:tcW w:w="0" w:type="auto"/>
            <w:noWrap/>
            <w:hideMark/>
          </w:tcPr>
          <w:p w14:paraId="2ACD11D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9,934</w:t>
            </w:r>
          </w:p>
        </w:tc>
        <w:tc>
          <w:tcPr>
            <w:tcW w:w="0" w:type="auto"/>
            <w:noWrap/>
            <w:hideMark/>
          </w:tcPr>
          <w:p w14:paraId="1831780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8,753</w:t>
            </w:r>
          </w:p>
        </w:tc>
        <w:tc>
          <w:tcPr>
            <w:tcW w:w="0" w:type="auto"/>
            <w:noWrap/>
            <w:hideMark/>
          </w:tcPr>
          <w:p w14:paraId="3CD5D2F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9,070</w:t>
            </w:r>
          </w:p>
        </w:tc>
        <w:tc>
          <w:tcPr>
            <w:tcW w:w="0" w:type="auto"/>
            <w:noWrap/>
            <w:hideMark/>
          </w:tcPr>
          <w:p w14:paraId="720A6F2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10,038</w:t>
            </w:r>
          </w:p>
        </w:tc>
        <w:tc>
          <w:tcPr>
            <w:tcW w:w="0" w:type="auto"/>
            <w:noWrap/>
            <w:hideMark/>
          </w:tcPr>
          <w:p w14:paraId="1557BBF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13,122</w:t>
            </w:r>
          </w:p>
        </w:tc>
        <w:tc>
          <w:tcPr>
            <w:tcW w:w="0" w:type="auto"/>
            <w:noWrap/>
            <w:hideMark/>
          </w:tcPr>
          <w:p w14:paraId="61D373A8"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11,976</w:t>
            </w:r>
          </w:p>
        </w:tc>
        <w:tc>
          <w:tcPr>
            <w:tcW w:w="0" w:type="auto"/>
            <w:noWrap/>
            <w:hideMark/>
          </w:tcPr>
          <w:p w14:paraId="0808EE5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9,855</w:t>
            </w:r>
          </w:p>
        </w:tc>
        <w:tc>
          <w:tcPr>
            <w:tcW w:w="0" w:type="auto"/>
            <w:noWrap/>
            <w:hideMark/>
          </w:tcPr>
          <w:p w14:paraId="59AB5DAF"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9,201</w:t>
            </w:r>
          </w:p>
        </w:tc>
        <w:tc>
          <w:tcPr>
            <w:tcW w:w="0" w:type="auto"/>
            <w:noWrap/>
            <w:hideMark/>
          </w:tcPr>
          <w:p w14:paraId="1E35EEA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9,209</w:t>
            </w:r>
          </w:p>
        </w:tc>
        <w:tc>
          <w:tcPr>
            <w:tcW w:w="0" w:type="auto"/>
            <w:noWrap/>
            <w:hideMark/>
          </w:tcPr>
          <w:p w14:paraId="161020C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10,506</w:t>
            </w:r>
          </w:p>
        </w:tc>
        <w:tc>
          <w:tcPr>
            <w:tcW w:w="0" w:type="auto"/>
            <w:noWrap/>
            <w:hideMark/>
          </w:tcPr>
          <w:p w14:paraId="03C5618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122,443</w:t>
            </w:r>
          </w:p>
        </w:tc>
      </w:tr>
      <w:tr w:rsidR="004B6132" w:rsidRPr="000B627D" w14:paraId="2C5DE6AE"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E855E6"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56345D67"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2036</w:t>
            </w:r>
          </w:p>
        </w:tc>
        <w:tc>
          <w:tcPr>
            <w:tcW w:w="0" w:type="auto"/>
            <w:noWrap/>
            <w:hideMark/>
          </w:tcPr>
          <w:p w14:paraId="31F0143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11,029</w:t>
            </w:r>
          </w:p>
        </w:tc>
        <w:tc>
          <w:tcPr>
            <w:tcW w:w="0" w:type="auto"/>
            <w:noWrap/>
            <w:hideMark/>
          </w:tcPr>
          <w:p w14:paraId="6243FC4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10,013</w:t>
            </w:r>
          </w:p>
        </w:tc>
        <w:tc>
          <w:tcPr>
            <w:tcW w:w="0" w:type="auto"/>
            <w:noWrap/>
            <w:hideMark/>
          </w:tcPr>
          <w:p w14:paraId="65325DD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9,776</w:t>
            </w:r>
          </w:p>
        </w:tc>
        <w:tc>
          <w:tcPr>
            <w:tcW w:w="0" w:type="auto"/>
            <w:noWrap/>
            <w:hideMark/>
          </w:tcPr>
          <w:p w14:paraId="58474C2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8,691</w:t>
            </w:r>
          </w:p>
        </w:tc>
        <w:tc>
          <w:tcPr>
            <w:tcW w:w="0" w:type="auto"/>
            <w:noWrap/>
            <w:hideMark/>
          </w:tcPr>
          <w:p w14:paraId="4241A42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9,022</w:t>
            </w:r>
          </w:p>
        </w:tc>
        <w:tc>
          <w:tcPr>
            <w:tcW w:w="0" w:type="auto"/>
            <w:noWrap/>
            <w:hideMark/>
          </w:tcPr>
          <w:p w14:paraId="6B441FA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10,112</w:t>
            </w:r>
          </w:p>
        </w:tc>
        <w:tc>
          <w:tcPr>
            <w:tcW w:w="0" w:type="auto"/>
            <w:noWrap/>
            <w:hideMark/>
          </w:tcPr>
          <w:p w14:paraId="2F7FF4B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13,197</w:t>
            </w:r>
          </w:p>
        </w:tc>
        <w:tc>
          <w:tcPr>
            <w:tcW w:w="0" w:type="auto"/>
            <w:noWrap/>
            <w:hideMark/>
          </w:tcPr>
          <w:p w14:paraId="5ADB9AE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11,759</w:t>
            </w:r>
          </w:p>
        </w:tc>
        <w:tc>
          <w:tcPr>
            <w:tcW w:w="0" w:type="auto"/>
            <w:noWrap/>
            <w:hideMark/>
          </w:tcPr>
          <w:p w14:paraId="35D2268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9,769</w:t>
            </w:r>
          </w:p>
        </w:tc>
        <w:tc>
          <w:tcPr>
            <w:tcW w:w="0" w:type="auto"/>
            <w:noWrap/>
            <w:hideMark/>
          </w:tcPr>
          <w:p w14:paraId="5A1D9D2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9,121</w:t>
            </w:r>
          </w:p>
        </w:tc>
        <w:tc>
          <w:tcPr>
            <w:tcW w:w="0" w:type="auto"/>
            <w:noWrap/>
            <w:hideMark/>
          </w:tcPr>
          <w:p w14:paraId="3D22C845"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9,151</w:t>
            </w:r>
          </w:p>
        </w:tc>
        <w:tc>
          <w:tcPr>
            <w:tcW w:w="0" w:type="auto"/>
            <w:noWrap/>
            <w:hideMark/>
          </w:tcPr>
          <w:p w14:paraId="7A69D68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10,538</w:t>
            </w:r>
          </w:p>
        </w:tc>
        <w:tc>
          <w:tcPr>
            <w:tcW w:w="0" w:type="auto"/>
            <w:noWrap/>
            <w:hideMark/>
          </w:tcPr>
          <w:p w14:paraId="4957121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122,176</w:t>
            </w:r>
          </w:p>
        </w:tc>
      </w:tr>
      <w:tr w:rsidR="004B6132" w:rsidRPr="000B627D" w14:paraId="4BA448ED"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677163"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0075A415"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2037</w:t>
            </w:r>
          </w:p>
        </w:tc>
        <w:tc>
          <w:tcPr>
            <w:tcW w:w="0" w:type="auto"/>
            <w:noWrap/>
            <w:hideMark/>
          </w:tcPr>
          <w:p w14:paraId="3C24673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11,039</w:t>
            </w:r>
          </w:p>
        </w:tc>
        <w:tc>
          <w:tcPr>
            <w:tcW w:w="0" w:type="auto"/>
            <w:noWrap/>
            <w:hideMark/>
          </w:tcPr>
          <w:p w14:paraId="5B9760B2"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9,619</w:t>
            </w:r>
          </w:p>
        </w:tc>
        <w:tc>
          <w:tcPr>
            <w:tcW w:w="0" w:type="auto"/>
            <w:noWrap/>
            <w:hideMark/>
          </w:tcPr>
          <w:p w14:paraId="5965842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9,785</w:t>
            </w:r>
          </w:p>
        </w:tc>
        <w:tc>
          <w:tcPr>
            <w:tcW w:w="0" w:type="auto"/>
            <w:noWrap/>
            <w:hideMark/>
          </w:tcPr>
          <w:p w14:paraId="268C815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8,668</w:t>
            </w:r>
          </w:p>
        </w:tc>
        <w:tc>
          <w:tcPr>
            <w:tcW w:w="0" w:type="auto"/>
            <w:noWrap/>
            <w:hideMark/>
          </w:tcPr>
          <w:p w14:paraId="774A11D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9,010</w:t>
            </w:r>
          </w:p>
        </w:tc>
        <w:tc>
          <w:tcPr>
            <w:tcW w:w="0" w:type="auto"/>
            <w:noWrap/>
            <w:hideMark/>
          </w:tcPr>
          <w:p w14:paraId="6F9C146A"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10,236</w:t>
            </w:r>
          </w:p>
        </w:tc>
        <w:tc>
          <w:tcPr>
            <w:tcW w:w="0" w:type="auto"/>
            <w:noWrap/>
            <w:hideMark/>
          </w:tcPr>
          <w:p w14:paraId="51C80B2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13,242</w:t>
            </w:r>
          </w:p>
        </w:tc>
        <w:tc>
          <w:tcPr>
            <w:tcW w:w="0" w:type="auto"/>
            <w:noWrap/>
            <w:hideMark/>
          </w:tcPr>
          <w:p w14:paraId="02601576"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11,700</w:t>
            </w:r>
          </w:p>
        </w:tc>
        <w:tc>
          <w:tcPr>
            <w:tcW w:w="0" w:type="auto"/>
            <w:noWrap/>
            <w:hideMark/>
          </w:tcPr>
          <w:p w14:paraId="3B23F7E1"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9,741</w:t>
            </w:r>
          </w:p>
        </w:tc>
        <w:tc>
          <w:tcPr>
            <w:tcW w:w="0" w:type="auto"/>
            <w:noWrap/>
            <w:hideMark/>
          </w:tcPr>
          <w:p w14:paraId="6DE94C6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9,083</w:t>
            </w:r>
          </w:p>
        </w:tc>
        <w:tc>
          <w:tcPr>
            <w:tcW w:w="0" w:type="auto"/>
            <w:noWrap/>
            <w:hideMark/>
          </w:tcPr>
          <w:p w14:paraId="2A25F2B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9,212</w:t>
            </w:r>
          </w:p>
        </w:tc>
        <w:tc>
          <w:tcPr>
            <w:tcW w:w="0" w:type="auto"/>
            <w:noWrap/>
            <w:hideMark/>
          </w:tcPr>
          <w:p w14:paraId="0CDC95A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10,575</w:t>
            </w:r>
          </w:p>
        </w:tc>
        <w:tc>
          <w:tcPr>
            <w:tcW w:w="0" w:type="auto"/>
            <w:noWrap/>
            <w:hideMark/>
          </w:tcPr>
          <w:p w14:paraId="0566966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121,911</w:t>
            </w:r>
          </w:p>
        </w:tc>
      </w:tr>
      <w:tr w:rsidR="004B6132" w:rsidRPr="000B627D" w14:paraId="0F1DE486"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E9AB0"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11D1560A"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2038</w:t>
            </w:r>
          </w:p>
        </w:tc>
        <w:tc>
          <w:tcPr>
            <w:tcW w:w="0" w:type="auto"/>
            <w:noWrap/>
            <w:hideMark/>
          </w:tcPr>
          <w:p w14:paraId="26DE7A1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10,991</w:t>
            </w:r>
          </w:p>
        </w:tc>
        <w:tc>
          <w:tcPr>
            <w:tcW w:w="0" w:type="auto"/>
            <w:noWrap/>
            <w:hideMark/>
          </w:tcPr>
          <w:p w14:paraId="3FFF0153"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9,571</w:t>
            </w:r>
          </w:p>
        </w:tc>
        <w:tc>
          <w:tcPr>
            <w:tcW w:w="0" w:type="auto"/>
            <w:noWrap/>
            <w:hideMark/>
          </w:tcPr>
          <w:p w14:paraId="34E2AAB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9,767</w:t>
            </w:r>
          </w:p>
        </w:tc>
        <w:tc>
          <w:tcPr>
            <w:tcW w:w="0" w:type="auto"/>
            <w:noWrap/>
            <w:hideMark/>
          </w:tcPr>
          <w:p w14:paraId="76BCE97A"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8,609</w:t>
            </w:r>
          </w:p>
        </w:tc>
        <w:tc>
          <w:tcPr>
            <w:tcW w:w="0" w:type="auto"/>
            <w:noWrap/>
            <w:hideMark/>
          </w:tcPr>
          <w:p w14:paraId="4855DED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9,002</w:t>
            </w:r>
          </w:p>
        </w:tc>
        <w:tc>
          <w:tcPr>
            <w:tcW w:w="0" w:type="auto"/>
            <w:noWrap/>
            <w:hideMark/>
          </w:tcPr>
          <w:p w14:paraId="215298C7"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10,324</w:t>
            </w:r>
          </w:p>
        </w:tc>
        <w:tc>
          <w:tcPr>
            <w:tcW w:w="0" w:type="auto"/>
            <w:noWrap/>
            <w:hideMark/>
          </w:tcPr>
          <w:p w14:paraId="78BBC66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13,203</w:t>
            </w:r>
          </w:p>
        </w:tc>
        <w:tc>
          <w:tcPr>
            <w:tcW w:w="0" w:type="auto"/>
            <w:noWrap/>
            <w:hideMark/>
          </w:tcPr>
          <w:p w14:paraId="56B6915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11,683</w:t>
            </w:r>
          </w:p>
        </w:tc>
        <w:tc>
          <w:tcPr>
            <w:tcW w:w="0" w:type="auto"/>
            <w:noWrap/>
            <w:hideMark/>
          </w:tcPr>
          <w:p w14:paraId="34F38F0D"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9,662</w:t>
            </w:r>
          </w:p>
        </w:tc>
        <w:tc>
          <w:tcPr>
            <w:tcW w:w="0" w:type="auto"/>
            <w:noWrap/>
            <w:hideMark/>
          </w:tcPr>
          <w:p w14:paraId="7EC3BFA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9,000</w:t>
            </w:r>
          </w:p>
        </w:tc>
        <w:tc>
          <w:tcPr>
            <w:tcW w:w="0" w:type="auto"/>
            <w:noWrap/>
            <w:hideMark/>
          </w:tcPr>
          <w:p w14:paraId="369BA8D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9,261</w:t>
            </w:r>
          </w:p>
        </w:tc>
        <w:tc>
          <w:tcPr>
            <w:tcW w:w="0" w:type="auto"/>
            <w:noWrap/>
            <w:hideMark/>
          </w:tcPr>
          <w:p w14:paraId="0CA9AEE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10,573</w:t>
            </w:r>
          </w:p>
        </w:tc>
        <w:tc>
          <w:tcPr>
            <w:tcW w:w="0" w:type="auto"/>
            <w:noWrap/>
            <w:hideMark/>
          </w:tcPr>
          <w:p w14:paraId="64A7A97C"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121,648</w:t>
            </w:r>
          </w:p>
        </w:tc>
      </w:tr>
      <w:tr w:rsidR="004B6132" w:rsidRPr="000B627D" w14:paraId="7DE61D75" w14:textId="77777777" w:rsidTr="00AF4F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D4A06E"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601B54D4"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2039</w:t>
            </w:r>
          </w:p>
        </w:tc>
        <w:tc>
          <w:tcPr>
            <w:tcW w:w="0" w:type="auto"/>
            <w:noWrap/>
            <w:hideMark/>
          </w:tcPr>
          <w:p w14:paraId="1392440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10,991</w:t>
            </w:r>
          </w:p>
        </w:tc>
        <w:tc>
          <w:tcPr>
            <w:tcW w:w="0" w:type="auto"/>
            <w:noWrap/>
            <w:hideMark/>
          </w:tcPr>
          <w:p w14:paraId="6D4963F0"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9,522</w:t>
            </w:r>
          </w:p>
        </w:tc>
        <w:tc>
          <w:tcPr>
            <w:tcW w:w="0" w:type="auto"/>
            <w:noWrap/>
            <w:hideMark/>
          </w:tcPr>
          <w:p w14:paraId="338BD763"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9,714</w:t>
            </w:r>
          </w:p>
        </w:tc>
        <w:tc>
          <w:tcPr>
            <w:tcW w:w="0" w:type="auto"/>
            <w:noWrap/>
            <w:hideMark/>
          </w:tcPr>
          <w:p w14:paraId="16D2CBB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8,527</w:t>
            </w:r>
          </w:p>
        </w:tc>
        <w:tc>
          <w:tcPr>
            <w:tcW w:w="0" w:type="auto"/>
            <w:noWrap/>
            <w:hideMark/>
          </w:tcPr>
          <w:p w14:paraId="2FDD90F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9,045</w:t>
            </w:r>
          </w:p>
        </w:tc>
        <w:tc>
          <w:tcPr>
            <w:tcW w:w="0" w:type="auto"/>
            <w:noWrap/>
            <w:hideMark/>
          </w:tcPr>
          <w:p w14:paraId="620ED54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10,404</w:t>
            </w:r>
          </w:p>
        </w:tc>
        <w:tc>
          <w:tcPr>
            <w:tcW w:w="0" w:type="auto"/>
            <w:noWrap/>
            <w:hideMark/>
          </w:tcPr>
          <w:p w14:paraId="6E19E40E"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13,140</w:t>
            </w:r>
          </w:p>
        </w:tc>
        <w:tc>
          <w:tcPr>
            <w:tcW w:w="0" w:type="auto"/>
            <w:noWrap/>
            <w:hideMark/>
          </w:tcPr>
          <w:p w14:paraId="724EDB4D"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11,698</w:t>
            </w:r>
          </w:p>
        </w:tc>
        <w:tc>
          <w:tcPr>
            <w:tcW w:w="0" w:type="auto"/>
            <w:noWrap/>
            <w:hideMark/>
          </w:tcPr>
          <w:p w14:paraId="564020AB"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9,568</w:t>
            </w:r>
          </w:p>
        </w:tc>
        <w:tc>
          <w:tcPr>
            <w:tcW w:w="0" w:type="auto"/>
            <w:noWrap/>
            <w:hideMark/>
          </w:tcPr>
          <w:p w14:paraId="75321829"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8,965</w:t>
            </w:r>
          </w:p>
        </w:tc>
        <w:tc>
          <w:tcPr>
            <w:tcW w:w="0" w:type="auto"/>
            <w:noWrap/>
            <w:hideMark/>
          </w:tcPr>
          <w:p w14:paraId="1DD5C725"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9,273</w:t>
            </w:r>
          </w:p>
        </w:tc>
        <w:tc>
          <w:tcPr>
            <w:tcW w:w="0" w:type="auto"/>
            <w:noWrap/>
            <w:hideMark/>
          </w:tcPr>
          <w:p w14:paraId="2D459FCC"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10,540</w:t>
            </w:r>
          </w:p>
        </w:tc>
        <w:tc>
          <w:tcPr>
            <w:tcW w:w="0" w:type="auto"/>
            <w:noWrap/>
            <w:hideMark/>
          </w:tcPr>
          <w:p w14:paraId="63102847" w14:textId="77777777" w:rsidR="004B6132" w:rsidRPr="000B627D" w:rsidRDefault="004B6132" w:rsidP="00AF4F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121,386</w:t>
            </w:r>
          </w:p>
        </w:tc>
      </w:tr>
      <w:tr w:rsidR="004B6132" w:rsidRPr="000B627D" w14:paraId="7A1E30C8" w14:textId="77777777" w:rsidTr="00AF4F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050067"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p>
          <w:p w14:paraId="5AED1C4C" w14:textId="77777777" w:rsidR="004B6132" w:rsidRPr="000B627D" w:rsidRDefault="004B6132" w:rsidP="00AF4FB9">
            <w:pPr>
              <w:spacing w:after="0" w:line="240" w:lineRule="auto"/>
              <w:jc w:val="center"/>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2040</w:t>
            </w:r>
          </w:p>
        </w:tc>
        <w:tc>
          <w:tcPr>
            <w:tcW w:w="0" w:type="auto"/>
            <w:noWrap/>
            <w:hideMark/>
          </w:tcPr>
          <w:p w14:paraId="5563883F"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10,998</w:t>
            </w:r>
          </w:p>
        </w:tc>
        <w:tc>
          <w:tcPr>
            <w:tcW w:w="0" w:type="auto"/>
            <w:noWrap/>
            <w:hideMark/>
          </w:tcPr>
          <w:p w14:paraId="666EAB28"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9,792</w:t>
            </w:r>
          </w:p>
        </w:tc>
        <w:tc>
          <w:tcPr>
            <w:tcW w:w="0" w:type="auto"/>
            <w:noWrap/>
            <w:hideMark/>
          </w:tcPr>
          <w:p w14:paraId="3EA9084E"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9,556</w:t>
            </w:r>
          </w:p>
        </w:tc>
        <w:tc>
          <w:tcPr>
            <w:tcW w:w="0" w:type="auto"/>
            <w:noWrap/>
            <w:hideMark/>
          </w:tcPr>
          <w:p w14:paraId="75B06BF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8,409</w:t>
            </w:r>
          </w:p>
        </w:tc>
        <w:tc>
          <w:tcPr>
            <w:tcW w:w="0" w:type="auto"/>
            <w:noWrap/>
            <w:hideMark/>
          </w:tcPr>
          <w:p w14:paraId="0C2A64C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9,134</w:t>
            </w:r>
          </w:p>
        </w:tc>
        <w:tc>
          <w:tcPr>
            <w:tcW w:w="0" w:type="auto"/>
            <w:noWrap/>
            <w:hideMark/>
          </w:tcPr>
          <w:p w14:paraId="5168165B"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10,467</w:t>
            </w:r>
          </w:p>
        </w:tc>
        <w:tc>
          <w:tcPr>
            <w:tcW w:w="0" w:type="auto"/>
            <w:noWrap/>
            <w:hideMark/>
          </w:tcPr>
          <w:p w14:paraId="212E7D8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13,147</w:t>
            </w:r>
          </w:p>
        </w:tc>
        <w:tc>
          <w:tcPr>
            <w:tcW w:w="0" w:type="auto"/>
            <w:noWrap/>
            <w:hideMark/>
          </w:tcPr>
          <w:p w14:paraId="0F9236B4"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11,594</w:t>
            </w:r>
          </w:p>
        </w:tc>
        <w:tc>
          <w:tcPr>
            <w:tcW w:w="0" w:type="auto"/>
            <w:noWrap/>
            <w:hideMark/>
          </w:tcPr>
          <w:p w14:paraId="774953A1"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9,315</w:t>
            </w:r>
          </w:p>
        </w:tc>
        <w:tc>
          <w:tcPr>
            <w:tcW w:w="0" w:type="auto"/>
            <w:noWrap/>
            <w:hideMark/>
          </w:tcPr>
          <w:p w14:paraId="531A4930"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8,971</w:t>
            </w:r>
          </w:p>
        </w:tc>
        <w:tc>
          <w:tcPr>
            <w:tcW w:w="0" w:type="auto"/>
            <w:noWrap/>
            <w:hideMark/>
          </w:tcPr>
          <w:p w14:paraId="3276A076"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9,261</w:t>
            </w:r>
          </w:p>
        </w:tc>
        <w:tc>
          <w:tcPr>
            <w:tcW w:w="0" w:type="auto"/>
            <w:noWrap/>
            <w:hideMark/>
          </w:tcPr>
          <w:p w14:paraId="0BF6A989"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10,482</w:t>
            </w:r>
          </w:p>
        </w:tc>
        <w:tc>
          <w:tcPr>
            <w:tcW w:w="0" w:type="auto"/>
            <w:noWrap/>
            <w:hideMark/>
          </w:tcPr>
          <w:p w14:paraId="10D29802" w14:textId="77777777" w:rsidR="004B6132" w:rsidRPr="000B627D" w:rsidRDefault="004B6132" w:rsidP="00AF4F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4"/>
                <w:szCs w:val="14"/>
              </w:rPr>
            </w:pPr>
            <w:r w:rsidRPr="000B627D">
              <w:rPr>
                <w:rFonts w:ascii="Century Gothic" w:eastAsia="Times New Roman" w:hAnsi="Century Gothic" w:cs="Times New Roman"/>
                <w:color w:val="000000"/>
                <w:sz w:val="14"/>
                <w:szCs w:val="14"/>
              </w:rPr>
              <w:t>121,126</w:t>
            </w:r>
          </w:p>
        </w:tc>
      </w:tr>
    </w:tbl>
    <w:p w14:paraId="7342615D" w14:textId="77777777" w:rsidR="004B6132" w:rsidRDefault="004B6132" w:rsidP="004B6132">
      <w:pPr>
        <w:pStyle w:val="Caption"/>
      </w:pPr>
      <w:bookmarkStart w:id="136" w:name="_Ref468284160"/>
    </w:p>
    <w:p w14:paraId="549E1E9A" w14:textId="77777777" w:rsidR="004B6132" w:rsidRDefault="004B6132" w:rsidP="004B6132">
      <w:pPr>
        <w:spacing w:after="160" w:line="259" w:lineRule="auto"/>
        <w:jc w:val="left"/>
        <w:rPr>
          <w:rFonts w:cs="Times New Roman"/>
          <w:b/>
          <w:iCs/>
          <w:szCs w:val="18"/>
        </w:rPr>
      </w:pPr>
      <w:r>
        <w:br w:type="page"/>
      </w:r>
    </w:p>
    <w:p w14:paraId="5108D07D" w14:textId="17F72B15" w:rsidR="004B6132" w:rsidRPr="007F0EE8" w:rsidRDefault="004B6132" w:rsidP="004B6132">
      <w:pPr>
        <w:pStyle w:val="Caption"/>
        <w:rPr>
          <w:i/>
        </w:rPr>
      </w:pPr>
      <w:r w:rsidRPr="007F0EE8">
        <w:lastRenderedPageBreak/>
        <w:t xml:space="preserve">Table </w:t>
      </w:r>
      <w:r w:rsidR="00DE00FC">
        <w:t>A.</w:t>
      </w:r>
      <w:r w:rsidR="00FA6573">
        <w:fldChar w:fldCharType="begin"/>
      </w:r>
      <w:r w:rsidR="00FA6573">
        <w:instrText xml:space="preserve"> SEQ Table \* ARABIC </w:instrText>
      </w:r>
      <w:r w:rsidR="00FA6573">
        <w:fldChar w:fldCharType="separate"/>
      </w:r>
      <w:r>
        <w:rPr>
          <w:noProof/>
        </w:rPr>
        <w:t>4</w:t>
      </w:r>
      <w:r w:rsidR="00FA6573">
        <w:rPr>
          <w:noProof/>
        </w:rPr>
        <w:fldChar w:fldCharType="end"/>
      </w:r>
      <w:bookmarkEnd w:id="136"/>
      <w:r w:rsidRPr="007F0EE8">
        <w:t>.  ISO New England Projected Peak Load (MW)</w:t>
      </w:r>
    </w:p>
    <w:tbl>
      <w:tblPr>
        <w:tblStyle w:val="GridTable4Accent3"/>
        <w:tblW w:w="5000" w:type="pct"/>
        <w:tblLook w:val="04A0" w:firstRow="1" w:lastRow="0" w:firstColumn="1" w:lastColumn="0" w:noHBand="0" w:noVBand="1"/>
      </w:tblPr>
      <w:tblGrid>
        <w:gridCol w:w="622"/>
        <w:gridCol w:w="701"/>
        <w:gridCol w:w="701"/>
        <w:gridCol w:w="699"/>
        <w:gridCol w:w="643"/>
        <w:gridCol w:w="643"/>
        <w:gridCol w:w="699"/>
        <w:gridCol w:w="700"/>
        <w:gridCol w:w="700"/>
        <w:gridCol w:w="700"/>
        <w:gridCol w:w="643"/>
        <w:gridCol w:w="643"/>
        <w:gridCol w:w="700"/>
        <w:gridCol w:w="782"/>
      </w:tblGrid>
      <w:tr w:rsidR="004B6132" w:rsidRPr="000B627D" w14:paraId="22C2DE49" w14:textId="77777777" w:rsidTr="00AF4FB9">
        <w:trPr>
          <w:cnfStyle w:val="100000000000" w:firstRow="1" w:lastRow="0" w:firstColumn="0" w:lastColumn="0" w:oddVBand="0" w:evenVBand="0" w:oddHBand="0"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5A331D61" w14:textId="77777777" w:rsidR="004B6132" w:rsidRPr="000B627D" w:rsidRDefault="004B6132" w:rsidP="00AF4FB9">
            <w:pPr>
              <w:spacing w:after="0" w:line="240" w:lineRule="auto"/>
              <w:jc w:val="center"/>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Year</w:t>
            </w:r>
          </w:p>
        </w:tc>
        <w:tc>
          <w:tcPr>
            <w:tcW w:w="370" w:type="pct"/>
            <w:noWrap/>
            <w:hideMark/>
          </w:tcPr>
          <w:p w14:paraId="75FB0780"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1</w:t>
            </w:r>
          </w:p>
        </w:tc>
        <w:tc>
          <w:tcPr>
            <w:tcW w:w="370" w:type="pct"/>
            <w:noWrap/>
            <w:hideMark/>
          </w:tcPr>
          <w:p w14:paraId="3A5B9D9B"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2</w:t>
            </w:r>
          </w:p>
        </w:tc>
        <w:tc>
          <w:tcPr>
            <w:tcW w:w="369" w:type="pct"/>
            <w:noWrap/>
            <w:hideMark/>
          </w:tcPr>
          <w:p w14:paraId="67BA108F"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3</w:t>
            </w:r>
          </w:p>
        </w:tc>
        <w:tc>
          <w:tcPr>
            <w:tcW w:w="326" w:type="pct"/>
            <w:noWrap/>
            <w:hideMark/>
          </w:tcPr>
          <w:p w14:paraId="681A2233"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4</w:t>
            </w:r>
          </w:p>
        </w:tc>
        <w:tc>
          <w:tcPr>
            <w:tcW w:w="326" w:type="pct"/>
            <w:noWrap/>
            <w:hideMark/>
          </w:tcPr>
          <w:p w14:paraId="4D9F0014"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5</w:t>
            </w:r>
          </w:p>
        </w:tc>
        <w:tc>
          <w:tcPr>
            <w:tcW w:w="369" w:type="pct"/>
            <w:noWrap/>
            <w:hideMark/>
          </w:tcPr>
          <w:p w14:paraId="67D2DB47"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6</w:t>
            </w:r>
          </w:p>
        </w:tc>
        <w:tc>
          <w:tcPr>
            <w:tcW w:w="369" w:type="pct"/>
            <w:noWrap/>
            <w:hideMark/>
          </w:tcPr>
          <w:p w14:paraId="1F330EBB"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7</w:t>
            </w:r>
          </w:p>
        </w:tc>
        <w:tc>
          <w:tcPr>
            <w:tcW w:w="369" w:type="pct"/>
            <w:noWrap/>
            <w:hideMark/>
          </w:tcPr>
          <w:p w14:paraId="04C8F0E8"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8</w:t>
            </w:r>
          </w:p>
        </w:tc>
        <w:tc>
          <w:tcPr>
            <w:tcW w:w="369" w:type="pct"/>
            <w:noWrap/>
            <w:hideMark/>
          </w:tcPr>
          <w:p w14:paraId="2BCEA702"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9</w:t>
            </w:r>
          </w:p>
        </w:tc>
        <w:tc>
          <w:tcPr>
            <w:tcW w:w="326" w:type="pct"/>
            <w:noWrap/>
            <w:hideMark/>
          </w:tcPr>
          <w:p w14:paraId="31E9D071"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10</w:t>
            </w:r>
          </w:p>
        </w:tc>
        <w:tc>
          <w:tcPr>
            <w:tcW w:w="326" w:type="pct"/>
            <w:noWrap/>
            <w:hideMark/>
          </w:tcPr>
          <w:p w14:paraId="71EE5B49"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11</w:t>
            </w:r>
          </w:p>
        </w:tc>
        <w:tc>
          <w:tcPr>
            <w:tcW w:w="369" w:type="pct"/>
            <w:noWrap/>
            <w:hideMark/>
          </w:tcPr>
          <w:p w14:paraId="6030F05C"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12</w:t>
            </w:r>
          </w:p>
        </w:tc>
        <w:tc>
          <w:tcPr>
            <w:tcW w:w="412" w:type="pct"/>
            <w:noWrap/>
            <w:hideMark/>
          </w:tcPr>
          <w:p w14:paraId="5081E88A" w14:textId="77777777" w:rsidR="004B6132" w:rsidRPr="000B627D" w:rsidRDefault="004B6132" w:rsidP="00AF4F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14"/>
                <w:szCs w:val="14"/>
              </w:rPr>
            </w:pPr>
            <w:r w:rsidRPr="000B627D">
              <w:rPr>
                <w:rFonts w:ascii="Century Gothic" w:eastAsia="Times New Roman" w:hAnsi="Century Gothic" w:cs="Times New Roman"/>
                <w:b w:val="0"/>
                <w:bCs w:val="0"/>
                <w:color w:val="000000"/>
                <w:sz w:val="14"/>
                <w:szCs w:val="14"/>
              </w:rPr>
              <w:t>Annual</w:t>
            </w:r>
          </w:p>
        </w:tc>
      </w:tr>
      <w:tr w:rsidR="004B6132" w:rsidRPr="000B627D" w14:paraId="2AA5E93C"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28D65C6E"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2021</w:t>
            </w:r>
          </w:p>
        </w:tc>
        <w:tc>
          <w:tcPr>
            <w:tcW w:w="370" w:type="pct"/>
            <w:noWrap/>
            <w:hideMark/>
          </w:tcPr>
          <w:p w14:paraId="42A4AD7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19,795</w:t>
            </w:r>
          </w:p>
        </w:tc>
        <w:tc>
          <w:tcPr>
            <w:tcW w:w="370" w:type="pct"/>
            <w:noWrap/>
            <w:hideMark/>
          </w:tcPr>
          <w:p w14:paraId="42A0AA3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19,095</w:t>
            </w:r>
          </w:p>
        </w:tc>
        <w:tc>
          <w:tcPr>
            <w:tcW w:w="369" w:type="pct"/>
            <w:noWrap/>
            <w:hideMark/>
          </w:tcPr>
          <w:p w14:paraId="28ADF77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17,656</w:t>
            </w:r>
          </w:p>
        </w:tc>
        <w:tc>
          <w:tcPr>
            <w:tcW w:w="326" w:type="pct"/>
            <w:noWrap/>
            <w:hideMark/>
          </w:tcPr>
          <w:p w14:paraId="34FB45A8"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15,612</w:t>
            </w:r>
          </w:p>
        </w:tc>
        <w:tc>
          <w:tcPr>
            <w:tcW w:w="326" w:type="pct"/>
            <w:noWrap/>
            <w:hideMark/>
          </w:tcPr>
          <w:p w14:paraId="26AC051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16,679</w:t>
            </w:r>
          </w:p>
        </w:tc>
        <w:tc>
          <w:tcPr>
            <w:tcW w:w="369" w:type="pct"/>
            <w:noWrap/>
            <w:hideMark/>
          </w:tcPr>
          <w:p w14:paraId="304B182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22,230</w:t>
            </w:r>
          </w:p>
        </w:tc>
        <w:tc>
          <w:tcPr>
            <w:tcW w:w="369" w:type="pct"/>
            <w:noWrap/>
            <w:hideMark/>
          </w:tcPr>
          <w:p w14:paraId="4BEA1B68"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26,355</w:t>
            </w:r>
          </w:p>
        </w:tc>
        <w:tc>
          <w:tcPr>
            <w:tcW w:w="369" w:type="pct"/>
            <w:noWrap/>
            <w:hideMark/>
          </w:tcPr>
          <w:p w14:paraId="6F2A480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21,704</w:t>
            </w:r>
          </w:p>
        </w:tc>
        <w:tc>
          <w:tcPr>
            <w:tcW w:w="369" w:type="pct"/>
            <w:noWrap/>
            <w:hideMark/>
          </w:tcPr>
          <w:p w14:paraId="441B5B2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19,510</w:t>
            </w:r>
          </w:p>
        </w:tc>
        <w:tc>
          <w:tcPr>
            <w:tcW w:w="326" w:type="pct"/>
            <w:noWrap/>
            <w:hideMark/>
          </w:tcPr>
          <w:p w14:paraId="688438E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16,412</w:t>
            </w:r>
          </w:p>
        </w:tc>
        <w:tc>
          <w:tcPr>
            <w:tcW w:w="326" w:type="pct"/>
            <w:noWrap/>
            <w:hideMark/>
          </w:tcPr>
          <w:p w14:paraId="3389264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17,972</w:t>
            </w:r>
          </w:p>
        </w:tc>
        <w:tc>
          <w:tcPr>
            <w:tcW w:w="369" w:type="pct"/>
            <w:noWrap/>
            <w:hideMark/>
          </w:tcPr>
          <w:p w14:paraId="2F8D6800"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19,152</w:t>
            </w:r>
          </w:p>
        </w:tc>
        <w:tc>
          <w:tcPr>
            <w:tcW w:w="412" w:type="pct"/>
            <w:noWrap/>
            <w:hideMark/>
          </w:tcPr>
          <w:p w14:paraId="5EDBA06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26,355</w:t>
            </w:r>
          </w:p>
        </w:tc>
      </w:tr>
      <w:tr w:rsidR="004B6132" w:rsidRPr="000B627D" w14:paraId="4DAF7A2B"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39F17DC3"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2022</w:t>
            </w:r>
          </w:p>
        </w:tc>
        <w:tc>
          <w:tcPr>
            <w:tcW w:w="370" w:type="pct"/>
            <w:noWrap/>
            <w:hideMark/>
          </w:tcPr>
          <w:p w14:paraId="007268F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19,789</w:t>
            </w:r>
          </w:p>
        </w:tc>
        <w:tc>
          <w:tcPr>
            <w:tcW w:w="370" w:type="pct"/>
            <w:noWrap/>
            <w:hideMark/>
          </w:tcPr>
          <w:p w14:paraId="4030F437"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18,610</w:t>
            </w:r>
          </w:p>
        </w:tc>
        <w:tc>
          <w:tcPr>
            <w:tcW w:w="369" w:type="pct"/>
            <w:noWrap/>
            <w:hideMark/>
          </w:tcPr>
          <w:p w14:paraId="3115B5D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17,486</w:t>
            </w:r>
          </w:p>
        </w:tc>
        <w:tc>
          <w:tcPr>
            <w:tcW w:w="326" w:type="pct"/>
            <w:noWrap/>
            <w:hideMark/>
          </w:tcPr>
          <w:p w14:paraId="28ED4EC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15,423</w:t>
            </w:r>
          </w:p>
        </w:tc>
        <w:tc>
          <w:tcPr>
            <w:tcW w:w="326" w:type="pct"/>
            <w:noWrap/>
            <w:hideMark/>
          </w:tcPr>
          <w:p w14:paraId="32F3C3B8"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16,900</w:t>
            </w:r>
          </w:p>
        </w:tc>
        <w:tc>
          <w:tcPr>
            <w:tcW w:w="369" w:type="pct"/>
            <w:noWrap/>
            <w:hideMark/>
          </w:tcPr>
          <w:p w14:paraId="4CA82FC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22,242</w:t>
            </w:r>
          </w:p>
        </w:tc>
        <w:tc>
          <w:tcPr>
            <w:tcW w:w="369" w:type="pct"/>
            <w:noWrap/>
            <w:hideMark/>
          </w:tcPr>
          <w:p w14:paraId="6B3CC4A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26,405</w:t>
            </w:r>
          </w:p>
        </w:tc>
        <w:tc>
          <w:tcPr>
            <w:tcW w:w="369" w:type="pct"/>
            <w:noWrap/>
            <w:hideMark/>
          </w:tcPr>
          <w:p w14:paraId="1550DD5D"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21,714</w:t>
            </w:r>
          </w:p>
        </w:tc>
        <w:tc>
          <w:tcPr>
            <w:tcW w:w="369" w:type="pct"/>
            <w:noWrap/>
            <w:hideMark/>
          </w:tcPr>
          <w:p w14:paraId="5A48F028"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19,068</w:t>
            </w:r>
          </w:p>
        </w:tc>
        <w:tc>
          <w:tcPr>
            <w:tcW w:w="326" w:type="pct"/>
            <w:noWrap/>
            <w:hideMark/>
          </w:tcPr>
          <w:p w14:paraId="3B32114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16,376</w:t>
            </w:r>
          </w:p>
        </w:tc>
        <w:tc>
          <w:tcPr>
            <w:tcW w:w="326" w:type="pct"/>
            <w:noWrap/>
            <w:hideMark/>
          </w:tcPr>
          <w:p w14:paraId="0ACE06CC"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17,949</w:t>
            </w:r>
          </w:p>
        </w:tc>
        <w:tc>
          <w:tcPr>
            <w:tcW w:w="369" w:type="pct"/>
            <w:noWrap/>
            <w:hideMark/>
          </w:tcPr>
          <w:p w14:paraId="1CE77B7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19,141</w:t>
            </w:r>
          </w:p>
        </w:tc>
        <w:tc>
          <w:tcPr>
            <w:tcW w:w="412" w:type="pct"/>
            <w:noWrap/>
            <w:hideMark/>
          </w:tcPr>
          <w:p w14:paraId="7777E59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26,405</w:t>
            </w:r>
          </w:p>
        </w:tc>
      </w:tr>
      <w:tr w:rsidR="004B6132" w:rsidRPr="000B627D" w14:paraId="49233E87"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5FEE92F8"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2023</w:t>
            </w:r>
          </w:p>
        </w:tc>
        <w:tc>
          <w:tcPr>
            <w:tcW w:w="370" w:type="pct"/>
            <w:noWrap/>
            <w:hideMark/>
          </w:tcPr>
          <w:p w14:paraId="5E891BA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19,795</w:t>
            </w:r>
          </w:p>
        </w:tc>
        <w:tc>
          <w:tcPr>
            <w:tcW w:w="370" w:type="pct"/>
            <w:noWrap/>
            <w:hideMark/>
          </w:tcPr>
          <w:p w14:paraId="4CF663D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18,460</w:t>
            </w:r>
          </w:p>
        </w:tc>
        <w:tc>
          <w:tcPr>
            <w:tcW w:w="369" w:type="pct"/>
            <w:noWrap/>
            <w:hideMark/>
          </w:tcPr>
          <w:p w14:paraId="2360A28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17,414</w:t>
            </w:r>
          </w:p>
        </w:tc>
        <w:tc>
          <w:tcPr>
            <w:tcW w:w="326" w:type="pct"/>
            <w:noWrap/>
            <w:hideMark/>
          </w:tcPr>
          <w:p w14:paraId="4D478E60"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15,389</w:t>
            </w:r>
          </w:p>
        </w:tc>
        <w:tc>
          <w:tcPr>
            <w:tcW w:w="326" w:type="pct"/>
            <w:noWrap/>
            <w:hideMark/>
          </w:tcPr>
          <w:p w14:paraId="4D2DCC58"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17,304</w:t>
            </w:r>
          </w:p>
        </w:tc>
        <w:tc>
          <w:tcPr>
            <w:tcW w:w="369" w:type="pct"/>
            <w:noWrap/>
            <w:hideMark/>
          </w:tcPr>
          <w:p w14:paraId="7105332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22,269</w:t>
            </w:r>
          </w:p>
        </w:tc>
        <w:tc>
          <w:tcPr>
            <w:tcW w:w="369" w:type="pct"/>
            <w:noWrap/>
            <w:hideMark/>
          </w:tcPr>
          <w:p w14:paraId="6F87F0D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26,472</w:t>
            </w:r>
          </w:p>
        </w:tc>
        <w:tc>
          <w:tcPr>
            <w:tcW w:w="369" w:type="pct"/>
            <w:noWrap/>
            <w:hideMark/>
          </w:tcPr>
          <w:p w14:paraId="4D2FAFF0"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21,738</w:t>
            </w:r>
          </w:p>
        </w:tc>
        <w:tc>
          <w:tcPr>
            <w:tcW w:w="369" w:type="pct"/>
            <w:noWrap/>
            <w:hideMark/>
          </w:tcPr>
          <w:p w14:paraId="397D74D0"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19,066</w:t>
            </w:r>
          </w:p>
        </w:tc>
        <w:tc>
          <w:tcPr>
            <w:tcW w:w="326" w:type="pct"/>
            <w:noWrap/>
            <w:hideMark/>
          </w:tcPr>
          <w:p w14:paraId="1CF71540"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16,350</w:t>
            </w:r>
          </w:p>
        </w:tc>
        <w:tc>
          <w:tcPr>
            <w:tcW w:w="326" w:type="pct"/>
            <w:noWrap/>
            <w:hideMark/>
          </w:tcPr>
          <w:p w14:paraId="4DF6E8E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17,939</w:t>
            </w:r>
          </w:p>
        </w:tc>
        <w:tc>
          <w:tcPr>
            <w:tcW w:w="369" w:type="pct"/>
            <w:noWrap/>
            <w:hideMark/>
          </w:tcPr>
          <w:p w14:paraId="1450D52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19,142</w:t>
            </w:r>
          </w:p>
        </w:tc>
        <w:tc>
          <w:tcPr>
            <w:tcW w:w="412" w:type="pct"/>
            <w:noWrap/>
            <w:hideMark/>
          </w:tcPr>
          <w:p w14:paraId="7C0E3C10"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26,472</w:t>
            </w:r>
          </w:p>
        </w:tc>
      </w:tr>
      <w:tr w:rsidR="004B6132" w:rsidRPr="000B627D" w14:paraId="21F4AE9C"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68229FAD"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2024</w:t>
            </w:r>
          </w:p>
        </w:tc>
        <w:tc>
          <w:tcPr>
            <w:tcW w:w="370" w:type="pct"/>
            <w:noWrap/>
            <w:hideMark/>
          </w:tcPr>
          <w:p w14:paraId="1354998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19,778</w:t>
            </w:r>
          </w:p>
        </w:tc>
        <w:tc>
          <w:tcPr>
            <w:tcW w:w="370" w:type="pct"/>
            <w:noWrap/>
            <w:hideMark/>
          </w:tcPr>
          <w:p w14:paraId="2F917B5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19,055</w:t>
            </w:r>
          </w:p>
        </w:tc>
        <w:tc>
          <w:tcPr>
            <w:tcW w:w="369" w:type="pct"/>
            <w:noWrap/>
            <w:hideMark/>
          </w:tcPr>
          <w:p w14:paraId="7B34DEFD"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17,573</w:t>
            </w:r>
          </w:p>
        </w:tc>
        <w:tc>
          <w:tcPr>
            <w:tcW w:w="326" w:type="pct"/>
            <w:noWrap/>
            <w:hideMark/>
          </w:tcPr>
          <w:p w14:paraId="365B86D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15,861</w:t>
            </w:r>
          </w:p>
        </w:tc>
        <w:tc>
          <w:tcPr>
            <w:tcW w:w="326" w:type="pct"/>
            <w:noWrap/>
            <w:hideMark/>
          </w:tcPr>
          <w:p w14:paraId="70500A51"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16,565</w:t>
            </w:r>
          </w:p>
        </w:tc>
        <w:tc>
          <w:tcPr>
            <w:tcW w:w="369" w:type="pct"/>
            <w:noWrap/>
            <w:hideMark/>
          </w:tcPr>
          <w:p w14:paraId="49A8B212"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20,042</w:t>
            </w:r>
          </w:p>
        </w:tc>
        <w:tc>
          <w:tcPr>
            <w:tcW w:w="369" w:type="pct"/>
            <w:noWrap/>
            <w:hideMark/>
          </w:tcPr>
          <w:p w14:paraId="67C4451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26,544</w:t>
            </w:r>
          </w:p>
        </w:tc>
        <w:tc>
          <w:tcPr>
            <w:tcW w:w="369" w:type="pct"/>
            <w:noWrap/>
            <w:hideMark/>
          </w:tcPr>
          <w:p w14:paraId="6F9A5F8F"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21,750</w:t>
            </w:r>
          </w:p>
        </w:tc>
        <w:tc>
          <w:tcPr>
            <w:tcW w:w="369" w:type="pct"/>
            <w:noWrap/>
            <w:hideMark/>
          </w:tcPr>
          <w:p w14:paraId="1050EE9B"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19,485</w:t>
            </w:r>
          </w:p>
        </w:tc>
        <w:tc>
          <w:tcPr>
            <w:tcW w:w="326" w:type="pct"/>
            <w:noWrap/>
            <w:hideMark/>
          </w:tcPr>
          <w:p w14:paraId="0BDE7B51"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16,293</w:t>
            </w:r>
          </w:p>
        </w:tc>
        <w:tc>
          <w:tcPr>
            <w:tcW w:w="326" w:type="pct"/>
            <w:noWrap/>
            <w:hideMark/>
          </w:tcPr>
          <w:p w14:paraId="712D7F1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17,424</w:t>
            </w:r>
          </w:p>
        </w:tc>
        <w:tc>
          <w:tcPr>
            <w:tcW w:w="369" w:type="pct"/>
            <w:noWrap/>
            <w:hideMark/>
          </w:tcPr>
          <w:p w14:paraId="79712C5B"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18,779</w:t>
            </w:r>
          </w:p>
        </w:tc>
        <w:tc>
          <w:tcPr>
            <w:tcW w:w="412" w:type="pct"/>
            <w:noWrap/>
            <w:hideMark/>
          </w:tcPr>
          <w:p w14:paraId="05BF964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26,544</w:t>
            </w:r>
          </w:p>
        </w:tc>
      </w:tr>
      <w:tr w:rsidR="004B6132" w:rsidRPr="000B627D" w14:paraId="5ECCB19E"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42DB4C78"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2025</w:t>
            </w:r>
          </w:p>
        </w:tc>
        <w:tc>
          <w:tcPr>
            <w:tcW w:w="370" w:type="pct"/>
            <w:noWrap/>
            <w:hideMark/>
          </w:tcPr>
          <w:p w14:paraId="7211817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19,825</w:t>
            </w:r>
          </w:p>
        </w:tc>
        <w:tc>
          <w:tcPr>
            <w:tcW w:w="370" w:type="pct"/>
            <w:noWrap/>
            <w:hideMark/>
          </w:tcPr>
          <w:p w14:paraId="24A0A55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19,097</w:t>
            </w:r>
          </w:p>
        </w:tc>
        <w:tc>
          <w:tcPr>
            <w:tcW w:w="369" w:type="pct"/>
            <w:noWrap/>
            <w:hideMark/>
          </w:tcPr>
          <w:p w14:paraId="41F314A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17,605</w:t>
            </w:r>
          </w:p>
        </w:tc>
        <w:tc>
          <w:tcPr>
            <w:tcW w:w="326" w:type="pct"/>
            <w:noWrap/>
            <w:hideMark/>
          </w:tcPr>
          <w:p w14:paraId="256B362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15,715</w:t>
            </w:r>
          </w:p>
        </w:tc>
        <w:tc>
          <w:tcPr>
            <w:tcW w:w="326" w:type="pct"/>
            <w:noWrap/>
            <w:hideMark/>
          </w:tcPr>
          <w:p w14:paraId="1D099C4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16,591</w:t>
            </w:r>
          </w:p>
        </w:tc>
        <w:tc>
          <w:tcPr>
            <w:tcW w:w="369" w:type="pct"/>
            <w:noWrap/>
            <w:hideMark/>
          </w:tcPr>
          <w:p w14:paraId="14BD6AB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20,630</w:t>
            </w:r>
          </w:p>
        </w:tc>
        <w:tc>
          <w:tcPr>
            <w:tcW w:w="369" w:type="pct"/>
            <w:noWrap/>
            <w:hideMark/>
          </w:tcPr>
          <w:p w14:paraId="41B4ED2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26,636</w:t>
            </w:r>
          </w:p>
        </w:tc>
        <w:tc>
          <w:tcPr>
            <w:tcW w:w="369" w:type="pct"/>
            <w:noWrap/>
            <w:hideMark/>
          </w:tcPr>
          <w:p w14:paraId="54FA4A0E"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21,810</w:t>
            </w:r>
          </w:p>
        </w:tc>
        <w:tc>
          <w:tcPr>
            <w:tcW w:w="369" w:type="pct"/>
            <w:noWrap/>
            <w:hideMark/>
          </w:tcPr>
          <w:p w14:paraId="20F7DBF8"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19,529</w:t>
            </w:r>
          </w:p>
        </w:tc>
        <w:tc>
          <w:tcPr>
            <w:tcW w:w="326" w:type="pct"/>
            <w:noWrap/>
            <w:hideMark/>
          </w:tcPr>
          <w:p w14:paraId="5FBE8D9C"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16,317</w:t>
            </w:r>
          </w:p>
        </w:tc>
        <w:tc>
          <w:tcPr>
            <w:tcW w:w="326" w:type="pct"/>
            <w:noWrap/>
            <w:hideMark/>
          </w:tcPr>
          <w:p w14:paraId="2C4B95AE"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17,455</w:t>
            </w:r>
          </w:p>
        </w:tc>
        <w:tc>
          <w:tcPr>
            <w:tcW w:w="369" w:type="pct"/>
            <w:noWrap/>
            <w:hideMark/>
          </w:tcPr>
          <w:p w14:paraId="6AB9FF4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18,819</w:t>
            </w:r>
          </w:p>
        </w:tc>
        <w:tc>
          <w:tcPr>
            <w:tcW w:w="412" w:type="pct"/>
            <w:noWrap/>
            <w:hideMark/>
          </w:tcPr>
          <w:p w14:paraId="7C8393DE"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26,636</w:t>
            </w:r>
          </w:p>
        </w:tc>
      </w:tr>
      <w:tr w:rsidR="004B6132" w:rsidRPr="000B627D" w14:paraId="47950FE2"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6DC6F1E8"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2026</w:t>
            </w:r>
          </w:p>
        </w:tc>
        <w:tc>
          <w:tcPr>
            <w:tcW w:w="370" w:type="pct"/>
            <w:noWrap/>
            <w:hideMark/>
          </w:tcPr>
          <w:p w14:paraId="043B469F"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19,846</w:t>
            </w:r>
          </w:p>
        </w:tc>
        <w:tc>
          <w:tcPr>
            <w:tcW w:w="370" w:type="pct"/>
            <w:noWrap/>
            <w:hideMark/>
          </w:tcPr>
          <w:p w14:paraId="7111069E"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19,111</w:t>
            </w:r>
          </w:p>
        </w:tc>
        <w:tc>
          <w:tcPr>
            <w:tcW w:w="369" w:type="pct"/>
            <w:noWrap/>
            <w:hideMark/>
          </w:tcPr>
          <w:p w14:paraId="3537D8D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17,604</w:t>
            </w:r>
          </w:p>
        </w:tc>
        <w:tc>
          <w:tcPr>
            <w:tcW w:w="326" w:type="pct"/>
            <w:noWrap/>
            <w:hideMark/>
          </w:tcPr>
          <w:p w14:paraId="3A86198D"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15,606</w:t>
            </w:r>
          </w:p>
        </w:tc>
        <w:tc>
          <w:tcPr>
            <w:tcW w:w="326" w:type="pct"/>
            <w:noWrap/>
            <w:hideMark/>
          </w:tcPr>
          <w:p w14:paraId="458F1C9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16,580</w:t>
            </w:r>
          </w:p>
        </w:tc>
        <w:tc>
          <w:tcPr>
            <w:tcW w:w="369" w:type="pct"/>
            <w:noWrap/>
            <w:hideMark/>
          </w:tcPr>
          <w:p w14:paraId="1E4811E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20,796</w:t>
            </w:r>
          </w:p>
        </w:tc>
        <w:tc>
          <w:tcPr>
            <w:tcW w:w="369" w:type="pct"/>
            <w:noWrap/>
            <w:hideMark/>
          </w:tcPr>
          <w:p w14:paraId="4DE30D2D"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26,722</w:t>
            </w:r>
          </w:p>
        </w:tc>
        <w:tc>
          <w:tcPr>
            <w:tcW w:w="369" w:type="pct"/>
            <w:noWrap/>
            <w:hideMark/>
          </w:tcPr>
          <w:p w14:paraId="1A7D5DC7"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21,851</w:t>
            </w:r>
          </w:p>
        </w:tc>
        <w:tc>
          <w:tcPr>
            <w:tcW w:w="369" w:type="pct"/>
            <w:noWrap/>
            <w:hideMark/>
          </w:tcPr>
          <w:p w14:paraId="56835A62"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19,546</w:t>
            </w:r>
          </w:p>
        </w:tc>
        <w:tc>
          <w:tcPr>
            <w:tcW w:w="326" w:type="pct"/>
            <w:noWrap/>
            <w:hideMark/>
          </w:tcPr>
          <w:p w14:paraId="082F3932"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16,304</w:t>
            </w:r>
          </w:p>
        </w:tc>
        <w:tc>
          <w:tcPr>
            <w:tcW w:w="326" w:type="pct"/>
            <w:noWrap/>
            <w:hideMark/>
          </w:tcPr>
          <w:p w14:paraId="16B1F39B"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17,937</w:t>
            </w:r>
          </w:p>
        </w:tc>
        <w:tc>
          <w:tcPr>
            <w:tcW w:w="369" w:type="pct"/>
            <w:noWrap/>
            <w:hideMark/>
          </w:tcPr>
          <w:p w14:paraId="43DB3CE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19,173</w:t>
            </w:r>
          </w:p>
        </w:tc>
        <w:tc>
          <w:tcPr>
            <w:tcW w:w="412" w:type="pct"/>
            <w:noWrap/>
            <w:hideMark/>
          </w:tcPr>
          <w:p w14:paraId="4CBB46B9"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26,722</w:t>
            </w:r>
          </w:p>
        </w:tc>
      </w:tr>
      <w:tr w:rsidR="004B6132" w:rsidRPr="000B627D" w14:paraId="12FF7F5A"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3C8F216D"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2027</w:t>
            </w:r>
          </w:p>
        </w:tc>
        <w:tc>
          <w:tcPr>
            <w:tcW w:w="370" w:type="pct"/>
            <w:noWrap/>
            <w:hideMark/>
          </w:tcPr>
          <w:p w14:paraId="5A0221A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19,879</w:t>
            </w:r>
          </w:p>
        </w:tc>
        <w:tc>
          <w:tcPr>
            <w:tcW w:w="370" w:type="pct"/>
            <w:noWrap/>
            <w:hideMark/>
          </w:tcPr>
          <w:p w14:paraId="1ED1A8FC"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19,135</w:t>
            </w:r>
          </w:p>
        </w:tc>
        <w:tc>
          <w:tcPr>
            <w:tcW w:w="369" w:type="pct"/>
            <w:noWrap/>
            <w:hideMark/>
          </w:tcPr>
          <w:p w14:paraId="6C4C908E"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17,612</w:t>
            </w:r>
          </w:p>
        </w:tc>
        <w:tc>
          <w:tcPr>
            <w:tcW w:w="326" w:type="pct"/>
            <w:noWrap/>
            <w:hideMark/>
          </w:tcPr>
          <w:p w14:paraId="50527C9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15,449</w:t>
            </w:r>
          </w:p>
        </w:tc>
        <w:tc>
          <w:tcPr>
            <w:tcW w:w="326" w:type="pct"/>
            <w:noWrap/>
            <w:hideMark/>
          </w:tcPr>
          <w:p w14:paraId="0782810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16,573</w:t>
            </w:r>
          </w:p>
        </w:tc>
        <w:tc>
          <w:tcPr>
            <w:tcW w:w="369" w:type="pct"/>
            <w:noWrap/>
            <w:hideMark/>
          </w:tcPr>
          <w:p w14:paraId="349BB62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22,441</w:t>
            </w:r>
          </w:p>
        </w:tc>
        <w:tc>
          <w:tcPr>
            <w:tcW w:w="369" w:type="pct"/>
            <w:noWrap/>
            <w:hideMark/>
          </w:tcPr>
          <w:p w14:paraId="54A848F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26,818</w:t>
            </w:r>
          </w:p>
        </w:tc>
        <w:tc>
          <w:tcPr>
            <w:tcW w:w="369" w:type="pct"/>
            <w:noWrap/>
            <w:hideMark/>
          </w:tcPr>
          <w:p w14:paraId="57031DA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21,899</w:t>
            </w:r>
          </w:p>
        </w:tc>
        <w:tc>
          <w:tcPr>
            <w:tcW w:w="369" w:type="pct"/>
            <w:noWrap/>
            <w:hideMark/>
          </w:tcPr>
          <w:p w14:paraId="2D95F3F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19,570</w:t>
            </w:r>
          </w:p>
        </w:tc>
        <w:tc>
          <w:tcPr>
            <w:tcW w:w="326" w:type="pct"/>
            <w:noWrap/>
            <w:hideMark/>
          </w:tcPr>
          <w:p w14:paraId="6CBD82E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16,297</w:t>
            </w:r>
          </w:p>
        </w:tc>
        <w:tc>
          <w:tcPr>
            <w:tcW w:w="326" w:type="pct"/>
            <w:noWrap/>
            <w:hideMark/>
          </w:tcPr>
          <w:p w14:paraId="3D53C3E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17,949</w:t>
            </w:r>
          </w:p>
        </w:tc>
        <w:tc>
          <w:tcPr>
            <w:tcW w:w="369" w:type="pct"/>
            <w:noWrap/>
            <w:hideMark/>
          </w:tcPr>
          <w:p w14:paraId="518ED1ED"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19,201</w:t>
            </w:r>
          </w:p>
        </w:tc>
        <w:tc>
          <w:tcPr>
            <w:tcW w:w="412" w:type="pct"/>
            <w:noWrap/>
            <w:hideMark/>
          </w:tcPr>
          <w:p w14:paraId="6F18519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26,818</w:t>
            </w:r>
          </w:p>
        </w:tc>
      </w:tr>
      <w:tr w:rsidR="004B6132" w:rsidRPr="000B627D" w14:paraId="775C49A3"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6EC563A7"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2028</w:t>
            </w:r>
          </w:p>
        </w:tc>
        <w:tc>
          <w:tcPr>
            <w:tcW w:w="370" w:type="pct"/>
            <w:noWrap/>
            <w:hideMark/>
          </w:tcPr>
          <w:p w14:paraId="258CF43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19,885</w:t>
            </w:r>
          </w:p>
        </w:tc>
        <w:tc>
          <w:tcPr>
            <w:tcW w:w="370" w:type="pct"/>
            <w:noWrap/>
            <w:hideMark/>
          </w:tcPr>
          <w:p w14:paraId="2B81568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18,629</w:t>
            </w:r>
          </w:p>
        </w:tc>
        <w:tc>
          <w:tcPr>
            <w:tcW w:w="369" w:type="pct"/>
            <w:noWrap/>
            <w:hideMark/>
          </w:tcPr>
          <w:p w14:paraId="1BE0E7D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17,376</w:t>
            </w:r>
          </w:p>
        </w:tc>
        <w:tc>
          <w:tcPr>
            <w:tcW w:w="326" w:type="pct"/>
            <w:noWrap/>
            <w:hideMark/>
          </w:tcPr>
          <w:p w14:paraId="1E29D29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15,247</w:t>
            </w:r>
          </w:p>
        </w:tc>
        <w:tc>
          <w:tcPr>
            <w:tcW w:w="326" w:type="pct"/>
            <w:noWrap/>
            <w:hideMark/>
          </w:tcPr>
          <w:p w14:paraId="4580649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17,255</w:t>
            </w:r>
          </w:p>
        </w:tc>
        <w:tc>
          <w:tcPr>
            <w:tcW w:w="369" w:type="pct"/>
            <w:noWrap/>
            <w:hideMark/>
          </w:tcPr>
          <w:p w14:paraId="699EB842"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22,474</w:t>
            </w:r>
          </w:p>
        </w:tc>
        <w:tc>
          <w:tcPr>
            <w:tcW w:w="369" w:type="pct"/>
            <w:noWrap/>
            <w:hideMark/>
          </w:tcPr>
          <w:p w14:paraId="090FB4E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26,904</w:t>
            </w:r>
          </w:p>
        </w:tc>
        <w:tc>
          <w:tcPr>
            <w:tcW w:w="369" w:type="pct"/>
            <w:noWrap/>
            <w:hideMark/>
          </w:tcPr>
          <w:p w14:paraId="3A9C2EEE"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21,927</w:t>
            </w:r>
          </w:p>
        </w:tc>
        <w:tc>
          <w:tcPr>
            <w:tcW w:w="369" w:type="pct"/>
            <w:noWrap/>
            <w:hideMark/>
          </w:tcPr>
          <w:p w14:paraId="14C1239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19,107</w:t>
            </w:r>
          </w:p>
        </w:tc>
        <w:tc>
          <w:tcPr>
            <w:tcW w:w="326" w:type="pct"/>
            <w:noWrap/>
            <w:hideMark/>
          </w:tcPr>
          <w:p w14:paraId="507F74D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16,258</w:t>
            </w:r>
          </w:p>
        </w:tc>
        <w:tc>
          <w:tcPr>
            <w:tcW w:w="326" w:type="pct"/>
            <w:noWrap/>
            <w:hideMark/>
          </w:tcPr>
          <w:p w14:paraId="44B1D77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17,931</w:t>
            </w:r>
          </w:p>
        </w:tc>
        <w:tc>
          <w:tcPr>
            <w:tcW w:w="369" w:type="pct"/>
            <w:noWrap/>
            <w:hideMark/>
          </w:tcPr>
          <w:p w14:paraId="75A399A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19,199</w:t>
            </w:r>
          </w:p>
        </w:tc>
        <w:tc>
          <w:tcPr>
            <w:tcW w:w="412" w:type="pct"/>
            <w:noWrap/>
            <w:hideMark/>
          </w:tcPr>
          <w:p w14:paraId="204AF9C2"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26,904</w:t>
            </w:r>
          </w:p>
        </w:tc>
      </w:tr>
      <w:tr w:rsidR="004B6132" w:rsidRPr="000B627D" w14:paraId="3F6668AC"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2A81DAF7"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2029</w:t>
            </w:r>
          </w:p>
        </w:tc>
        <w:tc>
          <w:tcPr>
            <w:tcW w:w="370" w:type="pct"/>
            <w:noWrap/>
            <w:hideMark/>
          </w:tcPr>
          <w:p w14:paraId="52BA0D2C"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19,915</w:t>
            </w:r>
          </w:p>
        </w:tc>
        <w:tc>
          <w:tcPr>
            <w:tcW w:w="370" w:type="pct"/>
            <w:noWrap/>
            <w:hideMark/>
          </w:tcPr>
          <w:p w14:paraId="469829D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19,156</w:t>
            </w:r>
          </w:p>
        </w:tc>
        <w:tc>
          <w:tcPr>
            <w:tcW w:w="369" w:type="pct"/>
            <w:noWrap/>
            <w:hideMark/>
          </w:tcPr>
          <w:p w14:paraId="568A540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17,714</w:t>
            </w:r>
          </w:p>
        </w:tc>
        <w:tc>
          <w:tcPr>
            <w:tcW w:w="326" w:type="pct"/>
            <w:noWrap/>
            <w:hideMark/>
          </w:tcPr>
          <w:p w14:paraId="13C592F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15,817</w:t>
            </w:r>
          </w:p>
        </w:tc>
        <w:tc>
          <w:tcPr>
            <w:tcW w:w="326" w:type="pct"/>
            <w:noWrap/>
            <w:hideMark/>
          </w:tcPr>
          <w:p w14:paraId="1DA3D716"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16,550</w:t>
            </w:r>
          </w:p>
        </w:tc>
        <w:tc>
          <w:tcPr>
            <w:tcW w:w="369" w:type="pct"/>
            <w:noWrap/>
            <w:hideMark/>
          </w:tcPr>
          <w:p w14:paraId="317F3A2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20,181</w:t>
            </w:r>
          </w:p>
        </w:tc>
        <w:tc>
          <w:tcPr>
            <w:tcW w:w="369" w:type="pct"/>
            <w:noWrap/>
            <w:hideMark/>
          </w:tcPr>
          <w:p w14:paraId="78E7288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26,987</w:t>
            </w:r>
          </w:p>
        </w:tc>
        <w:tc>
          <w:tcPr>
            <w:tcW w:w="369" w:type="pct"/>
            <w:noWrap/>
            <w:hideMark/>
          </w:tcPr>
          <w:p w14:paraId="570BE4D8"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22,362</w:t>
            </w:r>
          </w:p>
        </w:tc>
        <w:tc>
          <w:tcPr>
            <w:tcW w:w="369" w:type="pct"/>
            <w:noWrap/>
            <w:hideMark/>
          </w:tcPr>
          <w:p w14:paraId="7E5705B6"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19,603</w:t>
            </w:r>
          </w:p>
        </w:tc>
        <w:tc>
          <w:tcPr>
            <w:tcW w:w="326" w:type="pct"/>
            <w:noWrap/>
            <w:hideMark/>
          </w:tcPr>
          <w:p w14:paraId="6B830FC0"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16,270</w:t>
            </w:r>
          </w:p>
        </w:tc>
        <w:tc>
          <w:tcPr>
            <w:tcW w:w="326" w:type="pct"/>
            <w:noWrap/>
            <w:hideMark/>
          </w:tcPr>
          <w:p w14:paraId="1E0023AD"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17,452</w:t>
            </w:r>
          </w:p>
        </w:tc>
        <w:tc>
          <w:tcPr>
            <w:tcW w:w="369" w:type="pct"/>
            <w:noWrap/>
            <w:hideMark/>
          </w:tcPr>
          <w:p w14:paraId="06655F1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18,870</w:t>
            </w:r>
          </w:p>
        </w:tc>
        <w:tc>
          <w:tcPr>
            <w:tcW w:w="412" w:type="pct"/>
            <w:noWrap/>
            <w:hideMark/>
          </w:tcPr>
          <w:p w14:paraId="79FECF5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26,987</w:t>
            </w:r>
          </w:p>
        </w:tc>
      </w:tr>
      <w:tr w:rsidR="004B6132" w:rsidRPr="000B627D" w14:paraId="1B9C5922"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56CA5D62"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2030</w:t>
            </w:r>
          </w:p>
        </w:tc>
        <w:tc>
          <w:tcPr>
            <w:tcW w:w="370" w:type="pct"/>
            <w:noWrap/>
            <w:hideMark/>
          </w:tcPr>
          <w:p w14:paraId="2C6D5CB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19,937</w:t>
            </w:r>
          </w:p>
        </w:tc>
        <w:tc>
          <w:tcPr>
            <w:tcW w:w="370" w:type="pct"/>
            <w:noWrap/>
            <w:hideMark/>
          </w:tcPr>
          <w:p w14:paraId="7A8A590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19,171</w:t>
            </w:r>
          </w:p>
        </w:tc>
        <w:tc>
          <w:tcPr>
            <w:tcW w:w="369" w:type="pct"/>
            <w:noWrap/>
            <w:hideMark/>
          </w:tcPr>
          <w:p w14:paraId="28855F9E"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17,608</w:t>
            </w:r>
          </w:p>
        </w:tc>
        <w:tc>
          <w:tcPr>
            <w:tcW w:w="326" w:type="pct"/>
            <w:noWrap/>
            <w:hideMark/>
          </w:tcPr>
          <w:p w14:paraId="1FB20BBD"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15,801</w:t>
            </w:r>
          </w:p>
        </w:tc>
        <w:tc>
          <w:tcPr>
            <w:tcW w:w="326" w:type="pct"/>
            <w:noWrap/>
            <w:hideMark/>
          </w:tcPr>
          <w:p w14:paraId="0C79154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16,540</w:t>
            </w:r>
          </w:p>
        </w:tc>
        <w:tc>
          <w:tcPr>
            <w:tcW w:w="369" w:type="pct"/>
            <w:noWrap/>
            <w:hideMark/>
          </w:tcPr>
          <w:p w14:paraId="1C30E59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20,204</w:t>
            </w:r>
          </w:p>
        </w:tc>
        <w:tc>
          <w:tcPr>
            <w:tcW w:w="369" w:type="pct"/>
            <w:noWrap/>
            <w:hideMark/>
          </w:tcPr>
          <w:p w14:paraId="1AE45AD9"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27,076</w:t>
            </w:r>
          </w:p>
        </w:tc>
        <w:tc>
          <w:tcPr>
            <w:tcW w:w="369" w:type="pct"/>
            <w:noWrap/>
            <w:hideMark/>
          </w:tcPr>
          <w:p w14:paraId="457E08E1"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22,019</w:t>
            </w:r>
          </w:p>
        </w:tc>
        <w:tc>
          <w:tcPr>
            <w:tcW w:w="369" w:type="pct"/>
            <w:noWrap/>
            <w:hideMark/>
          </w:tcPr>
          <w:p w14:paraId="0F27759C"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19,622</w:t>
            </w:r>
          </w:p>
        </w:tc>
        <w:tc>
          <w:tcPr>
            <w:tcW w:w="326" w:type="pct"/>
            <w:noWrap/>
            <w:hideMark/>
          </w:tcPr>
          <w:p w14:paraId="77D79B4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16,258</w:t>
            </w:r>
          </w:p>
        </w:tc>
        <w:tc>
          <w:tcPr>
            <w:tcW w:w="326" w:type="pct"/>
            <w:noWrap/>
            <w:hideMark/>
          </w:tcPr>
          <w:p w14:paraId="256D59E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17,452</w:t>
            </w:r>
          </w:p>
        </w:tc>
        <w:tc>
          <w:tcPr>
            <w:tcW w:w="369" w:type="pct"/>
            <w:noWrap/>
            <w:hideMark/>
          </w:tcPr>
          <w:p w14:paraId="6F1DA0BE"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18,882</w:t>
            </w:r>
          </w:p>
        </w:tc>
        <w:tc>
          <w:tcPr>
            <w:tcW w:w="412" w:type="pct"/>
            <w:noWrap/>
            <w:hideMark/>
          </w:tcPr>
          <w:p w14:paraId="5EAC85F8"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27,076</w:t>
            </w:r>
          </w:p>
        </w:tc>
      </w:tr>
      <w:tr w:rsidR="004B6132" w:rsidRPr="000B627D" w14:paraId="28BACE4D"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58141F41"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2031</w:t>
            </w:r>
          </w:p>
        </w:tc>
        <w:tc>
          <w:tcPr>
            <w:tcW w:w="370" w:type="pct"/>
            <w:noWrap/>
            <w:hideMark/>
          </w:tcPr>
          <w:p w14:paraId="16FFD968"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19,961</w:t>
            </w:r>
          </w:p>
        </w:tc>
        <w:tc>
          <w:tcPr>
            <w:tcW w:w="370" w:type="pct"/>
            <w:noWrap/>
            <w:hideMark/>
          </w:tcPr>
          <w:p w14:paraId="7044279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19,188</w:t>
            </w:r>
          </w:p>
        </w:tc>
        <w:tc>
          <w:tcPr>
            <w:tcW w:w="369" w:type="pct"/>
            <w:noWrap/>
            <w:hideMark/>
          </w:tcPr>
          <w:p w14:paraId="01B0EB7D"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17,609</w:t>
            </w:r>
          </w:p>
        </w:tc>
        <w:tc>
          <w:tcPr>
            <w:tcW w:w="326" w:type="pct"/>
            <w:noWrap/>
            <w:hideMark/>
          </w:tcPr>
          <w:p w14:paraId="7B46BD1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15,609</w:t>
            </w:r>
          </w:p>
        </w:tc>
        <w:tc>
          <w:tcPr>
            <w:tcW w:w="326" w:type="pct"/>
            <w:noWrap/>
            <w:hideMark/>
          </w:tcPr>
          <w:p w14:paraId="63D16C1B"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16,531</w:t>
            </w:r>
          </w:p>
        </w:tc>
        <w:tc>
          <w:tcPr>
            <w:tcW w:w="369" w:type="pct"/>
            <w:noWrap/>
            <w:hideMark/>
          </w:tcPr>
          <w:p w14:paraId="742D3AAC"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20,803</w:t>
            </w:r>
          </w:p>
        </w:tc>
        <w:tc>
          <w:tcPr>
            <w:tcW w:w="369" w:type="pct"/>
            <w:noWrap/>
            <w:hideMark/>
          </w:tcPr>
          <w:p w14:paraId="0630C3C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27,166</w:t>
            </w:r>
          </w:p>
        </w:tc>
        <w:tc>
          <w:tcPr>
            <w:tcW w:w="369" w:type="pct"/>
            <w:noWrap/>
            <w:hideMark/>
          </w:tcPr>
          <w:p w14:paraId="17D3ADB2"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22,062</w:t>
            </w:r>
          </w:p>
        </w:tc>
        <w:tc>
          <w:tcPr>
            <w:tcW w:w="369" w:type="pct"/>
            <w:noWrap/>
            <w:hideMark/>
          </w:tcPr>
          <w:p w14:paraId="2EBB379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19,641</w:t>
            </w:r>
          </w:p>
        </w:tc>
        <w:tc>
          <w:tcPr>
            <w:tcW w:w="326" w:type="pct"/>
            <w:noWrap/>
            <w:hideMark/>
          </w:tcPr>
          <w:p w14:paraId="5F4F8E7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16,248</w:t>
            </w:r>
          </w:p>
        </w:tc>
        <w:tc>
          <w:tcPr>
            <w:tcW w:w="326" w:type="pct"/>
            <w:noWrap/>
            <w:hideMark/>
          </w:tcPr>
          <w:p w14:paraId="0A194E70"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17,452</w:t>
            </w:r>
          </w:p>
        </w:tc>
        <w:tc>
          <w:tcPr>
            <w:tcW w:w="369" w:type="pct"/>
            <w:noWrap/>
            <w:hideMark/>
          </w:tcPr>
          <w:p w14:paraId="07E2E50D"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18,896</w:t>
            </w:r>
          </w:p>
        </w:tc>
        <w:tc>
          <w:tcPr>
            <w:tcW w:w="412" w:type="pct"/>
            <w:noWrap/>
            <w:hideMark/>
          </w:tcPr>
          <w:p w14:paraId="2679C65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27,166</w:t>
            </w:r>
          </w:p>
        </w:tc>
      </w:tr>
      <w:tr w:rsidR="004B6132" w:rsidRPr="000B627D" w14:paraId="6DF994C2"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21891985"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2032</w:t>
            </w:r>
          </w:p>
        </w:tc>
        <w:tc>
          <w:tcPr>
            <w:tcW w:w="370" w:type="pct"/>
            <w:noWrap/>
            <w:hideMark/>
          </w:tcPr>
          <w:p w14:paraId="23A4C9F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19,964</w:t>
            </w:r>
          </w:p>
        </w:tc>
        <w:tc>
          <w:tcPr>
            <w:tcW w:w="370" w:type="pct"/>
            <w:noWrap/>
            <w:hideMark/>
          </w:tcPr>
          <w:p w14:paraId="03E53A51"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19,179</w:t>
            </w:r>
          </w:p>
        </w:tc>
        <w:tc>
          <w:tcPr>
            <w:tcW w:w="369" w:type="pct"/>
            <w:noWrap/>
            <w:hideMark/>
          </w:tcPr>
          <w:p w14:paraId="0BFAD54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17,581</w:t>
            </w:r>
          </w:p>
        </w:tc>
        <w:tc>
          <w:tcPr>
            <w:tcW w:w="326" w:type="pct"/>
            <w:noWrap/>
            <w:hideMark/>
          </w:tcPr>
          <w:p w14:paraId="30D49979"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15,311</w:t>
            </w:r>
          </w:p>
        </w:tc>
        <w:tc>
          <w:tcPr>
            <w:tcW w:w="326" w:type="pct"/>
            <w:noWrap/>
            <w:hideMark/>
          </w:tcPr>
          <w:p w14:paraId="671095E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16,488</w:t>
            </w:r>
          </w:p>
        </w:tc>
        <w:tc>
          <w:tcPr>
            <w:tcW w:w="369" w:type="pct"/>
            <w:noWrap/>
            <w:hideMark/>
          </w:tcPr>
          <w:p w14:paraId="02532AFE"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22,648</w:t>
            </w:r>
          </w:p>
        </w:tc>
        <w:tc>
          <w:tcPr>
            <w:tcW w:w="369" w:type="pct"/>
            <w:noWrap/>
            <w:hideMark/>
          </w:tcPr>
          <w:p w14:paraId="4BA4F99C"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27,254</w:t>
            </w:r>
          </w:p>
        </w:tc>
        <w:tc>
          <w:tcPr>
            <w:tcW w:w="369" w:type="pct"/>
            <w:noWrap/>
            <w:hideMark/>
          </w:tcPr>
          <w:p w14:paraId="1308BD61"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22,088</w:t>
            </w:r>
          </w:p>
        </w:tc>
        <w:tc>
          <w:tcPr>
            <w:tcW w:w="369" w:type="pct"/>
            <w:noWrap/>
            <w:hideMark/>
          </w:tcPr>
          <w:p w14:paraId="5155E557"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19,637</w:t>
            </w:r>
          </w:p>
        </w:tc>
        <w:tc>
          <w:tcPr>
            <w:tcW w:w="326" w:type="pct"/>
            <w:noWrap/>
            <w:hideMark/>
          </w:tcPr>
          <w:p w14:paraId="674C0FCC"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16,203</w:t>
            </w:r>
          </w:p>
        </w:tc>
        <w:tc>
          <w:tcPr>
            <w:tcW w:w="326" w:type="pct"/>
            <w:noWrap/>
            <w:hideMark/>
          </w:tcPr>
          <w:p w14:paraId="6C06F31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17,937</w:t>
            </w:r>
          </w:p>
        </w:tc>
        <w:tc>
          <w:tcPr>
            <w:tcW w:w="369" w:type="pct"/>
            <w:noWrap/>
            <w:hideMark/>
          </w:tcPr>
          <w:p w14:paraId="61A91F29"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19,252</w:t>
            </w:r>
          </w:p>
        </w:tc>
        <w:tc>
          <w:tcPr>
            <w:tcW w:w="412" w:type="pct"/>
            <w:noWrap/>
            <w:hideMark/>
          </w:tcPr>
          <w:p w14:paraId="301D455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27,254</w:t>
            </w:r>
          </w:p>
        </w:tc>
      </w:tr>
      <w:tr w:rsidR="004B6132" w:rsidRPr="000B627D" w14:paraId="75B05FB2"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1ACCD03D"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2033</w:t>
            </w:r>
          </w:p>
        </w:tc>
        <w:tc>
          <w:tcPr>
            <w:tcW w:w="370" w:type="pct"/>
            <w:noWrap/>
            <w:hideMark/>
          </w:tcPr>
          <w:p w14:paraId="3E5D6E1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20,024</w:t>
            </w:r>
          </w:p>
        </w:tc>
        <w:tc>
          <w:tcPr>
            <w:tcW w:w="370" w:type="pct"/>
            <w:noWrap/>
            <w:hideMark/>
          </w:tcPr>
          <w:p w14:paraId="2154DEC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18,709</w:t>
            </w:r>
          </w:p>
        </w:tc>
        <w:tc>
          <w:tcPr>
            <w:tcW w:w="369" w:type="pct"/>
            <w:noWrap/>
            <w:hideMark/>
          </w:tcPr>
          <w:p w14:paraId="4FF2D57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17,462</w:t>
            </w:r>
          </w:p>
        </w:tc>
        <w:tc>
          <w:tcPr>
            <w:tcW w:w="326" w:type="pct"/>
            <w:noWrap/>
            <w:hideMark/>
          </w:tcPr>
          <w:p w14:paraId="31F38B3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15,178</w:t>
            </w:r>
          </w:p>
        </w:tc>
        <w:tc>
          <w:tcPr>
            <w:tcW w:w="326" w:type="pct"/>
            <w:noWrap/>
            <w:hideMark/>
          </w:tcPr>
          <w:p w14:paraId="6730D98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16,798</w:t>
            </w:r>
          </w:p>
        </w:tc>
        <w:tc>
          <w:tcPr>
            <w:tcW w:w="369" w:type="pct"/>
            <w:noWrap/>
            <w:hideMark/>
          </w:tcPr>
          <w:p w14:paraId="581514DC"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22,718</w:t>
            </w:r>
          </w:p>
        </w:tc>
        <w:tc>
          <w:tcPr>
            <w:tcW w:w="369" w:type="pct"/>
            <w:noWrap/>
            <w:hideMark/>
          </w:tcPr>
          <w:p w14:paraId="3BCE247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27,356</w:t>
            </w:r>
          </w:p>
        </w:tc>
        <w:tc>
          <w:tcPr>
            <w:tcW w:w="369" w:type="pct"/>
            <w:noWrap/>
            <w:hideMark/>
          </w:tcPr>
          <w:p w14:paraId="6E59122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22,158</w:t>
            </w:r>
          </w:p>
        </w:tc>
        <w:tc>
          <w:tcPr>
            <w:tcW w:w="369" w:type="pct"/>
            <w:noWrap/>
            <w:hideMark/>
          </w:tcPr>
          <w:p w14:paraId="6A1AAC8C"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19,205</w:t>
            </w:r>
          </w:p>
        </w:tc>
        <w:tc>
          <w:tcPr>
            <w:tcW w:w="326" w:type="pct"/>
            <w:noWrap/>
            <w:hideMark/>
          </w:tcPr>
          <w:p w14:paraId="1C5A683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16,234</w:t>
            </w:r>
          </w:p>
        </w:tc>
        <w:tc>
          <w:tcPr>
            <w:tcW w:w="326" w:type="pct"/>
            <w:noWrap/>
            <w:hideMark/>
          </w:tcPr>
          <w:p w14:paraId="535D4C1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17,982</w:t>
            </w:r>
          </w:p>
        </w:tc>
        <w:tc>
          <w:tcPr>
            <w:tcW w:w="369" w:type="pct"/>
            <w:noWrap/>
            <w:hideMark/>
          </w:tcPr>
          <w:p w14:paraId="3D3CF216"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19,309</w:t>
            </w:r>
          </w:p>
        </w:tc>
        <w:tc>
          <w:tcPr>
            <w:tcW w:w="412" w:type="pct"/>
            <w:noWrap/>
            <w:hideMark/>
          </w:tcPr>
          <w:p w14:paraId="662006C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27,356</w:t>
            </w:r>
          </w:p>
        </w:tc>
      </w:tr>
      <w:tr w:rsidR="004B6132" w:rsidRPr="000B627D" w14:paraId="0623D0F2"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0A542F58"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2034</w:t>
            </w:r>
          </w:p>
        </w:tc>
        <w:tc>
          <w:tcPr>
            <w:tcW w:w="370" w:type="pct"/>
            <w:noWrap/>
            <w:hideMark/>
          </w:tcPr>
          <w:p w14:paraId="5AA90A39"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20,049</w:t>
            </w:r>
          </w:p>
        </w:tc>
        <w:tc>
          <w:tcPr>
            <w:tcW w:w="370" w:type="pct"/>
            <w:noWrap/>
            <w:hideMark/>
          </w:tcPr>
          <w:p w14:paraId="21FA22F2"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18,561</w:t>
            </w:r>
          </w:p>
        </w:tc>
        <w:tc>
          <w:tcPr>
            <w:tcW w:w="369" w:type="pct"/>
            <w:noWrap/>
            <w:hideMark/>
          </w:tcPr>
          <w:p w14:paraId="141B698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17,402</w:t>
            </w:r>
          </w:p>
        </w:tc>
        <w:tc>
          <w:tcPr>
            <w:tcW w:w="326" w:type="pct"/>
            <w:noWrap/>
            <w:hideMark/>
          </w:tcPr>
          <w:p w14:paraId="7AABD15B"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15,159</w:t>
            </w:r>
          </w:p>
        </w:tc>
        <w:tc>
          <w:tcPr>
            <w:tcW w:w="326" w:type="pct"/>
            <w:noWrap/>
            <w:hideMark/>
          </w:tcPr>
          <w:p w14:paraId="2C8B792F"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17,268</w:t>
            </w:r>
          </w:p>
        </w:tc>
        <w:tc>
          <w:tcPr>
            <w:tcW w:w="369" w:type="pct"/>
            <w:noWrap/>
            <w:hideMark/>
          </w:tcPr>
          <w:p w14:paraId="7DB4D3E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22,766</w:t>
            </w:r>
          </w:p>
        </w:tc>
        <w:tc>
          <w:tcPr>
            <w:tcW w:w="369" w:type="pct"/>
            <w:noWrap/>
            <w:hideMark/>
          </w:tcPr>
          <w:p w14:paraId="1D32C207"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27,448</w:t>
            </w:r>
          </w:p>
        </w:tc>
        <w:tc>
          <w:tcPr>
            <w:tcW w:w="369" w:type="pct"/>
            <w:noWrap/>
            <w:hideMark/>
          </w:tcPr>
          <w:p w14:paraId="3F4A507F"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22,203</w:t>
            </w:r>
          </w:p>
        </w:tc>
        <w:tc>
          <w:tcPr>
            <w:tcW w:w="369" w:type="pct"/>
            <w:noWrap/>
            <w:hideMark/>
          </w:tcPr>
          <w:p w14:paraId="20FEFCB1"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19,221</w:t>
            </w:r>
          </w:p>
        </w:tc>
        <w:tc>
          <w:tcPr>
            <w:tcW w:w="326" w:type="pct"/>
            <w:noWrap/>
            <w:hideMark/>
          </w:tcPr>
          <w:p w14:paraId="7130E2FF"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16,224</w:t>
            </w:r>
          </w:p>
        </w:tc>
        <w:tc>
          <w:tcPr>
            <w:tcW w:w="326" w:type="pct"/>
            <w:noWrap/>
            <w:hideMark/>
          </w:tcPr>
          <w:p w14:paraId="7B81428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17,989</w:t>
            </w:r>
          </w:p>
        </w:tc>
        <w:tc>
          <w:tcPr>
            <w:tcW w:w="369" w:type="pct"/>
            <w:noWrap/>
            <w:hideMark/>
          </w:tcPr>
          <w:p w14:paraId="28E2127B"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19,328</w:t>
            </w:r>
          </w:p>
        </w:tc>
        <w:tc>
          <w:tcPr>
            <w:tcW w:w="412" w:type="pct"/>
            <w:noWrap/>
            <w:hideMark/>
          </w:tcPr>
          <w:p w14:paraId="03EBBFA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27,448</w:t>
            </w:r>
          </w:p>
        </w:tc>
      </w:tr>
      <w:tr w:rsidR="004B6132" w:rsidRPr="000B627D" w14:paraId="6B3AE932"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271389A4"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2035</w:t>
            </w:r>
          </w:p>
        </w:tc>
        <w:tc>
          <w:tcPr>
            <w:tcW w:w="370" w:type="pct"/>
            <w:noWrap/>
            <w:hideMark/>
          </w:tcPr>
          <w:p w14:paraId="3394151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20,061</w:t>
            </w:r>
          </w:p>
        </w:tc>
        <w:tc>
          <w:tcPr>
            <w:tcW w:w="370" w:type="pct"/>
            <w:noWrap/>
            <w:hideMark/>
          </w:tcPr>
          <w:p w14:paraId="52FB171C"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19,256</w:t>
            </w:r>
          </w:p>
        </w:tc>
        <w:tc>
          <w:tcPr>
            <w:tcW w:w="369" w:type="pct"/>
            <w:noWrap/>
            <w:hideMark/>
          </w:tcPr>
          <w:p w14:paraId="05B266A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17,731</w:t>
            </w:r>
          </w:p>
        </w:tc>
        <w:tc>
          <w:tcPr>
            <w:tcW w:w="326" w:type="pct"/>
            <w:noWrap/>
            <w:hideMark/>
          </w:tcPr>
          <w:p w14:paraId="2818506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15,728</w:t>
            </w:r>
          </w:p>
        </w:tc>
        <w:tc>
          <w:tcPr>
            <w:tcW w:w="326" w:type="pct"/>
            <w:noWrap/>
            <w:hideMark/>
          </w:tcPr>
          <w:p w14:paraId="47D193C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16,498</w:t>
            </w:r>
          </w:p>
        </w:tc>
        <w:tc>
          <w:tcPr>
            <w:tcW w:w="369" w:type="pct"/>
            <w:noWrap/>
            <w:hideMark/>
          </w:tcPr>
          <w:p w14:paraId="4E1F05A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20,328</w:t>
            </w:r>
          </w:p>
        </w:tc>
        <w:tc>
          <w:tcPr>
            <w:tcW w:w="369" w:type="pct"/>
            <w:noWrap/>
            <w:hideMark/>
          </w:tcPr>
          <w:p w14:paraId="1728684E"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27,532</w:t>
            </w:r>
          </w:p>
        </w:tc>
        <w:tc>
          <w:tcPr>
            <w:tcW w:w="369" w:type="pct"/>
            <w:noWrap/>
            <w:hideMark/>
          </w:tcPr>
          <w:p w14:paraId="0436384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22,643</w:t>
            </w:r>
          </w:p>
        </w:tc>
        <w:tc>
          <w:tcPr>
            <w:tcW w:w="369" w:type="pct"/>
            <w:noWrap/>
            <w:hideMark/>
          </w:tcPr>
          <w:p w14:paraId="2F18C6C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19,724</w:t>
            </w:r>
          </w:p>
        </w:tc>
        <w:tc>
          <w:tcPr>
            <w:tcW w:w="326" w:type="pct"/>
            <w:noWrap/>
            <w:hideMark/>
          </w:tcPr>
          <w:p w14:paraId="648E2D0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16,207</w:t>
            </w:r>
          </w:p>
        </w:tc>
        <w:tc>
          <w:tcPr>
            <w:tcW w:w="326" w:type="pct"/>
            <w:noWrap/>
            <w:hideMark/>
          </w:tcPr>
          <w:p w14:paraId="3D62985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17,457</w:t>
            </w:r>
          </w:p>
        </w:tc>
        <w:tc>
          <w:tcPr>
            <w:tcW w:w="369" w:type="pct"/>
            <w:noWrap/>
            <w:hideMark/>
          </w:tcPr>
          <w:p w14:paraId="0A7A6AC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18,956</w:t>
            </w:r>
          </w:p>
        </w:tc>
        <w:tc>
          <w:tcPr>
            <w:tcW w:w="412" w:type="pct"/>
            <w:noWrap/>
            <w:hideMark/>
          </w:tcPr>
          <w:p w14:paraId="155EA70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27,532</w:t>
            </w:r>
          </w:p>
        </w:tc>
      </w:tr>
      <w:tr w:rsidR="004B6132" w:rsidRPr="000B627D" w14:paraId="749B987F"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4E1116B4"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2036</w:t>
            </w:r>
          </w:p>
        </w:tc>
        <w:tc>
          <w:tcPr>
            <w:tcW w:w="370" w:type="pct"/>
            <w:noWrap/>
            <w:hideMark/>
          </w:tcPr>
          <w:p w14:paraId="00A0D4D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20,065</w:t>
            </w:r>
          </w:p>
        </w:tc>
        <w:tc>
          <w:tcPr>
            <w:tcW w:w="370" w:type="pct"/>
            <w:noWrap/>
            <w:hideMark/>
          </w:tcPr>
          <w:p w14:paraId="35118FE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19,249</w:t>
            </w:r>
          </w:p>
        </w:tc>
        <w:tc>
          <w:tcPr>
            <w:tcW w:w="369" w:type="pct"/>
            <w:noWrap/>
            <w:hideMark/>
          </w:tcPr>
          <w:p w14:paraId="7DCA3DF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17,593</w:t>
            </w:r>
          </w:p>
        </w:tc>
        <w:tc>
          <w:tcPr>
            <w:tcW w:w="326" w:type="pct"/>
            <w:noWrap/>
            <w:hideMark/>
          </w:tcPr>
          <w:p w14:paraId="52B77EFC"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15,493</w:t>
            </w:r>
          </w:p>
        </w:tc>
        <w:tc>
          <w:tcPr>
            <w:tcW w:w="326" w:type="pct"/>
            <w:noWrap/>
            <w:hideMark/>
          </w:tcPr>
          <w:p w14:paraId="648F7AC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16,456</w:t>
            </w:r>
          </w:p>
        </w:tc>
        <w:tc>
          <w:tcPr>
            <w:tcW w:w="369" w:type="pct"/>
            <w:noWrap/>
            <w:hideMark/>
          </w:tcPr>
          <w:p w14:paraId="6F657649"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20,938</w:t>
            </w:r>
          </w:p>
        </w:tc>
        <w:tc>
          <w:tcPr>
            <w:tcW w:w="369" w:type="pct"/>
            <w:noWrap/>
            <w:hideMark/>
          </w:tcPr>
          <w:p w14:paraId="2277BA7E"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27,623</w:t>
            </w:r>
          </w:p>
        </w:tc>
        <w:tc>
          <w:tcPr>
            <w:tcW w:w="369" w:type="pct"/>
            <w:noWrap/>
            <w:hideMark/>
          </w:tcPr>
          <w:p w14:paraId="663A43DF"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22,268</w:t>
            </w:r>
          </w:p>
        </w:tc>
        <w:tc>
          <w:tcPr>
            <w:tcW w:w="369" w:type="pct"/>
            <w:noWrap/>
            <w:hideMark/>
          </w:tcPr>
          <w:p w14:paraId="644AA28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19,722</w:t>
            </w:r>
          </w:p>
        </w:tc>
        <w:tc>
          <w:tcPr>
            <w:tcW w:w="326" w:type="pct"/>
            <w:noWrap/>
            <w:hideMark/>
          </w:tcPr>
          <w:p w14:paraId="1E49A05C"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16,164</w:t>
            </w:r>
          </w:p>
        </w:tc>
        <w:tc>
          <w:tcPr>
            <w:tcW w:w="326" w:type="pct"/>
            <w:noWrap/>
            <w:hideMark/>
          </w:tcPr>
          <w:p w14:paraId="0999AD5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17,429</w:t>
            </w:r>
          </w:p>
        </w:tc>
        <w:tc>
          <w:tcPr>
            <w:tcW w:w="369" w:type="pct"/>
            <w:noWrap/>
            <w:hideMark/>
          </w:tcPr>
          <w:p w14:paraId="679A78E7"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18,946</w:t>
            </w:r>
          </w:p>
        </w:tc>
        <w:tc>
          <w:tcPr>
            <w:tcW w:w="412" w:type="pct"/>
            <w:noWrap/>
            <w:hideMark/>
          </w:tcPr>
          <w:p w14:paraId="2C1D218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27,623</w:t>
            </w:r>
          </w:p>
        </w:tc>
      </w:tr>
      <w:tr w:rsidR="004B6132" w:rsidRPr="000B627D" w14:paraId="14DA0B4C"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10362E49"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2037</w:t>
            </w:r>
          </w:p>
        </w:tc>
        <w:tc>
          <w:tcPr>
            <w:tcW w:w="370" w:type="pct"/>
            <w:noWrap/>
            <w:hideMark/>
          </w:tcPr>
          <w:p w14:paraId="099A5A9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20,112</w:t>
            </w:r>
          </w:p>
        </w:tc>
        <w:tc>
          <w:tcPr>
            <w:tcW w:w="370" w:type="pct"/>
            <w:noWrap/>
            <w:hideMark/>
          </w:tcPr>
          <w:p w14:paraId="01925C4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19,291</w:t>
            </w:r>
          </w:p>
        </w:tc>
        <w:tc>
          <w:tcPr>
            <w:tcW w:w="369" w:type="pct"/>
            <w:noWrap/>
            <w:hideMark/>
          </w:tcPr>
          <w:p w14:paraId="66EAC836"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17,625</w:t>
            </w:r>
          </w:p>
        </w:tc>
        <w:tc>
          <w:tcPr>
            <w:tcW w:w="326" w:type="pct"/>
            <w:noWrap/>
            <w:hideMark/>
          </w:tcPr>
          <w:p w14:paraId="580FB73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15,413</w:t>
            </w:r>
          </w:p>
        </w:tc>
        <w:tc>
          <w:tcPr>
            <w:tcW w:w="326" w:type="pct"/>
            <w:noWrap/>
            <w:hideMark/>
          </w:tcPr>
          <w:p w14:paraId="6DF4274C"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16,481</w:t>
            </w:r>
          </w:p>
        </w:tc>
        <w:tc>
          <w:tcPr>
            <w:tcW w:w="369" w:type="pct"/>
            <w:noWrap/>
            <w:hideMark/>
          </w:tcPr>
          <w:p w14:paraId="4A946D8B"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21,135</w:t>
            </w:r>
          </w:p>
        </w:tc>
        <w:tc>
          <w:tcPr>
            <w:tcW w:w="369" w:type="pct"/>
            <w:noWrap/>
            <w:hideMark/>
          </w:tcPr>
          <w:p w14:paraId="3B3B4CBB"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27,719</w:t>
            </w:r>
          </w:p>
        </w:tc>
        <w:tc>
          <w:tcPr>
            <w:tcW w:w="369" w:type="pct"/>
            <w:noWrap/>
            <w:hideMark/>
          </w:tcPr>
          <w:p w14:paraId="6CFB769A"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22,330</w:t>
            </w:r>
          </w:p>
        </w:tc>
        <w:tc>
          <w:tcPr>
            <w:tcW w:w="369" w:type="pct"/>
            <w:noWrap/>
            <w:hideMark/>
          </w:tcPr>
          <w:p w14:paraId="0601D58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19,767</w:t>
            </w:r>
          </w:p>
        </w:tc>
        <w:tc>
          <w:tcPr>
            <w:tcW w:w="326" w:type="pct"/>
            <w:noWrap/>
            <w:hideMark/>
          </w:tcPr>
          <w:p w14:paraId="0F695EF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16,188</w:t>
            </w:r>
          </w:p>
        </w:tc>
        <w:tc>
          <w:tcPr>
            <w:tcW w:w="326" w:type="pct"/>
            <w:noWrap/>
            <w:hideMark/>
          </w:tcPr>
          <w:p w14:paraId="586C9859"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17,998</w:t>
            </w:r>
          </w:p>
        </w:tc>
        <w:tc>
          <w:tcPr>
            <w:tcW w:w="369" w:type="pct"/>
            <w:noWrap/>
            <w:hideMark/>
          </w:tcPr>
          <w:p w14:paraId="591D62C6"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19,372</w:t>
            </w:r>
          </w:p>
        </w:tc>
        <w:tc>
          <w:tcPr>
            <w:tcW w:w="412" w:type="pct"/>
            <w:noWrap/>
            <w:hideMark/>
          </w:tcPr>
          <w:p w14:paraId="57633AF7"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27,719</w:t>
            </w:r>
          </w:p>
        </w:tc>
      </w:tr>
      <w:tr w:rsidR="004B6132" w:rsidRPr="000B627D" w14:paraId="4E3B7C57"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0BF015DD"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2038</w:t>
            </w:r>
          </w:p>
        </w:tc>
        <w:tc>
          <w:tcPr>
            <w:tcW w:w="370" w:type="pct"/>
            <w:noWrap/>
            <w:hideMark/>
          </w:tcPr>
          <w:p w14:paraId="14837C0E"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20,151</w:t>
            </w:r>
          </w:p>
        </w:tc>
        <w:tc>
          <w:tcPr>
            <w:tcW w:w="370" w:type="pct"/>
            <w:noWrap/>
            <w:hideMark/>
          </w:tcPr>
          <w:p w14:paraId="133AE47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19,320</w:t>
            </w:r>
          </w:p>
        </w:tc>
        <w:tc>
          <w:tcPr>
            <w:tcW w:w="369" w:type="pct"/>
            <w:noWrap/>
            <w:hideMark/>
          </w:tcPr>
          <w:p w14:paraId="555BE96C"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17,636</w:t>
            </w:r>
          </w:p>
        </w:tc>
        <w:tc>
          <w:tcPr>
            <w:tcW w:w="326" w:type="pct"/>
            <w:noWrap/>
            <w:hideMark/>
          </w:tcPr>
          <w:p w14:paraId="4216AA8D"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15,243</w:t>
            </w:r>
          </w:p>
        </w:tc>
        <w:tc>
          <w:tcPr>
            <w:tcW w:w="326" w:type="pct"/>
            <w:noWrap/>
            <w:hideMark/>
          </w:tcPr>
          <w:p w14:paraId="7A99C6A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16,478</w:t>
            </w:r>
          </w:p>
        </w:tc>
        <w:tc>
          <w:tcPr>
            <w:tcW w:w="369" w:type="pct"/>
            <w:noWrap/>
            <w:hideMark/>
          </w:tcPr>
          <w:p w14:paraId="7866CFED"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22,959</w:t>
            </w:r>
          </w:p>
        </w:tc>
        <w:tc>
          <w:tcPr>
            <w:tcW w:w="369" w:type="pct"/>
            <w:noWrap/>
            <w:hideMark/>
          </w:tcPr>
          <w:p w14:paraId="1B43C098"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27,821</w:t>
            </w:r>
          </w:p>
        </w:tc>
        <w:tc>
          <w:tcPr>
            <w:tcW w:w="369" w:type="pct"/>
            <w:noWrap/>
            <w:hideMark/>
          </w:tcPr>
          <w:p w14:paraId="114046B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22,384</w:t>
            </w:r>
          </w:p>
        </w:tc>
        <w:tc>
          <w:tcPr>
            <w:tcW w:w="369" w:type="pct"/>
            <w:noWrap/>
            <w:hideMark/>
          </w:tcPr>
          <w:p w14:paraId="69E47BA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19,795</w:t>
            </w:r>
          </w:p>
        </w:tc>
        <w:tc>
          <w:tcPr>
            <w:tcW w:w="326" w:type="pct"/>
            <w:noWrap/>
            <w:hideMark/>
          </w:tcPr>
          <w:p w14:paraId="7D683B22"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16,183</w:t>
            </w:r>
          </w:p>
        </w:tc>
        <w:tc>
          <w:tcPr>
            <w:tcW w:w="326" w:type="pct"/>
            <w:noWrap/>
            <w:hideMark/>
          </w:tcPr>
          <w:p w14:paraId="22B1918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18,014</w:t>
            </w:r>
          </w:p>
        </w:tc>
        <w:tc>
          <w:tcPr>
            <w:tcW w:w="369" w:type="pct"/>
            <w:noWrap/>
            <w:hideMark/>
          </w:tcPr>
          <w:p w14:paraId="11287310"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19,405</w:t>
            </w:r>
          </w:p>
        </w:tc>
        <w:tc>
          <w:tcPr>
            <w:tcW w:w="412" w:type="pct"/>
            <w:noWrap/>
            <w:hideMark/>
          </w:tcPr>
          <w:p w14:paraId="57D2D4D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27,821</w:t>
            </w:r>
          </w:p>
        </w:tc>
      </w:tr>
      <w:tr w:rsidR="004B6132" w:rsidRPr="000B627D" w14:paraId="13640FB2" w14:textId="77777777" w:rsidTr="00AF4FB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5B1DFFB4"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2039</w:t>
            </w:r>
          </w:p>
        </w:tc>
        <w:tc>
          <w:tcPr>
            <w:tcW w:w="370" w:type="pct"/>
            <w:noWrap/>
            <w:hideMark/>
          </w:tcPr>
          <w:p w14:paraId="28E77E06"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20,180</w:t>
            </w:r>
          </w:p>
        </w:tc>
        <w:tc>
          <w:tcPr>
            <w:tcW w:w="370" w:type="pct"/>
            <w:noWrap/>
            <w:hideMark/>
          </w:tcPr>
          <w:p w14:paraId="53DA79A8"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18,789</w:t>
            </w:r>
          </w:p>
        </w:tc>
        <w:tc>
          <w:tcPr>
            <w:tcW w:w="369" w:type="pct"/>
            <w:noWrap/>
            <w:hideMark/>
          </w:tcPr>
          <w:p w14:paraId="7F79F4D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17,473</w:t>
            </w:r>
          </w:p>
        </w:tc>
        <w:tc>
          <w:tcPr>
            <w:tcW w:w="326" w:type="pct"/>
            <w:noWrap/>
            <w:hideMark/>
          </w:tcPr>
          <w:p w14:paraId="04B237D8"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15,064</w:t>
            </w:r>
          </w:p>
        </w:tc>
        <w:tc>
          <w:tcPr>
            <w:tcW w:w="326" w:type="pct"/>
            <w:noWrap/>
            <w:hideMark/>
          </w:tcPr>
          <w:p w14:paraId="4415103E"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16,763</w:t>
            </w:r>
          </w:p>
        </w:tc>
        <w:tc>
          <w:tcPr>
            <w:tcW w:w="369" w:type="pct"/>
            <w:noWrap/>
            <w:hideMark/>
          </w:tcPr>
          <w:p w14:paraId="771CEBE4"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23,010</w:t>
            </w:r>
          </w:p>
        </w:tc>
        <w:tc>
          <w:tcPr>
            <w:tcW w:w="369" w:type="pct"/>
            <w:noWrap/>
            <w:hideMark/>
          </w:tcPr>
          <w:p w14:paraId="2B92941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27,917</w:t>
            </w:r>
          </w:p>
        </w:tc>
        <w:tc>
          <w:tcPr>
            <w:tcW w:w="369" w:type="pct"/>
            <w:noWrap/>
            <w:hideMark/>
          </w:tcPr>
          <w:p w14:paraId="31475553"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22,433</w:t>
            </w:r>
          </w:p>
        </w:tc>
        <w:tc>
          <w:tcPr>
            <w:tcW w:w="369" w:type="pct"/>
            <w:noWrap/>
            <w:hideMark/>
          </w:tcPr>
          <w:p w14:paraId="18A1226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19,306</w:t>
            </w:r>
          </w:p>
        </w:tc>
        <w:tc>
          <w:tcPr>
            <w:tcW w:w="326" w:type="pct"/>
            <w:noWrap/>
            <w:hideMark/>
          </w:tcPr>
          <w:p w14:paraId="78B092D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16,179</w:t>
            </w:r>
          </w:p>
        </w:tc>
        <w:tc>
          <w:tcPr>
            <w:tcW w:w="326" w:type="pct"/>
            <w:noWrap/>
            <w:hideMark/>
          </w:tcPr>
          <w:p w14:paraId="28FD42E1"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18,025</w:t>
            </w:r>
          </w:p>
        </w:tc>
        <w:tc>
          <w:tcPr>
            <w:tcW w:w="369" w:type="pct"/>
            <w:noWrap/>
            <w:hideMark/>
          </w:tcPr>
          <w:p w14:paraId="16FB7B65"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19,428</w:t>
            </w:r>
          </w:p>
        </w:tc>
        <w:tc>
          <w:tcPr>
            <w:tcW w:w="412" w:type="pct"/>
            <w:noWrap/>
            <w:hideMark/>
          </w:tcPr>
          <w:p w14:paraId="48B99A5F" w14:textId="77777777" w:rsidR="004B6132" w:rsidRPr="000B627D" w:rsidRDefault="004B6132" w:rsidP="00AF4FB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27,917</w:t>
            </w:r>
          </w:p>
        </w:tc>
      </w:tr>
      <w:tr w:rsidR="004B6132" w:rsidRPr="000B627D" w14:paraId="76335397" w14:textId="77777777" w:rsidTr="00AF4FB9">
        <w:trPr>
          <w:trHeight w:hRule="exact" w:val="432"/>
        </w:trPr>
        <w:tc>
          <w:tcPr>
            <w:cnfStyle w:val="001000000000" w:firstRow="0" w:lastRow="0" w:firstColumn="1" w:lastColumn="0" w:oddVBand="0" w:evenVBand="0" w:oddHBand="0" w:evenHBand="0" w:firstRowFirstColumn="0" w:firstRowLastColumn="0" w:lastRowFirstColumn="0" w:lastRowLastColumn="0"/>
            <w:tcW w:w="329" w:type="pct"/>
            <w:noWrap/>
            <w:hideMark/>
          </w:tcPr>
          <w:p w14:paraId="00BAE9B3" w14:textId="77777777" w:rsidR="004B6132" w:rsidRPr="000B627D" w:rsidRDefault="004B6132" w:rsidP="00AF4FB9">
            <w:pPr>
              <w:jc w:val="center"/>
              <w:rPr>
                <w:rFonts w:ascii="Century Gothic" w:hAnsi="Century Gothic"/>
                <w:sz w:val="14"/>
                <w:szCs w:val="14"/>
              </w:rPr>
            </w:pPr>
            <w:r w:rsidRPr="000B627D">
              <w:rPr>
                <w:rFonts w:ascii="Century Gothic" w:hAnsi="Century Gothic"/>
                <w:sz w:val="14"/>
                <w:szCs w:val="14"/>
              </w:rPr>
              <w:t>2040</w:t>
            </w:r>
          </w:p>
        </w:tc>
        <w:tc>
          <w:tcPr>
            <w:tcW w:w="370" w:type="pct"/>
            <w:noWrap/>
            <w:hideMark/>
          </w:tcPr>
          <w:p w14:paraId="1DA416D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20,187</w:t>
            </w:r>
          </w:p>
        </w:tc>
        <w:tc>
          <w:tcPr>
            <w:tcW w:w="370" w:type="pct"/>
            <w:noWrap/>
            <w:hideMark/>
          </w:tcPr>
          <w:p w14:paraId="3B0C693B"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18,609</w:t>
            </w:r>
          </w:p>
        </w:tc>
        <w:tc>
          <w:tcPr>
            <w:tcW w:w="369" w:type="pct"/>
            <w:noWrap/>
            <w:hideMark/>
          </w:tcPr>
          <w:p w14:paraId="662DD3D6"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17,383</w:t>
            </w:r>
          </w:p>
        </w:tc>
        <w:tc>
          <w:tcPr>
            <w:tcW w:w="326" w:type="pct"/>
            <w:noWrap/>
            <w:hideMark/>
          </w:tcPr>
          <w:p w14:paraId="0724A159"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15,012</w:t>
            </w:r>
          </w:p>
        </w:tc>
        <w:tc>
          <w:tcPr>
            <w:tcW w:w="326" w:type="pct"/>
            <w:noWrap/>
            <w:hideMark/>
          </w:tcPr>
          <w:p w14:paraId="234E765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17,448</w:t>
            </w:r>
          </w:p>
        </w:tc>
        <w:tc>
          <w:tcPr>
            <w:tcW w:w="369" w:type="pct"/>
            <w:noWrap/>
            <w:hideMark/>
          </w:tcPr>
          <w:p w14:paraId="141E2153"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23,046</w:t>
            </w:r>
          </w:p>
        </w:tc>
        <w:tc>
          <w:tcPr>
            <w:tcW w:w="369" w:type="pct"/>
            <w:noWrap/>
            <w:hideMark/>
          </w:tcPr>
          <w:p w14:paraId="62F13874"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28,010</w:t>
            </w:r>
          </w:p>
        </w:tc>
        <w:tc>
          <w:tcPr>
            <w:tcW w:w="369" w:type="pct"/>
            <w:noWrap/>
            <w:hideMark/>
          </w:tcPr>
          <w:p w14:paraId="5B0FA908"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22,465</w:t>
            </w:r>
          </w:p>
        </w:tc>
        <w:tc>
          <w:tcPr>
            <w:tcW w:w="369" w:type="pct"/>
            <w:noWrap/>
            <w:hideMark/>
          </w:tcPr>
          <w:p w14:paraId="02D49185"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18,670</w:t>
            </w:r>
          </w:p>
        </w:tc>
        <w:tc>
          <w:tcPr>
            <w:tcW w:w="326" w:type="pct"/>
            <w:noWrap/>
            <w:hideMark/>
          </w:tcPr>
          <w:p w14:paraId="2FDF473A"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16,235</w:t>
            </w:r>
          </w:p>
        </w:tc>
        <w:tc>
          <w:tcPr>
            <w:tcW w:w="326" w:type="pct"/>
            <w:noWrap/>
            <w:hideMark/>
          </w:tcPr>
          <w:p w14:paraId="23BC407C"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18,007</w:t>
            </w:r>
          </w:p>
        </w:tc>
        <w:tc>
          <w:tcPr>
            <w:tcW w:w="369" w:type="pct"/>
            <w:noWrap/>
            <w:hideMark/>
          </w:tcPr>
          <w:p w14:paraId="0802994F"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19,428</w:t>
            </w:r>
          </w:p>
        </w:tc>
        <w:tc>
          <w:tcPr>
            <w:tcW w:w="412" w:type="pct"/>
            <w:noWrap/>
            <w:hideMark/>
          </w:tcPr>
          <w:p w14:paraId="66C03161" w14:textId="77777777" w:rsidR="004B6132" w:rsidRPr="000B627D" w:rsidRDefault="004B6132" w:rsidP="00AF4FB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4"/>
                <w:szCs w:val="14"/>
              </w:rPr>
            </w:pPr>
            <w:r w:rsidRPr="000B627D">
              <w:rPr>
                <w:rFonts w:ascii="Century Gothic" w:hAnsi="Century Gothic"/>
                <w:sz w:val="14"/>
                <w:szCs w:val="14"/>
              </w:rPr>
              <w:t>28,010</w:t>
            </w:r>
          </w:p>
        </w:tc>
      </w:tr>
    </w:tbl>
    <w:p w14:paraId="2C6D00DC" w14:textId="7019EC81" w:rsidR="00DE00FC" w:rsidRDefault="00DE00FC" w:rsidP="00DE00FC"/>
    <w:sectPr w:rsidR="00DE00FC" w:rsidSect="001E5686">
      <w:headerReference w:type="even"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F2F4E" w14:textId="77777777" w:rsidR="00FA6573" w:rsidRDefault="00FA6573" w:rsidP="0025706A">
      <w:pPr>
        <w:spacing w:after="0" w:line="240" w:lineRule="auto"/>
      </w:pPr>
      <w:r>
        <w:separator/>
      </w:r>
    </w:p>
  </w:endnote>
  <w:endnote w:type="continuationSeparator" w:id="0">
    <w:p w14:paraId="0EFAC087" w14:textId="77777777" w:rsidR="00FA6573" w:rsidRDefault="00FA6573" w:rsidP="00257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F78DA" w14:textId="4D73A9FD" w:rsidR="009E6AC8" w:rsidRDefault="009E6AC8" w:rsidP="004038E1">
    <w:pPr>
      <w:pStyle w:val="Footer"/>
      <w:pBdr>
        <w:top w:val="single" w:sz="4" w:space="1" w:color="833C0B" w:themeColor="accent2" w:themeShade="80"/>
      </w:pBdr>
      <w:spacing w:before="240" w:after="240"/>
      <w:rPr>
        <w:noProof/>
        <w:sz w:val="16"/>
        <w:szCs w:val="16"/>
      </w:rPr>
    </w:pPr>
    <w:r w:rsidRPr="00EC4F36">
      <w:rPr>
        <w:caps/>
        <w:sz w:val="16"/>
        <w:szCs w:val="16"/>
      </w:rPr>
      <w:fldChar w:fldCharType="begin"/>
    </w:r>
    <w:r w:rsidRPr="00EC4F36">
      <w:rPr>
        <w:sz w:val="16"/>
        <w:szCs w:val="16"/>
      </w:rPr>
      <w:instrText xml:space="preserve"> PAGE   \* MERGEFORMAT </w:instrText>
    </w:r>
    <w:r w:rsidRPr="00EC4F36">
      <w:rPr>
        <w:caps/>
        <w:sz w:val="16"/>
        <w:szCs w:val="16"/>
      </w:rPr>
      <w:fldChar w:fldCharType="separate"/>
    </w:r>
    <w:r w:rsidR="0091030A">
      <w:rPr>
        <w:noProof/>
        <w:sz w:val="16"/>
        <w:szCs w:val="16"/>
      </w:rPr>
      <w:t>4</w:t>
    </w:r>
    <w:r w:rsidRPr="00EC4F36">
      <w:rPr>
        <w:caps/>
        <w:noProof/>
        <w:sz w:val="16"/>
        <w:szCs w:val="16"/>
      </w:rPr>
      <w:fldChar w:fldCharType="end"/>
    </w:r>
    <w:r>
      <w:rPr>
        <w:noProof/>
        <w:sz w:val="16"/>
        <w:szCs w:val="16"/>
      </w:rPr>
      <w:t xml:space="preserve"> </w:t>
    </w:r>
    <w:r>
      <w:rPr>
        <w:noProof/>
        <w:sz w:val="16"/>
        <w:szCs w:val="16"/>
      </w:rPr>
      <w:tab/>
    </w:r>
    <w:r>
      <w:rPr>
        <w:noProof/>
        <w:sz w:val="16"/>
        <w:szCs w:val="16"/>
      </w:rPr>
      <w:tab/>
    </w:r>
    <w:r w:rsidRPr="00EC4F36">
      <w:rPr>
        <w:sz w:val="16"/>
        <w:szCs w:val="16"/>
      </w:rPr>
      <w:t>Concentric Energy Advisors, Inc.</w:t>
    </w:r>
  </w:p>
  <w:p w14:paraId="3CDCCCF2" w14:textId="77777777" w:rsidR="004038E1" w:rsidRPr="00245A52" w:rsidRDefault="004038E1" w:rsidP="004038E1">
    <w:pPr>
      <w:pStyle w:val="Footer"/>
      <w:jc w:val="center"/>
      <w:rPr>
        <w:sz w:val="18"/>
      </w:rPr>
    </w:pPr>
    <w:r w:rsidRPr="00245A52">
      <w:rPr>
        <w:sz w:val="18"/>
      </w:rPr>
      <w:t>ISO-NE PUBLIC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D7BAE" w14:textId="589983C0" w:rsidR="009E6AC8" w:rsidRDefault="009E6AC8" w:rsidP="0025706A">
    <w:pPr>
      <w:pBdr>
        <w:top w:val="single" w:sz="4" w:space="1" w:color="632423"/>
      </w:pBdr>
      <w:tabs>
        <w:tab w:val="center" w:pos="4320"/>
        <w:tab w:val="right" w:pos="9360"/>
      </w:tabs>
      <w:spacing w:before="240" w:after="240" w:line="240" w:lineRule="auto"/>
      <w:rPr>
        <w:rFonts w:eastAsia="Times New Roman" w:cs="Times New Roman"/>
        <w:caps/>
        <w:noProof/>
        <w:sz w:val="16"/>
        <w:szCs w:val="16"/>
      </w:rPr>
    </w:pPr>
    <w:r w:rsidRPr="0025706A">
      <w:rPr>
        <w:rFonts w:eastAsia="Times New Roman" w:cs="Times New Roman"/>
        <w:sz w:val="16"/>
        <w:szCs w:val="16"/>
      </w:rPr>
      <w:t>Concentric Energy Advisors, Inc.</w:t>
    </w:r>
    <w:r w:rsidRPr="0025706A">
      <w:rPr>
        <w:rFonts w:ascii="Garamond" w:eastAsia="Times New Roman" w:hAnsi="Garamond" w:cs="Times New Roman"/>
        <w:smallCaps/>
        <w:sz w:val="16"/>
        <w:szCs w:val="16"/>
      </w:rPr>
      <w:tab/>
    </w:r>
    <w:r w:rsidRPr="0025706A">
      <w:rPr>
        <w:rFonts w:ascii="Garamond" w:eastAsia="Times New Roman" w:hAnsi="Garamond" w:cs="Times New Roman"/>
        <w:smallCaps/>
        <w:sz w:val="16"/>
        <w:szCs w:val="16"/>
      </w:rPr>
      <w:tab/>
    </w:r>
    <w:r w:rsidRPr="0025706A">
      <w:rPr>
        <w:rFonts w:eastAsia="Times New Roman" w:cs="Times New Roman"/>
        <w:caps/>
        <w:sz w:val="16"/>
        <w:szCs w:val="16"/>
      </w:rPr>
      <w:fldChar w:fldCharType="begin"/>
    </w:r>
    <w:r w:rsidRPr="0025706A">
      <w:rPr>
        <w:rFonts w:eastAsia="Times New Roman" w:cs="Times New Roman"/>
        <w:sz w:val="16"/>
        <w:szCs w:val="16"/>
      </w:rPr>
      <w:instrText xml:space="preserve"> PAGE   \* MERGEFORMAT </w:instrText>
    </w:r>
    <w:r w:rsidRPr="0025706A">
      <w:rPr>
        <w:rFonts w:eastAsia="Times New Roman" w:cs="Times New Roman"/>
        <w:caps/>
        <w:sz w:val="16"/>
        <w:szCs w:val="16"/>
      </w:rPr>
      <w:fldChar w:fldCharType="separate"/>
    </w:r>
    <w:r w:rsidR="0091030A" w:rsidRPr="0091030A">
      <w:rPr>
        <w:noProof/>
        <w:sz w:val="16"/>
        <w:szCs w:val="16"/>
      </w:rPr>
      <w:t>5</w:t>
    </w:r>
    <w:r w:rsidRPr="0025706A">
      <w:rPr>
        <w:rFonts w:eastAsia="Times New Roman" w:cs="Times New Roman"/>
        <w:caps/>
        <w:noProof/>
        <w:sz w:val="16"/>
        <w:szCs w:val="16"/>
      </w:rPr>
      <w:fldChar w:fldCharType="end"/>
    </w:r>
  </w:p>
  <w:p w14:paraId="089D25BA" w14:textId="634DDB24" w:rsidR="004038E1" w:rsidRPr="004038E1" w:rsidRDefault="004038E1" w:rsidP="004038E1">
    <w:pPr>
      <w:pStyle w:val="Footer"/>
      <w:jc w:val="center"/>
      <w:rPr>
        <w:sz w:val="18"/>
      </w:rPr>
    </w:pPr>
    <w:r w:rsidRPr="00245A52">
      <w:rPr>
        <w:sz w:val="18"/>
      </w:rPr>
      <w:t>ISO-NE 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7E446" w14:textId="77777777" w:rsidR="004038E1" w:rsidRPr="00245A52" w:rsidRDefault="004038E1" w:rsidP="004038E1">
    <w:pPr>
      <w:pStyle w:val="Footer"/>
      <w:jc w:val="center"/>
      <w:rPr>
        <w:sz w:val="18"/>
      </w:rPr>
    </w:pPr>
    <w:r w:rsidRPr="00245A52">
      <w:rPr>
        <w:sz w:val="18"/>
      </w:rPr>
      <w:t>ISO-NE PUBLIC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4F6A2" w14:textId="77777777" w:rsidR="00FA6573" w:rsidRDefault="00FA6573" w:rsidP="0025706A">
      <w:pPr>
        <w:spacing w:after="0" w:line="240" w:lineRule="auto"/>
      </w:pPr>
      <w:r>
        <w:separator/>
      </w:r>
    </w:p>
  </w:footnote>
  <w:footnote w:type="continuationSeparator" w:id="0">
    <w:p w14:paraId="4989D255" w14:textId="77777777" w:rsidR="00FA6573" w:rsidRDefault="00FA6573" w:rsidP="0025706A">
      <w:pPr>
        <w:spacing w:after="0" w:line="240" w:lineRule="auto"/>
      </w:pPr>
      <w:r>
        <w:continuationSeparator/>
      </w:r>
    </w:p>
  </w:footnote>
  <w:footnote w:id="1">
    <w:p w14:paraId="0EBF98C3" w14:textId="70EBAD9F" w:rsidR="009E6AC8" w:rsidRDefault="009E6AC8" w:rsidP="00386C57">
      <w:pPr>
        <w:pStyle w:val="FootnoteText"/>
      </w:pPr>
      <w:r>
        <w:rPr>
          <w:rStyle w:val="FootnoteReference"/>
        </w:rPr>
        <w:footnoteRef/>
      </w:r>
      <w:r>
        <w:t xml:space="preserve"> Market Rule 1 Section III.13.2.4.</w:t>
      </w:r>
    </w:p>
  </w:footnote>
  <w:footnote w:id="2">
    <w:p w14:paraId="26233F09" w14:textId="3F17E47D" w:rsidR="009E6AC8" w:rsidRDefault="009E6AC8">
      <w:pPr>
        <w:pStyle w:val="FootnoteText"/>
      </w:pPr>
      <w:r>
        <w:rPr>
          <w:rStyle w:val="FootnoteReference"/>
        </w:rPr>
        <w:footnoteRef/>
      </w:r>
      <w:r>
        <w:t xml:space="preserve"> Market Rule 1 Section III.A.21.1.2.</w:t>
      </w:r>
    </w:p>
  </w:footnote>
  <w:footnote w:id="3">
    <w:p w14:paraId="44D7CC0F" w14:textId="77777777" w:rsidR="009E6AC8" w:rsidRDefault="009E6AC8" w:rsidP="00A527AF">
      <w:pPr>
        <w:pStyle w:val="FootnoteText"/>
      </w:pPr>
      <w:r>
        <w:rPr>
          <w:rStyle w:val="FootnoteReference"/>
        </w:rPr>
        <w:footnoteRef/>
      </w:r>
      <w:r>
        <w:t xml:space="preserve"> Brayton Point and Pilgrim Nuclear Generating Station are each expected to retire prior to 2020.  Brayton Point is located in Bristol County and Pilgrim is located in neighboring Plymouth County.  The combined capacity of the two plants is in excess of 2,200 MW.</w:t>
      </w:r>
    </w:p>
  </w:footnote>
  <w:footnote w:id="4">
    <w:p w14:paraId="25BC3D4F" w14:textId="46D39C05" w:rsidR="009E6AC8" w:rsidRDefault="009E6AC8" w:rsidP="00A527AF">
      <w:pPr>
        <w:pStyle w:val="FootnoteText"/>
      </w:pPr>
      <w:r>
        <w:rPr>
          <w:rStyle w:val="FootnoteReference"/>
        </w:rPr>
        <w:footnoteRef/>
      </w:r>
      <w:r>
        <w:t xml:space="preserve"> SNL Financial</w:t>
      </w:r>
    </w:p>
  </w:footnote>
  <w:footnote w:id="5">
    <w:p w14:paraId="4188BBB8" w14:textId="15502251" w:rsidR="009E6AC8" w:rsidRDefault="009E6AC8" w:rsidP="00A527AF">
      <w:pPr>
        <w:pStyle w:val="FootnoteText"/>
      </w:pPr>
      <w:r>
        <w:rPr>
          <w:rStyle w:val="FootnoteReference"/>
        </w:rPr>
        <w:footnoteRef/>
      </w:r>
      <w:r>
        <w:t xml:space="preserve"> An estimate for a previously estimated Power Plant was used to layout the framework for the estimate.  That framework is referred to here as the “model.”</w:t>
      </w:r>
    </w:p>
  </w:footnote>
  <w:footnote w:id="6">
    <w:p w14:paraId="35964847" w14:textId="76B5666C" w:rsidR="009E6AC8" w:rsidRDefault="009E6AC8" w:rsidP="00A527AF">
      <w:pPr>
        <w:pStyle w:val="FootnoteText"/>
      </w:pPr>
      <w:r>
        <w:rPr>
          <w:rStyle w:val="FootnoteReference"/>
        </w:rPr>
        <w:footnoteRef/>
      </w:r>
      <w:r>
        <w:t xml:space="preserve"> All capacity values are stated on a net basis </w:t>
      </w:r>
    </w:p>
  </w:footnote>
  <w:footnote w:id="7">
    <w:p w14:paraId="179165B5" w14:textId="1AED7D3D" w:rsidR="009E6AC8" w:rsidRDefault="009E6AC8">
      <w:pPr>
        <w:pStyle w:val="FootnoteText"/>
      </w:pPr>
      <w:r>
        <w:rPr>
          <w:rStyle w:val="FootnoteReference"/>
        </w:rPr>
        <w:footnoteRef/>
      </w:r>
      <w:r>
        <w:t xml:space="preserve"> BLS PPI WPU1197; BLS PPI WPUID612: not seasonally adjusted, annual average percent change 2006-2015.</w:t>
      </w:r>
    </w:p>
  </w:footnote>
  <w:footnote w:id="8">
    <w:p w14:paraId="0338C6B9" w14:textId="3F1556F7" w:rsidR="009E6AC8" w:rsidRDefault="009E6AC8">
      <w:pPr>
        <w:pStyle w:val="FootnoteText"/>
      </w:pPr>
      <w:r>
        <w:rPr>
          <w:rStyle w:val="FootnoteReference"/>
        </w:rPr>
        <w:footnoteRef/>
      </w:r>
      <w:r>
        <w:t xml:space="preserve"> </w:t>
      </w:r>
      <w:proofErr w:type="gramStart"/>
      <w:r>
        <w:t>ULSD Forward Curve as of September 7, 2016; CME Group.</w:t>
      </w:r>
      <w:proofErr w:type="gramEnd"/>
    </w:p>
  </w:footnote>
  <w:footnote w:id="9">
    <w:p w14:paraId="6A5CBDDD" w14:textId="77777777" w:rsidR="009E6AC8" w:rsidRDefault="009E6AC8" w:rsidP="005B0246">
      <w:pPr>
        <w:pStyle w:val="FootnoteText"/>
      </w:pPr>
      <w:r>
        <w:rPr>
          <w:rStyle w:val="FootnoteReference"/>
        </w:rPr>
        <w:footnoteRef/>
      </w:r>
      <w:r>
        <w:t xml:space="preserve"> Blue Chip Economic Indicators, Vol. 41, No. 3, March 2016.</w:t>
      </w:r>
    </w:p>
  </w:footnote>
  <w:footnote w:id="10">
    <w:p w14:paraId="02ECB4C2" w14:textId="77777777" w:rsidR="009E6AC8" w:rsidRDefault="009E6AC8" w:rsidP="005B0246">
      <w:pPr>
        <w:pStyle w:val="FootnoteText"/>
      </w:pPr>
      <w:r>
        <w:rPr>
          <w:rStyle w:val="FootnoteReference"/>
        </w:rPr>
        <w:footnoteRef/>
      </w:r>
      <w:r>
        <w:t xml:space="preserve"> June 10, 2016 – July 22, 2016.</w:t>
      </w:r>
    </w:p>
  </w:footnote>
  <w:footnote w:id="11">
    <w:p w14:paraId="4DDF386A" w14:textId="30B611D4" w:rsidR="009E6AC8" w:rsidRPr="00AF7D17" w:rsidRDefault="009E6AC8" w:rsidP="005B0246">
      <w:pPr>
        <w:pStyle w:val="FootnoteText"/>
      </w:pPr>
      <w:r>
        <w:rPr>
          <w:rStyle w:val="FootnoteReference"/>
        </w:rPr>
        <w:footnoteRef/>
      </w:r>
      <w:r>
        <w:t xml:space="preserve"> </w:t>
      </w:r>
      <w:proofErr w:type="gramStart"/>
      <w:r w:rsidRPr="00AF7D17">
        <w:t>Table B-2, IRS Publication 946</w:t>
      </w:r>
      <w:r>
        <w:t>.</w:t>
      </w:r>
      <w:proofErr w:type="gramEnd"/>
      <w:r>
        <w:t xml:space="preserve"> </w:t>
      </w:r>
      <w:proofErr w:type="gramStart"/>
      <w:r>
        <w:t>Half-Year Convention.</w:t>
      </w:r>
      <w:proofErr w:type="gramEnd"/>
    </w:p>
  </w:footnote>
  <w:footnote w:id="12">
    <w:p w14:paraId="07840E5C" w14:textId="735736B8" w:rsidR="009E6AC8" w:rsidRPr="00AF7D17" w:rsidRDefault="009E6AC8" w:rsidP="001436DC">
      <w:pPr>
        <w:pStyle w:val="FootnoteText"/>
        <w:ind w:left="180" w:hanging="180"/>
        <w:jc w:val="left"/>
      </w:pPr>
      <w:r w:rsidRPr="00AF7D17">
        <w:rPr>
          <w:rStyle w:val="FootnoteReference"/>
        </w:rPr>
        <w:footnoteRef/>
      </w:r>
      <w:r w:rsidRPr="00AF7D17">
        <w:t xml:space="preserve"> </w:t>
      </w:r>
      <w:r w:rsidRPr="001436DC">
        <w:t>Massachusetts Department of Revenue, 2016</w:t>
      </w:r>
      <w:r>
        <w:t xml:space="preserve">, </w:t>
      </w:r>
      <w:r w:rsidRPr="00BB62C0">
        <w:t>https://dlsgateway.dor.state.ma.us/gateway/Public/WebForms/TaxRate/ReportTRApprovalPublic.aspx</w:t>
      </w:r>
      <w:r>
        <w:t>.</w:t>
      </w:r>
    </w:p>
  </w:footnote>
  <w:footnote w:id="13">
    <w:p w14:paraId="70278D5A" w14:textId="520BF939" w:rsidR="009E6AC8" w:rsidRDefault="009E6AC8" w:rsidP="001436DC">
      <w:pPr>
        <w:pStyle w:val="FootnoteText"/>
        <w:ind w:left="180" w:hanging="180"/>
        <w:jc w:val="left"/>
      </w:pPr>
      <w:r>
        <w:rPr>
          <w:rStyle w:val="FootnoteReference"/>
        </w:rPr>
        <w:footnoteRef/>
      </w:r>
      <w:r>
        <w:t xml:space="preserve"> </w:t>
      </w:r>
      <w:r w:rsidRPr="008E234D">
        <w:t>Internal Revenue Service, 2015 Instructions for Form 1120, U.S. Corporation Income Tax Return.</w:t>
      </w:r>
      <w:r w:rsidRPr="008E234D">
        <w:br/>
        <w:t xml:space="preserve">January 21, 2016. </w:t>
      </w:r>
      <w:proofErr w:type="gramStart"/>
      <w:r w:rsidRPr="008E234D">
        <w:t>Available at http://www.irs.gov/pub/irs-pdf/i1120.pdf.</w:t>
      </w:r>
      <w:proofErr w:type="gramEnd"/>
    </w:p>
  </w:footnote>
  <w:footnote w:id="14">
    <w:p w14:paraId="38669CCC" w14:textId="73DB1B17" w:rsidR="009E6AC8" w:rsidRDefault="009E6AC8" w:rsidP="00FC45CB">
      <w:pPr>
        <w:pStyle w:val="FootnoteText"/>
        <w:ind w:left="180" w:hanging="180"/>
      </w:pPr>
      <w:r>
        <w:rPr>
          <w:rStyle w:val="FootnoteReference"/>
        </w:rPr>
        <w:footnoteRef/>
      </w:r>
      <w:r>
        <w:t xml:space="preserve"> </w:t>
      </w:r>
      <w:proofErr w:type="gramStart"/>
      <w:r>
        <w:t>Massachusetts Department of Revenue, 2016.</w:t>
      </w:r>
      <w:proofErr w:type="gramEnd"/>
      <w:r>
        <w:t xml:space="preserve"> Available at: </w:t>
      </w:r>
      <w:r w:rsidRPr="00E633A9">
        <w:t>http://www.mass.gov/dor/businesses/current-tax-info/guide-to-employer-tax-obligations/business-income-taxes/corporations/corporate-excise-tax.html</w:t>
      </w:r>
      <w:r>
        <w:t>.</w:t>
      </w:r>
    </w:p>
  </w:footnote>
  <w:footnote w:id="15">
    <w:p w14:paraId="539A158D" w14:textId="37AB3113" w:rsidR="009E6AC8" w:rsidRDefault="009E6AC8" w:rsidP="00FC45CB">
      <w:pPr>
        <w:pStyle w:val="FootnoteText"/>
        <w:ind w:left="270" w:hanging="270"/>
      </w:pPr>
      <w:r>
        <w:rPr>
          <w:rStyle w:val="FootnoteReference"/>
        </w:rPr>
        <w:footnoteRef/>
      </w:r>
      <w:r>
        <w:t xml:space="preserve"> Massachusetts assumed as the reference location for all technologies except onshore wind. Therefore, a state income tax rate of 8% is assumed for all CONE and ORTP calculations except that of onshore wind, for which a state tax rate of </w:t>
      </w:r>
      <w:r w:rsidRPr="00EC71B8">
        <w:t>8.5%</w:t>
      </w:r>
      <w:r>
        <w:t xml:space="preserve"> is assumed (New Hampshire).</w:t>
      </w:r>
    </w:p>
  </w:footnote>
  <w:footnote w:id="16">
    <w:p w14:paraId="59399B16" w14:textId="1494FB21" w:rsidR="009E6AC8" w:rsidRDefault="009E6AC8" w:rsidP="005B0246">
      <w:pPr>
        <w:pStyle w:val="FootnoteText"/>
      </w:pPr>
      <w:r>
        <w:rPr>
          <w:rStyle w:val="FootnoteReference"/>
        </w:rPr>
        <w:footnoteRef/>
      </w:r>
      <w:r>
        <w:t xml:space="preserve"> Bloomberg as of September 2016.</w:t>
      </w:r>
    </w:p>
  </w:footnote>
  <w:footnote w:id="17">
    <w:p w14:paraId="3B2DFD5F" w14:textId="3D867926" w:rsidR="009E6AC8" w:rsidRDefault="009E6AC8">
      <w:pPr>
        <w:pStyle w:val="FootnoteText"/>
      </w:pPr>
      <w:r>
        <w:rPr>
          <w:rStyle w:val="FootnoteReference"/>
        </w:rPr>
        <w:footnoteRef/>
      </w:r>
      <w:r>
        <w:t xml:space="preserve"> We received feedback from stakeholders that the CAPM analysis for Talen should use a pre-merger beta estimate. Talen’s beta as of June 1, 2016, or pre-merger announcement, was 1.39 according to Bloomberg. This beta estimate for Talen does not change our ROE recommendation of 13.4%.</w:t>
      </w:r>
    </w:p>
  </w:footnote>
  <w:footnote w:id="18">
    <w:p w14:paraId="11FF852B" w14:textId="0BDDD297" w:rsidR="009E6AC8" w:rsidRDefault="009E6AC8" w:rsidP="005B0246">
      <w:pPr>
        <w:pStyle w:val="FootnoteText"/>
      </w:pPr>
      <w:r>
        <w:rPr>
          <w:rStyle w:val="FootnoteReference"/>
        </w:rPr>
        <w:footnoteRef/>
      </w:r>
      <w:r>
        <w:t xml:space="preserve"> Value Line as of June, September 2016.</w:t>
      </w:r>
    </w:p>
  </w:footnote>
  <w:footnote w:id="19">
    <w:p w14:paraId="12A484DC" w14:textId="253BD323" w:rsidR="009E6AC8" w:rsidRDefault="009E6AC8" w:rsidP="005B0246">
      <w:pPr>
        <w:pStyle w:val="FootnoteText"/>
      </w:pPr>
      <w:r w:rsidRPr="005E0407">
        <w:rPr>
          <w:rStyle w:val="FootnoteReference"/>
        </w:rPr>
        <w:footnoteRef/>
      </w:r>
      <w:r w:rsidRPr="005E0407">
        <w:t xml:space="preserve"> </w:t>
      </w:r>
      <w:r>
        <w:t>SNL Financial</w:t>
      </w:r>
    </w:p>
  </w:footnote>
  <w:footnote w:id="20">
    <w:p w14:paraId="778402CC" w14:textId="4742CD7A" w:rsidR="009E6AC8" w:rsidRDefault="009E6AC8" w:rsidP="00EE5932">
      <w:pPr>
        <w:pStyle w:val="FootnoteText"/>
        <w:ind w:left="180" w:hanging="180"/>
        <w:jc w:val="left"/>
      </w:pPr>
      <w:r>
        <w:rPr>
          <w:rStyle w:val="FootnoteReference"/>
        </w:rPr>
        <w:footnoteRef/>
      </w:r>
      <w:r>
        <w:t xml:space="preserve"> </w:t>
      </w:r>
      <w:proofErr w:type="spellStart"/>
      <w:proofErr w:type="gramStart"/>
      <w:r w:rsidRPr="008E234D">
        <w:t>BofA</w:t>
      </w:r>
      <w:proofErr w:type="spellEnd"/>
      <w:r w:rsidRPr="008E234D">
        <w:t xml:space="preserve"> Merrill Lynch, </w:t>
      </w:r>
      <w:proofErr w:type="spellStart"/>
      <w:r w:rsidRPr="008E234D">
        <w:t>BofA</w:t>
      </w:r>
      <w:proofErr w:type="spellEnd"/>
      <w:r w:rsidRPr="008E234D">
        <w:t xml:space="preserve"> Merrill Lynch US High Yield B</w:t>
      </w:r>
      <w:r>
        <w:t xml:space="preserve"> and BB</w:t>
      </w:r>
      <w:r w:rsidRPr="008E234D">
        <w:t xml:space="preserve"> Effective Yield©, retrieved from FRED, Federal Reserve Bank of St. Louis; https://fred.stlouisfed.org/series/BAMLH0A2HYB</w:t>
      </w:r>
      <w:r>
        <w:t>[B]</w:t>
      </w:r>
      <w:r w:rsidRPr="008E234D">
        <w:t>EY</w:t>
      </w:r>
      <w:r>
        <w:t>.</w:t>
      </w:r>
      <w:proofErr w:type="gramEnd"/>
    </w:p>
  </w:footnote>
  <w:footnote w:id="21">
    <w:p w14:paraId="4C89B547" w14:textId="77777777" w:rsidR="009E6AC8" w:rsidRDefault="009E6AC8" w:rsidP="005B0246">
      <w:pPr>
        <w:pStyle w:val="FootnoteText"/>
      </w:pPr>
      <w:r>
        <w:rPr>
          <w:rStyle w:val="FootnoteReference"/>
        </w:rPr>
        <w:footnoteRef/>
      </w:r>
      <w:r>
        <w:t xml:space="preserve"> Debt weights for Talen are unavailable prior to the company’s founding in the first quarter of 2015.</w:t>
      </w:r>
    </w:p>
  </w:footnote>
  <w:footnote w:id="22">
    <w:p w14:paraId="59FC37F6" w14:textId="77777777" w:rsidR="009E6AC8" w:rsidRDefault="009E6AC8" w:rsidP="005B0246">
      <w:pPr>
        <w:pStyle w:val="FootnoteText"/>
      </w:pPr>
      <w:r>
        <w:rPr>
          <w:rStyle w:val="FootnoteReference"/>
        </w:rPr>
        <w:footnoteRef/>
      </w:r>
      <w:r>
        <w:t xml:space="preserve"> Source:  Bloomberg, LP</w:t>
      </w:r>
    </w:p>
  </w:footnote>
  <w:footnote w:id="23">
    <w:p w14:paraId="3BFBCA09" w14:textId="77777777" w:rsidR="009E6AC8" w:rsidRDefault="009E6AC8" w:rsidP="005B0246">
      <w:pPr>
        <w:pStyle w:val="FootnoteText"/>
      </w:pPr>
      <w:r>
        <w:rPr>
          <w:rStyle w:val="FootnoteReference"/>
        </w:rPr>
        <w:footnoteRef/>
      </w:r>
      <w:r>
        <w:t xml:space="preserve"> </w:t>
      </w:r>
      <w:proofErr w:type="gramStart"/>
      <w:r>
        <w:t>Bloomberg.</w:t>
      </w:r>
      <w:proofErr w:type="gramEnd"/>
      <w:r>
        <w:t xml:space="preserve"> Six quarters of data was evaluated for Talen.</w:t>
      </w:r>
    </w:p>
  </w:footnote>
  <w:footnote w:id="24">
    <w:p w14:paraId="458283CD" w14:textId="77777777" w:rsidR="009E6AC8" w:rsidRDefault="009E6AC8" w:rsidP="005B0246">
      <w:pPr>
        <w:pStyle w:val="FootnoteText"/>
      </w:pPr>
      <w:r>
        <w:rPr>
          <w:rStyle w:val="FootnoteReference"/>
        </w:rPr>
        <w:footnoteRef/>
      </w:r>
      <w:r>
        <w:t xml:space="preserve"> For the limited peer group (CPN, DYN, </w:t>
      </w:r>
      <w:proofErr w:type="gramStart"/>
      <w:r>
        <w:t>NRG</w:t>
      </w:r>
      <w:proofErr w:type="gramEnd"/>
      <w:r>
        <w:t>) the 10 quarter average is 65% debt, and the two quarter average is 76% debt.</w:t>
      </w:r>
    </w:p>
  </w:footnote>
  <w:footnote w:id="25">
    <w:p w14:paraId="67607B90" w14:textId="20238C6A" w:rsidR="009E6AC8" w:rsidRDefault="009E6AC8">
      <w:pPr>
        <w:pStyle w:val="FootnoteText"/>
      </w:pPr>
      <w:r>
        <w:rPr>
          <w:rStyle w:val="FootnoteReference"/>
        </w:rPr>
        <w:footnoteRef/>
      </w:r>
      <w:r>
        <w:t xml:space="preserve"> Bloomberg Professional</w:t>
      </w:r>
    </w:p>
  </w:footnote>
  <w:footnote w:id="26">
    <w:p w14:paraId="1BCBBF1E" w14:textId="6AE27913" w:rsidR="009E6AC8" w:rsidRPr="001436DC" w:rsidRDefault="009E6AC8" w:rsidP="005B0246">
      <w:pPr>
        <w:pStyle w:val="FootnoteText"/>
        <w:rPr>
          <w:highlight w:val="yellow"/>
        </w:rPr>
      </w:pPr>
      <w:r w:rsidRPr="002A4CE5">
        <w:rPr>
          <w:rStyle w:val="FootnoteReference"/>
        </w:rPr>
        <w:footnoteRef/>
      </w:r>
      <w:r w:rsidRPr="00BC79AB">
        <w:t xml:space="preserve"> </w:t>
      </w:r>
      <w:proofErr w:type="gramStart"/>
      <w:r w:rsidRPr="001436DC">
        <w:t>FERC Docket ER14-</w:t>
      </w:r>
      <w:r>
        <w:t>1</w:t>
      </w:r>
      <w:r w:rsidRPr="001436DC">
        <w:t>639-000</w:t>
      </w:r>
      <w:r>
        <w:t>,</w:t>
      </w:r>
      <w:r w:rsidRPr="001436DC">
        <w:t xml:space="preserve"> Testimony of Dr. </w:t>
      </w:r>
      <w:r>
        <w:t xml:space="preserve">Samuel A. Newell and Mr. Christopher </w:t>
      </w:r>
      <w:proofErr w:type="spellStart"/>
      <w:r>
        <w:t>Ungate</w:t>
      </w:r>
      <w:proofErr w:type="spellEnd"/>
      <w:r>
        <w:t xml:space="preserve"> of behalf of ISO-NE Regarding the Net Cost f New Entry for the Forward Capacity Market Demand Curve, April 1, 2014.</w:t>
      </w:r>
      <w:proofErr w:type="gramEnd"/>
    </w:p>
  </w:footnote>
  <w:footnote w:id="27">
    <w:p w14:paraId="726FA64E" w14:textId="0D4BB8AE" w:rsidR="009E6AC8" w:rsidRPr="00BC79AB" w:rsidRDefault="009E6AC8" w:rsidP="005B0246">
      <w:pPr>
        <w:pStyle w:val="FootnoteText"/>
      </w:pPr>
      <w:r w:rsidRPr="00BC79AB">
        <w:rPr>
          <w:rStyle w:val="FootnoteReference"/>
        </w:rPr>
        <w:footnoteRef/>
      </w:r>
      <w:r w:rsidRPr="001436DC">
        <w:t>Cost of New Entry Estimates for Combustion Turbine and Combined Cycle Plants in PJM, The Brattle Group and Sargent &amp; Lundy, May 15, 2014.</w:t>
      </w:r>
    </w:p>
  </w:footnote>
  <w:footnote w:id="28">
    <w:p w14:paraId="404BF852" w14:textId="2CF8988B" w:rsidR="009E6AC8" w:rsidRDefault="009E6AC8" w:rsidP="005B0246">
      <w:pPr>
        <w:pStyle w:val="FootnoteText"/>
      </w:pPr>
      <w:r w:rsidRPr="00BC79AB">
        <w:rPr>
          <w:rStyle w:val="FootnoteReference"/>
        </w:rPr>
        <w:footnoteRef/>
      </w:r>
      <w:r w:rsidRPr="00BC79AB">
        <w:t xml:space="preserve"> </w:t>
      </w:r>
      <w:proofErr w:type="gramStart"/>
      <w:r>
        <w:t xml:space="preserve">Study to Establish New York Electricity Market ICAP Demand Curve Parameters, Analysis Group Inc. and </w:t>
      </w:r>
      <w:proofErr w:type="spellStart"/>
      <w:r>
        <w:t>Lummus</w:t>
      </w:r>
      <w:proofErr w:type="spellEnd"/>
      <w:r>
        <w:t xml:space="preserve"> Consultants International, Inc. June 23, 2016.</w:t>
      </w:r>
      <w:proofErr w:type="gramEnd"/>
    </w:p>
  </w:footnote>
  <w:footnote w:id="29">
    <w:p w14:paraId="5D18E9A2" w14:textId="77777777" w:rsidR="009E6AC8" w:rsidRDefault="009E6AC8" w:rsidP="00E42DE9">
      <w:pPr>
        <w:pStyle w:val="FootnoteText"/>
      </w:pPr>
      <w:r>
        <w:rPr>
          <w:rStyle w:val="FootnoteReference"/>
        </w:rPr>
        <w:footnoteRef/>
      </w:r>
      <w:r>
        <w:t xml:space="preserve"> See </w:t>
      </w:r>
      <w:hyperlink r:id="rId1" w:history="1">
        <w:r w:rsidRPr="005A1950">
          <w:t>http://epis.com/aurora_xmp/</w:t>
        </w:r>
      </w:hyperlink>
      <w:r>
        <w:t xml:space="preserve"> for more detail regarding AURORA.</w:t>
      </w:r>
    </w:p>
  </w:footnote>
  <w:footnote w:id="30">
    <w:p w14:paraId="1FC7DFEB" w14:textId="77777777" w:rsidR="009E6AC8" w:rsidRDefault="009E6AC8" w:rsidP="00E42DE9">
      <w:pPr>
        <w:pStyle w:val="FootnoteText"/>
      </w:pPr>
      <w:r>
        <w:rPr>
          <w:rStyle w:val="FootnoteReference"/>
        </w:rPr>
        <w:footnoteRef/>
      </w:r>
      <w:r>
        <w:t xml:space="preserve"> See </w:t>
      </w:r>
      <w:hyperlink r:id="rId2" w:history="1">
        <w:r w:rsidRPr="005A1950">
          <w:t>https://rbac.com/</w:t>
        </w:r>
      </w:hyperlink>
      <w:r>
        <w:t xml:space="preserve"> for more detail regarding GPCM.</w:t>
      </w:r>
    </w:p>
  </w:footnote>
  <w:footnote w:id="31">
    <w:p w14:paraId="51E5FBB5" w14:textId="77777777" w:rsidR="009E6AC8" w:rsidRDefault="009E6AC8" w:rsidP="00E42DE9">
      <w:pPr>
        <w:pStyle w:val="FootnoteText"/>
      </w:pPr>
      <w:r>
        <w:rPr>
          <w:rStyle w:val="FootnoteReference"/>
        </w:rPr>
        <w:footnoteRef/>
      </w:r>
      <w:r>
        <w:t xml:space="preserve"> See Table 3.1 of the 2016 AEO.</w:t>
      </w:r>
    </w:p>
  </w:footnote>
  <w:footnote w:id="32">
    <w:p w14:paraId="7EF63793" w14:textId="77777777" w:rsidR="009E6AC8" w:rsidRDefault="009E6AC8" w:rsidP="00E42DE9">
      <w:pPr>
        <w:pStyle w:val="FootnoteText"/>
      </w:pPr>
      <w:r>
        <w:rPr>
          <w:rStyle w:val="FootnoteReference"/>
        </w:rPr>
        <w:footnoteRef/>
      </w:r>
      <w:r>
        <w:t xml:space="preserve"> For purposes of comparison, the EIA forecast, which is shown in real dollars, was escalated at an inflation rate of 2.0% consistent with the inflation input used elsewhere in this analysis, rather than by the escalation rate provided in the AEO.</w:t>
      </w:r>
    </w:p>
  </w:footnote>
  <w:footnote w:id="33">
    <w:p w14:paraId="46BF0706" w14:textId="77777777" w:rsidR="009E6AC8" w:rsidRDefault="009E6AC8" w:rsidP="00E42DE9">
      <w:pPr>
        <w:pStyle w:val="FootnoteText"/>
      </w:pPr>
      <w:r>
        <w:rPr>
          <w:rStyle w:val="FootnoteReference"/>
        </w:rPr>
        <w:footnoteRef/>
      </w:r>
      <w:r>
        <w:t xml:space="preserve"> Prices in this section are expressed in nominal dollars unless otherwise indicated.</w:t>
      </w:r>
    </w:p>
  </w:footnote>
  <w:footnote w:id="34">
    <w:p w14:paraId="297D5E80" w14:textId="77777777" w:rsidR="009E6AC8" w:rsidRDefault="009E6AC8" w:rsidP="00E42DE9">
      <w:pPr>
        <w:pStyle w:val="FootnoteText"/>
      </w:pPr>
      <w:r>
        <w:rPr>
          <w:rStyle w:val="FootnoteReference"/>
        </w:rPr>
        <w:footnoteRef/>
      </w:r>
      <w:r>
        <w:t xml:space="preserve"> </w:t>
      </w:r>
      <w:r w:rsidRPr="003D4E15">
        <w:t>Participating RGGI states are Connecticut, Delaware, Maine, Maryland, Massachusetts, New Hampshire, New York, Rhode Island and Vermont</w:t>
      </w:r>
      <w:r>
        <w:t>.</w:t>
      </w:r>
    </w:p>
  </w:footnote>
  <w:footnote w:id="35">
    <w:p w14:paraId="499F2EDD" w14:textId="77777777" w:rsidR="009E6AC8" w:rsidRDefault="009E6AC8" w:rsidP="00E42DE9">
      <w:pPr>
        <w:pStyle w:val="FootnoteText"/>
      </w:pPr>
      <w:r>
        <w:rPr>
          <w:rStyle w:val="FootnoteReference"/>
        </w:rPr>
        <w:footnoteRef/>
      </w:r>
      <w:r>
        <w:t xml:space="preserve"> </w:t>
      </w:r>
      <w:r w:rsidRPr="003D4E15">
        <w:t>The Clean Power Plan, finalized in October of 2015, requires each state to hit a CO</w:t>
      </w:r>
      <w:r w:rsidRPr="00A12D4D">
        <w:rPr>
          <w:vertAlign w:val="subscript"/>
        </w:rPr>
        <w:t>2</w:t>
      </w:r>
      <w:r w:rsidRPr="003D4E15">
        <w:t xml:space="preserve"> target by 2030, with reductions to begin in 2022. States have the option to comply with CO</w:t>
      </w:r>
      <w:r w:rsidRPr="00A12D4D">
        <w:rPr>
          <w:vertAlign w:val="subscript"/>
        </w:rPr>
        <w:t>2</w:t>
      </w:r>
      <w:r w:rsidRPr="003D4E15">
        <w:t xml:space="preserve"> rate targets by way of a </w:t>
      </w:r>
      <w:proofErr w:type="spellStart"/>
      <w:r w:rsidRPr="003D4E15">
        <w:t>lb</w:t>
      </w:r>
      <w:proofErr w:type="spellEnd"/>
      <w:r w:rsidRPr="003D4E15">
        <w:t xml:space="preserve">/MWh or a mass-based target, the latter being in part included to encourage inter-state </w:t>
      </w:r>
      <w:r>
        <w:t xml:space="preserve">emissions </w:t>
      </w:r>
      <w:r w:rsidRPr="003D4E15">
        <w:t>trading through initiatives such as RGGI.</w:t>
      </w:r>
    </w:p>
  </w:footnote>
  <w:footnote w:id="36">
    <w:p w14:paraId="7AD5B05E" w14:textId="77777777" w:rsidR="009E6AC8" w:rsidRDefault="009E6AC8" w:rsidP="00E42DE9">
      <w:pPr>
        <w:pStyle w:val="FootnoteText"/>
      </w:pPr>
      <w:r>
        <w:rPr>
          <w:rStyle w:val="FootnoteReference"/>
        </w:rPr>
        <w:footnoteRef/>
      </w:r>
      <w:r>
        <w:t xml:space="preserve"> BTM PV is photovoltaic capacity installed at customer locations that generally serves to reduce customer demand from the grid rather than add generation to the system.  Rooftop solar is an example of BTM PV.</w:t>
      </w:r>
    </w:p>
  </w:footnote>
  <w:footnote w:id="37">
    <w:p w14:paraId="72DC0F6A" w14:textId="77777777" w:rsidR="009E6AC8" w:rsidRDefault="009E6AC8" w:rsidP="00E42DE9">
      <w:pPr>
        <w:pStyle w:val="FootnoteText"/>
        <w:keepNext/>
        <w:keepLines/>
      </w:pPr>
      <w:r>
        <w:rPr>
          <w:rStyle w:val="FootnoteReference"/>
        </w:rPr>
        <w:footnoteRef/>
      </w:r>
      <w:r>
        <w:t xml:space="preserve"> Bill H.4568 was signed into law in August 2016.  The new law inserts a new section, 83C, into the Green Communities Act, requiring that EDCs procure approximately 1,200 MW of renewable energy and additionally provides for separate authorization (not requirement) to procure up to 1,600MW of offshore wind, providing that such </w:t>
      </w:r>
      <w:proofErr w:type="gramStart"/>
      <w:r>
        <w:t>a procurement</w:t>
      </w:r>
      <w:proofErr w:type="gramEnd"/>
      <w:r>
        <w:t xml:space="preserve"> can be accomplished on a “reasonable” and “cost effective” basis.  Because of the requirement for cost effectiveness, it has been assumed that procurement of the full 1,600 MW would not be achieved.  Instead, we have chosen to add a resource to the generation mix of roughly 25%.</w:t>
      </w:r>
    </w:p>
  </w:footnote>
  <w:footnote w:id="38">
    <w:p w14:paraId="7F484CB7" w14:textId="77777777" w:rsidR="009E6AC8" w:rsidRDefault="009E6AC8" w:rsidP="00E42DE9">
      <w:pPr>
        <w:pStyle w:val="FootnoteText"/>
      </w:pPr>
      <w:r>
        <w:rPr>
          <w:rStyle w:val="FootnoteReference"/>
        </w:rPr>
        <w:footnoteRef/>
      </w:r>
      <w:r>
        <w:t xml:space="preserve"> </w:t>
      </w:r>
      <w:r w:rsidRPr="001436DC">
        <w:t>The Deepwater Wind facility is expected to be commercialized later in 2016.  When it is brought online, it will be the first offshore wind facility operating in New England.  Since Deepwater received a CSO in FCA10, it is included in the simulation model.</w:t>
      </w:r>
    </w:p>
  </w:footnote>
  <w:footnote w:id="39">
    <w:p w14:paraId="13B40863" w14:textId="77777777" w:rsidR="009E6AC8" w:rsidRDefault="009E6AC8" w:rsidP="00E42DE9">
      <w:pPr>
        <w:pStyle w:val="FootnoteText"/>
      </w:pPr>
      <w:r>
        <w:rPr>
          <w:rStyle w:val="FootnoteReference"/>
        </w:rPr>
        <w:footnoteRef/>
      </w:r>
      <w:r>
        <w:t xml:space="preserve"> Wind resources are added in discrete increments of 50 MW; thus, wind resources are not necessarily added in every year of the forecast.</w:t>
      </w:r>
    </w:p>
  </w:footnote>
  <w:footnote w:id="40">
    <w:p w14:paraId="7CB273D6" w14:textId="77777777" w:rsidR="009E6AC8" w:rsidRDefault="009E6AC8" w:rsidP="00E42DE9">
      <w:pPr>
        <w:pStyle w:val="FootnoteText"/>
      </w:pPr>
      <w:r>
        <w:rPr>
          <w:rStyle w:val="FootnoteReference"/>
        </w:rPr>
        <w:footnoteRef/>
      </w:r>
      <w:r>
        <w:t xml:space="preserve"> There are two operational reactors at the Millstone facility, Millstone 2 and Millstone 3.  The operating license for Millstone 2 expires in 2035 and was removed from the simulation in that year.  Millstone 3 holds an Extended Operating License that runs through 2045 and was therefore not removed.</w:t>
      </w:r>
    </w:p>
  </w:footnote>
  <w:footnote w:id="41">
    <w:p w14:paraId="6512C995" w14:textId="77777777" w:rsidR="009E6AC8" w:rsidRPr="00F4466A" w:rsidRDefault="009E6AC8" w:rsidP="00E42DE9">
      <w:pPr>
        <w:pStyle w:val="FootnoteText"/>
      </w:pPr>
      <w:r>
        <w:rPr>
          <w:rStyle w:val="FootnoteReference"/>
        </w:rPr>
        <w:footnoteRef/>
      </w:r>
      <w:r>
        <w:t xml:space="preserve"> </w:t>
      </w:r>
      <w:r>
        <w:rPr>
          <w:i/>
        </w:rPr>
        <w:t xml:space="preserve">Source:  </w:t>
      </w:r>
      <w:r>
        <w:t>ISO-NE</w:t>
      </w:r>
    </w:p>
  </w:footnote>
  <w:footnote w:id="42">
    <w:p w14:paraId="1CCC4840" w14:textId="77777777" w:rsidR="009E6AC8" w:rsidRDefault="009E6AC8" w:rsidP="00E42DE9">
      <w:pPr>
        <w:pStyle w:val="FootnoteText"/>
      </w:pPr>
      <w:r>
        <w:rPr>
          <w:rStyle w:val="FootnoteReference"/>
        </w:rPr>
        <w:footnoteRef/>
      </w:r>
      <w:r>
        <w:t xml:space="preserve"> ISO-NE Planning Advisor Committee, “Forward Capacity Auction 11, Transmission Transfer Capabilities &amp; Capacity Zone Development”, March 22, 2016.</w:t>
      </w:r>
    </w:p>
  </w:footnote>
  <w:footnote w:id="43">
    <w:p w14:paraId="63FC8109" w14:textId="77777777" w:rsidR="009E6AC8" w:rsidRDefault="009E6AC8" w:rsidP="00E42DE9">
      <w:pPr>
        <w:pStyle w:val="FootnoteText"/>
      </w:pPr>
      <w:r>
        <w:rPr>
          <w:rStyle w:val="FootnoteReference"/>
        </w:rPr>
        <w:footnoteRef/>
      </w:r>
      <w:r>
        <w:t xml:space="preserve"> The most current information available regarding transfer limits and the effect of new import projects on those limits is the analysis conducted by ISO-NE’s Planning Advisory Committee (PAC), which were made public in March 2016.  At that time, the PAC found that transfer limits for FCA 11 would be unaffected by the installation of a transmission project between Ontario and New Hampshire.  The project being reviewed by the PAC is similar to the one being contemplated for purposes of this analysis.  The PAC findings are available at </w:t>
      </w:r>
      <w:r w:rsidRPr="00AB4DDB">
        <w:t>https://www.iso-ne.com/static-assets/documents/2016/03/a2_fca11_zonal_boundary_determinations.pdf</w:t>
      </w:r>
    </w:p>
  </w:footnote>
  <w:footnote w:id="44">
    <w:p w14:paraId="68EF228A" w14:textId="77777777" w:rsidR="009E6AC8" w:rsidRDefault="009E6AC8" w:rsidP="00E42DE9">
      <w:pPr>
        <w:pStyle w:val="FootnoteText"/>
      </w:pPr>
      <w:r>
        <w:rPr>
          <w:rStyle w:val="FootnoteReference"/>
        </w:rPr>
        <w:footnoteRef/>
      </w:r>
      <w:r>
        <w:t xml:space="preserve"> ICE contract code IMB</w:t>
      </w:r>
    </w:p>
  </w:footnote>
  <w:footnote w:id="45">
    <w:p w14:paraId="390CF408" w14:textId="6DE615F7" w:rsidR="009E6AC8" w:rsidRDefault="009E6AC8" w:rsidP="00E42DE9">
      <w:pPr>
        <w:pStyle w:val="FootnoteText"/>
      </w:pPr>
      <w:r>
        <w:rPr>
          <w:rStyle w:val="FootnoteReference"/>
        </w:rPr>
        <w:footnoteRef/>
      </w:r>
      <w:r>
        <w:t xml:space="preserve"> The result is then multiplied by 1,000, since SHRs are most typically expressed in </w:t>
      </w:r>
      <w:proofErr w:type="spellStart"/>
      <w:r>
        <w:t>btu</w:t>
      </w:r>
      <w:proofErr w:type="spellEnd"/>
      <w:r>
        <w:t>/kWh.</w:t>
      </w:r>
    </w:p>
  </w:footnote>
  <w:footnote w:id="46">
    <w:p w14:paraId="40FA9FF6" w14:textId="77777777" w:rsidR="009E6AC8" w:rsidRDefault="009E6AC8" w:rsidP="00E42DE9">
      <w:pPr>
        <w:pStyle w:val="FootnoteText"/>
      </w:pPr>
      <w:r>
        <w:rPr>
          <w:rStyle w:val="FootnoteReference"/>
        </w:rPr>
        <w:footnoteRef/>
      </w:r>
      <w:r>
        <w:t xml:space="preserve"> Data used to calculate the historical SHRs provided by SNL.</w:t>
      </w:r>
    </w:p>
  </w:footnote>
  <w:footnote w:id="47">
    <w:p w14:paraId="2754EE03" w14:textId="77777777" w:rsidR="009E6AC8" w:rsidRPr="00950ACC" w:rsidRDefault="009E6AC8" w:rsidP="00950ACC">
      <w:pPr>
        <w:pStyle w:val="FootnoteText"/>
      </w:pPr>
      <w:r w:rsidRPr="00950ACC">
        <w:rPr>
          <w:rStyle w:val="FootnoteReference"/>
        </w:rPr>
        <w:footnoteRef/>
      </w:r>
      <w:r w:rsidRPr="00950ACC">
        <w:t xml:space="preserve"> </w:t>
      </w:r>
      <w:r w:rsidRPr="001436DC">
        <w:rPr>
          <w:sz w:val="18"/>
          <w:szCs w:val="18"/>
        </w:rPr>
        <w:t>The Failure-to-Reserve penalty rate is the maximum value of 1.5 multiplied by the FRM Payment Rate, or the RTR Rate minus the FRM Payment Rate.  The Failure-to-Activate penalty rate is the maximum of 2.25 multiplied by the FRM Payment Rate, or the applicable nodal LMP.</w:t>
      </w:r>
    </w:p>
  </w:footnote>
  <w:footnote w:id="48">
    <w:p w14:paraId="003B9E4B" w14:textId="77777777" w:rsidR="009E6AC8" w:rsidRDefault="009E6AC8" w:rsidP="00950ACC">
      <w:pPr>
        <w:pStyle w:val="FootnoteText"/>
      </w:pPr>
      <w:r w:rsidRPr="00950ACC">
        <w:rPr>
          <w:rStyle w:val="FootnoteReference"/>
        </w:rPr>
        <w:footnoteRef/>
      </w:r>
      <w:r w:rsidRPr="00950ACC">
        <w:t xml:space="preserve"> Off-peak hours are hours ending 1 through 7 and 23, on non-NERC holiday weekdays</w:t>
      </w:r>
    </w:p>
  </w:footnote>
  <w:footnote w:id="49">
    <w:p w14:paraId="0B0AAE55" w14:textId="77777777" w:rsidR="009E6AC8" w:rsidRDefault="009E6AC8" w:rsidP="00E42DE9">
      <w:pPr>
        <w:pStyle w:val="FootnoteText"/>
      </w:pPr>
      <w:r>
        <w:rPr>
          <w:rStyle w:val="FootnoteReference"/>
        </w:rPr>
        <w:footnoteRef/>
      </w:r>
      <w:r>
        <w:t xml:space="preserve"> For FR, the Summer Reserve Period runs June through September and the Winter Reserve Period is all remaining months.</w:t>
      </w:r>
    </w:p>
  </w:footnote>
  <w:footnote w:id="50">
    <w:p w14:paraId="6E9A6D5B" w14:textId="5568FEDB" w:rsidR="009E6AC8" w:rsidRDefault="009E6AC8" w:rsidP="004D0689">
      <w:pPr>
        <w:pStyle w:val="FootnoteText"/>
        <w:ind w:left="270" w:hanging="270"/>
        <w:jc w:val="left"/>
      </w:pPr>
      <w:r>
        <w:rPr>
          <w:rStyle w:val="FootnoteReference"/>
        </w:rPr>
        <w:footnoteRef/>
      </w:r>
      <w:r>
        <w:t xml:space="preserve"> ISO-NE Power Supply Planning Committee Presentation</w:t>
      </w:r>
      <w:proofErr w:type="gramStart"/>
      <w:r>
        <w:t xml:space="preserve">,  </w:t>
      </w:r>
      <w:proofErr w:type="gramEnd"/>
      <w:r w:rsidR="00FA6573">
        <w:fldChar w:fldCharType="begin"/>
      </w:r>
      <w:r w:rsidR="00FA6573">
        <w:instrText xml:space="preserve"> HYPERLINK "https://www.iso-ne.com/stat</w:instrText>
      </w:r>
      <w:r w:rsidR="00FA6573">
        <w:instrText xml:space="preserve">ic-" </w:instrText>
      </w:r>
      <w:r w:rsidR="00FA6573">
        <w:fldChar w:fldCharType="separate"/>
      </w:r>
      <w:r w:rsidR="004D0689" w:rsidRPr="006039F7">
        <w:rPr>
          <w:rStyle w:val="Hyperlink"/>
        </w:rPr>
        <w:t>https://www.iso-ne.com/static-</w:t>
      </w:r>
      <w:r w:rsidR="00FA6573">
        <w:rPr>
          <w:rStyle w:val="Hyperlink"/>
        </w:rPr>
        <w:fldChar w:fldCharType="end"/>
      </w:r>
      <w:r w:rsidR="004D0689">
        <w:t xml:space="preserve">   </w:t>
      </w:r>
      <w:r w:rsidRPr="001264B3">
        <w:t>assets/documents/2016/10/PSPC10132016_A2_2020-21_Reserve_Deficiencies_Hours_Final.pdf</w:t>
      </w:r>
      <w:r>
        <w:t>.</w:t>
      </w:r>
    </w:p>
  </w:footnote>
  <w:footnote w:id="51">
    <w:p w14:paraId="6D408866" w14:textId="6AB05659" w:rsidR="009E6AC8" w:rsidRDefault="009E6AC8" w:rsidP="004D0689">
      <w:pPr>
        <w:pStyle w:val="FootnoteText"/>
        <w:jc w:val="left"/>
      </w:pPr>
      <w:r>
        <w:rPr>
          <w:rStyle w:val="FootnoteReference"/>
        </w:rPr>
        <w:footnoteRef/>
      </w:r>
      <w:r>
        <w:t xml:space="preserve"> ISO-NE Pay for Performance FERC Filing in Docket No. </w:t>
      </w:r>
      <w:proofErr w:type="gramStart"/>
      <w:r w:rsidRPr="007978E0">
        <w:t>ER14-1050</w:t>
      </w:r>
      <w:r>
        <w:t>-000.</w:t>
      </w:r>
      <w:proofErr w:type="gramEnd"/>
    </w:p>
  </w:footnote>
  <w:footnote w:id="52">
    <w:p w14:paraId="5FBDA5DE" w14:textId="37486ED7" w:rsidR="009E6AC8" w:rsidRDefault="009E6AC8" w:rsidP="00EE1FB9">
      <w:pPr>
        <w:pStyle w:val="FootnoteText"/>
      </w:pPr>
      <w:r>
        <w:rPr>
          <w:rStyle w:val="FootnoteReference"/>
        </w:rPr>
        <w:footnoteRef/>
      </w:r>
      <w:r>
        <w:t xml:space="preserve"> Testimony of Dr. Matthew White, Docket No. </w:t>
      </w:r>
      <w:proofErr w:type="gramStart"/>
      <w:r>
        <w:t xml:space="preserve">ER14-1050-000, January 17, 2014, </w:t>
      </w:r>
      <w:proofErr w:type="spellStart"/>
      <w:r>
        <w:t>pg</w:t>
      </w:r>
      <w:proofErr w:type="spellEnd"/>
      <w:r>
        <w:t xml:space="preserve"> 110.</w:t>
      </w:r>
      <w:proofErr w:type="gramEnd"/>
    </w:p>
  </w:footnote>
  <w:footnote w:id="53">
    <w:p w14:paraId="15A76609" w14:textId="25CA2127" w:rsidR="009E6AC8" w:rsidRDefault="009E6AC8" w:rsidP="00B305BB">
      <w:r>
        <w:rPr>
          <w:rStyle w:val="FootnoteReference"/>
        </w:rPr>
        <w:footnoteRef/>
      </w:r>
      <w:r>
        <w:t xml:space="preserve"> </w:t>
      </w:r>
      <w:r w:rsidRPr="001436DC">
        <w:rPr>
          <w:sz w:val="20"/>
        </w:rPr>
        <w:t xml:space="preserve">The offset update is also described in Appendix A Section </w:t>
      </w:r>
      <w:proofErr w:type="gramStart"/>
      <w:r w:rsidRPr="001436DC">
        <w:rPr>
          <w:sz w:val="20"/>
        </w:rPr>
        <w:t>21.1.2.e(</w:t>
      </w:r>
      <w:proofErr w:type="gramEnd"/>
      <w:r w:rsidRPr="001436DC">
        <w:rPr>
          <w:sz w:val="20"/>
        </w:rPr>
        <w:t>4) of Market Rule 1 Appendix A Section 21.1.2.e(4)</w:t>
      </w:r>
      <w:r>
        <w:rPr>
          <w:sz w:val="20"/>
        </w:rPr>
        <w:t>.</w:t>
      </w:r>
    </w:p>
  </w:footnote>
  <w:footnote w:id="54">
    <w:p w14:paraId="2349BA5B" w14:textId="77777777" w:rsidR="009E6AC8" w:rsidRDefault="009E6AC8" w:rsidP="00A63998">
      <w:pPr>
        <w:pStyle w:val="FootnoteText"/>
      </w:pPr>
      <w:r>
        <w:rPr>
          <w:rStyle w:val="FootnoteReference"/>
        </w:rPr>
        <w:footnoteRef/>
      </w:r>
      <w:r>
        <w:t xml:space="preserve"> Market Rule 1 Appendix A Section III.A.21.1.2</w:t>
      </w:r>
    </w:p>
  </w:footnote>
  <w:footnote w:id="55">
    <w:p w14:paraId="5C2E5704" w14:textId="77777777" w:rsidR="009E6AC8" w:rsidRDefault="009E6AC8" w:rsidP="00DE3C37">
      <w:r w:rsidRPr="00337548">
        <w:rPr>
          <w:rStyle w:val="FootnoteReference"/>
          <w:sz w:val="20"/>
        </w:rPr>
        <w:footnoteRef/>
      </w:r>
      <w:r w:rsidRPr="00337548">
        <w:rPr>
          <w:sz w:val="20"/>
        </w:rPr>
        <w:t xml:space="preserve"> Our estimated installed cost reflects an assumed a 7% annual capital cost improvement from 2015 to 2021 and an O&amp;M cost decrease of approximately 30% from 2015 to 2021.</w:t>
      </w:r>
    </w:p>
  </w:footnote>
  <w:footnote w:id="56">
    <w:p w14:paraId="5E7F0501" w14:textId="77777777" w:rsidR="009E6AC8" w:rsidRDefault="009E6AC8" w:rsidP="00A63998">
      <w:pPr>
        <w:pStyle w:val="FootnoteText"/>
      </w:pPr>
      <w:r>
        <w:rPr>
          <w:rStyle w:val="FootnoteReference"/>
        </w:rPr>
        <w:footnoteRef/>
      </w:r>
      <w:r>
        <w:t xml:space="preserve"> Cite FERC Order</w:t>
      </w:r>
    </w:p>
  </w:footnote>
  <w:footnote w:id="57">
    <w:p w14:paraId="1D5A8FAB" w14:textId="3064DCD8" w:rsidR="009E6AC8" w:rsidRDefault="009E6AC8" w:rsidP="00C33DDC">
      <w:pPr>
        <w:pStyle w:val="FootnoteText"/>
      </w:pPr>
      <w:r>
        <w:rPr>
          <w:rStyle w:val="FootnoteReference"/>
        </w:rPr>
        <w:footnoteRef/>
      </w:r>
      <w:r>
        <w:t xml:space="preserve"> </w:t>
      </w:r>
      <w:proofErr w:type="gramStart"/>
      <w:r>
        <w:t>Brattle, 2013.</w:t>
      </w:r>
      <w:proofErr w:type="gramEnd"/>
      <w:r>
        <w:t xml:space="preserve"> </w:t>
      </w:r>
    </w:p>
  </w:footnote>
  <w:footnote w:id="58">
    <w:p w14:paraId="7A3123E4" w14:textId="77777777" w:rsidR="009E6AC8" w:rsidRDefault="009E6AC8" w:rsidP="00EA0EB1">
      <w:pPr>
        <w:pStyle w:val="FootnoteText"/>
        <w:ind w:left="270" w:hanging="270"/>
      </w:pPr>
      <w:r>
        <w:rPr>
          <w:rStyle w:val="FootnoteReference"/>
        </w:rPr>
        <w:footnoteRef/>
      </w:r>
      <w:r>
        <w:t xml:space="preserve"> </w:t>
      </w:r>
      <w:r>
        <w:tab/>
        <w:t>ISO-NE Market Rule 1 Section III.13.1.2.2.1.</w:t>
      </w:r>
    </w:p>
  </w:footnote>
  <w:footnote w:id="59">
    <w:p w14:paraId="4A3ACFBF" w14:textId="77777777" w:rsidR="009E6AC8" w:rsidRDefault="009E6AC8" w:rsidP="00EA0EB1">
      <w:pPr>
        <w:pStyle w:val="FootnoteText"/>
        <w:ind w:left="270" w:hanging="270"/>
      </w:pPr>
      <w:r>
        <w:rPr>
          <w:rStyle w:val="FootnoteReference"/>
        </w:rPr>
        <w:footnoteRef/>
      </w:r>
      <w:r>
        <w:t xml:space="preserve"> </w:t>
      </w:r>
      <w:r>
        <w:tab/>
        <w:t xml:space="preserve">If the Intermittent Power Resource or Intermittent Settlement Only Resource has not been in Commercial Operation for the requisite five full summer periods, the ISO shall determine the median of the Intermittent Power Resource’s net output in each of the previous summer periods, or portion thereof if the </w:t>
      </w:r>
      <w:r w:rsidRPr="00DE3C37">
        <w:t xml:space="preserve">Intermittent </w:t>
      </w:r>
      <w:r w:rsidRPr="008E234D">
        <w:t>Power Resource or Intermittent Settlement Only Resource achieved Commercial Operation during a summer period.</w:t>
      </w:r>
    </w:p>
  </w:footnote>
  <w:footnote w:id="60">
    <w:p w14:paraId="4D40BE35" w14:textId="77777777" w:rsidR="009E6AC8" w:rsidRPr="003B2132" w:rsidRDefault="009E6AC8" w:rsidP="00EA0EB1">
      <w:pPr>
        <w:pStyle w:val="FootnoteText"/>
      </w:pPr>
      <w:r w:rsidRPr="003B2132">
        <w:rPr>
          <w:rStyle w:val="FootnoteReference"/>
          <w:sz w:val="18"/>
        </w:rPr>
        <w:footnoteRef/>
      </w:r>
      <w:r w:rsidRPr="003B2132">
        <w:rPr>
          <w:sz w:val="18"/>
        </w:rPr>
        <w:t xml:space="preserve"> Low income programs were excluded to remain consistent with the previous </w:t>
      </w:r>
      <w:r w:rsidRPr="003B2132">
        <w:rPr>
          <w:i/>
          <w:sz w:val="18"/>
        </w:rPr>
        <w:t xml:space="preserve">2013 Offer Review Trigger Prices Study </w:t>
      </w:r>
      <w:r w:rsidRPr="003B2132">
        <w:rPr>
          <w:sz w:val="18"/>
        </w:rPr>
        <w:t>conducted by The Brattle Group. These programs include: Home Energy Solutions Income Eligible (CT), Single Family Income Based (MA), Multi Family Income Based (MA), Low-Income Direct Install Initiatives (ME), and Income Eligible (RI).</w:t>
      </w:r>
    </w:p>
  </w:footnote>
  <w:footnote w:id="61">
    <w:p w14:paraId="0C50F03C" w14:textId="7CC22B4B" w:rsidR="009E6AC8" w:rsidRDefault="009E6AC8">
      <w:pPr>
        <w:pStyle w:val="FootnoteText"/>
      </w:pPr>
      <w:r>
        <w:rPr>
          <w:rStyle w:val="FootnoteReference"/>
        </w:rPr>
        <w:footnoteRef/>
      </w:r>
      <w:r>
        <w:t xml:space="preserve"> Connecticut: </w:t>
      </w:r>
      <w:proofErr w:type="spellStart"/>
      <w:r>
        <w:t>Evers</w:t>
      </w:r>
      <w:r w:rsidRPr="003B2132">
        <w:t>ource</w:t>
      </w:r>
      <w:proofErr w:type="spellEnd"/>
      <w:r w:rsidRPr="003B2132">
        <w:t xml:space="preserve"> Energy, et al., 2015. </w:t>
      </w:r>
    </w:p>
    <w:p w14:paraId="4D45DD66" w14:textId="0507839E" w:rsidR="009E6AC8" w:rsidRDefault="009E6AC8">
      <w:pPr>
        <w:pStyle w:val="FootnoteText"/>
      </w:pPr>
      <w:r w:rsidRPr="003B2132">
        <w:t>Massachusetts:</w:t>
      </w:r>
      <w:r w:rsidRPr="00CE0799">
        <w:t xml:space="preserve"> </w:t>
      </w:r>
      <w:r w:rsidRPr="003B2132">
        <w:t xml:space="preserve">National Grid, et al., 2015. </w:t>
      </w:r>
    </w:p>
    <w:p w14:paraId="5CC441B4" w14:textId="77777777" w:rsidR="009E6AC8" w:rsidRDefault="009E6AC8">
      <w:pPr>
        <w:pStyle w:val="FootnoteText"/>
      </w:pPr>
      <w:r w:rsidRPr="003B2132">
        <w:t xml:space="preserve">Maine: Efficiency Maine, 2015. </w:t>
      </w:r>
    </w:p>
    <w:p w14:paraId="68AD6D02" w14:textId="77777777" w:rsidR="009E6AC8" w:rsidRDefault="009E6AC8">
      <w:pPr>
        <w:pStyle w:val="FootnoteText"/>
      </w:pPr>
      <w:r w:rsidRPr="003B2132">
        <w:t xml:space="preserve">New Hampshire: Granite State Electric Company, et al., 2015. </w:t>
      </w:r>
    </w:p>
    <w:p w14:paraId="535D457B" w14:textId="77777777" w:rsidR="009E6AC8" w:rsidRDefault="009E6AC8">
      <w:pPr>
        <w:pStyle w:val="FootnoteText"/>
      </w:pPr>
      <w:r w:rsidRPr="003B2132">
        <w:t xml:space="preserve">Rhode Island: National Grid, et al., 2015. </w:t>
      </w:r>
    </w:p>
    <w:p w14:paraId="345D2E67" w14:textId="10882E1A" w:rsidR="009E6AC8" w:rsidRDefault="009E6AC8">
      <w:pPr>
        <w:pStyle w:val="FootnoteText"/>
      </w:pPr>
      <w:r w:rsidRPr="003B2132">
        <w:t>Vermont: Efficiency Vermont, 2016.</w:t>
      </w:r>
    </w:p>
  </w:footnote>
  <w:footnote w:id="62">
    <w:p w14:paraId="47CDDFB4" w14:textId="77777777" w:rsidR="009E6AC8" w:rsidRDefault="009E6AC8" w:rsidP="00EA0EB1">
      <w:pPr>
        <w:pStyle w:val="FootnoteText"/>
      </w:pPr>
      <w:r>
        <w:rPr>
          <w:rStyle w:val="FootnoteReference"/>
        </w:rPr>
        <w:footnoteRef/>
      </w:r>
      <w:r>
        <w:t xml:space="preserve"> Please note: the reports are provided as fiscal years and therefore time periods likely vary.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52BA" w14:textId="77777777" w:rsidR="00FC38E5" w:rsidRDefault="00FC3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35106" w14:textId="77777777" w:rsidR="009E6AC8" w:rsidRPr="0025706A" w:rsidRDefault="009E6AC8" w:rsidP="00A316E5">
    <w:pPr>
      <w:pBdr>
        <w:bottom w:val="single" w:sz="4" w:space="1" w:color="632423"/>
      </w:pBdr>
      <w:tabs>
        <w:tab w:val="center" w:pos="4320"/>
        <w:tab w:val="right" w:pos="8640"/>
      </w:tabs>
      <w:spacing w:before="240" w:after="0" w:line="240" w:lineRule="auto"/>
      <w:contextualSpacing/>
      <w:jc w:val="right"/>
      <w:rPr>
        <w:rFonts w:eastAsia="Times New Roman" w:cs="Times New Roman"/>
        <w:smallCaps/>
        <w:sz w:val="16"/>
        <w:szCs w:val="16"/>
      </w:rPr>
    </w:pPr>
    <w:r w:rsidRPr="00BB13FF">
      <w:rPr>
        <w:rFonts w:eastAsia="Times New Roman" w:cs="Times New Roman"/>
        <w:smallCaps/>
        <w:sz w:val="20"/>
        <w:szCs w:val="16"/>
      </w:rPr>
      <w:t>ISO-NE CONE and ORTP Analysis</w:t>
    </w:r>
    <w:r w:rsidRPr="00BB13FF" w:rsidDel="00BB13FF">
      <w:rPr>
        <w:rFonts w:eastAsia="Times New Roman" w:cs="Times New Roman"/>
        <w:smallCaps/>
        <w:sz w:val="20"/>
        <w:szCs w:val="16"/>
      </w:rPr>
      <w:t xml:space="preserve"> </w:t>
    </w:r>
  </w:p>
  <w:p w14:paraId="69D85A20" w14:textId="77777777" w:rsidR="009E6AC8" w:rsidRDefault="009E6A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C77A" w14:textId="77777777" w:rsidR="00FC38E5" w:rsidRDefault="00FC38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C5BC9" w14:textId="77777777" w:rsidR="009E6AC8" w:rsidRPr="0025706A" w:rsidRDefault="009E6AC8" w:rsidP="001406E9">
    <w:pPr>
      <w:pBdr>
        <w:bottom w:val="single" w:sz="4" w:space="1" w:color="632423"/>
      </w:pBdr>
      <w:tabs>
        <w:tab w:val="center" w:pos="4320"/>
        <w:tab w:val="right" w:pos="8640"/>
      </w:tabs>
      <w:spacing w:before="240" w:after="0" w:line="240" w:lineRule="auto"/>
      <w:contextualSpacing/>
      <w:rPr>
        <w:rFonts w:eastAsia="Times New Roman" w:cs="Times New Roman"/>
        <w:smallCaps/>
        <w:sz w:val="16"/>
        <w:szCs w:val="16"/>
      </w:rPr>
    </w:pPr>
    <w:r w:rsidRPr="00BB13FF">
      <w:rPr>
        <w:rFonts w:eastAsia="Times New Roman" w:cs="Times New Roman"/>
        <w:smallCaps/>
        <w:sz w:val="20"/>
        <w:szCs w:val="16"/>
      </w:rPr>
      <w:t>ISO-NE CONE and ORTP Analysis</w:t>
    </w:r>
    <w:r w:rsidRPr="00BB13FF" w:rsidDel="00BB13FF">
      <w:rPr>
        <w:rFonts w:eastAsia="Times New Roman" w:cs="Times New Roman"/>
        <w:smallCaps/>
        <w:sz w:val="20"/>
        <w:szCs w:val="16"/>
      </w:rPr>
      <w:t xml:space="preserve"> </w:t>
    </w:r>
  </w:p>
  <w:p w14:paraId="729A041C" w14:textId="77777777" w:rsidR="009E6AC8" w:rsidRDefault="009E6A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097D8" w14:textId="77777777" w:rsidR="009E6AC8" w:rsidRPr="0025706A" w:rsidRDefault="009E6AC8" w:rsidP="001406E9">
    <w:pPr>
      <w:pBdr>
        <w:bottom w:val="single" w:sz="4" w:space="1" w:color="632423"/>
      </w:pBdr>
      <w:tabs>
        <w:tab w:val="center" w:pos="4320"/>
        <w:tab w:val="right" w:pos="8640"/>
      </w:tabs>
      <w:spacing w:before="240" w:after="0" w:line="240" w:lineRule="auto"/>
      <w:contextualSpacing/>
      <w:rPr>
        <w:rFonts w:eastAsia="Times New Roman" w:cs="Times New Roman"/>
        <w:smallCaps/>
        <w:sz w:val="16"/>
        <w:szCs w:val="16"/>
      </w:rPr>
    </w:pPr>
    <w:r w:rsidRPr="00BB13FF">
      <w:rPr>
        <w:rFonts w:eastAsia="Times New Roman" w:cs="Times New Roman"/>
        <w:smallCaps/>
        <w:sz w:val="20"/>
        <w:szCs w:val="16"/>
      </w:rPr>
      <w:t>ISO-NE CONE and ORTP Analysis</w:t>
    </w:r>
    <w:r w:rsidRPr="00BB13FF" w:rsidDel="00BB13FF">
      <w:rPr>
        <w:rFonts w:eastAsia="Times New Roman" w:cs="Times New Roman"/>
        <w:smallCaps/>
        <w:sz w:val="20"/>
        <w:szCs w:val="16"/>
      </w:rPr>
      <w:t xml:space="preserve"> </w:t>
    </w:r>
  </w:p>
  <w:p w14:paraId="025E21FF" w14:textId="77777777" w:rsidR="009E6AC8" w:rsidRDefault="009E6A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43D1F" w14:textId="77777777" w:rsidR="009E6AC8" w:rsidRPr="0025706A" w:rsidRDefault="009E6AC8" w:rsidP="001406E9">
    <w:pPr>
      <w:pBdr>
        <w:bottom w:val="single" w:sz="4" w:space="1" w:color="632423"/>
      </w:pBdr>
      <w:tabs>
        <w:tab w:val="center" w:pos="4320"/>
        <w:tab w:val="right" w:pos="8640"/>
      </w:tabs>
      <w:spacing w:before="240" w:after="0" w:line="240" w:lineRule="auto"/>
      <w:contextualSpacing/>
      <w:rPr>
        <w:rFonts w:eastAsia="Times New Roman" w:cs="Times New Roman"/>
        <w:smallCaps/>
        <w:sz w:val="16"/>
        <w:szCs w:val="16"/>
      </w:rPr>
    </w:pPr>
    <w:r w:rsidRPr="00BB13FF">
      <w:rPr>
        <w:rFonts w:eastAsia="Times New Roman" w:cs="Times New Roman"/>
        <w:smallCaps/>
        <w:sz w:val="20"/>
        <w:szCs w:val="16"/>
      </w:rPr>
      <w:t>ISO-NE CONE and ORTP Analysis</w:t>
    </w:r>
    <w:r w:rsidRPr="00BB13FF" w:rsidDel="00BB13FF">
      <w:rPr>
        <w:rFonts w:eastAsia="Times New Roman" w:cs="Times New Roman"/>
        <w:smallCaps/>
        <w:sz w:val="20"/>
        <w:szCs w:val="16"/>
      </w:rPr>
      <w:t xml:space="preserve"> </w:t>
    </w:r>
  </w:p>
  <w:p w14:paraId="3829A2C8" w14:textId="77777777" w:rsidR="009E6AC8" w:rsidRDefault="009E6AC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C069F" w14:textId="77777777" w:rsidR="009308D8" w:rsidRPr="0025706A" w:rsidRDefault="004B6132" w:rsidP="001406E9">
    <w:pPr>
      <w:pBdr>
        <w:bottom w:val="single" w:sz="4" w:space="1" w:color="632423"/>
      </w:pBdr>
      <w:tabs>
        <w:tab w:val="center" w:pos="4320"/>
        <w:tab w:val="right" w:pos="8640"/>
      </w:tabs>
      <w:spacing w:before="240" w:after="0" w:line="240" w:lineRule="auto"/>
      <w:contextualSpacing/>
      <w:rPr>
        <w:rFonts w:eastAsia="Times New Roman" w:cs="Times New Roman"/>
        <w:smallCaps/>
        <w:sz w:val="16"/>
        <w:szCs w:val="16"/>
      </w:rPr>
    </w:pPr>
    <w:r w:rsidRPr="00BB13FF">
      <w:rPr>
        <w:rFonts w:eastAsia="Times New Roman" w:cs="Times New Roman"/>
        <w:smallCaps/>
        <w:sz w:val="20"/>
        <w:szCs w:val="16"/>
      </w:rPr>
      <w:t>ISO-NE CONE and ORTP Analysis</w:t>
    </w:r>
    <w:r w:rsidRPr="00BB13FF" w:rsidDel="00BB13FF">
      <w:rPr>
        <w:rFonts w:eastAsia="Times New Roman" w:cs="Times New Roman"/>
        <w:smallCaps/>
        <w:sz w:val="20"/>
        <w:szCs w:val="16"/>
      </w:rPr>
      <w:t xml:space="preserve"> </w:t>
    </w:r>
  </w:p>
  <w:p w14:paraId="1506D529" w14:textId="77777777" w:rsidR="009308D8" w:rsidRDefault="00FA65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D2A"/>
    <w:multiLevelType w:val="hybridMultilevel"/>
    <w:tmpl w:val="C2C6D7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5C650E"/>
    <w:multiLevelType w:val="hybridMultilevel"/>
    <w:tmpl w:val="2B54ABEA"/>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676A21"/>
    <w:multiLevelType w:val="hybridMultilevel"/>
    <w:tmpl w:val="784C8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2F04DCA"/>
    <w:multiLevelType w:val="hybridMultilevel"/>
    <w:tmpl w:val="F7B2FB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4240504"/>
    <w:multiLevelType w:val="hybridMultilevel"/>
    <w:tmpl w:val="E73EF504"/>
    <w:lvl w:ilvl="0" w:tplc="3F5AC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D3C32"/>
    <w:multiLevelType w:val="hybridMultilevel"/>
    <w:tmpl w:val="050012B4"/>
    <w:lvl w:ilvl="0" w:tplc="EE6A06FE">
      <w:start w:val="1"/>
      <w:numFmt w:val="bullet"/>
      <w:lvlText w:val="•"/>
      <w:lvlJc w:val="left"/>
      <w:pPr>
        <w:tabs>
          <w:tab w:val="num" w:pos="720"/>
        </w:tabs>
        <w:ind w:left="720" w:hanging="360"/>
      </w:pPr>
      <w:rPr>
        <w:rFonts w:ascii="Arial" w:hAnsi="Arial" w:hint="default"/>
      </w:rPr>
    </w:lvl>
    <w:lvl w:ilvl="1" w:tplc="BF582F26">
      <w:start w:val="1"/>
      <w:numFmt w:val="bullet"/>
      <w:lvlText w:val="•"/>
      <w:lvlJc w:val="left"/>
      <w:pPr>
        <w:tabs>
          <w:tab w:val="num" w:pos="1440"/>
        </w:tabs>
        <w:ind w:left="1440" w:hanging="360"/>
      </w:pPr>
      <w:rPr>
        <w:rFonts w:ascii="Arial" w:hAnsi="Arial" w:hint="default"/>
      </w:rPr>
    </w:lvl>
    <w:lvl w:ilvl="2" w:tplc="2DF67E76" w:tentative="1">
      <w:start w:val="1"/>
      <w:numFmt w:val="bullet"/>
      <w:lvlText w:val="•"/>
      <w:lvlJc w:val="left"/>
      <w:pPr>
        <w:tabs>
          <w:tab w:val="num" w:pos="2160"/>
        </w:tabs>
        <w:ind w:left="2160" w:hanging="360"/>
      </w:pPr>
      <w:rPr>
        <w:rFonts w:ascii="Arial" w:hAnsi="Arial" w:hint="default"/>
      </w:rPr>
    </w:lvl>
    <w:lvl w:ilvl="3" w:tplc="D75C68EC" w:tentative="1">
      <w:start w:val="1"/>
      <w:numFmt w:val="bullet"/>
      <w:lvlText w:val="•"/>
      <w:lvlJc w:val="left"/>
      <w:pPr>
        <w:tabs>
          <w:tab w:val="num" w:pos="2880"/>
        </w:tabs>
        <w:ind w:left="2880" w:hanging="360"/>
      </w:pPr>
      <w:rPr>
        <w:rFonts w:ascii="Arial" w:hAnsi="Arial" w:hint="default"/>
      </w:rPr>
    </w:lvl>
    <w:lvl w:ilvl="4" w:tplc="BB401AA2" w:tentative="1">
      <w:start w:val="1"/>
      <w:numFmt w:val="bullet"/>
      <w:lvlText w:val="•"/>
      <w:lvlJc w:val="left"/>
      <w:pPr>
        <w:tabs>
          <w:tab w:val="num" w:pos="3600"/>
        </w:tabs>
        <w:ind w:left="3600" w:hanging="360"/>
      </w:pPr>
      <w:rPr>
        <w:rFonts w:ascii="Arial" w:hAnsi="Arial" w:hint="default"/>
      </w:rPr>
    </w:lvl>
    <w:lvl w:ilvl="5" w:tplc="34DAE072" w:tentative="1">
      <w:start w:val="1"/>
      <w:numFmt w:val="bullet"/>
      <w:lvlText w:val="•"/>
      <w:lvlJc w:val="left"/>
      <w:pPr>
        <w:tabs>
          <w:tab w:val="num" w:pos="4320"/>
        </w:tabs>
        <w:ind w:left="4320" w:hanging="360"/>
      </w:pPr>
      <w:rPr>
        <w:rFonts w:ascii="Arial" w:hAnsi="Arial" w:hint="default"/>
      </w:rPr>
    </w:lvl>
    <w:lvl w:ilvl="6" w:tplc="0D18D162" w:tentative="1">
      <w:start w:val="1"/>
      <w:numFmt w:val="bullet"/>
      <w:lvlText w:val="•"/>
      <w:lvlJc w:val="left"/>
      <w:pPr>
        <w:tabs>
          <w:tab w:val="num" w:pos="5040"/>
        </w:tabs>
        <w:ind w:left="5040" w:hanging="360"/>
      </w:pPr>
      <w:rPr>
        <w:rFonts w:ascii="Arial" w:hAnsi="Arial" w:hint="default"/>
      </w:rPr>
    </w:lvl>
    <w:lvl w:ilvl="7" w:tplc="5B02BDEA" w:tentative="1">
      <w:start w:val="1"/>
      <w:numFmt w:val="bullet"/>
      <w:lvlText w:val="•"/>
      <w:lvlJc w:val="left"/>
      <w:pPr>
        <w:tabs>
          <w:tab w:val="num" w:pos="5760"/>
        </w:tabs>
        <w:ind w:left="5760" w:hanging="360"/>
      </w:pPr>
      <w:rPr>
        <w:rFonts w:ascii="Arial" w:hAnsi="Arial" w:hint="default"/>
      </w:rPr>
    </w:lvl>
    <w:lvl w:ilvl="8" w:tplc="2DEE476A" w:tentative="1">
      <w:start w:val="1"/>
      <w:numFmt w:val="bullet"/>
      <w:lvlText w:val="•"/>
      <w:lvlJc w:val="left"/>
      <w:pPr>
        <w:tabs>
          <w:tab w:val="num" w:pos="6480"/>
        </w:tabs>
        <w:ind w:left="6480" w:hanging="360"/>
      </w:pPr>
      <w:rPr>
        <w:rFonts w:ascii="Arial" w:hAnsi="Arial" w:hint="default"/>
      </w:rPr>
    </w:lvl>
  </w:abstractNum>
  <w:abstractNum w:abstractNumId="6">
    <w:nsid w:val="108032F4"/>
    <w:multiLevelType w:val="hybridMultilevel"/>
    <w:tmpl w:val="B6F45C96"/>
    <w:lvl w:ilvl="0" w:tplc="C2CEE76E">
      <w:start w:val="1"/>
      <w:numFmt w:val="bullet"/>
      <w:pStyle w:val="Newbullet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930C3"/>
    <w:multiLevelType w:val="hybridMultilevel"/>
    <w:tmpl w:val="C8785040"/>
    <w:lvl w:ilvl="0" w:tplc="08C4A622">
      <w:start w:val="1"/>
      <w:numFmt w:val="decimal"/>
      <w:pStyle w:val="Heading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3B1592"/>
    <w:multiLevelType w:val="hybridMultilevel"/>
    <w:tmpl w:val="7D28043C"/>
    <w:lvl w:ilvl="0" w:tplc="BC048802">
      <w:start w:val="1"/>
      <w:numFmt w:val="bullet"/>
      <w:lvlText w:val="o"/>
      <w:lvlJc w:val="left"/>
      <w:pPr>
        <w:ind w:left="1845" w:hanging="360"/>
      </w:pPr>
      <w:rPr>
        <w:rFonts w:ascii="Courier New" w:hAnsi="Courier New" w:cs="Courier New"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nsid w:val="1E7A68A0"/>
    <w:multiLevelType w:val="hybridMultilevel"/>
    <w:tmpl w:val="1B8075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CA56C3"/>
    <w:multiLevelType w:val="hybridMultilevel"/>
    <w:tmpl w:val="A1B2A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8E10306"/>
    <w:multiLevelType w:val="hybridMultilevel"/>
    <w:tmpl w:val="3E5CAF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14721E6"/>
    <w:multiLevelType w:val="hybridMultilevel"/>
    <w:tmpl w:val="45229F28"/>
    <w:lvl w:ilvl="0" w:tplc="30BE70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7C0CDC"/>
    <w:multiLevelType w:val="hybridMultilevel"/>
    <w:tmpl w:val="CC14B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5E43597"/>
    <w:multiLevelType w:val="hybridMultilevel"/>
    <w:tmpl w:val="492EFF0A"/>
    <w:lvl w:ilvl="0" w:tplc="6AB86F34">
      <w:start w:val="1"/>
      <w:numFmt w:val="upperLetter"/>
      <w:pStyle w:val="Heading2"/>
      <w:lvlText w:val="%1."/>
      <w:lvlJc w:val="left"/>
      <w:pPr>
        <w:ind w:left="720" w:hanging="360"/>
      </w:pPr>
      <w:rPr>
        <w:rFonts w:hint="default"/>
      </w:rPr>
    </w:lvl>
    <w:lvl w:ilvl="1" w:tplc="EFA8ADDE">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D4000"/>
    <w:multiLevelType w:val="hybridMultilevel"/>
    <w:tmpl w:val="840E9558"/>
    <w:lvl w:ilvl="0" w:tplc="CBCA90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F3171"/>
    <w:multiLevelType w:val="hybridMultilevel"/>
    <w:tmpl w:val="0E8A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D545F"/>
    <w:multiLevelType w:val="hybridMultilevel"/>
    <w:tmpl w:val="248A48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F0D0C13"/>
    <w:multiLevelType w:val="hybridMultilevel"/>
    <w:tmpl w:val="931AE3CC"/>
    <w:lvl w:ilvl="0" w:tplc="04090001">
      <w:start w:val="1"/>
      <w:numFmt w:val="bullet"/>
      <w:lvlText w:val=""/>
      <w:lvlJc w:val="left"/>
      <w:pPr>
        <w:ind w:left="360" w:hanging="360"/>
      </w:pPr>
      <w:rPr>
        <w:rFonts w:ascii="Symbol" w:hAnsi="Symbol" w:hint="default"/>
      </w:rPr>
    </w:lvl>
    <w:lvl w:ilvl="1" w:tplc="9BA0D32A">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B8F777B"/>
    <w:multiLevelType w:val="hybridMultilevel"/>
    <w:tmpl w:val="5080CA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461E51"/>
    <w:multiLevelType w:val="hybridMultilevel"/>
    <w:tmpl w:val="73FE6742"/>
    <w:lvl w:ilvl="0" w:tplc="B302E9FC">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9BA0458"/>
    <w:multiLevelType w:val="hybridMultilevel"/>
    <w:tmpl w:val="94EE0B4A"/>
    <w:lvl w:ilvl="0" w:tplc="B302E9FC">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F447114"/>
    <w:multiLevelType w:val="hybridMultilevel"/>
    <w:tmpl w:val="36DE2E18"/>
    <w:lvl w:ilvl="0" w:tplc="BA0CE0E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C082ACF"/>
    <w:multiLevelType w:val="hybridMultilevel"/>
    <w:tmpl w:val="14AA02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2947463"/>
    <w:multiLevelType w:val="hybridMultilevel"/>
    <w:tmpl w:val="8D78B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7722F4E"/>
    <w:multiLevelType w:val="hybridMultilevel"/>
    <w:tmpl w:val="86B8A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CE23881"/>
    <w:multiLevelType w:val="hybridMultilevel"/>
    <w:tmpl w:val="2950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074970"/>
    <w:multiLevelType w:val="hybridMultilevel"/>
    <w:tmpl w:val="40208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E740AA3"/>
    <w:multiLevelType w:val="hybridMultilevel"/>
    <w:tmpl w:val="9B9C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5"/>
  </w:num>
  <w:num w:numId="4">
    <w:abstractNumId w:val="4"/>
  </w:num>
  <w:num w:numId="5">
    <w:abstractNumId w:val="14"/>
  </w:num>
  <w:num w:numId="6">
    <w:abstractNumId w:val="14"/>
    <w:lvlOverride w:ilvl="0">
      <w:startOverride w:val="1"/>
    </w:lvlOverride>
  </w:num>
  <w:num w:numId="7">
    <w:abstractNumId w:val="2"/>
  </w:num>
  <w:num w:numId="8">
    <w:abstractNumId w:val="10"/>
  </w:num>
  <w:num w:numId="9">
    <w:abstractNumId w:val="22"/>
  </w:num>
  <w:num w:numId="10">
    <w:abstractNumId w:val="25"/>
  </w:num>
  <w:num w:numId="11">
    <w:abstractNumId w:val="24"/>
  </w:num>
  <w:num w:numId="12">
    <w:abstractNumId w:val="27"/>
  </w:num>
  <w:num w:numId="13">
    <w:abstractNumId w:val="9"/>
  </w:num>
  <w:num w:numId="14">
    <w:abstractNumId w:val="19"/>
  </w:num>
  <w:num w:numId="15">
    <w:abstractNumId w:val="20"/>
  </w:num>
  <w:num w:numId="16">
    <w:abstractNumId w:val="17"/>
  </w:num>
  <w:num w:numId="17">
    <w:abstractNumId w:val="0"/>
  </w:num>
  <w:num w:numId="18">
    <w:abstractNumId w:val="18"/>
  </w:num>
  <w:num w:numId="19">
    <w:abstractNumId w:val="12"/>
  </w:num>
  <w:num w:numId="20">
    <w:abstractNumId w:val="7"/>
  </w:num>
  <w:num w:numId="21">
    <w:abstractNumId w:val="3"/>
  </w:num>
  <w:num w:numId="22">
    <w:abstractNumId w:val="14"/>
    <w:lvlOverride w:ilvl="0">
      <w:startOverride w:val="1"/>
    </w:lvlOverride>
  </w:num>
  <w:num w:numId="23">
    <w:abstractNumId w:val="7"/>
    <w:lvlOverride w:ilvl="0">
      <w:startOverride w:val="2"/>
    </w:lvlOverride>
  </w:num>
  <w:num w:numId="24">
    <w:abstractNumId w:val="7"/>
    <w:lvlOverride w:ilvl="0">
      <w:startOverride w:val="1"/>
    </w:lvlOverride>
  </w:num>
  <w:num w:numId="25">
    <w:abstractNumId w:val="7"/>
    <w:lvlOverride w:ilvl="0">
      <w:startOverride w:val="1"/>
    </w:lvlOverride>
  </w:num>
  <w:num w:numId="26">
    <w:abstractNumId w:val="1"/>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23"/>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lvlOverride w:ilvl="0">
      <w:startOverride w:val="1"/>
    </w:lvlOverride>
  </w:num>
  <w:num w:numId="39">
    <w:abstractNumId w:val="11"/>
  </w:num>
  <w:num w:numId="40">
    <w:abstractNumId w:val="13"/>
  </w:num>
  <w:num w:numId="41">
    <w:abstractNumId w:val="7"/>
    <w:lvlOverride w:ilvl="0">
      <w:startOverride w:val="1"/>
    </w:lvlOverride>
  </w:num>
  <w:num w:numId="42">
    <w:abstractNumId w:val="16"/>
  </w:num>
  <w:num w:numId="43">
    <w:abstractNumId w:val="15"/>
  </w:num>
  <w:num w:numId="44">
    <w:abstractNumId w:val="7"/>
    <w:lvlOverride w:ilvl="0">
      <w:startOverride w:val="1"/>
    </w:lvlOverride>
  </w:num>
  <w:num w:numId="45">
    <w:abstractNumId w:val="15"/>
    <w:lvlOverride w:ilvl="0">
      <w:startOverride w:val="1"/>
    </w:lvlOverride>
  </w:num>
  <w:num w:numId="46">
    <w:abstractNumId w:val="15"/>
  </w:num>
  <w:num w:numId="47">
    <w:abstractNumId w:val="15"/>
  </w:num>
  <w:num w:numId="48">
    <w:abstractNumId w:val="8"/>
  </w:num>
  <w:num w:numId="49">
    <w:abstractNumId w:val="18"/>
  </w:num>
  <w:num w:numId="50">
    <w:abstractNumId w:val="18"/>
  </w:num>
  <w:num w:numId="51">
    <w:abstractNumId w:val="18"/>
  </w:num>
  <w:num w:numId="52">
    <w:abstractNumId w:val="18"/>
  </w:num>
  <w:num w:numId="53">
    <w:abstractNumId w:val="18"/>
  </w:num>
  <w:num w:numId="54">
    <w:abstractNumId w:val="26"/>
  </w:num>
  <w:num w:numId="55">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947"/>
    <w:rsid w:val="0000019C"/>
    <w:rsid w:val="00000EF6"/>
    <w:rsid w:val="00012DF3"/>
    <w:rsid w:val="00012F91"/>
    <w:rsid w:val="00013355"/>
    <w:rsid w:val="00016EB4"/>
    <w:rsid w:val="00021005"/>
    <w:rsid w:val="00022EDB"/>
    <w:rsid w:val="00025097"/>
    <w:rsid w:val="00032FA8"/>
    <w:rsid w:val="00033FF8"/>
    <w:rsid w:val="00035D0F"/>
    <w:rsid w:val="00052D53"/>
    <w:rsid w:val="0005531F"/>
    <w:rsid w:val="000557BB"/>
    <w:rsid w:val="00056358"/>
    <w:rsid w:val="00057A1F"/>
    <w:rsid w:val="00061D8D"/>
    <w:rsid w:val="0006253F"/>
    <w:rsid w:val="0006365E"/>
    <w:rsid w:val="000637A3"/>
    <w:rsid w:val="00065109"/>
    <w:rsid w:val="00066E8B"/>
    <w:rsid w:val="00071DDA"/>
    <w:rsid w:val="000749B1"/>
    <w:rsid w:val="00076933"/>
    <w:rsid w:val="00077911"/>
    <w:rsid w:val="00080F3D"/>
    <w:rsid w:val="00083743"/>
    <w:rsid w:val="000868CC"/>
    <w:rsid w:val="00090C8F"/>
    <w:rsid w:val="00096DAA"/>
    <w:rsid w:val="00097323"/>
    <w:rsid w:val="00097B72"/>
    <w:rsid w:val="00097E7A"/>
    <w:rsid w:val="000A1E37"/>
    <w:rsid w:val="000A430F"/>
    <w:rsid w:val="000A767D"/>
    <w:rsid w:val="000B16D6"/>
    <w:rsid w:val="000B29E5"/>
    <w:rsid w:val="000B5A1A"/>
    <w:rsid w:val="000B6502"/>
    <w:rsid w:val="000C0F25"/>
    <w:rsid w:val="000C1253"/>
    <w:rsid w:val="000C2FD0"/>
    <w:rsid w:val="000C4F99"/>
    <w:rsid w:val="000C60FE"/>
    <w:rsid w:val="000D04AF"/>
    <w:rsid w:val="000D3AC2"/>
    <w:rsid w:val="000D45C3"/>
    <w:rsid w:val="000D51C6"/>
    <w:rsid w:val="000D55F0"/>
    <w:rsid w:val="000D58A2"/>
    <w:rsid w:val="000D6436"/>
    <w:rsid w:val="000E0F39"/>
    <w:rsid w:val="000E1CEA"/>
    <w:rsid w:val="000E2033"/>
    <w:rsid w:val="000E3136"/>
    <w:rsid w:val="000E3CF3"/>
    <w:rsid w:val="000E4BD9"/>
    <w:rsid w:val="000E5185"/>
    <w:rsid w:val="000E656C"/>
    <w:rsid w:val="000E7470"/>
    <w:rsid w:val="000F453D"/>
    <w:rsid w:val="00101B69"/>
    <w:rsid w:val="00101FA5"/>
    <w:rsid w:val="00102421"/>
    <w:rsid w:val="0010725C"/>
    <w:rsid w:val="00110498"/>
    <w:rsid w:val="0011163D"/>
    <w:rsid w:val="001116F9"/>
    <w:rsid w:val="00114BB2"/>
    <w:rsid w:val="001152D4"/>
    <w:rsid w:val="0011789B"/>
    <w:rsid w:val="00120E95"/>
    <w:rsid w:val="001213F4"/>
    <w:rsid w:val="001264B3"/>
    <w:rsid w:val="00127567"/>
    <w:rsid w:val="001276BE"/>
    <w:rsid w:val="001321B7"/>
    <w:rsid w:val="00135568"/>
    <w:rsid w:val="00136DEF"/>
    <w:rsid w:val="001406E9"/>
    <w:rsid w:val="001413A3"/>
    <w:rsid w:val="00142838"/>
    <w:rsid w:val="001436DC"/>
    <w:rsid w:val="00143858"/>
    <w:rsid w:val="001443FF"/>
    <w:rsid w:val="001446E5"/>
    <w:rsid w:val="001471D0"/>
    <w:rsid w:val="00147B0C"/>
    <w:rsid w:val="001551DD"/>
    <w:rsid w:val="0015738D"/>
    <w:rsid w:val="0016381F"/>
    <w:rsid w:val="00164F84"/>
    <w:rsid w:val="00166A4C"/>
    <w:rsid w:val="00167E8F"/>
    <w:rsid w:val="00173EFB"/>
    <w:rsid w:val="00175046"/>
    <w:rsid w:val="00177907"/>
    <w:rsid w:val="00177A40"/>
    <w:rsid w:val="00181EFC"/>
    <w:rsid w:val="00184590"/>
    <w:rsid w:val="0019160E"/>
    <w:rsid w:val="0019350E"/>
    <w:rsid w:val="00195935"/>
    <w:rsid w:val="00197190"/>
    <w:rsid w:val="001979CC"/>
    <w:rsid w:val="001A08AE"/>
    <w:rsid w:val="001A0C09"/>
    <w:rsid w:val="001A3246"/>
    <w:rsid w:val="001A479C"/>
    <w:rsid w:val="001A4EF5"/>
    <w:rsid w:val="001A57BD"/>
    <w:rsid w:val="001A75E8"/>
    <w:rsid w:val="001B04B0"/>
    <w:rsid w:val="001B2181"/>
    <w:rsid w:val="001B35DD"/>
    <w:rsid w:val="001B528B"/>
    <w:rsid w:val="001B66B0"/>
    <w:rsid w:val="001B6786"/>
    <w:rsid w:val="001B6A3D"/>
    <w:rsid w:val="001C3CAF"/>
    <w:rsid w:val="001C533E"/>
    <w:rsid w:val="001C6A99"/>
    <w:rsid w:val="001D1AE4"/>
    <w:rsid w:val="001D2DC2"/>
    <w:rsid w:val="001D511D"/>
    <w:rsid w:val="001D5F16"/>
    <w:rsid w:val="001D7E05"/>
    <w:rsid w:val="001E2AF3"/>
    <w:rsid w:val="001E3EEF"/>
    <w:rsid w:val="001E5686"/>
    <w:rsid w:val="001E6192"/>
    <w:rsid w:val="001E6599"/>
    <w:rsid w:val="001E66FC"/>
    <w:rsid w:val="001F0E4F"/>
    <w:rsid w:val="001F2243"/>
    <w:rsid w:val="001F3967"/>
    <w:rsid w:val="001F3E29"/>
    <w:rsid w:val="001F7171"/>
    <w:rsid w:val="00200819"/>
    <w:rsid w:val="002008D1"/>
    <w:rsid w:val="00206073"/>
    <w:rsid w:val="00210BEC"/>
    <w:rsid w:val="00211099"/>
    <w:rsid w:val="00212079"/>
    <w:rsid w:val="002159C7"/>
    <w:rsid w:val="00216323"/>
    <w:rsid w:val="00216F4F"/>
    <w:rsid w:val="002251EF"/>
    <w:rsid w:val="00226BA9"/>
    <w:rsid w:val="002318FD"/>
    <w:rsid w:val="0023469F"/>
    <w:rsid w:val="002360E1"/>
    <w:rsid w:val="00236E6E"/>
    <w:rsid w:val="002418CE"/>
    <w:rsid w:val="00242F82"/>
    <w:rsid w:val="00243E02"/>
    <w:rsid w:val="002453C4"/>
    <w:rsid w:val="00247A10"/>
    <w:rsid w:val="002512A7"/>
    <w:rsid w:val="00251D41"/>
    <w:rsid w:val="00253949"/>
    <w:rsid w:val="0025536B"/>
    <w:rsid w:val="002553E6"/>
    <w:rsid w:val="00256247"/>
    <w:rsid w:val="002565F1"/>
    <w:rsid w:val="0025706A"/>
    <w:rsid w:val="0026014E"/>
    <w:rsid w:val="00261459"/>
    <w:rsid w:val="00263990"/>
    <w:rsid w:val="002666D6"/>
    <w:rsid w:val="0027107E"/>
    <w:rsid w:val="00272E9D"/>
    <w:rsid w:val="0027543D"/>
    <w:rsid w:val="00285A77"/>
    <w:rsid w:val="00286D72"/>
    <w:rsid w:val="00287839"/>
    <w:rsid w:val="0028791A"/>
    <w:rsid w:val="00292216"/>
    <w:rsid w:val="00292CFF"/>
    <w:rsid w:val="00293BA8"/>
    <w:rsid w:val="00293F4C"/>
    <w:rsid w:val="002972F4"/>
    <w:rsid w:val="00297A69"/>
    <w:rsid w:val="002A1616"/>
    <w:rsid w:val="002A4CE5"/>
    <w:rsid w:val="002A64E9"/>
    <w:rsid w:val="002A6CC3"/>
    <w:rsid w:val="002A6E55"/>
    <w:rsid w:val="002B0A7A"/>
    <w:rsid w:val="002B24A1"/>
    <w:rsid w:val="002B39D8"/>
    <w:rsid w:val="002B7055"/>
    <w:rsid w:val="002B7AC5"/>
    <w:rsid w:val="002C02D0"/>
    <w:rsid w:val="002C3F6D"/>
    <w:rsid w:val="002C59C2"/>
    <w:rsid w:val="002C5F9F"/>
    <w:rsid w:val="002C6D87"/>
    <w:rsid w:val="002C76DC"/>
    <w:rsid w:val="002D0E7F"/>
    <w:rsid w:val="002D62BC"/>
    <w:rsid w:val="002E2C77"/>
    <w:rsid w:val="002E3096"/>
    <w:rsid w:val="002E3795"/>
    <w:rsid w:val="002F140A"/>
    <w:rsid w:val="002F1B39"/>
    <w:rsid w:val="002F2602"/>
    <w:rsid w:val="003001CB"/>
    <w:rsid w:val="003005FB"/>
    <w:rsid w:val="003050BF"/>
    <w:rsid w:val="003100CE"/>
    <w:rsid w:val="003104F9"/>
    <w:rsid w:val="0031217A"/>
    <w:rsid w:val="003133B4"/>
    <w:rsid w:val="00315528"/>
    <w:rsid w:val="0031577E"/>
    <w:rsid w:val="00315CA9"/>
    <w:rsid w:val="00316257"/>
    <w:rsid w:val="0031747F"/>
    <w:rsid w:val="00321E46"/>
    <w:rsid w:val="0032386D"/>
    <w:rsid w:val="00324293"/>
    <w:rsid w:val="003252C5"/>
    <w:rsid w:val="003260E1"/>
    <w:rsid w:val="00326D94"/>
    <w:rsid w:val="003273D5"/>
    <w:rsid w:val="00330554"/>
    <w:rsid w:val="003313E7"/>
    <w:rsid w:val="00332504"/>
    <w:rsid w:val="00333532"/>
    <w:rsid w:val="00334D2C"/>
    <w:rsid w:val="00335CC7"/>
    <w:rsid w:val="00335E2B"/>
    <w:rsid w:val="00344010"/>
    <w:rsid w:val="00344760"/>
    <w:rsid w:val="00350F26"/>
    <w:rsid w:val="00352CC4"/>
    <w:rsid w:val="00360F0D"/>
    <w:rsid w:val="00362B14"/>
    <w:rsid w:val="00365626"/>
    <w:rsid w:val="003656B7"/>
    <w:rsid w:val="00365EE8"/>
    <w:rsid w:val="00366088"/>
    <w:rsid w:val="00366E50"/>
    <w:rsid w:val="00367162"/>
    <w:rsid w:val="00367A6F"/>
    <w:rsid w:val="003727D2"/>
    <w:rsid w:val="003744B9"/>
    <w:rsid w:val="003757B1"/>
    <w:rsid w:val="00375C6F"/>
    <w:rsid w:val="00375E1F"/>
    <w:rsid w:val="00376409"/>
    <w:rsid w:val="00381538"/>
    <w:rsid w:val="003815A8"/>
    <w:rsid w:val="00385CE7"/>
    <w:rsid w:val="00386C57"/>
    <w:rsid w:val="003879E5"/>
    <w:rsid w:val="003A0E05"/>
    <w:rsid w:val="003A1B73"/>
    <w:rsid w:val="003A3BAF"/>
    <w:rsid w:val="003A4BBA"/>
    <w:rsid w:val="003A4D6D"/>
    <w:rsid w:val="003B22A4"/>
    <w:rsid w:val="003B6947"/>
    <w:rsid w:val="003C02FC"/>
    <w:rsid w:val="003C0885"/>
    <w:rsid w:val="003D080C"/>
    <w:rsid w:val="003D10A6"/>
    <w:rsid w:val="003D2FDC"/>
    <w:rsid w:val="003D3B7F"/>
    <w:rsid w:val="003E1041"/>
    <w:rsid w:val="003E1505"/>
    <w:rsid w:val="003E22F6"/>
    <w:rsid w:val="003E588D"/>
    <w:rsid w:val="003F027F"/>
    <w:rsid w:val="003F3584"/>
    <w:rsid w:val="003F415F"/>
    <w:rsid w:val="003F6346"/>
    <w:rsid w:val="003F67F7"/>
    <w:rsid w:val="003F6F9C"/>
    <w:rsid w:val="00400F26"/>
    <w:rsid w:val="0040169C"/>
    <w:rsid w:val="00403873"/>
    <w:rsid w:val="004038E1"/>
    <w:rsid w:val="00404B16"/>
    <w:rsid w:val="00404D7A"/>
    <w:rsid w:val="00405630"/>
    <w:rsid w:val="00406499"/>
    <w:rsid w:val="004078C1"/>
    <w:rsid w:val="00413B02"/>
    <w:rsid w:val="00415328"/>
    <w:rsid w:val="00417789"/>
    <w:rsid w:val="004200EE"/>
    <w:rsid w:val="00425D8C"/>
    <w:rsid w:val="0043004E"/>
    <w:rsid w:val="00433890"/>
    <w:rsid w:val="00434656"/>
    <w:rsid w:val="00434C95"/>
    <w:rsid w:val="00436AB5"/>
    <w:rsid w:val="00440BAE"/>
    <w:rsid w:val="00440D5F"/>
    <w:rsid w:val="0044109A"/>
    <w:rsid w:val="00442104"/>
    <w:rsid w:val="0044374D"/>
    <w:rsid w:val="00444186"/>
    <w:rsid w:val="004444BD"/>
    <w:rsid w:val="004461BE"/>
    <w:rsid w:val="00447570"/>
    <w:rsid w:val="004513A2"/>
    <w:rsid w:val="0045241A"/>
    <w:rsid w:val="00456566"/>
    <w:rsid w:val="004625C9"/>
    <w:rsid w:val="00463E9D"/>
    <w:rsid w:val="0046643C"/>
    <w:rsid w:val="00467C0D"/>
    <w:rsid w:val="0047579C"/>
    <w:rsid w:val="00476181"/>
    <w:rsid w:val="0048085C"/>
    <w:rsid w:val="00480BD8"/>
    <w:rsid w:val="00480FFA"/>
    <w:rsid w:val="004828EE"/>
    <w:rsid w:val="00485C0A"/>
    <w:rsid w:val="00485C8A"/>
    <w:rsid w:val="004870A1"/>
    <w:rsid w:val="00493BC1"/>
    <w:rsid w:val="00495530"/>
    <w:rsid w:val="004A0BE0"/>
    <w:rsid w:val="004A1B55"/>
    <w:rsid w:val="004A1C58"/>
    <w:rsid w:val="004A1F2A"/>
    <w:rsid w:val="004A4AE7"/>
    <w:rsid w:val="004A6FF5"/>
    <w:rsid w:val="004A7DD2"/>
    <w:rsid w:val="004B3BB7"/>
    <w:rsid w:val="004B6132"/>
    <w:rsid w:val="004C0763"/>
    <w:rsid w:val="004C13EE"/>
    <w:rsid w:val="004C170E"/>
    <w:rsid w:val="004C3844"/>
    <w:rsid w:val="004C5A3C"/>
    <w:rsid w:val="004D0689"/>
    <w:rsid w:val="004D67CF"/>
    <w:rsid w:val="004E19C7"/>
    <w:rsid w:val="004E32BD"/>
    <w:rsid w:val="004E4D23"/>
    <w:rsid w:val="004E5448"/>
    <w:rsid w:val="004E729D"/>
    <w:rsid w:val="004F05A4"/>
    <w:rsid w:val="004F5B91"/>
    <w:rsid w:val="004F6EB5"/>
    <w:rsid w:val="00500B51"/>
    <w:rsid w:val="00500E63"/>
    <w:rsid w:val="00502160"/>
    <w:rsid w:val="005021D3"/>
    <w:rsid w:val="00502AC6"/>
    <w:rsid w:val="00504CD1"/>
    <w:rsid w:val="0050506B"/>
    <w:rsid w:val="0051189D"/>
    <w:rsid w:val="00521AE9"/>
    <w:rsid w:val="0052681B"/>
    <w:rsid w:val="005271AD"/>
    <w:rsid w:val="00530BD0"/>
    <w:rsid w:val="005320FE"/>
    <w:rsid w:val="0053355E"/>
    <w:rsid w:val="00535A99"/>
    <w:rsid w:val="00540274"/>
    <w:rsid w:val="0054105D"/>
    <w:rsid w:val="005413BD"/>
    <w:rsid w:val="00542DAD"/>
    <w:rsid w:val="0054361F"/>
    <w:rsid w:val="00544610"/>
    <w:rsid w:val="005510A1"/>
    <w:rsid w:val="00552650"/>
    <w:rsid w:val="0055298A"/>
    <w:rsid w:val="005618B8"/>
    <w:rsid w:val="00562D14"/>
    <w:rsid w:val="005632F6"/>
    <w:rsid w:val="0056349B"/>
    <w:rsid w:val="00563830"/>
    <w:rsid w:val="00564167"/>
    <w:rsid w:val="005641F4"/>
    <w:rsid w:val="00564FF7"/>
    <w:rsid w:val="00571E79"/>
    <w:rsid w:val="0057287B"/>
    <w:rsid w:val="005762DF"/>
    <w:rsid w:val="00576724"/>
    <w:rsid w:val="00577FB1"/>
    <w:rsid w:val="00582069"/>
    <w:rsid w:val="00582225"/>
    <w:rsid w:val="00583C5E"/>
    <w:rsid w:val="00584308"/>
    <w:rsid w:val="00584C65"/>
    <w:rsid w:val="005874F6"/>
    <w:rsid w:val="005908D7"/>
    <w:rsid w:val="00594D10"/>
    <w:rsid w:val="005A30B3"/>
    <w:rsid w:val="005A5BDD"/>
    <w:rsid w:val="005B0246"/>
    <w:rsid w:val="005B17F9"/>
    <w:rsid w:val="005B1868"/>
    <w:rsid w:val="005B4DB6"/>
    <w:rsid w:val="005B7FC6"/>
    <w:rsid w:val="005C1163"/>
    <w:rsid w:val="005C37BE"/>
    <w:rsid w:val="005C6359"/>
    <w:rsid w:val="005D2F5A"/>
    <w:rsid w:val="005D5AFE"/>
    <w:rsid w:val="005D697F"/>
    <w:rsid w:val="005D6CB5"/>
    <w:rsid w:val="005D76BC"/>
    <w:rsid w:val="005E0407"/>
    <w:rsid w:val="005E167C"/>
    <w:rsid w:val="005E214D"/>
    <w:rsid w:val="005E2838"/>
    <w:rsid w:val="005E3502"/>
    <w:rsid w:val="005E41AC"/>
    <w:rsid w:val="005E60F1"/>
    <w:rsid w:val="005E629C"/>
    <w:rsid w:val="005F27CB"/>
    <w:rsid w:val="005F2850"/>
    <w:rsid w:val="005F4D63"/>
    <w:rsid w:val="005F7A9D"/>
    <w:rsid w:val="00600230"/>
    <w:rsid w:val="006006D7"/>
    <w:rsid w:val="00603514"/>
    <w:rsid w:val="006037BF"/>
    <w:rsid w:val="006048AB"/>
    <w:rsid w:val="0060504F"/>
    <w:rsid w:val="00611926"/>
    <w:rsid w:val="0061262A"/>
    <w:rsid w:val="006164DE"/>
    <w:rsid w:val="0061655B"/>
    <w:rsid w:val="00617A48"/>
    <w:rsid w:val="00617EB4"/>
    <w:rsid w:val="006209B4"/>
    <w:rsid w:val="0062178C"/>
    <w:rsid w:val="006229B7"/>
    <w:rsid w:val="00622C27"/>
    <w:rsid w:val="006243EE"/>
    <w:rsid w:val="0062444F"/>
    <w:rsid w:val="00625459"/>
    <w:rsid w:val="00625550"/>
    <w:rsid w:val="006327F4"/>
    <w:rsid w:val="00633FE5"/>
    <w:rsid w:val="00634F79"/>
    <w:rsid w:val="0063553A"/>
    <w:rsid w:val="00635DD9"/>
    <w:rsid w:val="00636482"/>
    <w:rsid w:val="0064257B"/>
    <w:rsid w:val="00644C3A"/>
    <w:rsid w:val="006458AC"/>
    <w:rsid w:val="00647046"/>
    <w:rsid w:val="00651DEF"/>
    <w:rsid w:val="00652F1A"/>
    <w:rsid w:val="00656B86"/>
    <w:rsid w:val="00660A88"/>
    <w:rsid w:val="00662E07"/>
    <w:rsid w:val="0066302A"/>
    <w:rsid w:val="00667F03"/>
    <w:rsid w:val="00672F4E"/>
    <w:rsid w:val="006738B0"/>
    <w:rsid w:val="00677055"/>
    <w:rsid w:val="00677669"/>
    <w:rsid w:val="00682467"/>
    <w:rsid w:val="00683C76"/>
    <w:rsid w:val="00684CE9"/>
    <w:rsid w:val="00690A80"/>
    <w:rsid w:val="006960D4"/>
    <w:rsid w:val="006A2D4C"/>
    <w:rsid w:val="006A55E5"/>
    <w:rsid w:val="006A55FB"/>
    <w:rsid w:val="006A61CF"/>
    <w:rsid w:val="006B004F"/>
    <w:rsid w:val="006B0C77"/>
    <w:rsid w:val="006B0FC6"/>
    <w:rsid w:val="006B3B80"/>
    <w:rsid w:val="006B3EE2"/>
    <w:rsid w:val="006B48C5"/>
    <w:rsid w:val="006B6CDC"/>
    <w:rsid w:val="006B6DF4"/>
    <w:rsid w:val="006B6FA6"/>
    <w:rsid w:val="006B7A72"/>
    <w:rsid w:val="006C0684"/>
    <w:rsid w:val="006D4142"/>
    <w:rsid w:val="006E152F"/>
    <w:rsid w:val="006E15B1"/>
    <w:rsid w:val="006E1D72"/>
    <w:rsid w:val="006E2301"/>
    <w:rsid w:val="006E50A5"/>
    <w:rsid w:val="006E529E"/>
    <w:rsid w:val="006F5D19"/>
    <w:rsid w:val="00700A4C"/>
    <w:rsid w:val="007035AB"/>
    <w:rsid w:val="00703975"/>
    <w:rsid w:val="00705815"/>
    <w:rsid w:val="00705FDE"/>
    <w:rsid w:val="007073FF"/>
    <w:rsid w:val="00710023"/>
    <w:rsid w:val="007107CE"/>
    <w:rsid w:val="00710CA5"/>
    <w:rsid w:val="00711A52"/>
    <w:rsid w:val="00712E42"/>
    <w:rsid w:val="00713261"/>
    <w:rsid w:val="00713AEB"/>
    <w:rsid w:val="00715A68"/>
    <w:rsid w:val="0071704A"/>
    <w:rsid w:val="00722B44"/>
    <w:rsid w:val="00726262"/>
    <w:rsid w:val="0073024E"/>
    <w:rsid w:val="0073025E"/>
    <w:rsid w:val="007308FD"/>
    <w:rsid w:val="00730D15"/>
    <w:rsid w:val="007310E4"/>
    <w:rsid w:val="007311D2"/>
    <w:rsid w:val="00733DD2"/>
    <w:rsid w:val="00735325"/>
    <w:rsid w:val="007406E9"/>
    <w:rsid w:val="00742864"/>
    <w:rsid w:val="0074398C"/>
    <w:rsid w:val="00744A69"/>
    <w:rsid w:val="00761A49"/>
    <w:rsid w:val="00761E29"/>
    <w:rsid w:val="00765C70"/>
    <w:rsid w:val="007669E1"/>
    <w:rsid w:val="00770D51"/>
    <w:rsid w:val="00771B1B"/>
    <w:rsid w:val="00775148"/>
    <w:rsid w:val="0077668C"/>
    <w:rsid w:val="00784D70"/>
    <w:rsid w:val="00784F29"/>
    <w:rsid w:val="00785783"/>
    <w:rsid w:val="00787602"/>
    <w:rsid w:val="00787EC2"/>
    <w:rsid w:val="00792D23"/>
    <w:rsid w:val="007964D6"/>
    <w:rsid w:val="00796DE9"/>
    <w:rsid w:val="007A1831"/>
    <w:rsid w:val="007A5FD8"/>
    <w:rsid w:val="007A65AA"/>
    <w:rsid w:val="007B1C40"/>
    <w:rsid w:val="007B2765"/>
    <w:rsid w:val="007C13CC"/>
    <w:rsid w:val="007C1745"/>
    <w:rsid w:val="007C1A50"/>
    <w:rsid w:val="007C1BBF"/>
    <w:rsid w:val="007C2659"/>
    <w:rsid w:val="007C30F3"/>
    <w:rsid w:val="007C426A"/>
    <w:rsid w:val="007C6442"/>
    <w:rsid w:val="007C681D"/>
    <w:rsid w:val="007D12FC"/>
    <w:rsid w:val="007D2032"/>
    <w:rsid w:val="007E54FB"/>
    <w:rsid w:val="007E746A"/>
    <w:rsid w:val="007F0CDD"/>
    <w:rsid w:val="007F22C8"/>
    <w:rsid w:val="007F44C9"/>
    <w:rsid w:val="007F5FA4"/>
    <w:rsid w:val="00800C41"/>
    <w:rsid w:val="00801ED7"/>
    <w:rsid w:val="00802408"/>
    <w:rsid w:val="00806D91"/>
    <w:rsid w:val="00815AD7"/>
    <w:rsid w:val="00820D4F"/>
    <w:rsid w:val="00822299"/>
    <w:rsid w:val="00823507"/>
    <w:rsid w:val="008254D7"/>
    <w:rsid w:val="0083090C"/>
    <w:rsid w:val="00830C21"/>
    <w:rsid w:val="008331E8"/>
    <w:rsid w:val="0083367D"/>
    <w:rsid w:val="0083439F"/>
    <w:rsid w:val="00835ABA"/>
    <w:rsid w:val="00841F2A"/>
    <w:rsid w:val="0084391D"/>
    <w:rsid w:val="00844327"/>
    <w:rsid w:val="008471EC"/>
    <w:rsid w:val="008504EB"/>
    <w:rsid w:val="00850F6E"/>
    <w:rsid w:val="00852FE9"/>
    <w:rsid w:val="0086245E"/>
    <w:rsid w:val="00862F69"/>
    <w:rsid w:val="00863039"/>
    <w:rsid w:val="0086732D"/>
    <w:rsid w:val="00867A6A"/>
    <w:rsid w:val="00867C2A"/>
    <w:rsid w:val="00872D0B"/>
    <w:rsid w:val="0087442D"/>
    <w:rsid w:val="00874784"/>
    <w:rsid w:val="00875D2E"/>
    <w:rsid w:val="00881314"/>
    <w:rsid w:val="0088389B"/>
    <w:rsid w:val="00883E68"/>
    <w:rsid w:val="008847B6"/>
    <w:rsid w:val="0088700E"/>
    <w:rsid w:val="00887489"/>
    <w:rsid w:val="00887BD3"/>
    <w:rsid w:val="00890DCA"/>
    <w:rsid w:val="00892BCC"/>
    <w:rsid w:val="008934E8"/>
    <w:rsid w:val="008935F4"/>
    <w:rsid w:val="00894E15"/>
    <w:rsid w:val="00896F22"/>
    <w:rsid w:val="008A31F4"/>
    <w:rsid w:val="008A5238"/>
    <w:rsid w:val="008A6C1A"/>
    <w:rsid w:val="008B078A"/>
    <w:rsid w:val="008B0AAC"/>
    <w:rsid w:val="008B1462"/>
    <w:rsid w:val="008B238C"/>
    <w:rsid w:val="008B3CE1"/>
    <w:rsid w:val="008C7B55"/>
    <w:rsid w:val="008D2B05"/>
    <w:rsid w:val="008D4B3B"/>
    <w:rsid w:val="008D54C0"/>
    <w:rsid w:val="008D554E"/>
    <w:rsid w:val="008D59F1"/>
    <w:rsid w:val="008D7DB1"/>
    <w:rsid w:val="008E0EE5"/>
    <w:rsid w:val="008E193B"/>
    <w:rsid w:val="008E1A5C"/>
    <w:rsid w:val="008E234D"/>
    <w:rsid w:val="008E5F17"/>
    <w:rsid w:val="008F10A4"/>
    <w:rsid w:val="008F4AC0"/>
    <w:rsid w:val="00900DA6"/>
    <w:rsid w:val="0090111D"/>
    <w:rsid w:val="009057C2"/>
    <w:rsid w:val="00905B7A"/>
    <w:rsid w:val="00905FA1"/>
    <w:rsid w:val="00906519"/>
    <w:rsid w:val="0091030A"/>
    <w:rsid w:val="009103F9"/>
    <w:rsid w:val="00911F60"/>
    <w:rsid w:val="009122B0"/>
    <w:rsid w:val="00915C33"/>
    <w:rsid w:val="0092118E"/>
    <w:rsid w:val="00921BEA"/>
    <w:rsid w:val="00922931"/>
    <w:rsid w:val="0092735F"/>
    <w:rsid w:val="00932122"/>
    <w:rsid w:val="00932B74"/>
    <w:rsid w:val="00947A63"/>
    <w:rsid w:val="00950ACC"/>
    <w:rsid w:val="00950FF0"/>
    <w:rsid w:val="00952AAC"/>
    <w:rsid w:val="00952FB2"/>
    <w:rsid w:val="00960BE2"/>
    <w:rsid w:val="0096106F"/>
    <w:rsid w:val="009627F4"/>
    <w:rsid w:val="009656E0"/>
    <w:rsid w:val="009701C3"/>
    <w:rsid w:val="0097030D"/>
    <w:rsid w:val="00972442"/>
    <w:rsid w:val="00972A4B"/>
    <w:rsid w:val="009735E2"/>
    <w:rsid w:val="0097434E"/>
    <w:rsid w:val="00975B61"/>
    <w:rsid w:val="00976030"/>
    <w:rsid w:val="00976D6E"/>
    <w:rsid w:val="009822A1"/>
    <w:rsid w:val="00982C33"/>
    <w:rsid w:val="00990508"/>
    <w:rsid w:val="00990A09"/>
    <w:rsid w:val="0099323E"/>
    <w:rsid w:val="00993E78"/>
    <w:rsid w:val="00994339"/>
    <w:rsid w:val="009A13D4"/>
    <w:rsid w:val="009A3C8D"/>
    <w:rsid w:val="009A6B5A"/>
    <w:rsid w:val="009A7A8E"/>
    <w:rsid w:val="009B3449"/>
    <w:rsid w:val="009B4A95"/>
    <w:rsid w:val="009B5C65"/>
    <w:rsid w:val="009C13EA"/>
    <w:rsid w:val="009C27F3"/>
    <w:rsid w:val="009C2B4B"/>
    <w:rsid w:val="009C4161"/>
    <w:rsid w:val="009D19EC"/>
    <w:rsid w:val="009D2036"/>
    <w:rsid w:val="009D2874"/>
    <w:rsid w:val="009D2CDD"/>
    <w:rsid w:val="009E22B5"/>
    <w:rsid w:val="009E2921"/>
    <w:rsid w:val="009E312D"/>
    <w:rsid w:val="009E3D34"/>
    <w:rsid w:val="009E6AC8"/>
    <w:rsid w:val="009E6DDE"/>
    <w:rsid w:val="009E7011"/>
    <w:rsid w:val="009E7417"/>
    <w:rsid w:val="009F09D3"/>
    <w:rsid w:val="009F1FE8"/>
    <w:rsid w:val="009F3345"/>
    <w:rsid w:val="009F63F2"/>
    <w:rsid w:val="009F6832"/>
    <w:rsid w:val="00A03BB7"/>
    <w:rsid w:val="00A05A12"/>
    <w:rsid w:val="00A06E23"/>
    <w:rsid w:val="00A121E6"/>
    <w:rsid w:val="00A127DD"/>
    <w:rsid w:val="00A12D4D"/>
    <w:rsid w:val="00A14C37"/>
    <w:rsid w:val="00A153C6"/>
    <w:rsid w:val="00A21914"/>
    <w:rsid w:val="00A2240F"/>
    <w:rsid w:val="00A226EF"/>
    <w:rsid w:val="00A26434"/>
    <w:rsid w:val="00A30D36"/>
    <w:rsid w:val="00A30F52"/>
    <w:rsid w:val="00A316E5"/>
    <w:rsid w:val="00A3271D"/>
    <w:rsid w:val="00A33DC0"/>
    <w:rsid w:val="00A33E47"/>
    <w:rsid w:val="00A34EE4"/>
    <w:rsid w:val="00A34F90"/>
    <w:rsid w:val="00A375E8"/>
    <w:rsid w:val="00A37AF5"/>
    <w:rsid w:val="00A37D91"/>
    <w:rsid w:val="00A40189"/>
    <w:rsid w:val="00A40297"/>
    <w:rsid w:val="00A44117"/>
    <w:rsid w:val="00A44EF3"/>
    <w:rsid w:val="00A44EFD"/>
    <w:rsid w:val="00A45E25"/>
    <w:rsid w:val="00A460EC"/>
    <w:rsid w:val="00A47ECC"/>
    <w:rsid w:val="00A503B7"/>
    <w:rsid w:val="00A51778"/>
    <w:rsid w:val="00A527AF"/>
    <w:rsid w:val="00A62578"/>
    <w:rsid w:val="00A63000"/>
    <w:rsid w:val="00A632E0"/>
    <w:rsid w:val="00A63998"/>
    <w:rsid w:val="00A63ABB"/>
    <w:rsid w:val="00A73195"/>
    <w:rsid w:val="00A750F3"/>
    <w:rsid w:val="00A76482"/>
    <w:rsid w:val="00A76B21"/>
    <w:rsid w:val="00A80E34"/>
    <w:rsid w:val="00A81302"/>
    <w:rsid w:val="00A82248"/>
    <w:rsid w:val="00A8333B"/>
    <w:rsid w:val="00A84B5E"/>
    <w:rsid w:val="00A85BCC"/>
    <w:rsid w:val="00A94C52"/>
    <w:rsid w:val="00A959D3"/>
    <w:rsid w:val="00A96EE2"/>
    <w:rsid w:val="00AA1417"/>
    <w:rsid w:val="00AA3876"/>
    <w:rsid w:val="00AA72D1"/>
    <w:rsid w:val="00AA7699"/>
    <w:rsid w:val="00AC082C"/>
    <w:rsid w:val="00AC0D02"/>
    <w:rsid w:val="00AC5AE1"/>
    <w:rsid w:val="00AC5E3D"/>
    <w:rsid w:val="00AD2FC6"/>
    <w:rsid w:val="00AD3480"/>
    <w:rsid w:val="00AD3C48"/>
    <w:rsid w:val="00AD45CE"/>
    <w:rsid w:val="00AD466D"/>
    <w:rsid w:val="00AD580E"/>
    <w:rsid w:val="00AD6614"/>
    <w:rsid w:val="00AD732B"/>
    <w:rsid w:val="00AD7882"/>
    <w:rsid w:val="00AE0999"/>
    <w:rsid w:val="00AE338C"/>
    <w:rsid w:val="00AE797A"/>
    <w:rsid w:val="00AE7AF8"/>
    <w:rsid w:val="00AF368F"/>
    <w:rsid w:val="00AF392E"/>
    <w:rsid w:val="00AF3B54"/>
    <w:rsid w:val="00AF6C06"/>
    <w:rsid w:val="00AF6FEB"/>
    <w:rsid w:val="00B00211"/>
    <w:rsid w:val="00B03354"/>
    <w:rsid w:val="00B03793"/>
    <w:rsid w:val="00B052DD"/>
    <w:rsid w:val="00B05680"/>
    <w:rsid w:val="00B05DD4"/>
    <w:rsid w:val="00B07534"/>
    <w:rsid w:val="00B11E8B"/>
    <w:rsid w:val="00B13C47"/>
    <w:rsid w:val="00B15404"/>
    <w:rsid w:val="00B20270"/>
    <w:rsid w:val="00B2265D"/>
    <w:rsid w:val="00B23877"/>
    <w:rsid w:val="00B25845"/>
    <w:rsid w:val="00B305BB"/>
    <w:rsid w:val="00B3324C"/>
    <w:rsid w:val="00B34060"/>
    <w:rsid w:val="00B360E5"/>
    <w:rsid w:val="00B3658C"/>
    <w:rsid w:val="00B36972"/>
    <w:rsid w:val="00B37CED"/>
    <w:rsid w:val="00B41903"/>
    <w:rsid w:val="00B45D89"/>
    <w:rsid w:val="00B47502"/>
    <w:rsid w:val="00B509BB"/>
    <w:rsid w:val="00B52B15"/>
    <w:rsid w:val="00B56AC1"/>
    <w:rsid w:val="00B57017"/>
    <w:rsid w:val="00B57177"/>
    <w:rsid w:val="00B602ED"/>
    <w:rsid w:val="00B63240"/>
    <w:rsid w:val="00B636AE"/>
    <w:rsid w:val="00B72F59"/>
    <w:rsid w:val="00B76365"/>
    <w:rsid w:val="00B7738E"/>
    <w:rsid w:val="00B82E90"/>
    <w:rsid w:val="00B838F1"/>
    <w:rsid w:val="00B83DD3"/>
    <w:rsid w:val="00B849F9"/>
    <w:rsid w:val="00B85465"/>
    <w:rsid w:val="00B87C3B"/>
    <w:rsid w:val="00B87F36"/>
    <w:rsid w:val="00B95879"/>
    <w:rsid w:val="00BA3DF0"/>
    <w:rsid w:val="00BA6B94"/>
    <w:rsid w:val="00BA70BA"/>
    <w:rsid w:val="00BA79D2"/>
    <w:rsid w:val="00BB0037"/>
    <w:rsid w:val="00BB13FF"/>
    <w:rsid w:val="00BB1659"/>
    <w:rsid w:val="00BB483A"/>
    <w:rsid w:val="00BB4AB5"/>
    <w:rsid w:val="00BB4D46"/>
    <w:rsid w:val="00BB5D01"/>
    <w:rsid w:val="00BB62C0"/>
    <w:rsid w:val="00BB7A2A"/>
    <w:rsid w:val="00BB7FC8"/>
    <w:rsid w:val="00BC2810"/>
    <w:rsid w:val="00BC3CC1"/>
    <w:rsid w:val="00BC5711"/>
    <w:rsid w:val="00BC785E"/>
    <w:rsid w:val="00BC79AB"/>
    <w:rsid w:val="00BD17DD"/>
    <w:rsid w:val="00BD199D"/>
    <w:rsid w:val="00BD2841"/>
    <w:rsid w:val="00BD3592"/>
    <w:rsid w:val="00BD4D00"/>
    <w:rsid w:val="00BD5714"/>
    <w:rsid w:val="00BD5A0D"/>
    <w:rsid w:val="00BE187F"/>
    <w:rsid w:val="00BE1A83"/>
    <w:rsid w:val="00BE36FB"/>
    <w:rsid w:val="00BE5871"/>
    <w:rsid w:val="00BE64FA"/>
    <w:rsid w:val="00BF014D"/>
    <w:rsid w:val="00BF19B2"/>
    <w:rsid w:val="00BF37F7"/>
    <w:rsid w:val="00BF404F"/>
    <w:rsid w:val="00BF622B"/>
    <w:rsid w:val="00BF64E4"/>
    <w:rsid w:val="00BF64F2"/>
    <w:rsid w:val="00BF688A"/>
    <w:rsid w:val="00BF78D7"/>
    <w:rsid w:val="00BF7BA7"/>
    <w:rsid w:val="00C07ED3"/>
    <w:rsid w:val="00C108F0"/>
    <w:rsid w:val="00C1365A"/>
    <w:rsid w:val="00C14E99"/>
    <w:rsid w:val="00C177B5"/>
    <w:rsid w:val="00C3088A"/>
    <w:rsid w:val="00C33DDC"/>
    <w:rsid w:val="00C34A9E"/>
    <w:rsid w:val="00C35BAF"/>
    <w:rsid w:val="00C41916"/>
    <w:rsid w:val="00C42404"/>
    <w:rsid w:val="00C42C2E"/>
    <w:rsid w:val="00C44185"/>
    <w:rsid w:val="00C4566C"/>
    <w:rsid w:val="00C504D3"/>
    <w:rsid w:val="00C6278F"/>
    <w:rsid w:val="00C63C90"/>
    <w:rsid w:val="00C64DBF"/>
    <w:rsid w:val="00C64F3F"/>
    <w:rsid w:val="00C71FFC"/>
    <w:rsid w:val="00C76D41"/>
    <w:rsid w:val="00C77639"/>
    <w:rsid w:val="00C8666B"/>
    <w:rsid w:val="00C90748"/>
    <w:rsid w:val="00C9298C"/>
    <w:rsid w:val="00C94CD0"/>
    <w:rsid w:val="00C96073"/>
    <w:rsid w:val="00CA19DF"/>
    <w:rsid w:val="00CA37DA"/>
    <w:rsid w:val="00CA488C"/>
    <w:rsid w:val="00CA5D6E"/>
    <w:rsid w:val="00CA76AC"/>
    <w:rsid w:val="00CB7493"/>
    <w:rsid w:val="00CB7D8D"/>
    <w:rsid w:val="00CC01F5"/>
    <w:rsid w:val="00CC18E7"/>
    <w:rsid w:val="00CC1970"/>
    <w:rsid w:val="00CD121B"/>
    <w:rsid w:val="00CD1D6F"/>
    <w:rsid w:val="00CD28F5"/>
    <w:rsid w:val="00CD429A"/>
    <w:rsid w:val="00CD6CF6"/>
    <w:rsid w:val="00CD7427"/>
    <w:rsid w:val="00CE0773"/>
    <w:rsid w:val="00CE0799"/>
    <w:rsid w:val="00CE2F1E"/>
    <w:rsid w:val="00CF0EBF"/>
    <w:rsid w:val="00CF134C"/>
    <w:rsid w:val="00CF5097"/>
    <w:rsid w:val="00CF59C5"/>
    <w:rsid w:val="00CF7856"/>
    <w:rsid w:val="00CF7875"/>
    <w:rsid w:val="00D0516F"/>
    <w:rsid w:val="00D07B26"/>
    <w:rsid w:val="00D106BF"/>
    <w:rsid w:val="00D114D2"/>
    <w:rsid w:val="00D13C4F"/>
    <w:rsid w:val="00D14EF4"/>
    <w:rsid w:val="00D16166"/>
    <w:rsid w:val="00D1702C"/>
    <w:rsid w:val="00D2351F"/>
    <w:rsid w:val="00D24A30"/>
    <w:rsid w:val="00D2628D"/>
    <w:rsid w:val="00D26996"/>
    <w:rsid w:val="00D32E81"/>
    <w:rsid w:val="00D3493E"/>
    <w:rsid w:val="00D40CC6"/>
    <w:rsid w:val="00D47674"/>
    <w:rsid w:val="00D50EE7"/>
    <w:rsid w:val="00D521BE"/>
    <w:rsid w:val="00D53DBB"/>
    <w:rsid w:val="00D55AD3"/>
    <w:rsid w:val="00D563EB"/>
    <w:rsid w:val="00D57D5F"/>
    <w:rsid w:val="00D622E8"/>
    <w:rsid w:val="00D63A2C"/>
    <w:rsid w:val="00D64F09"/>
    <w:rsid w:val="00D6534A"/>
    <w:rsid w:val="00D743EA"/>
    <w:rsid w:val="00D75A70"/>
    <w:rsid w:val="00D7700E"/>
    <w:rsid w:val="00D811A8"/>
    <w:rsid w:val="00D838FC"/>
    <w:rsid w:val="00D83FAF"/>
    <w:rsid w:val="00D8720E"/>
    <w:rsid w:val="00D87789"/>
    <w:rsid w:val="00D87D75"/>
    <w:rsid w:val="00D91061"/>
    <w:rsid w:val="00D91386"/>
    <w:rsid w:val="00DA5647"/>
    <w:rsid w:val="00DA7745"/>
    <w:rsid w:val="00DB1B1A"/>
    <w:rsid w:val="00DB3592"/>
    <w:rsid w:val="00DB379A"/>
    <w:rsid w:val="00DB405B"/>
    <w:rsid w:val="00DB6D76"/>
    <w:rsid w:val="00DB6FE3"/>
    <w:rsid w:val="00DC0947"/>
    <w:rsid w:val="00DC28A8"/>
    <w:rsid w:val="00DC33C0"/>
    <w:rsid w:val="00DC47E9"/>
    <w:rsid w:val="00DC6E2A"/>
    <w:rsid w:val="00DC7A3E"/>
    <w:rsid w:val="00DD35EF"/>
    <w:rsid w:val="00DD4AC5"/>
    <w:rsid w:val="00DD612D"/>
    <w:rsid w:val="00DE00FC"/>
    <w:rsid w:val="00DE2720"/>
    <w:rsid w:val="00DE2CEC"/>
    <w:rsid w:val="00DE3C37"/>
    <w:rsid w:val="00DE4FF1"/>
    <w:rsid w:val="00DE5949"/>
    <w:rsid w:val="00DE76E9"/>
    <w:rsid w:val="00DF0E5C"/>
    <w:rsid w:val="00DF1864"/>
    <w:rsid w:val="00DF432F"/>
    <w:rsid w:val="00DF5075"/>
    <w:rsid w:val="00E02B87"/>
    <w:rsid w:val="00E04D2C"/>
    <w:rsid w:val="00E050DA"/>
    <w:rsid w:val="00E06B40"/>
    <w:rsid w:val="00E07A74"/>
    <w:rsid w:val="00E11545"/>
    <w:rsid w:val="00E117CB"/>
    <w:rsid w:val="00E1700A"/>
    <w:rsid w:val="00E173AA"/>
    <w:rsid w:val="00E21BB5"/>
    <w:rsid w:val="00E22ABE"/>
    <w:rsid w:val="00E30C2F"/>
    <w:rsid w:val="00E31020"/>
    <w:rsid w:val="00E31B90"/>
    <w:rsid w:val="00E324A4"/>
    <w:rsid w:val="00E328F6"/>
    <w:rsid w:val="00E32BBE"/>
    <w:rsid w:val="00E346E8"/>
    <w:rsid w:val="00E347E3"/>
    <w:rsid w:val="00E35B94"/>
    <w:rsid w:val="00E36A53"/>
    <w:rsid w:val="00E42DE9"/>
    <w:rsid w:val="00E4668C"/>
    <w:rsid w:val="00E50CEC"/>
    <w:rsid w:val="00E50EA1"/>
    <w:rsid w:val="00E511AA"/>
    <w:rsid w:val="00E51C67"/>
    <w:rsid w:val="00E61692"/>
    <w:rsid w:val="00E62CD3"/>
    <w:rsid w:val="00E633A9"/>
    <w:rsid w:val="00E6421B"/>
    <w:rsid w:val="00E64E74"/>
    <w:rsid w:val="00E650A3"/>
    <w:rsid w:val="00E66642"/>
    <w:rsid w:val="00E7246A"/>
    <w:rsid w:val="00E80451"/>
    <w:rsid w:val="00E82E5F"/>
    <w:rsid w:val="00E82EB5"/>
    <w:rsid w:val="00E83E7D"/>
    <w:rsid w:val="00E85C49"/>
    <w:rsid w:val="00E876ED"/>
    <w:rsid w:val="00E87A37"/>
    <w:rsid w:val="00E9020E"/>
    <w:rsid w:val="00E915E3"/>
    <w:rsid w:val="00E92124"/>
    <w:rsid w:val="00E938E4"/>
    <w:rsid w:val="00E95461"/>
    <w:rsid w:val="00EA0EB1"/>
    <w:rsid w:val="00EA32D8"/>
    <w:rsid w:val="00EA66E6"/>
    <w:rsid w:val="00EA7829"/>
    <w:rsid w:val="00EB09E1"/>
    <w:rsid w:val="00EB6754"/>
    <w:rsid w:val="00EC0225"/>
    <w:rsid w:val="00EC17C7"/>
    <w:rsid w:val="00EC78B9"/>
    <w:rsid w:val="00EC7DE1"/>
    <w:rsid w:val="00ED04AC"/>
    <w:rsid w:val="00ED0CDE"/>
    <w:rsid w:val="00ED1662"/>
    <w:rsid w:val="00ED4F67"/>
    <w:rsid w:val="00ED6B49"/>
    <w:rsid w:val="00EE1FB9"/>
    <w:rsid w:val="00EE287B"/>
    <w:rsid w:val="00EE2B43"/>
    <w:rsid w:val="00EE3048"/>
    <w:rsid w:val="00EE5932"/>
    <w:rsid w:val="00EF21D8"/>
    <w:rsid w:val="00EF2DF2"/>
    <w:rsid w:val="00EF7ADE"/>
    <w:rsid w:val="00F00C01"/>
    <w:rsid w:val="00F01FC0"/>
    <w:rsid w:val="00F02AC3"/>
    <w:rsid w:val="00F02D28"/>
    <w:rsid w:val="00F05D2A"/>
    <w:rsid w:val="00F12DBD"/>
    <w:rsid w:val="00F148B3"/>
    <w:rsid w:val="00F15617"/>
    <w:rsid w:val="00F25620"/>
    <w:rsid w:val="00F26797"/>
    <w:rsid w:val="00F26DA3"/>
    <w:rsid w:val="00F34A7B"/>
    <w:rsid w:val="00F356B1"/>
    <w:rsid w:val="00F37295"/>
    <w:rsid w:val="00F37F4C"/>
    <w:rsid w:val="00F404D4"/>
    <w:rsid w:val="00F41AFA"/>
    <w:rsid w:val="00F44EA6"/>
    <w:rsid w:val="00F469A7"/>
    <w:rsid w:val="00F51797"/>
    <w:rsid w:val="00F56947"/>
    <w:rsid w:val="00F638AA"/>
    <w:rsid w:val="00F64C8F"/>
    <w:rsid w:val="00F654A9"/>
    <w:rsid w:val="00F66349"/>
    <w:rsid w:val="00F667F6"/>
    <w:rsid w:val="00F66851"/>
    <w:rsid w:val="00F67A57"/>
    <w:rsid w:val="00F70604"/>
    <w:rsid w:val="00F74CCE"/>
    <w:rsid w:val="00F80BFC"/>
    <w:rsid w:val="00F81D0A"/>
    <w:rsid w:val="00F83190"/>
    <w:rsid w:val="00F83A44"/>
    <w:rsid w:val="00F86562"/>
    <w:rsid w:val="00F865FB"/>
    <w:rsid w:val="00F8775F"/>
    <w:rsid w:val="00F9008A"/>
    <w:rsid w:val="00F91654"/>
    <w:rsid w:val="00F9644A"/>
    <w:rsid w:val="00F966DA"/>
    <w:rsid w:val="00F96FA8"/>
    <w:rsid w:val="00FA3A6E"/>
    <w:rsid w:val="00FA5AC8"/>
    <w:rsid w:val="00FA6573"/>
    <w:rsid w:val="00FA703F"/>
    <w:rsid w:val="00FA7507"/>
    <w:rsid w:val="00FB0FB8"/>
    <w:rsid w:val="00FB4EB4"/>
    <w:rsid w:val="00FB72BF"/>
    <w:rsid w:val="00FB788A"/>
    <w:rsid w:val="00FB7C2F"/>
    <w:rsid w:val="00FC04C0"/>
    <w:rsid w:val="00FC07D3"/>
    <w:rsid w:val="00FC19B1"/>
    <w:rsid w:val="00FC38E5"/>
    <w:rsid w:val="00FC42DC"/>
    <w:rsid w:val="00FC45CB"/>
    <w:rsid w:val="00FC4894"/>
    <w:rsid w:val="00FC509C"/>
    <w:rsid w:val="00FC559F"/>
    <w:rsid w:val="00FC601A"/>
    <w:rsid w:val="00FD07E4"/>
    <w:rsid w:val="00FD34EF"/>
    <w:rsid w:val="00FD3AFD"/>
    <w:rsid w:val="00FD47AC"/>
    <w:rsid w:val="00FE322C"/>
    <w:rsid w:val="00FE44B0"/>
    <w:rsid w:val="00FE4C1F"/>
    <w:rsid w:val="00FE5C20"/>
    <w:rsid w:val="00FE605C"/>
    <w:rsid w:val="00FE7D5C"/>
    <w:rsid w:val="00FF0085"/>
    <w:rsid w:val="00FF0948"/>
    <w:rsid w:val="00FF1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42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BBA"/>
    <w:pPr>
      <w:spacing w:after="120" w:line="276" w:lineRule="auto"/>
      <w:jc w:val="both"/>
    </w:pPr>
    <w:rPr>
      <w:rFonts w:ascii="Cambria" w:hAnsi="Cambria"/>
    </w:rPr>
  </w:style>
  <w:style w:type="paragraph" w:styleId="Heading1">
    <w:name w:val="heading 1"/>
    <w:basedOn w:val="Normal"/>
    <w:next w:val="Normal"/>
    <w:link w:val="Heading1Char"/>
    <w:uiPriority w:val="9"/>
    <w:qFormat/>
    <w:rsid w:val="006B6C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Normal"/>
    <w:link w:val="Heading2Char"/>
    <w:autoRedefine/>
    <w:qFormat/>
    <w:rsid w:val="002B7AC5"/>
    <w:pPr>
      <w:numPr>
        <w:numId w:val="5"/>
      </w:numPr>
      <w:tabs>
        <w:tab w:val="left" w:pos="0"/>
      </w:tabs>
      <w:spacing w:before="480" w:after="120" w:line="240" w:lineRule="auto"/>
      <w:outlineLvl w:val="1"/>
    </w:pPr>
    <w:rPr>
      <w:rFonts w:ascii="Century Gothic" w:eastAsia="MS Mincho" w:hAnsi="Century Gothic" w:cs="Times New Roman"/>
      <w:b/>
      <w:caps/>
      <w:sz w:val="24"/>
      <w:szCs w:val="24"/>
      <w:lang w:eastAsia="ja-JP"/>
    </w:rPr>
  </w:style>
  <w:style w:type="paragraph" w:styleId="Heading3">
    <w:name w:val="heading 3"/>
    <w:basedOn w:val="Normal"/>
    <w:next w:val="Normal"/>
    <w:link w:val="Heading3Char"/>
    <w:autoRedefine/>
    <w:uiPriority w:val="9"/>
    <w:unhideWhenUsed/>
    <w:qFormat/>
    <w:rsid w:val="00E42DE9"/>
    <w:pPr>
      <w:keepNext/>
      <w:keepLines/>
      <w:numPr>
        <w:numId w:val="20"/>
      </w:numPr>
      <w:spacing w:before="240" w:line="240" w:lineRule="auto"/>
      <w:jc w:val="left"/>
      <w:outlineLvl w:val="2"/>
    </w:pPr>
    <w:rPr>
      <w:rFonts w:asciiTheme="minorHAnsi" w:eastAsia="Times New Roman" w:hAnsiTheme="minorHAnsi" w:cs="Times New Roman"/>
      <w:b/>
      <w:color w:val="000000" w:themeColor="text1"/>
      <w:sz w:val="24"/>
      <w:szCs w:val="24"/>
      <w:shd w:val="clear" w:color="auto" w:fill="FFFFFF"/>
    </w:rPr>
  </w:style>
  <w:style w:type="paragraph" w:styleId="Heading4">
    <w:name w:val="heading 4"/>
    <w:basedOn w:val="Normal"/>
    <w:next w:val="Normal"/>
    <w:link w:val="Heading4Char"/>
    <w:autoRedefine/>
    <w:uiPriority w:val="9"/>
    <w:unhideWhenUsed/>
    <w:qFormat/>
    <w:rsid w:val="005B1868"/>
    <w:pPr>
      <w:keepNext/>
      <w:keepLines/>
      <w:spacing w:before="240"/>
      <w:ind w:left="720" w:firstLine="720"/>
      <w:jc w:val="left"/>
      <w:outlineLvl w:val="3"/>
    </w:pPr>
    <w:rPr>
      <w:rFonts w:asciiTheme="majorHAnsi" w:eastAsiaTheme="majorEastAsia" w:hAnsiTheme="majorHAnsi" w:cstheme="majorBidi"/>
      <w:b/>
      <w:i/>
      <w:iCs/>
      <w:caps/>
      <w:color w:val="000000" w:themeColor="text1"/>
    </w:rPr>
  </w:style>
  <w:style w:type="paragraph" w:styleId="Heading5">
    <w:name w:val="heading 5"/>
    <w:basedOn w:val="Normal"/>
    <w:next w:val="Normal"/>
    <w:link w:val="Heading5Char"/>
    <w:uiPriority w:val="9"/>
    <w:unhideWhenUsed/>
    <w:qFormat/>
    <w:rsid w:val="00F667F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C17C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485C8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06A"/>
    <w:rPr>
      <w:color w:val="0563C1" w:themeColor="hyperlink"/>
      <w:u w:val="single"/>
    </w:rPr>
  </w:style>
  <w:style w:type="paragraph" w:styleId="Header">
    <w:name w:val="header"/>
    <w:basedOn w:val="Normal"/>
    <w:link w:val="HeaderChar"/>
    <w:unhideWhenUsed/>
    <w:rsid w:val="0025706A"/>
    <w:pPr>
      <w:tabs>
        <w:tab w:val="center" w:pos="4680"/>
        <w:tab w:val="right" w:pos="9360"/>
      </w:tabs>
      <w:spacing w:after="0" w:line="240" w:lineRule="auto"/>
    </w:pPr>
  </w:style>
  <w:style w:type="character" w:customStyle="1" w:styleId="HeaderChar">
    <w:name w:val="Header Char"/>
    <w:basedOn w:val="DefaultParagraphFont"/>
    <w:link w:val="Header"/>
    <w:rsid w:val="0025706A"/>
  </w:style>
  <w:style w:type="paragraph" w:styleId="Footer">
    <w:name w:val="footer"/>
    <w:basedOn w:val="Normal"/>
    <w:link w:val="FooterChar"/>
    <w:uiPriority w:val="99"/>
    <w:unhideWhenUsed/>
    <w:rsid w:val="00257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06A"/>
  </w:style>
  <w:style w:type="character" w:customStyle="1" w:styleId="Heading2Char">
    <w:name w:val="Heading 2 Char"/>
    <w:basedOn w:val="DefaultParagraphFont"/>
    <w:link w:val="Heading2"/>
    <w:rsid w:val="002B7AC5"/>
    <w:rPr>
      <w:rFonts w:ascii="Century Gothic" w:eastAsia="MS Mincho" w:hAnsi="Century Gothic" w:cs="Times New Roman"/>
      <w:b/>
      <w:caps/>
      <w:sz w:val="24"/>
      <w:szCs w:val="24"/>
      <w:lang w:eastAsia="ja-JP"/>
    </w:rPr>
  </w:style>
  <w:style w:type="paragraph" w:styleId="ListParagraph">
    <w:name w:val="List Paragraph"/>
    <w:basedOn w:val="Normal"/>
    <w:autoRedefine/>
    <w:uiPriority w:val="34"/>
    <w:qFormat/>
    <w:rsid w:val="00456566"/>
    <w:pPr>
      <w:numPr>
        <w:numId w:val="15"/>
      </w:numPr>
      <w:spacing w:after="0"/>
    </w:pPr>
  </w:style>
  <w:style w:type="character" w:customStyle="1" w:styleId="Heading1Char">
    <w:name w:val="Heading 1 Char"/>
    <w:basedOn w:val="DefaultParagraphFont"/>
    <w:link w:val="Heading1"/>
    <w:uiPriority w:val="9"/>
    <w:rsid w:val="006B6CDC"/>
    <w:rPr>
      <w:rFonts w:asciiTheme="majorHAnsi" w:eastAsiaTheme="majorEastAsia" w:hAnsiTheme="majorHAnsi" w:cstheme="majorBidi"/>
      <w:color w:val="2E74B5" w:themeColor="accent1" w:themeShade="BF"/>
      <w:sz w:val="32"/>
      <w:szCs w:val="32"/>
    </w:rPr>
  </w:style>
  <w:style w:type="paragraph" w:customStyle="1" w:styleId="NewHeading3">
    <w:name w:val="New Heading 3"/>
    <w:basedOn w:val="Normal"/>
    <w:link w:val="NewHeading3Char"/>
    <w:qFormat/>
    <w:rsid w:val="006B6CDC"/>
    <w:pPr>
      <w:keepNext/>
      <w:spacing w:before="240" w:line="240" w:lineRule="auto"/>
      <w:ind w:left="720"/>
    </w:pPr>
    <w:rPr>
      <w:rFonts w:ascii="Century Gothic" w:eastAsia="Times New Roman" w:hAnsi="Century Gothic" w:cs="Helvetica"/>
      <w:b/>
      <w:color w:val="333333"/>
      <w:szCs w:val="24"/>
    </w:rPr>
  </w:style>
  <w:style w:type="character" w:customStyle="1" w:styleId="NewHeading3Char">
    <w:name w:val="New Heading 3 Char"/>
    <w:basedOn w:val="DefaultParagraphFont"/>
    <w:link w:val="NewHeading3"/>
    <w:rsid w:val="006B6CDC"/>
    <w:rPr>
      <w:rFonts w:ascii="Century Gothic" w:eastAsia="Times New Roman" w:hAnsi="Century Gothic" w:cs="Helvetica"/>
      <w:b/>
      <w:color w:val="333333"/>
      <w:szCs w:val="24"/>
    </w:rPr>
  </w:style>
  <w:style w:type="paragraph" w:customStyle="1" w:styleId="Newbullettext">
    <w:name w:val="New bullet text"/>
    <w:basedOn w:val="Normal"/>
    <w:link w:val="NewbullettextChar"/>
    <w:qFormat/>
    <w:rsid w:val="00495530"/>
    <w:pPr>
      <w:numPr>
        <w:numId w:val="1"/>
      </w:numPr>
      <w:spacing w:after="60" w:line="240" w:lineRule="auto"/>
    </w:pPr>
    <w:rPr>
      <w:rFonts w:ascii="Garamond" w:eastAsia="MS Mincho" w:hAnsi="Garamond" w:cstheme="minorHAnsi"/>
      <w:szCs w:val="20"/>
      <w:lang w:eastAsia="ja-JP"/>
    </w:rPr>
  </w:style>
  <w:style w:type="character" w:customStyle="1" w:styleId="NewbullettextChar">
    <w:name w:val="New bullet text Char"/>
    <w:basedOn w:val="DefaultParagraphFont"/>
    <w:link w:val="Newbullettext"/>
    <w:rsid w:val="00495530"/>
    <w:rPr>
      <w:rFonts w:ascii="Garamond" w:eastAsia="MS Mincho" w:hAnsi="Garamond" w:cstheme="minorHAnsi"/>
      <w:szCs w:val="20"/>
      <w:lang w:eastAsia="ja-JP"/>
    </w:rPr>
  </w:style>
  <w:style w:type="character" w:customStyle="1" w:styleId="Heading3Char">
    <w:name w:val="Heading 3 Char"/>
    <w:basedOn w:val="DefaultParagraphFont"/>
    <w:link w:val="Heading3"/>
    <w:uiPriority w:val="9"/>
    <w:rsid w:val="00E42DE9"/>
    <w:rPr>
      <w:rFonts w:eastAsia="Times New Roman" w:cs="Times New Roman"/>
      <w:b/>
      <w:color w:val="000000" w:themeColor="text1"/>
      <w:sz w:val="24"/>
      <w:szCs w:val="24"/>
    </w:rPr>
  </w:style>
  <w:style w:type="paragraph" w:customStyle="1" w:styleId="Newbodytext">
    <w:name w:val="New body text"/>
    <w:basedOn w:val="Normal"/>
    <w:link w:val="NewbodytextChar"/>
    <w:rsid w:val="00A33DC0"/>
    <w:rPr>
      <w:rFonts w:ascii="Garamond" w:eastAsia="MS Mincho" w:hAnsi="Garamond" w:cstheme="minorHAnsi"/>
      <w:szCs w:val="20"/>
      <w:lang w:eastAsia="ja-JP"/>
    </w:rPr>
  </w:style>
  <w:style w:type="character" w:customStyle="1" w:styleId="NewbodytextChar">
    <w:name w:val="New body text Char"/>
    <w:basedOn w:val="DefaultParagraphFont"/>
    <w:link w:val="Newbodytext"/>
    <w:rsid w:val="00A33DC0"/>
    <w:rPr>
      <w:rFonts w:ascii="Garamond" w:eastAsia="MS Mincho" w:hAnsi="Garamond" w:cstheme="minorHAnsi"/>
      <w:szCs w:val="20"/>
      <w:lang w:eastAsia="ja-JP"/>
    </w:rPr>
  </w:style>
  <w:style w:type="table" w:styleId="TableGrid">
    <w:name w:val="Table Grid"/>
    <w:basedOn w:val="TableNormal"/>
    <w:uiPriority w:val="39"/>
    <w:rsid w:val="00335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D5AFE"/>
  </w:style>
  <w:style w:type="paragraph" w:styleId="FootnoteText">
    <w:name w:val="footnote text"/>
    <w:basedOn w:val="Normal"/>
    <w:link w:val="FootnoteTextChar"/>
    <w:uiPriority w:val="99"/>
    <w:unhideWhenUsed/>
    <w:rsid w:val="00292CFF"/>
    <w:pPr>
      <w:spacing w:after="0" w:line="240" w:lineRule="auto"/>
    </w:pPr>
    <w:rPr>
      <w:sz w:val="20"/>
      <w:szCs w:val="20"/>
    </w:rPr>
  </w:style>
  <w:style w:type="character" w:customStyle="1" w:styleId="FootnoteTextChar">
    <w:name w:val="Footnote Text Char"/>
    <w:basedOn w:val="DefaultParagraphFont"/>
    <w:link w:val="FootnoteText"/>
    <w:uiPriority w:val="99"/>
    <w:rsid w:val="00292CFF"/>
    <w:rPr>
      <w:sz w:val="20"/>
      <w:szCs w:val="20"/>
    </w:rPr>
  </w:style>
  <w:style w:type="character" w:styleId="FootnoteReference">
    <w:name w:val="footnote reference"/>
    <w:aliases w:val="o,Style 17,fr,Style 32,Style 13,o + Times New Roman"/>
    <w:basedOn w:val="DefaultParagraphFont"/>
    <w:uiPriority w:val="99"/>
    <w:unhideWhenUsed/>
    <w:rsid w:val="00292CFF"/>
    <w:rPr>
      <w:vertAlign w:val="superscript"/>
    </w:rPr>
  </w:style>
  <w:style w:type="paragraph" w:styleId="BodyTextIndent3">
    <w:name w:val="Body Text Indent 3"/>
    <w:basedOn w:val="Normal"/>
    <w:link w:val="BodyTextIndent3Char"/>
    <w:uiPriority w:val="99"/>
    <w:semiHidden/>
    <w:rsid w:val="00AA3876"/>
    <w:pPr>
      <w:tabs>
        <w:tab w:val="left" w:pos="-707"/>
        <w:tab w:val="left" w:pos="13"/>
        <w:tab w:val="left" w:pos="733"/>
        <w:tab w:val="left" w:pos="1453"/>
        <w:tab w:val="left" w:pos="2173"/>
        <w:tab w:val="left" w:pos="2893"/>
        <w:tab w:val="left" w:pos="3613"/>
        <w:tab w:val="left" w:pos="4333"/>
        <w:tab w:val="left" w:pos="5053"/>
        <w:tab w:val="left" w:pos="5773"/>
        <w:tab w:val="left" w:pos="6493"/>
        <w:tab w:val="left" w:pos="7213"/>
        <w:tab w:val="left" w:pos="7933"/>
      </w:tabs>
      <w:autoSpaceDE w:val="0"/>
      <w:autoSpaceDN w:val="0"/>
      <w:adjustRightInd w:val="0"/>
      <w:spacing w:after="0" w:line="480" w:lineRule="auto"/>
      <w:ind w:left="733" w:hanging="734"/>
    </w:pPr>
    <w:rPr>
      <w:rFonts w:eastAsia="Times New Roman" w:cs="Times New Roman"/>
      <w:sz w:val="24"/>
      <w:szCs w:val="24"/>
    </w:rPr>
  </w:style>
  <w:style w:type="character" w:customStyle="1" w:styleId="BodyTextIndent3Char">
    <w:name w:val="Body Text Indent 3 Char"/>
    <w:basedOn w:val="DefaultParagraphFont"/>
    <w:link w:val="BodyTextIndent3"/>
    <w:uiPriority w:val="99"/>
    <w:semiHidden/>
    <w:rsid w:val="00AA387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D6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2BC"/>
    <w:rPr>
      <w:rFonts w:ascii="Segoe UI" w:hAnsi="Segoe UI" w:cs="Segoe UI"/>
      <w:sz w:val="18"/>
      <w:szCs w:val="18"/>
    </w:rPr>
  </w:style>
  <w:style w:type="character" w:styleId="CommentReference">
    <w:name w:val="annotation reference"/>
    <w:basedOn w:val="DefaultParagraphFont"/>
    <w:uiPriority w:val="99"/>
    <w:semiHidden/>
    <w:unhideWhenUsed/>
    <w:rsid w:val="00A460EC"/>
    <w:rPr>
      <w:sz w:val="16"/>
      <w:szCs w:val="16"/>
    </w:rPr>
  </w:style>
  <w:style w:type="paragraph" w:styleId="CommentText">
    <w:name w:val="annotation text"/>
    <w:basedOn w:val="Normal"/>
    <w:link w:val="CommentTextChar"/>
    <w:uiPriority w:val="99"/>
    <w:semiHidden/>
    <w:unhideWhenUsed/>
    <w:rsid w:val="00A460EC"/>
    <w:pPr>
      <w:spacing w:line="240" w:lineRule="auto"/>
    </w:pPr>
    <w:rPr>
      <w:sz w:val="20"/>
      <w:szCs w:val="20"/>
    </w:rPr>
  </w:style>
  <w:style w:type="character" w:customStyle="1" w:styleId="CommentTextChar">
    <w:name w:val="Comment Text Char"/>
    <w:basedOn w:val="DefaultParagraphFont"/>
    <w:link w:val="CommentText"/>
    <w:uiPriority w:val="99"/>
    <w:semiHidden/>
    <w:rsid w:val="00A460EC"/>
    <w:rPr>
      <w:sz w:val="20"/>
      <w:szCs w:val="20"/>
    </w:rPr>
  </w:style>
  <w:style w:type="paragraph" w:styleId="CommentSubject">
    <w:name w:val="annotation subject"/>
    <w:basedOn w:val="CommentText"/>
    <w:next w:val="CommentText"/>
    <w:link w:val="CommentSubjectChar"/>
    <w:uiPriority w:val="99"/>
    <w:semiHidden/>
    <w:unhideWhenUsed/>
    <w:rsid w:val="00A460EC"/>
    <w:rPr>
      <w:b/>
      <w:bCs/>
    </w:rPr>
  </w:style>
  <w:style w:type="character" w:customStyle="1" w:styleId="CommentSubjectChar">
    <w:name w:val="Comment Subject Char"/>
    <w:basedOn w:val="CommentTextChar"/>
    <w:link w:val="CommentSubject"/>
    <w:uiPriority w:val="99"/>
    <w:semiHidden/>
    <w:rsid w:val="00A460EC"/>
    <w:rPr>
      <w:b/>
      <w:bCs/>
      <w:sz w:val="20"/>
      <w:szCs w:val="20"/>
    </w:rPr>
  </w:style>
  <w:style w:type="paragraph" w:styleId="NormalWeb">
    <w:name w:val="Normal (Web)"/>
    <w:basedOn w:val="Normal"/>
    <w:uiPriority w:val="99"/>
    <w:semiHidden/>
    <w:unhideWhenUsed/>
    <w:rsid w:val="0031217A"/>
    <w:pPr>
      <w:spacing w:before="100" w:beforeAutospacing="1" w:after="100" w:afterAutospacing="1" w:line="240" w:lineRule="auto"/>
    </w:pPr>
    <w:rPr>
      <w:rFonts w:eastAsiaTheme="minorEastAsia" w:cs="Times New Roman"/>
      <w:sz w:val="24"/>
      <w:szCs w:val="24"/>
    </w:rPr>
  </w:style>
  <w:style w:type="paragraph" w:styleId="TOC1">
    <w:name w:val="toc 1"/>
    <w:basedOn w:val="Normal"/>
    <w:next w:val="Normal"/>
    <w:autoRedefine/>
    <w:uiPriority w:val="39"/>
    <w:unhideWhenUsed/>
    <w:rsid w:val="00B37CED"/>
    <w:pPr>
      <w:spacing w:after="100"/>
    </w:pPr>
  </w:style>
  <w:style w:type="paragraph" w:customStyle="1" w:styleId="Header1">
    <w:name w:val="Header 1"/>
    <w:basedOn w:val="Normal"/>
    <w:qFormat/>
    <w:rsid w:val="005F27CB"/>
    <w:pPr>
      <w:keepNext/>
      <w:pBdr>
        <w:bottom w:val="single" w:sz="4" w:space="1" w:color="632423"/>
      </w:pBdr>
      <w:spacing w:before="240" w:line="240" w:lineRule="auto"/>
      <w:outlineLvl w:val="0"/>
    </w:pPr>
    <w:rPr>
      <w:rFonts w:ascii="Century Gothic" w:eastAsia="Times New Roman" w:hAnsi="Century Gothic" w:cs="Arial"/>
      <w:b/>
      <w:bCs/>
      <w:caps/>
      <w:color w:val="632423"/>
      <w:kern w:val="32"/>
      <w:sz w:val="24"/>
      <w:szCs w:val="24"/>
    </w:rPr>
  </w:style>
  <w:style w:type="paragraph" w:styleId="Subtitle">
    <w:name w:val="Subtitle"/>
    <w:basedOn w:val="Normal"/>
    <w:next w:val="Normal"/>
    <w:link w:val="SubtitleChar"/>
    <w:uiPriority w:val="11"/>
    <w:qFormat/>
    <w:rsid w:val="002418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418CE"/>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5B1868"/>
    <w:rPr>
      <w:rFonts w:asciiTheme="majorHAnsi" w:eastAsiaTheme="majorEastAsia" w:hAnsiTheme="majorHAnsi" w:cstheme="majorBidi"/>
      <w:b/>
      <w:i/>
      <w:iCs/>
      <w:caps/>
      <w:color w:val="000000" w:themeColor="text1"/>
    </w:rPr>
  </w:style>
  <w:style w:type="paragraph" w:styleId="Caption">
    <w:name w:val="caption"/>
    <w:basedOn w:val="Normal"/>
    <w:next w:val="Normal"/>
    <w:autoRedefine/>
    <w:uiPriority w:val="35"/>
    <w:unhideWhenUsed/>
    <w:qFormat/>
    <w:rsid w:val="00D2628D"/>
    <w:pPr>
      <w:keepNext/>
      <w:keepLines/>
      <w:spacing w:before="240" w:after="240" w:line="240" w:lineRule="auto"/>
      <w:jc w:val="center"/>
    </w:pPr>
    <w:rPr>
      <w:rFonts w:cs="Times New Roman"/>
      <w:b/>
      <w:iCs/>
      <w:szCs w:val="18"/>
    </w:rPr>
  </w:style>
  <w:style w:type="character" w:customStyle="1" w:styleId="Heading5Char">
    <w:name w:val="Heading 5 Char"/>
    <w:basedOn w:val="DefaultParagraphFont"/>
    <w:link w:val="Heading5"/>
    <w:uiPriority w:val="9"/>
    <w:rsid w:val="00F667F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C17C7"/>
    <w:rPr>
      <w:rFonts w:asciiTheme="majorHAnsi" w:eastAsiaTheme="majorEastAsia" w:hAnsiTheme="majorHAnsi" w:cstheme="majorBidi"/>
      <w:color w:val="1F4D78" w:themeColor="accent1" w:themeShade="7F"/>
    </w:rPr>
  </w:style>
  <w:style w:type="paragraph" w:customStyle="1" w:styleId="03100BodyText">
    <w:name w:val="03100 Body Text"/>
    <w:basedOn w:val="Normal"/>
    <w:link w:val="03100BodyTextChar"/>
    <w:qFormat/>
    <w:rsid w:val="00EE1FB9"/>
    <w:pPr>
      <w:spacing w:line="312" w:lineRule="auto"/>
    </w:pPr>
    <w:rPr>
      <w:rFonts w:asciiTheme="majorHAnsi" w:hAnsiTheme="majorHAnsi" w:cstheme="minorHAnsi"/>
    </w:rPr>
  </w:style>
  <w:style w:type="character" w:customStyle="1" w:styleId="03100BodyTextChar">
    <w:name w:val="03100 Body Text Char"/>
    <w:basedOn w:val="DefaultParagraphFont"/>
    <w:link w:val="03100BodyText"/>
    <w:rsid w:val="00EE1FB9"/>
    <w:rPr>
      <w:rFonts w:asciiTheme="majorHAnsi" w:hAnsiTheme="majorHAnsi" w:cstheme="minorHAnsi"/>
    </w:rPr>
  </w:style>
  <w:style w:type="paragraph" w:styleId="TOC2">
    <w:name w:val="toc 2"/>
    <w:basedOn w:val="Normal"/>
    <w:next w:val="Normal"/>
    <w:autoRedefine/>
    <w:uiPriority w:val="39"/>
    <w:unhideWhenUsed/>
    <w:rsid w:val="00177A40"/>
    <w:pPr>
      <w:spacing w:after="100"/>
      <w:ind w:left="220"/>
    </w:pPr>
  </w:style>
  <w:style w:type="paragraph" w:styleId="BodyText">
    <w:name w:val="Body Text"/>
    <w:basedOn w:val="Normal"/>
    <w:link w:val="BodyTextChar"/>
    <w:uiPriority w:val="99"/>
    <w:unhideWhenUsed/>
    <w:rsid w:val="00A527AF"/>
  </w:style>
  <w:style w:type="paragraph" w:styleId="TableofFigures">
    <w:name w:val="table of figures"/>
    <w:basedOn w:val="Normal"/>
    <w:next w:val="Normal"/>
    <w:uiPriority w:val="99"/>
    <w:unhideWhenUsed/>
    <w:rsid w:val="00FA5AC8"/>
    <w:pPr>
      <w:spacing w:after="0"/>
    </w:pPr>
  </w:style>
  <w:style w:type="character" w:customStyle="1" w:styleId="BodyTextChar">
    <w:name w:val="Body Text Char"/>
    <w:basedOn w:val="DefaultParagraphFont"/>
    <w:link w:val="BodyText"/>
    <w:uiPriority w:val="99"/>
    <w:rsid w:val="00A527AF"/>
    <w:rPr>
      <w:rFonts w:ascii="Calibri" w:hAnsi="Calibri"/>
    </w:rPr>
  </w:style>
  <w:style w:type="character" w:customStyle="1" w:styleId="Heading7Char">
    <w:name w:val="Heading 7 Char"/>
    <w:basedOn w:val="DefaultParagraphFont"/>
    <w:link w:val="Heading7"/>
    <w:uiPriority w:val="9"/>
    <w:rsid w:val="00485C8A"/>
    <w:rPr>
      <w:rFonts w:asciiTheme="majorHAnsi" w:eastAsiaTheme="majorEastAsia" w:hAnsiTheme="majorHAnsi" w:cstheme="majorBidi"/>
      <w:i/>
      <w:iCs/>
      <w:color w:val="1F4D78" w:themeColor="accent1" w:themeShade="7F"/>
    </w:rPr>
  </w:style>
  <w:style w:type="table" w:customStyle="1" w:styleId="GridTable4-Accent31">
    <w:name w:val="Grid Table 4 - Accent 31"/>
    <w:basedOn w:val="TableNormal"/>
    <w:next w:val="GridTable4-Accent32"/>
    <w:uiPriority w:val="49"/>
    <w:rsid w:val="008F4AC0"/>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2">
    <w:name w:val="Grid Table 4 - Accent 32"/>
    <w:basedOn w:val="TableNormal"/>
    <w:uiPriority w:val="49"/>
    <w:rsid w:val="00DE5949"/>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0">
    <w:name w:val="Grid Table 4 - Accent 32"/>
    <w:basedOn w:val="TableNormal"/>
    <w:next w:val="GridTable4-Accent32"/>
    <w:uiPriority w:val="49"/>
    <w:rsid w:val="00E64E74"/>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rFonts w:asciiTheme="minorHAnsi" w:hAnsiTheme="minorHAnsi"/>
        <w:b/>
        <w:bCs/>
        <w:caps w:val="0"/>
        <w:smallCaps/>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bottom"/>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3">
    <w:name w:val="Grid Table 4 - Accent 33"/>
    <w:basedOn w:val="TableNormal"/>
    <w:next w:val="GridTable4-Accent32"/>
    <w:uiPriority w:val="49"/>
    <w:rsid w:val="00B57017"/>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rFonts w:asciiTheme="minorHAnsi" w:hAnsiTheme="minorHAnsi"/>
        <w:b/>
        <w:bCs/>
        <w:caps w:val="0"/>
        <w:smallCaps/>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bottom"/>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4">
    <w:name w:val="Grid Table 4 - Accent 34"/>
    <w:basedOn w:val="TableNormal"/>
    <w:next w:val="GridTable4-Accent32"/>
    <w:uiPriority w:val="49"/>
    <w:rsid w:val="009C13EA"/>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rFonts w:asciiTheme="minorHAnsi" w:hAnsiTheme="minorHAnsi"/>
        <w:b/>
        <w:bCs/>
        <w:caps w:val="0"/>
        <w:smallCaps/>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bottom"/>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5">
    <w:name w:val="Grid Table 4 - Accent 35"/>
    <w:basedOn w:val="TableNormal"/>
    <w:next w:val="GridTable4-Accent32"/>
    <w:uiPriority w:val="49"/>
    <w:rsid w:val="00C108F0"/>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6">
    <w:name w:val="Grid Table 4 - Accent 36"/>
    <w:basedOn w:val="TableNormal"/>
    <w:next w:val="GridTable4-Accent32"/>
    <w:uiPriority w:val="49"/>
    <w:rsid w:val="00297A69"/>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7">
    <w:name w:val="Grid Table 4 - Accent 37"/>
    <w:basedOn w:val="TableNormal"/>
    <w:next w:val="GridTable4-Accent32"/>
    <w:uiPriority w:val="49"/>
    <w:rsid w:val="00243E02"/>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8">
    <w:name w:val="Grid Table 4 - Accent 38"/>
    <w:basedOn w:val="TableNormal"/>
    <w:next w:val="GridTable4-Accent32"/>
    <w:uiPriority w:val="49"/>
    <w:rsid w:val="00334D2C"/>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9">
    <w:name w:val="Grid Table 4 - Accent 39"/>
    <w:basedOn w:val="TableNormal"/>
    <w:next w:val="GridTable4-Accent32"/>
    <w:uiPriority w:val="49"/>
    <w:rsid w:val="002360E1"/>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0">
    <w:name w:val="Grid Table 4 - Accent 310"/>
    <w:basedOn w:val="TableNormal"/>
    <w:uiPriority w:val="49"/>
    <w:rsid w:val="009A6B5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BD5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633A9"/>
    <w:pPr>
      <w:spacing w:after="0" w:line="240" w:lineRule="auto"/>
    </w:pPr>
    <w:rPr>
      <w:rFonts w:ascii="Cambria" w:hAnsi="Cambria"/>
    </w:rPr>
  </w:style>
  <w:style w:type="table" w:customStyle="1" w:styleId="GridTable4Accent3">
    <w:name w:val="Grid Table 4 Accent 3"/>
    <w:basedOn w:val="TableNormal"/>
    <w:uiPriority w:val="49"/>
    <w:rsid w:val="00D262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BBA"/>
    <w:pPr>
      <w:spacing w:after="120" w:line="276" w:lineRule="auto"/>
      <w:jc w:val="both"/>
    </w:pPr>
    <w:rPr>
      <w:rFonts w:ascii="Cambria" w:hAnsi="Cambria"/>
    </w:rPr>
  </w:style>
  <w:style w:type="paragraph" w:styleId="Heading1">
    <w:name w:val="heading 1"/>
    <w:basedOn w:val="Normal"/>
    <w:next w:val="Normal"/>
    <w:link w:val="Heading1Char"/>
    <w:uiPriority w:val="9"/>
    <w:qFormat/>
    <w:rsid w:val="006B6C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Normal"/>
    <w:link w:val="Heading2Char"/>
    <w:autoRedefine/>
    <w:qFormat/>
    <w:rsid w:val="002B7AC5"/>
    <w:pPr>
      <w:numPr>
        <w:numId w:val="5"/>
      </w:numPr>
      <w:tabs>
        <w:tab w:val="left" w:pos="0"/>
      </w:tabs>
      <w:spacing w:before="480" w:after="120" w:line="240" w:lineRule="auto"/>
      <w:outlineLvl w:val="1"/>
    </w:pPr>
    <w:rPr>
      <w:rFonts w:ascii="Century Gothic" w:eastAsia="MS Mincho" w:hAnsi="Century Gothic" w:cs="Times New Roman"/>
      <w:b/>
      <w:caps/>
      <w:sz w:val="24"/>
      <w:szCs w:val="24"/>
      <w:lang w:eastAsia="ja-JP"/>
    </w:rPr>
  </w:style>
  <w:style w:type="paragraph" w:styleId="Heading3">
    <w:name w:val="heading 3"/>
    <w:basedOn w:val="Normal"/>
    <w:next w:val="Normal"/>
    <w:link w:val="Heading3Char"/>
    <w:autoRedefine/>
    <w:uiPriority w:val="9"/>
    <w:unhideWhenUsed/>
    <w:qFormat/>
    <w:rsid w:val="00E42DE9"/>
    <w:pPr>
      <w:keepNext/>
      <w:keepLines/>
      <w:numPr>
        <w:numId w:val="20"/>
      </w:numPr>
      <w:spacing w:before="240" w:line="240" w:lineRule="auto"/>
      <w:jc w:val="left"/>
      <w:outlineLvl w:val="2"/>
    </w:pPr>
    <w:rPr>
      <w:rFonts w:asciiTheme="minorHAnsi" w:eastAsia="Times New Roman" w:hAnsiTheme="minorHAnsi" w:cs="Times New Roman"/>
      <w:b/>
      <w:color w:val="000000" w:themeColor="text1"/>
      <w:sz w:val="24"/>
      <w:szCs w:val="24"/>
      <w:shd w:val="clear" w:color="auto" w:fill="FFFFFF"/>
    </w:rPr>
  </w:style>
  <w:style w:type="paragraph" w:styleId="Heading4">
    <w:name w:val="heading 4"/>
    <w:basedOn w:val="Normal"/>
    <w:next w:val="Normal"/>
    <w:link w:val="Heading4Char"/>
    <w:autoRedefine/>
    <w:uiPriority w:val="9"/>
    <w:unhideWhenUsed/>
    <w:qFormat/>
    <w:rsid w:val="005B1868"/>
    <w:pPr>
      <w:keepNext/>
      <w:keepLines/>
      <w:spacing w:before="240"/>
      <w:ind w:left="720" w:firstLine="720"/>
      <w:jc w:val="left"/>
      <w:outlineLvl w:val="3"/>
    </w:pPr>
    <w:rPr>
      <w:rFonts w:asciiTheme="majorHAnsi" w:eastAsiaTheme="majorEastAsia" w:hAnsiTheme="majorHAnsi" w:cstheme="majorBidi"/>
      <w:b/>
      <w:i/>
      <w:iCs/>
      <w:caps/>
      <w:color w:val="000000" w:themeColor="text1"/>
    </w:rPr>
  </w:style>
  <w:style w:type="paragraph" w:styleId="Heading5">
    <w:name w:val="heading 5"/>
    <w:basedOn w:val="Normal"/>
    <w:next w:val="Normal"/>
    <w:link w:val="Heading5Char"/>
    <w:uiPriority w:val="9"/>
    <w:unhideWhenUsed/>
    <w:qFormat/>
    <w:rsid w:val="00F667F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C17C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485C8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06A"/>
    <w:rPr>
      <w:color w:val="0563C1" w:themeColor="hyperlink"/>
      <w:u w:val="single"/>
    </w:rPr>
  </w:style>
  <w:style w:type="paragraph" w:styleId="Header">
    <w:name w:val="header"/>
    <w:basedOn w:val="Normal"/>
    <w:link w:val="HeaderChar"/>
    <w:unhideWhenUsed/>
    <w:rsid w:val="0025706A"/>
    <w:pPr>
      <w:tabs>
        <w:tab w:val="center" w:pos="4680"/>
        <w:tab w:val="right" w:pos="9360"/>
      </w:tabs>
      <w:spacing w:after="0" w:line="240" w:lineRule="auto"/>
    </w:pPr>
  </w:style>
  <w:style w:type="character" w:customStyle="1" w:styleId="HeaderChar">
    <w:name w:val="Header Char"/>
    <w:basedOn w:val="DefaultParagraphFont"/>
    <w:link w:val="Header"/>
    <w:rsid w:val="0025706A"/>
  </w:style>
  <w:style w:type="paragraph" w:styleId="Footer">
    <w:name w:val="footer"/>
    <w:basedOn w:val="Normal"/>
    <w:link w:val="FooterChar"/>
    <w:uiPriority w:val="99"/>
    <w:unhideWhenUsed/>
    <w:rsid w:val="00257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06A"/>
  </w:style>
  <w:style w:type="character" w:customStyle="1" w:styleId="Heading2Char">
    <w:name w:val="Heading 2 Char"/>
    <w:basedOn w:val="DefaultParagraphFont"/>
    <w:link w:val="Heading2"/>
    <w:rsid w:val="002B7AC5"/>
    <w:rPr>
      <w:rFonts w:ascii="Century Gothic" w:eastAsia="MS Mincho" w:hAnsi="Century Gothic" w:cs="Times New Roman"/>
      <w:b/>
      <w:caps/>
      <w:sz w:val="24"/>
      <w:szCs w:val="24"/>
      <w:lang w:eastAsia="ja-JP"/>
    </w:rPr>
  </w:style>
  <w:style w:type="paragraph" w:styleId="ListParagraph">
    <w:name w:val="List Paragraph"/>
    <w:basedOn w:val="Normal"/>
    <w:autoRedefine/>
    <w:uiPriority w:val="34"/>
    <w:qFormat/>
    <w:rsid w:val="00456566"/>
    <w:pPr>
      <w:numPr>
        <w:numId w:val="15"/>
      </w:numPr>
      <w:spacing w:after="0"/>
    </w:pPr>
  </w:style>
  <w:style w:type="character" w:customStyle="1" w:styleId="Heading1Char">
    <w:name w:val="Heading 1 Char"/>
    <w:basedOn w:val="DefaultParagraphFont"/>
    <w:link w:val="Heading1"/>
    <w:uiPriority w:val="9"/>
    <w:rsid w:val="006B6CDC"/>
    <w:rPr>
      <w:rFonts w:asciiTheme="majorHAnsi" w:eastAsiaTheme="majorEastAsia" w:hAnsiTheme="majorHAnsi" w:cstheme="majorBidi"/>
      <w:color w:val="2E74B5" w:themeColor="accent1" w:themeShade="BF"/>
      <w:sz w:val="32"/>
      <w:szCs w:val="32"/>
    </w:rPr>
  </w:style>
  <w:style w:type="paragraph" w:customStyle="1" w:styleId="NewHeading3">
    <w:name w:val="New Heading 3"/>
    <w:basedOn w:val="Normal"/>
    <w:link w:val="NewHeading3Char"/>
    <w:qFormat/>
    <w:rsid w:val="006B6CDC"/>
    <w:pPr>
      <w:keepNext/>
      <w:spacing w:before="240" w:line="240" w:lineRule="auto"/>
      <w:ind w:left="720"/>
    </w:pPr>
    <w:rPr>
      <w:rFonts w:ascii="Century Gothic" w:eastAsia="Times New Roman" w:hAnsi="Century Gothic" w:cs="Helvetica"/>
      <w:b/>
      <w:color w:val="333333"/>
      <w:szCs w:val="24"/>
    </w:rPr>
  </w:style>
  <w:style w:type="character" w:customStyle="1" w:styleId="NewHeading3Char">
    <w:name w:val="New Heading 3 Char"/>
    <w:basedOn w:val="DefaultParagraphFont"/>
    <w:link w:val="NewHeading3"/>
    <w:rsid w:val="006B6CDC"/>
    <w:rPr>
      <w:rFonts w:ascii="Century Gothic" w:eastAsia="Times New Roman" w:hAnsi="Century Gothic" w:cs="Helvetica"/>
      <w:b/>
      <w:color w:val="333333"/>
      <w:szCs w:val="24"/>
    </w:rPr>
  </w:style>
  <w:style w:type="paragraph" w:customStyle="1" w:styleId="Newbullettext">
    <w:name w:val="New bullet text"/>
    <w:basedOn w:val="Normal"/>
    <w:link w:val="NewbullettextChar"/>
    <w:qFormat/>
    <w:rsid w:val="00495530"/>
    <w:pPr>
      <w:numPr>
        <w:numId w:val="1"/>
      </w:numPr>
      <w:spacing w:after="60" w:line="240" w:lineRule="auto"/>
    </w:pPr>
    <w:rPr>
      <w:rFonts w:ascii="Garamond" w:eastAsia="MS Mincho" w:hAnsi="Garamond" w:cstheme="minorHAnsi"/>
      <w:szCs w:val="20"/>
      <w:lang w:eastAsia="ja-JP"/>
    </w:rPr>
  </w:style>
  <w:style w:type="character" w:customStyle="1" w:styleId="NewbullettextChar">
    <w:name w:val="New bullet text Char"/>
    <w:basedOn w:val="DefaultParagraphFont"/>
    <w:link w:val="Newbullettext"/>
    <w:rsid w:val="00495530"/>
    <w:rPr>
      <w:rFonts w:ascii="Garamond" w:eastAsia="MS Mincho" w:hAnsi="Garamond" w:cstheme="minorHAnsi"/>
      <w:szCs w:val="20"/>
      <w:lang w:eastAsia="ja-JP"/>
    </w:rPr>
  </w:style>
  <w:style w:type="character" w:customStyle="1" w:styleId="Heading3Char">
    <w:name w:val="Heading 3 Char"/>
    <w:basedOn w:val="DefaultParagraphFont"/>
    <w:link w:val="Heading3"/>
    <w:uiPriority w:val="9"/>
    <w:rsid w:val="00E42DE9"/>
    <w:rPr>
      <w:rFonts w:eastAsia="Times New Roman" w:cs="Times New Roman"/>
      <w:b/>
      <w:color w:val="000000" w:themeColor="text1"/>
      <w:sz w:val="24"/>
      <w:szCs w:val="24"/>
    </w:rPr>
  </w:style>
  <w:style w:type="paragraph" w:customStyle="1" w:styleId="Newbodytext">
    <w:name w:val="New body text"/>
    <w:basedOn w:val="Normal"/>
    <w:link w:val="NewbodytextChar"/>
    <w:rsid w:val="00A33DC0"/>
    <w:rPr>
      <w:rFonts w:ascii="Garamond" w:eastAsia="MS Mincho" w:hAnsi="Garamond" w:cstheme="minorHAnsi"/>
      <w:szCs w:val="20"/>
      <w:lang w:eastAsia="ja-JP"/>
    </w:rPr>
  </w:style>
  <w:style w:type="character" w:customStyle="1" w:styleId="NewbodytextChar">
    <w:name w:val="New body text Char"/>
    <w:basedOn w:val="DefaultParagraphFont"/>
    <w:link w:val="Newbodytext"/>
    <w:rsid w:val="00A33DC0"/>
    <w:rPr>
      <w:rFonts w:ascii="Garamond" w:eastAsia="MS Mincho" w:hAnsi="Garamond" w:cstheme="minorHAnsi"/>
      <w:szCs w:val="20"/>
      <w:lang w:eastAsia="ja-JP"/>
    </w:rPr>
  </w:style>
  <w:style w:type="table" w:styleId="TableGrid">
    <w:name w:val="Table Grid"/>
    <w:basedOn w:val="TableNormal"/>
    <w:uiPriority w:val="39"/>
    <w:rsid w:val="00335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D5AFE"/>
  </w:style>
  <w:style w:type="paragraph" w:styleId="FootnoteText">
    <w:name w:val="footnote text"/>
    <w:basedOn w:val="Normal"/>
    <w:link w:val="FootnoteTextChar"/>
    <w:uiPriority w:val="99"/>
    <w:unhideWhenUsed/>
    <w:rsid w:val="00292CFF"/>
    <w:pPr>
      <w:spacing w:after="0" w:line="240" w:lineRule="auto"/>
    </w:pPr>
    <w:rPr>
      <w:sz w:val="20"/>
      <w:szCs w:val="20"/>
    </w:rPr>
  </w:style>
  <w:style w:type="character" w:customStyle="1" w:styleId="FootnoteTextChar">
    <w:name w:val="Footnote Text Char"/>
    <w:basedOn w:val="DefaultParagraphFont"/>
    <w:link w:val="FootnoteText"/>
    <w:uiPriority w:val="99"/>
    <w:rsid w:val="00292CFF"/>
    <w:rPr>
      <w:sz w:val="20"/>
      <w:szCs w:val="20"/>
    </w:rPr>
  </w:style>
  <w:style w:type="character" w:styleId="FootnoteReference">
    <w:name w:val="footnote reference"/>
    <w:aliases w:val="o,Style 17,fr,Style 32,Style 13,o + Times New Roman"/>
    <w:basedOn w:val="DefaultParagraphFont"/>
    <w:uiPriority w:val="99"/>
    <w:unhideWhenUsed/>
    <w:rsid w:val="00292CFF"/>
    <w:rPr>
      <w:vertAlign w:val="superscript"/>
    </w:rPr>
  </w:style>
  <w:style w:type="paragraph" w:styleId="BodyTextIndent3">
    <w:name w:val="Body Text Indent 3"/>
    <w:basedOn w:val="Normal"/>
    <w:link w:val="BodyTextIndent3Char"/>
    <w:uiPriority w:val="99"/>
    <w:semiHidden/>
    <w:rsid w:val="00AA3876"/>
    <w:pPr>
      <w:tabs>
        <w:tab w:val="left" w:pos="-707"/>
        <w:tab w:val="left" w:pos="13"/>
        <w:tab w:val="left" w:pos="733"/>
        <w:tab w:val="left" w:pos="1453"/>
        <w:tab w:val="left" w:pos="2173"/>
        <w:tab w:val="left" w:pos="2893"/>
        <w:tab w:val="left" w:pos="3613"/>
        <w:tab w:val="left" w:pos="4333"/>
        <w:tab w:val="left" w:pos="5053"/>
        <w:tab w:val="left" w:pos="5773"/>
        <w:tab w:val="left" w:pos="6493"/>
        <w:tab w:val="left" w:pos="7213"/>
        <w:tab w:val="left" w:pos="7933"/>
      </w:tabs>
      <w:autoSpaceDE w:val="0"/>
      <w:autoSpaceDN w:val="0"/>
      <w:adjustRightInd w:val="0"/>
      <w:spacing w:after="0" w:line="480" w:lineRule="auto"/>
      <w:ind w:left="733" w:hanging="734"/>
    </w:pPr>
    <w:rPr>
      <w:rFonts w:eastAsia="Times New Roman" w:cs="Times New Roman"/>
      <w:sz w:val="24"/>
      <w:szCs w:val="24"/>
    </w:rPr>
  </w:style>
  <w:style w:type="character" w:customStyle="1" w:styleId="BodyTextIndent3Char">
    <w:name w:val="Body Text Indent 3 Char"/>
    <w:basedOn w:val="DefaultParagraphFont"/>
    <w:link w:val="BodyTextIndent3"/>
    <w:uiPriority w:val="99"/>
    <w:semiHidden/>
    <w:rsid w:val="00AA387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D6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2BC"/>
    <w:rPr>
      <w:rFonts w:ascii="Segoe UI" w:hAnsi="Segoe UI" w:cs="Segoe UI"/>
      <w:sz w:val="18"/>
      <w:szCs w:val="18"/>
    </w:rPr>
  </w:style>
  <w:style w:type="character" w:styleId="CommentReference">
    <w:name w:val="annotation reference"/>
    <w:basedOn w:val="DefaultParagraphFont"/>
    <w:uiPriority w:val="99"/>
    <w:semiHidden/>
    <w:unhideWhenUsed/>
    <w:rsid w:val="00A460EC"/>
    <w:rPr>
      <w:sz w:val="16"/>
      <w:szCs w:val="16"/>
    </w:rPr>
  </w:style>
  <w:style w:type="paragraph" w:styleId="CommentText">
    <w:name w:val="annotation text"/>
    <w:basedOn w:val="Normal"/>
    <w:link w:val="CommentTextChar"/>
    <w:uiPriority w:val="99"/>
    <w:semiHidden/>
    <w:unhideWhenUsed/>
    <w:rsid w:val="00A460EC"/>
    <w:pPr>
      <w:spacing w:line="240" w:lineRule="auto"/>
    </w:pPr>
    <w:rPr>
      <w:sz w:val="20"/>
      <w:szCs w:val="20"/>
    </w:rPr>
  </w:style>
  <w:style w:type="character" w:customStyle="1" w:styleId="CommentTextChar">
    <w:name w:val="Comment Text Char"/>
    <w:basedOn w:val="DefaultParagraphFont"/>
    <w:link w:val="CommentText"/>
    <w:uiPriority w:val="99"/>
    <w:semiHidden/>
    <w:rsid w:val="00A460EC"/>
    <w:rPr>
      <w:sz w:val="20"/>
      <w:szCs w:val="20"/>
    </w:rPr>
  </w:style>
  <w:style w:type="paragraph" w:styleId="CommentSubject">
    <w:name w:val="annotation subject"/>
    <w:basedOn w:val="CommentText"/>
    <w:next w:val="CommentText"/>
    <w:link w:val="CommentSubjectChar"/>
    <w:uiPriority w:val="99"/>
    <w:semiHidden/>
    <w:unhideWhenUsed/>
    <w:rsid w:val="00A460EC"/>
    <w:rPr>
      <w:b/>
      <w:bCs/>
    </w:rPr>
  </w:style>
  <w:style w:type="character" w:customStyle="1" w:styleId="CommentSubjectChar">
    <w:name w:val="Comment Subject Char"/>
    <w:basedOn w:val="CommentTextChar"/>
    <w:link w:val="CommentSubject"/>
    <w:uiPriority w:val="99"/>
    <w:semiHidden/>
    <w:rsid w:val="00A460EC"/>
    <w:rPr>
      <w:b/>
      <w:bCs/>
      <w:sz w:val="20"/>
      <w:szCs w:val="20"/>
    </w:rPr>
  </w:style>
  <w:style w:type="paragraph" w:styleId="NormalWeb">
    <w:name w:val="Normal (Web)"/>
    <w:basedOn w:val="Normal"/>
    <w:uiPriority w:val="99"/>
    <w:semiHidden/>
    <w:unhideWhenUsed/>
    <w:rsid w:val="0031217A"/>
    <w:pPr>
      <w:spacing w:before="100" w:beforeAutospacing="1" w:after="100" w:afterAutospacing="1" w:line="240" w:lineRule="auto"/>
    </w:pPr>
    <w:rPr>
      <w:rFonts w:eastAsiaTheme="minorEastAsia" w:cs="Times New Roman"/>
      <w:sz w:val="24"/>
      <w:szCs w:val="24"/>
    </w:rPr>
  </w:style>
  <w:style w:type="paragraph" w:styleId="TOC1">
    <w:name w:val="toc 1"/>
    <w:basedOn w:val="Normal"/>
    <w:next w:val="Normal"/>
    <w:autoRedefine/>
    <w:uiPriority w:val="39"/>
    <w:unhideWhenUsed/>
    <w:rsid w:val="00B37CED"/>
    <w:pPr>
      <w:spacing w:after="100"/>
    </w:pPr>
  </w:style>
  <w:style w:type="paragraph" w:customStyle="1" w:styleId="Header1">
    <w:name w:val="Header 1"/>
    <w:basedOn w:val="Normal"/>
    <w:qFormat/>
    <w:rsid w:val="005F27CB"/>
    <w:pPr>
      <w:keepNext/>
      <w:pBdr>
        <w:bottom w:val="single" w:sz="4" w:space="1" w:color="632423"/>
      </w:pBdr>
      <w:spacing w:before="240" w:line="240" w:lineRule="auto"/>
      <w:outlineLvl w:val="0"/>
    </w:pPr>
    <w:rPr>
      <w:rFonts w:ascii="Century Gothic" w:eastAsia="Times New Roman" w:hAnsi="Century Gothic" w:cs="Arial"/>
      <w:b/>
      <w:bCs/>
      <w:caps/>
      <w:color w:val="632423"/>
      <w:kern w:val="32"/>
      <w:sz w:val="24"/>
      <w:szCs w:val="24"/>
    </w:rPr>
  </w:style>
  <w:style w:type="paragraph" w:styleId="Subtitle">
    <w:name w:val="Subtitle"/>
    <w:basedOn w:val="Normal"/>
    <w:next w:val="Normal"/>
    <w:link w:val="SubtitleChar"/>
    <w:uiPriority w:val="11"/>
    <w:qFormat/>
    <w:rsid w:val="002418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418CE"/>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5B1868"/>
    <w:rPr>
      <w:rFonts w:asciiTheme="majorHAnsi" w:eastAsiaTheme="majorEastAsia" w:hAnsiTheme="majorHAnsi" w:cstheme="majorBidi"/>
      <w:b/>
      <w:i/>
      <w:iCs/>
      <w:caps/>
      <w:color w:val="000000" w:themeColor="text1"/>
    </w:rPr>
  </w:style>
  <w:style w:type="paragraph" w:styleId="Caption">
    <w:name w:val="caption"/>
    <w:basedOn w:val="Normal"/>
    <w:next w:val="Normal"/>
    <w:autoRedefine/>
    <w:uiPriority w:val="35"/>
    <w:unhideWhenUsed/>
    <w:qFormat/>
    <w:rsid w:val="00D2628D"/>
    <w:pPr>
      <w:keepNext/>
      <w:keepLines/>
      <w:spacing w:before="240" w:after="240" w:line="240" w:lineRule="auto"/>
      <w:jc w:val="center"/>
    </w:pPr>
    <w:rPr>
      <w:rFonts w:cs="Times New Roman"/>
      <w:b/>
      <w:iCs/>
      <w:szCs w:val="18"/>
    </w:rPr>
  </w:style>
  <w:style w:type="character" w:customStyle="1" w:styleId="Heading5Char">
    <w:name w:val="Heading 5 Char"/>
    <w:basedOn w:val="DefaultParagraphFont"/>
    <w:link w:val="Heading5"/>
    <w:uiPriority w:val="9"/>
    <w:rsid w:val="00F667F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C17C7"/>
    <w:rPr>
      <w:rFonts w:asciiTheme="majorHAnsi" w:eastAsiaTheme="majorEastAsia" w:hAnsiTheme="majorHAnsi" w:cstheme="majorBidi"/>
      <w:color w:val="1F4D78" w:themeColor="accent1" w:themeShade="7F"/>
    </w:rPr>
  </w:style>
  <w:style w:type="paragraph" w:customStyle="1" w:styleId="03100BodyText">
    <w:name w:val="03100 Body Text"/>
    <w:basedOn w:val="Normal"/>
    <w:link w:val="03100BodyTextChar"/>
    <w:qFormat/>
    <w:rsid w:val="00EE1FB9"/>
    <w:pPr>
      <w:spacing w:line="312" w:lineRule="auto"/>
    </w:pPr>
    <w:rPr>
      <w:rFonts w:asciiTheme="majorHAnsi" w:hAnsiTheme="majorHAnsi" w:cstheme="minorHAnsi"/>
    </w:rPr>
  </w:style>
  <w:style w:type="character" w:customStyle="1" w:styleId="03100BodyTextChar">
    <w:name w:val="03100 Body Text Char"/>
    <w:basedOn w:val="DefaultParagraphFont"/>
    <w:link w:val="03100BodyText"/>
    <w:rsid w:val="00EE1FB9"/>
    <w:rPr>
      <w:rFonts w:asciiTheme="majorHAnsi" w:hAnsiTheme="majorHAnsi" w:cstheme="minorHAnsi"/>
    </w:rPr>
  </w:style>
  <w:style w:type="paragraph" w:styleId="TOC2">
    <w:name w:val="toc 2"/>
    <w:basedOn w:val="Normal"/>
    <w:next w:val="Normal"/>
    <w:autoRedefine/>
    <w:uiPriority w:val="39"/>
    <w:unhideWhenUsed/>
    <w:rsid w:val="00177A40"/>
    <w:pPr>
      <w:spacing w:after="100"/>
      <w:ind w:left="220"/>
    </w:pPr>
  </w:style>
  <w:style w:type="paragraph" w:styleId="BodyText">
    <w:name w:val="Body Text"/>
    <w:basedOn w:val="Normal"/>
    <w:link w:val="BodyTextChar"/>
    <w:uiPriority w:val="99"/>
    <w:unhideWhenUsed/>
    <w:rsid w:val="00A527AF"/>
  </w:style>
  <w:style w:type="paragraph" w:styleId="TableofFigures">
    <w:name w:val="table of figures"/>
    <w:basedOn w:val="Normal"/>
    <w:next w:val="Normal"/>
    <w:uiPriority w:val="99"/>
    <w:unhideWhenUsed/>
    <w:rsid w:val="00FA5AC8"/>
    <w:pPr>
      <w:spacing w:after="0"/>
    </w:pPr>
  </w:style>
  <w:style w:type="character" w:customStyle="1" w:styleId="BodyTextChar">
    <w:name w:val="Body Text Char"/>
    <w:basedOn w:val="DefaultParagraphFont"/>
    <w:link w:val="BodyText"/>
    <w:uiPriority w:val="99"/>
    <w:rsid w:val="00A527AF"/>
    <w:rPr>
      <w:rFonts w:ascii="Calibri" w:hAnsi="Calibri"/>
    </w:rPr>
  </w:style>
  <w:style w:type="character" w:customStyle="1" w:styleId="Heading7Char">
    <w:name w:val="Heading 7 Char"/>
    <w:basedOn w:val="DefaultParagraphFont"/>
    <w:link w:val="Heading7"/>
    <w:uiPriority w:val="9"/>
    <w:rsid w:val="00485C8A"/>
    <w:rPr>
      <w:rFonts w:asciiTheme="majorHAnsi" w:eastAsiaTheme="majorEastAsia" w:hAnsiTheme="majorHAnsi" w:cstheme="majorBidi"/>
      <w:i/>
      <w:iCs/>
      <w:color w:val="1F4D78" w:themeColor="accent1" w:themeShade="7F"/>
    </w:rPr>
  </w:style>
  <w:style w:type="table" w:customStyle="1" w:styleId="GridTable4-Accent31">
    <w:name w:val="Grid Table 4 - Accent 31"/>
    <w:basedOn w:val="TableNormal"/>
    <w:next w:val="GridTable4-Accent32"/>
    <w:uiPriority w:val="49"/>
    <w:rsid w:val="008F4AC0"/>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2">
    <w:name w:val="Grid Table 4 - Accent 32"/>
    <w:basedOn w:val="TableNormal"/>
    <w:uiPriority w:val="49"/>
    <w:rsid w:val="00DE5949"/>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0">
    <w:name w:val="Grid Table 4 - Accent 32"/>
    <w:basedOn w:val="TableNormal"/>
    <w:next w:val="GridTable4-Accent32"/>
    <w:uiPriority w:val="49"/>
    <w:rsid w:val="00E64E74"/>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rFonts w:asciiTheme="minorHAnsi" w:hAnsiTheme="minorHAnsi"/>
        <w:b/>
        <w:bCs/>
        <w:caps w:val="0"/>
        <w:smallCaps/>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bottom"/>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3">
    <w:name w:val="Grid Table 4 - Accent 33"/>
    <w:basedOn w:val="TableNormal"/>
    <w:next w:val="GridTable4-Accent32"/>
    <w:uiPriority w:val="49"/>
    <w:rsid w:val="00B57017"/>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rFonts w:asciiTheme="minorHAnsi" w:hAnsiTheme="minorHAnsi"/>
        <w:b/>
        <w:bCs/>
        <w:caps w:val="0"/>
        <w:smallCaps/>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bottom"/>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4">
    <w:name w:val="Grid Table 4 - Accent 34"/>
    <w:basedOn w:val="TableNormal"/>
    <w:next w:val="GridTable4-Accent32"/>
    <w:uiPriority w:val="49"/>
    <w:rsid w:val="009C13EA"/>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rFonts w:asciiTheme="minorHAnsi" w:hAnsiTheme="minorHAnsi"/>
        <w:b/>
        <w:bCs/>
        <w:caps w:val="0"/>
        <w:smallCaps/>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bottom"/>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5">
    <w:name w:val="Grid Table 4 - Accent 35"/>
    <w:basedOn w:val="TableNormal"/>
    <w:next w:val="GridTable4-Accent32"/>
    <w:uiPriority w:val="49"/>
    <w:rsid w:val="00C108F0"/>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6">
    <w:name w:val="Grid Table 4 - Accent 36"/>
    <w:basedOn w:val="TableNormal"/>
    <w:next w:val="GridTable4-Accent32"/>
    <w:uiPriority w:val="49"/>
    <w:rsid w:val="00297A69"/>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7">
    <w:name w:val="Grid Table 4 - Accent 37"/>
    <w:basedOn w:val="TableNormal"/>
    <w:next w:val="GridTable4-Accent32"/>
    <w:uiPriority w:val="49"/>
    <w:rsid w:val="00243E02"/>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8">
    <w:name w:val="Grid Table 4 - Accent 38"/>
    <w:basedOn w:val="TableNormal"/>
    <w:next w:val="GridTable4-Accent32"/>
    <w:uiPriority w:val="49"/>
    <w:rsid w:val="00334D2C"/>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9">
    <w:name w:val="Grid Table 4 - Accent 39"/>
    <w:basedOn w:val="TableNormal"/>
    <w:next w:val="GridTable4-Accent32"/>
    <w:uiPriority w:val="49"/>
    <w:rsid w:val="002360E1"/>
    <w:pPr>
      <w:spacing w:after="0" w:line="240" w:lineRule="auto"/>
    </w:pPr>
    <w:rPr>
      <w:sz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pPr>
        <w:jc w:val="center"/>
      </w:pPr>
      <w:rPr>
        <w:rFonts w:ascii="Calibri" w:hAnsi="Calibri"/>
        <w:b/>
        <w:bCs/>
        <w:caps w:val="0"/>
        <w:smallCaps/>
        <w:color w:val="FFFFFF"/>
        <w:sz w:val="24"/>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vAlign w:val="bottom"/>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0">
    <w:name w:val="Grid Table 4 - Accent 310"/>
    <w:basedOn w:val="TableNormal"/>
    <w:uiPriority w:val="49"/>
    <w:rsid w:val="009A6B5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BD5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633A9"/>
    <w:pPr>
      <w:spacing w:after="0" w:line="240" w:lineRule="auto"/>
    </w:pPr>
    <w:rPr>
      <w:rFonts w:ascii="Cambria" w:hAnsi="Cambria"/>
    </w:rPr>
  </w:style>
  <w:style w:type="table" w:customStyle="1" w:styleId="GridTable4Accent3">
    <w:name w:val="Grid Table 4 Accent 3"/>
    <w:basedOn w:val="TableNormal"/>
    <w:uiPriority w:val="49"/>
    <w:rsid w:val="00D262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18526">
      <w:bodyDiv w:val="1"/>
      <w:marLeft w:val="0"/>
      <w:marRight w:val="0"/>
      <w:marTop w:val="0"/>
      <w:marBottom w:val="0"/>
      <w:divBdr>
        <w:top w:val="none" w:sz="0" w:space="0" w:color="auto"/>
        <w:left w:val="none" w:sz="0" w:space="0" w:color="auto"/>
        <w:bottom w:val="none" w:sz="0" w:space="0" w:color="auto"/>
        <w:right w:val="none" w:sz="0" w:space="0" w:color="auto"/>
      </w:divBdr>
    </w:div>
    <w:div w:id="225453737">
      <w:bodyDiv w:val="1"/>
      <w:marLeft w:val="0"/>
      <w:marRight w:val="0"/>
      <w:marTop w:val="0"/>
      <w:marBottom w:val="0"/>
      <w:divBdr>
        <w:top w:val="none" w:sz="0" w:space="0" w:color="auto"/>
        <w:left w:val="none" w:sz="0" w:space="0" w:color="auto"/>
        <w:bottom w:val="none" w:sz="0" w:space="0" w:color="auto"/>
        <w:right w:val="none" w:sz="0" w:space="0" w:color="auto"/>
      </w:divBdr>
      <w:divsChild>
        <w:div w:id="276958222">
          <w:marLeft w:val="1166"/>
          <w:marRight w:val="0"/>
          <w:marTop w:val="0"/>
          <w:marBottom w:val="120"/>
          <w:divBdr>
            <w:top w:val="none" w:sz="0" w:space="0" w:color="auto"/>
            <w:left w:val="none" w:sz="0" w:space="0" w:color="auto"/>
            <w:bottom w:val="none" w:sz="0" w:space="0" w:color="auto"/>
            <w:right w:val="none" w:sz="0" w:space="0" w:color="auto"/>
          </w:divBdr>
        </w:div>
        <w:div w:id="914974953">
          <w:marLeft w:val="1166"/>
          <w:marRight w:val="0"/>
          <w:marTop w:val="0"/>
          <w:marBottom w:val="120"/>
          <w:divBdr>
            <w:top w:val="none" w:sz="0" w:space="0" w:color="auto"/>
            <w:left w:val="none" w:sz="0" w:space="0" w:color="auto"/>
            <w:bottom w:val="none" w:sz="0" w:space="0" w:color="auto"/>
            <w:right w:val="none" w:sz="0" w:space="0" w:color="auto"/>
          </w:divBdr>
        </w:div>
        <w:div w:id="2051680580">
          <w:marLeft w:val="446"/>
          <w:marRight w:val="0"/>
          <w:marTop w:val="0"/>
          <w:marBottom w:val="120"/>
          <w:divBdr>
            <w:top w:val="none" w:sz="0" w:space="0" w:color="auto"/>
            <w:left w:val="none" w:sz="0" w:space="0" w:color="auto"/>
            <w:bottom w:val="none" w:sz="0" w:space="0" w:color="auto"/>
            <w:right w:val="none" w:sz="0" w:space="0" w:color="auto"/>
          </w:divBdr>
        </w:div>
      </w:divsChild>
    </w:div>
    <w:div w:id="264074621">
      <w:bodyDiv w:val="1"/>
      <w:marLeft w:val="0"/>
      <w:marRight w:val="0"/>
      <w:marTop w:val="0"/>
      <w:marBottom w:val="0"/>
      <w:divBdr>
        <w:top w:val="none" w:sz="0" w:space="0" w:color="auto"/>
        <w:left w:val="none" w:sz="0" w:space="0" w:color="auto"/>
        <w:bottom w:val="none" w:sz="0" w:space="0" w:color="auto"/>
        <w:right w:val="none" w:sz="0" w:space="0" w:color="auto"/>
      </w:divBdr>
    </w:div>
    <w:div w:id="270095399">
      <w:bodyDiv w:val="1"/>
      <w:marLeft w:val="0"/>
      <w:marRight w:val="0"/>
      <w:marTop w:val="0"/>
      <w:marBottom w:val="0"/>
      <w:divBdr>
        <w:top w:val="none" w:sz="0" w:space="0" w:color="auto"/>
        <w:left w:val="none" w:sz="0" w:space="0" w:color="auto"/>
        <w:bottom w:val="none" w:sz="0" w:space="0" w:color="auto"/>
        <w:right w:val="none" w:sz="0" w:space="0" w:color="auto"/>
      </w:divBdr>
    </w:div>
    <w:div w:id="333845707">
      <w:bodyDiv w:val="1"/>
      <w:marLeft w:val="0"/>
      <w:marRight w:val="0"/>
      <w:marTop w:val="0"/>
      <w:marBottom w:val="0"/>
      <w:divBdr>
        <w:top w:val="none" w:sz="0" w:space="0" w:color="auto"/>
        <w:left w:val="none" w:sz="0" w:space="0" w:color="auto"/>
        <w:bottom w:val="none" w:sz="0" w:space="0" w:color="auto"/>
        <w:right w:val="none" w:sz="0" w:space="0" w:color="auto"/>
      </w:divBdr>
    </w:div>
    <w:div w:id="375668500">
      <w:bodyDiv w:val="1"/>
      <w:marLeft w:val="0"/>
      <w:marRight w:val="0"/>
      <w:marTop w:val="0"/>
      <w:marBottom w:val="0"/>
      <w:divBdr>
        <w:top w:val="none" w:sz="0" w:space="0" w:color="auto"/>
        <w:left w:val="none" w:sz="0" w:space="0" w:color="auto"/>
        <w:bottom w:val="none" w:sz="0" w:space="0" w:color="auto"/>
        <w:right w:val="none" w:sz="0" w:space="0" w:color="auto"/>
      </w:divBdr>
    </w:div>
    <w:div w:id="399400762">
      <w:bodyDiv w:val="1"/>
      <w:marLeft w:val="0"/>
      <w:marRight w:val="0"/>
      <w:marTop w:val="0"/>
      <w:marBottom w:val="0"/>
      <w:divBdr>
        <w:top w:val="none" w:sz="0" w:space="0" w:color="auto"/>
        <w:left w:val="none" w:sz="0" w:space="0" w:color="auto"/>
        <w:bottom w:val="none" w:sz="0" w:space="0" w:color="auto"/>
        <w:right w:val="none" w:sz="0" w:space="0" w:color="auto"/>
      </w:divBdr>
    </w:div>
    <w:div w:id="417019091">
      <w:bodyDiv w:val="1"/>
      <w:marLeft w:val="0"/>
      <w:marRight w:val="0"/>
      <w:marTop w:val="0"/>
      <w:marBottom w:val="0"/>
      <w:divBdr>
        <w:top w:val="none" w:sz="0" w:space="0" w:color="auto"/>
        <w:left w:val="none" w:sz="0" w:space="0" w:color="auto"/>
        <w:bottom w:val="none" w:sz="0" w:space="0" w:color="auto"/>
        <w:right w:val="none" w:sz="0" w:space="0" w:color="auto"/>
      </w:divBdr>
    </w:div>
    <w:div w:id="491726703">
      <w:bodyDiv w:val="1"/>
      <w:marLeft w:val="0"/>
      <w:marRight w:val="0"/>
      <w:marTop w:val="0"/>
      <w:marBottom w:val="0"/>
      <w:divBdr>
        <w:top w:val="none" w:sz="0" w:space="0" w:color="auto"/>
        <w:left w:val="none" w:sz="0" w:space="0" w:color="auto"/>
        <w:bottom w:val="none" w:sz="0" w:space="0" w:color="auto"/>
        <w:right w:val="none" w:sz="0" w:space="0" w:color="auto"/>
      </w:divBdr>
    </w:div>
    <w:div w:id="504710112">
      <w:bodyDiv w:val="1"/>
      <w:marLeft w:val="0"/>
      <w:marRight w:val="0"/>
      <w:marTop w:val="0"/>
      <w:marBottom w:val="0"/>
      <w:divBdr>
        <w:top w:val="none" w:sz="0" w:space="0" w:color="auto"/>
        <w:left w:val="none" w:sz="0" w:space="0" w:color="auto"/>
        <w:bottom w:val="none" w:sz="0" w:space="0" w:color="auto"/>
        <w:right w:val="none" w:sz="0" w:space="0" w:color="auto"/>
      </w:divBdr>
    </w:div>
    <w:div w:id="639725948">
      <w:bodyDiv w:val="1"/>
      <w:marLeft w:val="0"/>
      <w:marRight w:val="0"/>
      <w:marTop w:val="0"/>
      <w:marBottom w:val="0"/>
      <w:divBdr>
        <w:top w:val="none" w:sz="0" w:space="0" w:color="auto"/>
        <w:left w:val="none" w:sz="0" w:space="0" w:color="auto"/>
        <w:bottom w:val="none" w:sz="0" w:space="0" w:color="auto"/>
        <w:right w:val="none" w:sz="0" w:space="0" w:color="auto"/>
      </w:divBdr>
    </w:div>
    <w:div w:id="733889691">
      <w:bodyDiv w:val="1"/>
      <w:marLeft w:val="0"/>
      <w:marRight w:val="0"/>
      <w:marTop w:val="0"/>
      <w:marBottom w:val="0"/>
      <w:divBdr>
        <w:top w:val="none" w:sz="0" w:space="0" w:color="auto"/>
        <w:left w:val="none" w:sz="0" w:space="0" w:color="auto"/>
        <w:bottom w:val="none" w:sz="0" w:space="0" w:color="auto"/>
        <w:right w:val="none" w:sz="0" w:space="0" w:color="auto"/>
      </w:divBdr>
    </w:div>
    <w:div w:id="755976739">
      <w:bodyDiv w:val="1"/>
      <w:marLeft w:val="0"/>
      <w:marRight w:val="0"/>
      <w:marTop w:val="0"/>
      <w:marBottom w:val="0"/>
      <w:divBdr>
        <w:top w:val="none" w:sz="0" w:space="0" w:color="auto"/>
        <w:left w:val="none" w:sz="0" w:space="0" w:color="auto"/>
        <w:bottom w:val="none" w:sz="0" w:space="0" w:color="auto"/>
        <w:right w:val="none" w:sz="0" w:space="0" w:color="auto"/>
      </w:divBdr>
    </w:div>
    <w:div w:id="787747865">
      <w:bodyDiv w:val="1"/>
      <w:marLeft w:val="0"/>
      <w:marRight w:val="0"/>
      <w:marTop w:val="0"/>
      <w:marBottom w:val="0"/>
      <w:divBdr>
        <w:top w:val="none" w:sz="0" w:space="0" w:color="auto"/>
        <w:left w:val="none" w:sz="0" w:space="0" w:color="auto"/>
        <w:bottom w:val="none" w:sz="0" w:space="0" w:color="auto"/>
        <w:right w:val="none" w:sz="0" w:space="0" w:color="auto"/>
      </w:divBdr>
    </w:div>
    <w:div w:id="867763567">
      <w:bodyDiv w:val="1"/>
      <w:marLeft w:val="0"/>
      <w:marRight w:val="0"/>
      <w:marTop w:val="0"/>
      <w:marBottom w:val="0"/>
      <w:divBdr>
        <w:top w:val="none" w:sz="0" w:space="0" w:color="auto"/>
        <w:left w:val="none" w:sz="0" w:space="0" w:color="auto"/>
        <w:bottom w:val="none" w:sz="0" w:space="0" w:color="auto"/>
        <w:right w:val="none" w:sz="0" w:space="0" w:color="auto"/>
      </w:divBdr>
    </w:div>
    <w:div w:id="909072543">
      <w:bodyDiv w:val="1"/>
      <w:marLeft w:val="0"/>
      <w:marRight w:val="0"/>
      <w:marTop w:val="0"/>
      <w:marBottom w:val="0"/>
      <w:divBdr>
        <w:top w:val="none" w:sz="0" w:space="0" w:color="auto"/>
        <w:left w:val="none" w:sz="0" w:space="0" w:color="auto"/>
        <w:bottom w:val="none" w:sz="0" w:space="0" w:color="auto"/>
        <w:right w:val="none" w:sz="0" w:space="0" w:color="auto"/>
      </w:divBdr>
      <w:divsChild>
        <w:div w:id="200173963">
          <w:marLeft w:val="274"/>
          <w:marRight w:val="0"/>
          <w:marTop w:val="0"/>
          <w:marBottom w:val="0"/>
          <w:divBdr>
            <w:top w:val="none" w:sz="0" w:space="0" w:color="auto"/>
            <w:left w:val="none" w:sz="0" w:space="0" w:color="auto"/>
            <w:bottom w:val="none" w:sz="0" w:space="0" w:color="auto"/>
            <w:right w:val="none" w:sz="0" w:space="0" w:color="auto"/>
          </w:divBdr>
        </w:div>
        <w:div w:id="209195372">
          <w:marLeft w:val="446"/>
          <w:marRight w:val="0"/>
          <w:marTop w:val="0"/>
          <w:marBottom w:val="0"/>
          <w:divBdr>
            <w:top w:val="none" w:sz="0" w:space="0" w:color="auto"/>
            <w:left w:val="none" w:sz="0" w:space="0" w:color="auto"/>
            <w:bottom w:val="none" w:sz="0" w:space="0" w:color="auto"/>
            <w:right w:val="none" w:sz="0" w:space="0" w:color="auto"/>
          </w:divBdr>
        </w:div>
        <w:div w:id="440416854">
          <w:marLeft w:val="274"/>
          <w:marRight w:val="0"/>
          <w:marTop w:val="0"/>
          <w:marBottom w:val="0"/>
          <w:divBdr>
            <w:top w:val="none" w:sz="0" w:space="0" w:color="auto"/>
            <w:left w:val="none" w:sz="0" w:space="0" w:color="auto"/>
            <w:bottom w:val="none" w:sz="0" w:space="0" w:color="auto"/>
            <w:right w:val="none" w:sz="0" w:space="0" w:color="auto"/>
          </w:divBdr>
        </w:div>
        <w:div w:id="1163011517">
          <w:marLeft w:val="446"/>
          <w:marRight w:val="0"/>
          <w:marTop w:val="0"/>
          <w:marBottom w:val="0"/>
          <w:divBdr>
            <w:top w:val="none" w:sz="0" w:space="0" w:color="auto"/>
            <w:left w:val="none" w:sz="0" w:space="0" w:color="auto"/>
            <w:bottom w:val="none" w:sz="0" w:space="0" w:color="auto"/>
            <w:right w:val="none" w:sz="0" w:space="0" w:color="auto"/>
          </w:divBdr>
        </w:div>
        <w:div w:id="1199120707">
          <w:marLeft w:val="446"/>
          <w:marRight w:val="0"/>
          <w:marTop w:val="0"/>
          <w:marBottom w:val="0"/>
          <w:divBdr>
            <w:top w:val="none" w:sz="0" w:space="0" w:color="auto"/>
            <w:left w:val="none" w:sz="0" w:space="0" w:color="auto"/>
            <w:bottom w:val="none" w:sz="0" w:space="0" w:color="auto"/>
            <w:right w:val="none" w:sz="0" w:space="0" w:color="auto"/>
          </w:divBdr>
        </w:div>
        <w:div w:id="1561403261">
          <w:marLeft w:val="446"/>
          <w:marRight w:val="0"/>
          <w:marTop w:val="0"/>
          <w:marBottom w:val="0"/>
          <w:divBdr>
            <w:top w:val="none" w:sz="0" w:space="0" w:color="auto"/>
            <w:left w:val="none" w:sz="0" w:space="0" w:color="auto"/>
            <w:bottom w:val="none" w:sz="0" w:space="0" w:color="auto"/>
            <w:right w:val="none" w:sz="0" w:space="0" w:color="auto"/>
          </w:divBdr>
        </w:div>
        <w:div w:id="1631014948">
          <w:marLeft w:val="446"/>
          <w:marRight w:val="0"/>
          <w:marTop w:val="0"/>
          <w:marBottom w:val="0"/>
          <w:divBdr>
            <w:top w:val="none" w:sz="0" w:space="0" w:color="auto"/>
            <w:left w:val="none" w:sz="0" w:space="0" w:color="auto"/>
            <w:bottom w:val="none" w:sz="0" w:space="0" w:color="auto"/>
            <w:right w:val="none" w:sz="0" w:space="0" w:color="auto"/>
          </w:divBdr>
        </w:div>
        <w:div w:id="1850294532">
          <w:marLeft w:val="446"/>
          <w:marRight w:val="0"/>
          <w:marTop w:val="0"/>
          <w:marBottom w:val="0"/>
          <w:divBdr>
            <w:top w:val="none" w:sz="0" w:space="0" w:color="auto"/>
            <w:left w:val="none" w:sz="0" w:space="0" w:color="auto"/>
            <w:bottom w:val="none" w:sz="0" w:space="0" w:color="auto"/>
            <w:right w:val="none" w:sz="0" w:space="0" w:color="auto"/>
          </w:divBdr>
        </w:div>
        <w:div w:id="1857961986">
          <w:marLeft w:val="446"/>
          <w:marRight w:val="0"/>
          <w:marTop w:val="0"/>
          <w:marBottom w:val="0"/>
          <w:divBdr>
            <w:top w:val="none" w:sz="0" w:space="0" w:color="auto"/>
            <w:left w:val="none" w:sz="0" w:space="0" w:color="auto"/>
            <w:bottom w:val="none" w:sz="0" w:space="0" w:color="auto"/>
            <w:right w:val="none" w:sz="0" w:space="0" w:color="auto"/>
          </w:divBdr>
        </w:div>
        <w:div w:id="2076588033">
          <w:marLeft w:val="274"/>
          <w:marRight w:val="0"/>
          <w:marTop w:val="0"/>
          <w:marBottom w:val="0"/>
          <w:divBdr>
            <w:top w:val="none" w:sz="0" w:space="0" w:color="auto"/>
            <w:left w:val="none" w:sz="0" w:space="0" w:color="auto"/>
            <w:bottom w:val="none" w:sz="0" w:space="0" w:color="auto"/>
            <w:right w:val="none" w:sz="0" w:space="0" w:color="auto"/>
          </w:divBdr>
        </w:div>
        <w:div w:id="2142337224">
          <w:marLeft w:val="446"/>
          <w:marRight w:val="0"/>
          <w:marTop w:val="0"/>
          <w:marBottom w:val="0"/>
          <w:divBdr>
            <w:top w:val="none" w:sz="0" w:space="0" w:color="auto"/>
            <w:left w:val="none" w:sz="0" w:space="0" w:color="auto"/>
            <w:bottom w:val="none" w:sz="0" w:space="0" w:color="auto"/>
            <w:right w:val="none" w:sz="0" w:space="0" w:color="auto"/>
          </w:divBdr>
        </w:div>
      </w:divsChild>
    </w:div>
    <w:div w:id="963536327">
      <w:bodyDiv w:val="1"/>
      <w:marLeft w:val="0"/>
      <w:marRight w:val="0"/>
      <w:marTop w:val="0"/>
      <w:marBottom w:val="0"/>
      <w:divBdr>
        <w:top w:val="none" w:sz="0" w:space="0" w:color="auto"/>
        <w:left w:val="none" w:sz="0" w:space="0" w:color="auto"/>
        <w:bottom w:val="none" w:sz="0" w:space="0" w:color="auto"/>
        <w:right w:val="none" w:sz="0" w:space="0" w:color="auto"/>
      </w:divBdr>
    </w:div>
    <w:div w:id="1025598065">
      <w:bodyDiv w:val="1"/>
      <w:marLeft w:val="0"/>
      <w:marRight w:val="0"/>
      <w:marTop w:val="0"/>
      <w:marBottom w:val="0"/>
      <w:divBdr>
        <w:top w:val="none" w:sz="0" w:space="0" w:color="auto"/>
        <w:left w:val="none" w:sz="0" w:space="0" w:color="auto"/>
        <w:bottom w:val="none" w:sz="0" w:space="0" w:color="auto"/>
        <w:right w:val="none" w:sz="0" w:space="0" w:color="auto"/>
      </w:divBdr>
    </w:div>
    <w:div w:id="1175999413">
      <w:bodyDiv w:val="1"/>
      <w:marLeft w:val="0"/>
      <w:marRight w:val="0"/>
      <w:marTop w:val="0"/>
      <w:marBottom w:val="0"/>
      <w:divBdr>
        <w:top w:val="none" w:sz="0" w:space="0" w:color="auto"/>
        <w:left w:val="none" w:sz="0" w:space="0" w:color="auto"/>
        <w:bottom w:val="none" w:sz="0" w:space="0" w:color="auto"/>
        <w:right w:val="none" w:sz="0" w:space="0" w:color="auto"/>
      </w:divBdr>
    </w:div>
    <w:div w:id="1182744959">
      <w:bodyDiv w:val="1"/>
      <w:marLeft w:val="0"/>
      <w:marRight w:val="0"/>
      <w:marTop w:val="0"/>
      <w:marBottom w:val="0"/>
      <w:divBdr>
        <w:top w:val="none" w:sz="0" w:space="0" w:color="auto"/>
        <w:left w:val="none" w:sz="0" w:space="0" w:color="auto"/>
        <w:bottom w:val="none" w:sz="0" w:space="0" w:color="auto"/>
        <w:right w:val="none" w:sz="0" w:space="0" w:color="auto"/>
      </w:divBdr>
    </w:div>
    <w:div w:id="1235167439">
      <w:bodyDiv w:val="1"/>
      <w:marLeft w:val="0"/>
      <w:marRight w:val="0"/>
      <w:marTop w:val="0"/>
      <w:marBottom w:val="0"/>
      <w:divBdr>
        <w:top w:val="none" w:sz="0" w:space="0" w:color="auto"/>
        <w:left w:val="none" w:sz="0" w:space="0" w:color="auto"/>
        <w:bottom w:val="none" w:sz="0" w:space="0" w:color="auto"/>
        <w:right w:val="none" w:sz="0" w:space="0" w:color="auto"/>
      </w:divBdr>
    </w:div>
    <w:div w:id="1243687814">
      <w:bodyDiv w:val="1"/>
      <w:marLeft w:val="0"/>
      <w:marRight w:val="0"/>
      <w:marTop w:val="0"/>
      <w:marBottom w:val="0"/>
      <w:divBdr>
        <w:top w:val="none" w:sz="0" w:space="0" w:color="auto"/>
        <w:left w:val="none" w:sz="0" w:space="0" w:color="auto"/>
        <w:bottom w:val="none" w:sz="0" w:space="0" w:color="auto"/>
        <w:right w:val="none" w:sz="0" w:space="0" w:color="auto"/>
      </w:divBdr>
    </w:div>
    <w:div w:id="1485395854">
      <w:bodyDiv w:val="1"/>
      <w:marLeft w:val="0"/>
      <w:marRight w:val="0"/>
      <w:marTop w:val="0"/>
      <w:marBottom w:val="0"/>
      <w:divBdr>
        <w:top w:val="none" w:sz="0" w:space="0" w:color="auto"/>
        <w:left w:val="none" w:sz="0" w:space="0" w:color="auto"/>
        <w:bottom w:val="none" w:sz="0" w:space="0" w:color="auto"/>
        <w:right w:val="none" w:sz="0" w:space="0" w:color="auto"/>
      </w:divBdr>
    </w:div>
    <w:div w:id="1511334245">
      <w:bodyDiv w:val="1"/>
      <w:marLeft w:val="0"/>
      <w:marRight w:val="0"/>
      <w:marTop w:val="0"/>
      <w:marBottom w:val="0"/>
      <w:divBdr>
        <w:top w:val="none" w:sz="0" w:space="0" w:color="auto"/>
        <w:left w:val="none" w:sz="0" w:space="0" w:color="auto"/>
        <w:bottom w:val="none" w:sz="0" w:space="0" w:color="auto"/>
        <w:right w:val="none" w:sz="0" w:space="0" w:color="auto"/>
      </w:divBdr>
    </w:div>
    <w:div w:id="1669942308">
      <w:bodyDiv w:val="1"/>
      <w:marLeft w:val="0"/>
      <w:marRight w:val="0"/>
      <w:marTop w:val="0"/>
      <w:marBottom w:val="0"/>
      <w:divBdr>
        <w:top w:val="none" w:sz="0" w:space="0" w:color="auto"/>
        <w:left w:val="none" w:sz="0" w:space="0" w:color="auto"/>
        <w:bottom w:val="none" w:sz="0" w:space="0" w:color="auto"/>
        <w:right w:val="none" w:sz="0" w:space="0" w:color="auto"/>
      </w:divBdr>
    </w:div>
    <w:div w:id="1706759317">
      <w:bodyDiv w:val="1"/>
      <w:marLeft w:val="0"/>
      <w:marRight w:val="0"/>
      <w:marTop w:val="0"/>
      <w:marBottom w:val="0"/>
      <w:divBdr>
        <w:top w:val="none" w:sz="0" w:space="0" w:color="auto"/>
        <w:left w:val="none" w:sz="0" w:space="0" w:color="auto"/>
        <w:bottom w:val="none" w:sz="0" w:space="0" w:color="auto"/>
        <w:right w:val="none" w:sz="0" w:space="0" w:color="auto"/>
      </w:divBdr>
    </w:div>
    <w:div w:id="1808427704">
      <w:bodyDiv w:val="1"/>
      <w:marLeft w:val="0"/>
      <w:marRight w:val="0"/>
      <w:marTop w:val="0"/>
      <w:marBottom w:val="0"/>
      <w:divBdr>
        <w:top w:val="none" w:sz="0" w:space="0" w:color="auto"/>
        <w:left w:val="none" w:sz="0" w:space="0" w:color="auto"/>
        <w:bottom w:val="none" w:sz="0" w:space="0" w:color="auto"/>
        <w:right w:val="none" w:sz="0" w:space="0" w:color="auto"/>
      </w:divBdr>
    </w:div>
    <w:div w:id="2008091633">
      <w:bodyDiv w:val="1"/>
      <w:marLeft w:val="0"/>
      <w:marRight w:val="0"/>
      <w:marTop w:val="0"/>
      <w:marBottom w:val="0"/>
      <w:divBdr>
        <w:top w:val="none" w:sz="0" w:space="0" w:color="auto"/>
        <w:left w:val="none" w:sz="0" w:space="0" w:color="auto"/>
        <w:bottom w:val="none" w:sz="0" w:space="0" w:color="auto"/>
        <w:right w:val="none" w:sz="0" w:space="0" w:color="auto"/>
      </w:divBdr>
    </w:div>
    <w:div w:id="212700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chart" Target="charts/chart2.xm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chart" Target="charts/chart1.xml"/><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image" Target="media/image17.emf"/><Relationship Id="rId10" Type="http://schemas.openxmlformats.org/officeDocument/2006/relationships/hyperlink" Target="http://www.ceadvisors.com" TargetMode="External"/><Relationship Id="rId19" Type="http://schemas.openxmlformats.org/officeDocument/2006/relationships/header" Target="header4.xml"/><Relationship Id="rId31" Type="http://schemas.openxmlformats.org/officeDocument/2006/relationships/image" Target="media/image12.emf"/><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s>
</file>

<file path=word/_rels/footnotes.xml.rels><?xml version="1.0" encoding="UTF-8" standalone="yes"?>
<Relationships xmlns="http://schemas.openxmlformats.org/package/2006/relationships"><Relationship Id="rId2" Type="http://schemas.openxmlformats.org/officeDocument/2006/relationships/hyperlink" Target="https://rbac.com/" TargetMode="External"/><Relationship Id="rId1" Type="http://schemas.openxmlformats.org/officeDocument/2006/relationships/hyperlink" Target="http://epis.com/aurora_xm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EAFS1\CEAData\(03200-03299)%20-%20Projects\03297%20-%20ISO-NE%20CONE%20and%20ORTP%20Analysis\Finance\WACC%20v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AFS1\CEAData\(03200-03299)%20-%20Projects\03297%20-%20ISO-NE%20CONE%20and%20ORTP%20Analysis\Draft%20Report\Copy%20of%20Discount%20rate%209-14-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1159230096239"/>
          <c:y val="5.0925925925925923E-2"/>
          <c:w val="0.88099737532808398"/>
          <c:h val="0.84147382618839317"/>
        </c:manualLayout>
      </c:layout>
      <c:lineChart>
        <c:grouping val="standard"/>
        <c:varyColors val="0"/>
        <c:ser>
          <c:idx val="0"/>
          <c:order val="0"/>
          <c:tx>
            <c:strRef>
              <c:f>COD!$T$14</c:f>
              <c:strCache>
                <c:ptCount val="1"/>
                <c:pt idx="0">
                  <c:v>B</c:v>
                </c:pt>
              </c:strCache>
            </c:strRef>
          </c:tx>
          <c:spPr>
            <a:ln w="28575" cap="rnd" cmpd="dbl">
              <a:solidFill>
                <a:schemeClr val="accent1"/>
              </a:solidFill>
              <a:prstDash val="solid"/>
              <a:round/>
            </a:ln>
            <a:effectLst/>
          </c:spPr>
          <c:marker>
            <c:symbol val="none"/>
          </c:marker>
          <c:dPt>
            <c:idx val="487"/>
            <c:bubble3D val="0"/>
            <c:extLst xmlns:c16r2="http://schemas.microsoft.com/office/drawing/2015/06/chart">
              <c:ext xmlns:c16="http://schemas.microsoft.com/office/drawing/2014/chart" uri="{C3380CC4-5D6E-409C-BE32-E72D297353CC}">
                <c16:uniqueId val="{00000000-21AB-48EB-B631-F7A934F728E8}"/>
              </c:ext>
            </c:extLst>
          </c:dPt>
          <c:cat>
            <c:numRef>
              <c:f>COD!$J$402:$J$1335</c:f>
              <c:numCache>
                <c:formatCode>yyyy\-mm\-dd</c:formatCode>
                <c:ptCount val="934"/>
                <c:pt idx="0">
                  <c:v>41276</c:v>
                </c:pt>
                <c:pt idx="1">
                  <c:v>41277</c:v>
                </c:pt>
                <c:pt idx="2">
                  <c:v>41278</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41316</c:v>
                </c:pt>
                <c:pt idx="29">
                  <c:v>41317</c:v>
                </c:pt>
                <c:pt idx="30">
                  <c:v>41318</c:v>
                </c:pt>
                <c:pt idx="31">
                  <c:v>41319</c:v>
                </c:pt>
                <c:pt idx="32">
                  <c:v>41320</c:v>
                </c:pt>
                <c:pt idx="33">
                  <c:v>41323</c:v>
                </c:pt>
                <c:pt idx="34">
                  <c:v>41324</c:v>
                </c:pt>
                <c:pt idx="35">
                  <c:v>41325</c:v>
                </c:pt>
                <c:pt idx="36">
                  <c:v>41326</c:v>
                </c:pt>
                <c:pt idx="37">
                  <c:v>41327</c:v>
                </c:pt>
                <c:pt idx="38">
                  <c:v>41330</c:v>
                </c:pt>
                <c:pt idx="39">
                  <c:v>41331</c:v>
                </c:pt>
                <c:pt idx="40">
                  <c:v>41332</c:v>
                </c:pt>
                <c:pt idx="41">
                  <c:v>41333</c:v>
                </c:pt>
                <c:pt idx="42">
                  <c:v>41334</c:v>
                </c:pt>
                <c:pt idx="43">
                  <c:v>41337</c:v>
                </c:pt>
                <c:pt idx="44">
                  <c:v>41338</c:v>
                </c:pt>
                <c:pt idx="45">
                  <c:v>41339</c:v>
                </c:pt>
                <c:pt idx="46">
                  <c:v>41340</c:v>
                </c:pt>
                <c:pt idx="47">
                  <c:v>41341</c:v>
                </c:pt>
                <c:pt idx="48">
                  <c:v>41344</c:v>
                </c:pt>
                <c:pt idx="49">
                  <c:v>41345</c:v>
                </c:pt>
                <c:pt idx="50">
                  <c:v>41346</c:v>
                </c:pt>
                <c:pt idx="51">
                  <c:v>41347</c:v>
                </c:pt>
                <c:pt idx="52">
                  <c:v>41348</c:v>
                </c:pt>
                <c:pt idx="53">
                  <c:v>41351</c:v>
                </c:pt>
                <c:pt idx="54">
                  <c:v>41352</c:v>
                </c:pt>
                <c:pt idx="55">
                  <c:v>41353</c:v>
                </c:pt>
                <c:pt idx="56">
                  <c:v>41354</c:v>
                </c:pt>
                <c:pt idx="57">
                  <c:v>41355</c:v>
                </c:pt>
                <c:pt idx="58">
                  <c:v>41358</c:v>
                </c:pt>
                <c:pt idx="59">
                  <c:v>41359</c:v>
                </c:pt>
                <c:pt idx="60">
                  <c:v>41360</c:v>
                </c:pt>
                <c:pt idx="61">
                  <c:v>41361</c:v>
                </c:pt>
                <c:pt idx="62">
                  <c:v>41364</c:v>
                </c:pt>
                <c:pt idx="63">
                  <c:v>41365</c:v>
                </c:pt>
                <c:pt idx="64">
                  <c:v>41366</c:v>
                </c:pt>
                <c:pt idx="65">
                  <c:v>41367</c:v>
                </c:pt>
                <c:pt idx="66">
                  <c:v>41368</c:v>
                </c:pt>
                <c:pt idx="67">
                  <c:v>41369</c:v>
                </c:pt>
                <c:pt idx="68">
                  <c:v>41372</c:v>
                </c:pt>
                <c:pt idx="69">
                  <c:v>41373</c:v>
                </c:pt>
                <c:pt idx="70">
                  <c:v>41374</c:v>
                </c:pt>
                <c:pt idx="71">
                  <c:v>41375</c:v>
                </c:pt>
                <c:pt idx="72">
                  <c:v>41376</c:v>
                </c:pt>
                <c:pt idx="73">
                  <c:v>41379</c:v>
                </c:pt>
                <c:pt idx="74">
                  <c:v>41380</c:v>
                </c:pt>
                <c:pt idx="75">
                  <c:v>41381</c:v>
                </c:pt>
                <c:pt idx="76">
                  <c:v>41382</c:v>
                </c:pt>
                <c:pt idx="77">
                  <c:v>41383</c:v>
                </c:pt>
                <c:pt idx="78">
                  <c:v>41386</c:v>
                </c:pt>
                <c:pt idx="79">
                  <c:v>41387</c:v>
                </c:pt>
                <c:pt idx="80">
                  <c:v>41388</c:v>
                </c:pt>
                <c:pt idx="81">
                  <c:v>41389</c:v>
                </c:pt>
                <c:pt idx="82">
                  <c:v>41390</c:v>
                </c:pt>
                <c:pt idx="83">
                  <c:v>41393</c:v>
                </c:pt>
                <c:pt idx="84">
                  <c:v>41394</c:v>
                </c:pt>
                <c:pt idx="85">
                  <c:v>41395</c:v>
                </c:pt>
                <c:pt idx="86">
                  <c:v>41396</c:v>
                </c:pt>
                <c:pt idx="87">
                  <c:v>41397</c:v>
                </c:pt>
                <c:pt idx="88">
                  <c:v>41400</c:v>
                </c:pt>
                <c:pt idx="89">
                  <c:v>41401</c:v>
                </c:pt>
                <c:pt idx="90">
                  <c:v>41402</c:v>
                </c:pt>
                <c:pt idx="91">
                  <c:v>41403</c:v>
                </c:pt>
                <c:pt idx="92">
                  <c:v>41404</c:v>
                </c:pt>
                <c:pt idx="93">
                  <c:v>41407</c:v>
                </c:pt>
                <c:pt idx="94">
                  <c:v>41408</c:v>
                </c:pt>
                <c:pt idx="95">
                  <c:v>41409</c:v>
                </c:pt>
                <c:pt idx="96">
                  <c:v>41410</c:v>
                </c:pt>
                <c:pt idx="97">
                  <c:v>41411</c:v>
                </c:pt>
                <c:pt idx="98">
                  <c:v>41414</c:v>
                </c:pt>
                <c:pt idx="99">
                  <c:v>41415</c:v>
                </c:pt>
                <c:pt idx="100">
                  <c:v>41416</c:v>
                </c:pt>
                <c:pt idx="101">
                  <c:v>41417</c:v>
                </c:pt>
                <c:pt idx="102">
                  <c:v>41418</c:v>
                </c:pt>
                <c:pt idx="103">
                  <c:v>41421</c:v>
                </c:pt>
                <c:pt idx="104">
                  <c:v>41422</c:v>
                </c:pt>
                <c:pt idx="105">
                  <c:v>41423</c:v>
                </c:pt>
                <c:pt idx="106">
                  <c:v>41424</c:v>
                </c:pt>
                <c:pt idx="107">
                  <c:v>41425</c:v>
                </c:pt>
                <c:pt idx="108">
                  <c:v>41428</c:v>
                </c:pt>
                <c:pt idx="109">
                  <c:v>41429</c:v>
                </c:pt>
                <c:pt idx="110">
                  <c:v>41430</c:v>
                </c:pt>
                <c:pt idx="111">
                  <c:v>41431</c:v>
                </c:pt>
                <c:pt idx="112">
                  <c:v>41432</c:v>
                </c:pt>
                <c:pt idx="113">
                  <c:v>41435</c:v>
                </c:pt>
                <c:pt idx="114">
                  <c:v>41436</c:v>
                </c:pt>
                <c:pt idx="115">
                  <c:v>41437</c:v>
                </c:pt>
                <c:pt idx="116">
                  <c:v>41438</c:v>
                </c:pt>
                <c:pt idx="117">
                  <c:v>41439</c:v>
                </c:pt>
                <c:pt idx="118">
                  <c:v>41442</c:v>
                </c:pt>
                <c:pt idx="119">
                  <c:v>41443</c:v>
                </c:pt>
                <c:pt idx="120">
                  <c:v>41444</c:v>
                </c:pt>
                <c:pt idx="121">
                  <c:v>41445</c:v>
                </c:pt>
                <c:pt idx="122">
                  <c:v>41446</c:v>
                </c:pt>
                <c:pt idx="123">
                  <c:v>41449</c:v>
                </c:pt>
                <c:pt idx="124">
                  <c:v>41450</c:v>
                </c:pt>
                <c:pt idx="125">
                  <c:v>41451</c:v>
                </c:pt>
                <c:pt idx="126">
                  <c:v>41452</c:v>
                </c:pt>
                <c:pt idx="127">
                  <c:v>41453</c:v>
                </c:pt>
                <c:pt idx="128">
                  <c:v>41455</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41519</c:v>
                </c:pt>
                <c:pt idx="174">
                  <c:v>41520</c:v>
                </c:pt>
                <c:pt idx="175">
                  <c:v>41521</c:v>
                </c:pt>
                <c:pt idx="176">
                  <c:v>41522</c:v>
                </c:pt>
                <c:pt idx="177">
                  <c:v>41523</c:v>
                </c:pt>
                <c:pt idx="178">
                  <c:v>41526</c:v>
                </c:pt>
                <c:pt idx="179">
                  <c:v>41527</c:v>
                </c:pt>
                <c:pt idx="180">
                  <c:v>41528</c:v>
                </c:pt>
                <c:pt idx="181">
                  <c:v>41529</c:v>
                </c:pt>
                <c:pt idx="182">
                  <c:v>41530</c:v>
                </c:pt>
                <c:pt idx="183">
                  <c:v>41533</c:v>
                </c:pt>
                <c:pt idx="184">
                  <c:v>41534</c:v>
                </c:pt>
                <c:pt idx="185">
                  <c:v>41535</c:v>
                </c:pt>
                <c:pt idx="186">
                  <c:v>41536</c:v>
                </c:pt>
                <c:pt idx="187">
                  <c:v>41537</c:v>
                </c:pt>
                <c:pt idx="188">
                  <c:v>41540</c:v>
                </c:pt>
                <c:pt idx="189">
                  <c:v>41541</c:v>
                </c:pt>
                <c:pt idx="190">
                  <c:v>41542</c:v>
                </c:pt>
                <c:pt idx="191">
                  <c:v>41543</c:v>
                </c:pt>
                <c:pt idx="192">
                  <c:v>41544</c:v>
                </c:pt>
                <c:pt idx="193">
                  <c:v>41547</c:v>
                </c:pt>
                <c:pt idx="194">
                  <c:v>41548</c:v>
                </c:pt>
                <c:pt idx="195">
                  <c:v>41549</c:v>
                </c:pt>
                <c:pt idx="196">
                  <c:v>41550</c:v>
                </c:pt>
                <c:pt idx="197">
                  <c:v>41551</c:v>
                </c:pt>
                <c:pt idx="198">
                  <c:v>41554</c:v>
                </c:pt>
                <c:pt idx="199">
                  <c:v>41555</c:v>
                </c:pt>
                <c:pt idx="200">
                  <c:v>41556</c:v>
                </c:pt>
                <c:pt idx="201">
                  <c:v>41557</c:v>
                </c:pt>
                <c:pt idx="202">
                  <c:v>41558</c:v>
                </c:pt>
                <c:pt idx="203">
                  <c:v>41561</c:v>
                </c:pt>
                <c:pt idx="204">
                  <c:v>41562</c:v>
                </c:pt>
                <c:pt idx="205">
                  <c:v>41563</c:v>
                </c:pt>
                <c:pt idx="206">
                  <c:v>41564</c:v>
                </c:pt>
                <c:pt idx="207">
                  <c:v>41565</c:v>
                </c:pt>
                <c:pt idx="208">
                  <c:v>41568</c:v>
                </c:pt>
                <c:pt idx="209">
                  <c:v>41569</c:v>
                </c:pt>
                <c:pt idx="210">
                  <c:v>41570</c:v>
                </c:pt>
                <c:pt idx="211">
                  <c:v>41571</c:v>
                </c:pt>
                <c:pt idx="212">
                  <c:v>41572</c:v>
                </c:pt>
                <c:pt idx="213">
                  <c:v>41575</c:v>
                </c:pt>
                <c:pt idx="214">
                  <c:v>41576</c:v>
                </c:pt>
                <c:pt idx="215">
                  <c:v>41577</c:v>
                </c:pt>
                <c:pt idx="216">
                  <c:v>41578</c:v>
                </c:pt>
                <c:pt idx="217">
                  <c:v>41579</c:v>
                </c:pt>
                <c:pt idx="218">
                  <c:v>41582</c:v>
                </c:pt>
                <c:pt idx="219">
                  <c:v>41583</c:v>
                </c:pt>
                <c:pt idx="220">
                  <c:v>41584</c:v>
                </c:pt>
                <c:pt idx="221">
                  <c:v>41585</c:v>
                </c:pt>
                <c:pt idx="222">
                  <c:v>41586</c:v>
                </c:pt>
                <c:pt idx="223">
                  <c:v>41589</c:v>
                </c:pt>
                <c:pt idx="224">
                  <c:v>41590</c:v>
                </c:pt>
                <c:pt idx="225">
                  <c:v>41591</c:v>
                </c:pt>
                <c:pt idx="226">
                  <c:v>41592</c:v>
                </c:pt>
                <c:pt idx="227">
                  <c:v>41593</c:v>
                </c:pt>
                <c:pt idx="228">
                  <c:v>41596</c:v>
                </c:pt>
                <c:pt idx="229">
                  <c:v>41597</c:v>
                </c:pt>
                <c:pt idx="230">
                  <c:v>41598</c:v>
                </c:pt>
                <c:pt idx="231">
                  <c:v>41599</c:v>
                </c:pt>
                <c:pt idx="232">
                  <c:v>41600</c:v>
                </c:pt>
                <c:pt idx="233">
                  <c:v>41603</c:v>
                </c:pt>
                <c:pt idx="234">
                  <c:v>41604</c:v>
                </c:pt>
                <c:pt idx="235">
                  <c:v>41605</c:v>
                </c:pt>
                <c:pt idx="236">
                  <c:v>41606</c:v>
                </c:pt>
                <c:pt idx="237">
                  <c:v>41607</c:v>
                </c:pt>
                <c:pt idx="238">
                  <c:v>41608</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41634</c:v>
                </c:pt>
                <c:pt idx="257">
                  <c:v>41635</c:v>
                </c:pt>
                <c:pt idx="258">
                  <c:v>41638</c:v>
                </c:pt>
                <c:pt idx="259">
                  <c:v>41639</c:v>
                </c:pt>
                <c:pt idx="260">
                  <c:v>41641</c:v>
                </c:pt>
                <c:pt idx="261">
                  <c:v>41642</c:v>
                </c:pt>
                <c:pt idx="262">
                  <c:v>41645</c:v>
                </c:pt>
                <c:pt idx="263">
                  <c:v>41646</c:v>
                </c:pt>
                <c:pt idx="264">
                  <c:v>41647</c:v>
                </c:pt>
                <c:pt idx="265">
                  <c:v>41648</c:v>
                </c:pt>
                <c:pt idx="266">
                  <c:v>41649</c:v>
                </c:pt>
                <c:pt idx="267">
                  <c:v>41652</c:v>
                </c:pt>
                <c:pt idx="268">
                  <c:v>41653</c:v>
                </c:pt>
                <c:pt idx="269">
                  <c:v>41654</c:v>
                </c:pt>
                <c:pt idx="270">
                  <c:v>41655</c:v>
                </c:pt>
                <c:pt idx="271">
                  <c:v>41656</c:v>
                </c:pt>
                <c:pt idx="272">
                  <c:v>41659</c:v>
                </c:pt>
                <c:pt idx="273">
                  <c:v>41660</c:v>
                </c:pt>
                <c:pt idx="274">
                  <c:v>41661</c:v>
                </c:pt>
                <c:pt idx="275">
                  <c:v>41662</c:v>
                </c:pt>
                <c:pt idx="276">
                  <c:v>41663</c:v>
                </c:pt>
                <c:pt idx="277">
                  <c:v>41666</c:v>
                </c:pt>
                <c:pt idx="278">
                  <c:v>41667</c:v>
                </c:pt>
                <c:pt idx="279">
                  <c:v>41668</c:v>
                </c:pt>
                <c:pt idx="280">
                  <c:v>41669</c:v>
                </c:pt>
                <c:pt idx="281">
                  <c:v>41670</c:v>
                </c:pt>
                <c:pt idx="282">
                  <c:v>41673</c:v>
                </c:pt>
                <c:pt idx="283">
                  <c:v>41674</c:v>
                </c:pt>
                <c:pt idx="284">
                  <c:v>41675</c:v>
                </c:pt>
                <c:pt idx="285">
                  <c:v>41676</c:v>
                </c:pt>
                <c:pt idx="286">
                  <c:v>41677</c:v>
                </c:pt>
                <c:pt idx="287">
                  <c:v>41680</c:v>
                </c:pt>
                <c:pt idx="288">
                  <c:v>41681</c:v>
                </c:pt>
                <c:pt idx="289">
                  <c:v>41682</c:v>
                </c:pt>
                <c:pt idx="290">
                  <c:v>41683</c:v>
                </c:pt>
                <c:pt idx="291">
                  <c:v>41684</c:v>
                </c:pt>
                <c:pt idx="292">
                  <c:v>41687</c:v>
                </c:pt>
                <c:pt idx="293">
                  <c:v>41688</c:v>
                </c:pt>
                <c:pt idx="294">
                  <c:v>41689</c:v>
                </c:pt>
                <c:pt idx="295">
                  <c:v>41690</c:v>
                </c:pt>
                <c:pt idx="296">
                  <c:v>41691</c:v>
                </c:pt>
                <c:pt idx="297">
                  <c:v>41694</c:v>
                </c:pt>
                <c:pt idx="298">
                  <c:v>41695</c:v>
                </c:pt>
                <c:pt idx="299">
                  <c:v>41696</c:v>
                </c:pt>
                <c:pt idx="300">
                  <c:v>41697</c:v>
                </c:pt>
                <c:pt idx="301">
                  <c:v>41698</c:v>
                </c:pt>
                <c:pt idx="302">
                  <c:v>41701</c:v>
                </c:pt>
                <c:pt idx="303">
                  <c:v>41702</c:v>
                </c:pt>
                <c:pt idx="304">
                  <c:v>41703</c:v>
                </c:pt>
                <c:pt idx="305">
                  <c:v>41704</c:v>
                </c:pt>
                <c:pt idx="306">
                  <c:v>41705</c:v>
                </c:pt>
                <c:pt idx="307">
                  <c:v>41708</c:v>
                </c:pt>
                <c:pt idx="308">
                  <c:v>41709</c:v>
                </c:pt>
                <c:pt idx="309">
                  <c:v>41710</c:v>
                </c:pt>
                <c:pt idx="310">
                  <c:v>41711</c:v>
                </c:pt>
                <c:pt idx="311">
                  <c:v>41712</c:v>
                </c:pt>
                <c:pt idx="312">
                  <c:v>41715</c:v>
                </c:pt>
                <c:pt idx="313">
                  <c:v>41716</c:v>
                </c:pt>
                <c:pt idx="314">
                  <c:v>41717</c:v>
                </c:pt>
                <c:pt idx="315">
                  <c:v>41718</c:v>
                </c:pt>
                <c:pt idx="316">
                  <c:v>41719</c:v>
                </c:pt>
                <c:pt idx="317">
                  <c:v>41722</c:v>
                </c:pt>
                <c:pt idx="318">
                  <c:v>41723</c:v>
                </c:pt>
                <c:pt idx="319">
                  <c:v>41724</c:v>
                </c:pt>
                <c:pt idx="320">
                  <c:v>41725</c:v>
                </c:pt>
                <c:pt idx="321">
                  <c:v>41726</c:v>
                </c:pt>
                <c:pt idx="322">
                  <c:v>41729</c:v>
                </c:pt>
                <c:pt idx="323">
                  <c:v>41730</c:v>
                </c:pt>
                <c:pt idx="324">
                  <c:v>41731</c:v>
                </c:pt>
                <c:pt idx="325">
                  <c:v>41732</c:v>
                </c:pt>
                <c:pt idx="326">
                  <c:v>41733</c:v>
                </c:pt>
                <c:pt idx="327">
                  <c:v>41736</c:v>
                </c:pt>
                <c:pt idx="328">
                  <c:v>41737</c:v>
                </c:pt>
                <c:pt idx="329">
                  <c:v>41738</c:v>
                </c:pt>
                <c:pt idx="330">
                  <c:v>41739</c:v>
                </c:pt>
                <c:pt idx="331">
                  <c:v>41740</c:v>
                </c:pt>
                <c:pt idx="332">
                  <c:v>41743</c:v>
                </c:pt>
                <c:pt idx="333">
                  <c:v>41744</c:v>
                </c:pt>
                <c:pt idx="334">
                  <c:v>41745</c:v>
                </c:pt>
                <c:pt idx="335">
                  <c:v>41746</c:v>
                </c:pt>
                <c:pt idx="336">
                  <c:v>41750</c:v>
                </c:pt>
                <c:pt idx="337">
                  <c:v>41751</c:v>
                </c:pt>
                <c:pt idx="338">
                  <c:v>41752</c:v>
                </c:pt>
                <c:pt idx="339">
                  <c:v>41753</c:v>
                </c:pt>
                <c:pt idx="340">
                  <c:v>41754</c:v>
                </c:pt>
                <c:pt idx="341">
                  <c:v>41757</c:v>
                </c:pt>
                <c:pt idx="342">
                  <c:v>41758</c:v>
                </c:pt>
                <c:pt idx="343">
                  <c:v>41759</c:v>
                </c:pt>
                <c:pt idx="344">
                  <c:v>41760</c:v>
                </c:pt>
                <c:pt idx="345">
                  <c:v>41761</c:v>
                </c:pt>
                <c:pt idx="346">
                  <c:v>41764</c:v>
                </c:pt>
                <c:pt idx="347">
                  <c:v>41765</c:v>
                </c:pt>
                <c:pt idx="348">
                  <c:v>41766</c:v>
                </c:pt>
                <c:pt idx="349">
                  <c:v>41767</c:v>
                </c:pt>
                <c:pt idx="350">
                  <c:v>41768</c:v>
                </c:pt>
                <c:pt idx="351">
                  <c:v>41771</c:v>
                </c:pt>
                <c:pt idx="352">
                  <c:v>41772</c:v>
                </c:pt>
                <c:pt idx="353">
                  <c:v>41773</c:v>
                </c:pt>
                <c:pt idx="354">
                  <c:v>41774</c:v>
                </c:pt>
                <c:pt idx="355">
                  <c:v>41775</c:v>
                </c:pt>
                <c:pt idx="356">
                  <c:v>41778</c:v>
                </c:pt>
                <c:pt idx="357">
                  <c:v>41779</c:v>
                </c:pt>
                <c:pt idx="358">
                  <c:v>41780</c:v>
                </c:pt>
                <c:pt idx="359">
                  <c:v>41781</c:v>
                </c:pt>
                <c:pt idx="360">
                  <c:v>41782</c:v>
                </c:pt>
                <c:pt idx="361">
                  <c:v>41785</c:v>
                </c:pt>
                <c:pt idx="362">
                  <c:v>41786</c:v>
                </c:pt>
                <c:pt idx="363">
                  <c:v>41787</c:v>
                </c:pt>
                <c:pt idx="364">
                  <c:v>41788</c:v>
                </c:pt>
                <c:pt idx="365">
                  <c:v>41789</c:v>
                </c:pt>
                <c:pt idx="366">
                  <c:v>41790</c:v>
                </c:pt>
                <c:pt idx="367">
                  <c:v>41792</c:v>
                </c:pt>
                <c:pt idx="368">
                  <c:v>41793</c:v>
                </c:pt>
                <c:pt idx="369">
                  <c:v>41794</c:v>
                </c:pt>
                <c:pt idx="370">
                  <c:v>41795</c:v>
                </c:pt>
                <c:pt idx="371">
                  <c:v>41796</c:v>
                </c:pt>
                <c:pt idx="372">
                  <c:v>41799</c:v>
                </c:pt>
                <c:pt idx="373">
                  <c:v>41800</c:v>
                </c:pt>
                <c:pt idx="374">
                  <c:v>41801</c:v>
                </c:pt>
                <c:pt idx="375">
                  <c:v>41802</c:v>
                </c:pt>
                <c:pt idx="376">
                  <c:v>41803</c:v>
                </c:pt>
                <c:pt idx="377">
                  <c:v>41806</c:v>
                </c:pt>
                <c:pt idx="378">
                  <c:v>41807</c:v>
                </c:pt>
                <c:pt idx="379">
                  <c:v>41808</c:v>
                </c:pt>
                <c:pt idx="380">
                  <c:v>41809</c:v>
                </c:pt>
                <c:pt idx="381">
                  <c:v>41810</c:v>
                </c:pt>
                <c:pt idx="382">
                  <c:v>41813</c:v>
                </c:pt>
                <c:pt idx="383">
                  <c:v>41814</c:v>
                </c:pt>
                <c:pt idx="384">
                  <c:v>41815</c:v>
                </c:pt>
                <c:pt idx="385">
                  <c:v>41816</c:v>
                </c:pt>
                <c:pt idx="386">
                  <c:v>41817</c:v>
                </c:pt>
                <c:pt idx="387">
                  <c:v>41820</c:v>
                </c:pt>
                <c:pt idx="388">
                  <c:v>41821</c:v>
                </c:pt>
                <c:pt idx="389">
                  <c:v>41822</c:v>
                </c:pt>
                <c:pt idx="390">
                  <c:v>41823</c:v>
                </c:pt>
                <c:pt idx="391">
                  <c:v>41824</c:v>
                </c:pt>
                <c:pt idx="392">
                  <c:v>41827</c:v>
                </c:pt>
                <c:pt idx="393">
                  <c:v>41828</c:v>
                </c:pt>
                <c:pt idx="394">
                  <c:v>41829</c:v>
                </c:pt>
                <c:pt idx="395">
                  <c:v>41830</c:v>
                </c:pt>
                <c:pt idx="396">
                  <c:v>41831</c:v>
                </c:pt>
                <c:pt idx="397">
                  <c:v>41834</c:v>
                </c:pt>
                <c:pt idx="398">
                  <c:v>41835</c:v>
                </c:pt>
                <c:pt idx="399">
                  <c:v>41836</c:v>
                </c:pt>
                <c:pt idx="400">
                  <c:v>41837</c:v>
                </c:pt>
                <c:pt idx="401">
                  <c:v>41838</c:v>
                </c:pt>
                <c:pt idx="402">
                  <c:v>41841</c:v>
                </c:pt>
                <c:pt idx="403">
                  <c:v>41842</c:v>
                </c:pt>
                <c:pt idx="404">
                  <c:v>41843</c:v>
                </c:pt>
                <c:pt idx="405">
                  <c:v>41844</c:v>
                </c:pt>
                <c:pt idx="406">
                  <c:v>41845</c:v>
                </c:pt>
                <c:pt idx="407">
                  <c:v>41848</c:v>
                </c:pt>
                <c:pt idx="408">
                  <c:v>41849</c:v>
                </c:pt>
                <c:pt idx="409">
                  <c:v>41850</c:v>
                </c:pt>
                <c:pt idx="410">
                  <c:v>41851</c:v>
                </c:pt>
                <c:pt idx="411">
                  <c:v>41852</c:v>
                </c:pt>
                <c:pt idx="412">
                  <c:v>41855</c:v>
                </c:pt>
                <c:pt idx="413">
                  <c:v>41856</c:v>
                </c:pt>
                <c:pt idx="414">
                  <c:v>41857</c:v>
                </c:pt>
                <c:pt idx="415">
                  <c:v>41858</c:v>
                </c:pt>
                <c:pt idx="416">
                  <c:v>41859</c:v>
                </c:pt>
                <c:pt idx="417">
                  <c:v>41862</c:v>
                </c:pt>
                <c:pt idx="418">
                  <c:v>41863</c:v>
                </c:pt>
                <c:pt idx="419">
                  <c:v>41864</c:v>
                </c:pt>
                <c:pt idx="420">
                  <c:v>41865</c:v>
                </c:pt>
                <c:pt idx="421">
                  <c:v>41866</c:v>
                </c:pt>
                <c:pt idx="422">
                  <c:v>41869</c:v>
                </c:pt>
                <c:pt idx="423">
                  <c:v>41870</c:v>
                </c:pt>
                <c:pt idx="424">
                  <c:v>41871</c:v>
                </c:pt>
                <c:pt idx="425">
                  <c:v>41872</c:v>
                </c:pt>
                <c:pt idx="426">
                  <c:v>41873</c:v>
                </c:pt>
                <c:pt idx="427">
                  <c:v>41876</c:v>
                </c:pt>
                <c:pt idx="428">
                  <c:v>41877</c:v>
                </c:pt>
                <c:pt idx="429">
                  <c:v>41878</c:v>
                </c:pt>
                <c:pt idx="430">
                  <c:v>41879</c:v>
                </c:pt>
                <c:pt idx="431">
                  <c:v>41880</c:v>
                </c:pt>
                <c:pt idx="432">
                  <c:v>41882</c:v>
                </c:pt>
                <c:pt idx="433">
                  <c:v>41883</c:v>
                </c:pt>
                <c:pt idx="434">
                  <c:v>41884</c:v>
                </c:pt>
                <c:pt idx="435">
                  <c:v>41885</c:v>
                </c:pt>
                <c:pt idx="436">
                  <c:v>41886</c:v>
                </c:pt>
                <c:pt idx="437">
                  <c:v>41887</c:v>
                </c:pt>
                <c:pt idx="438">
                  <c:v>41890</c:v>
                </c:pt>
                <c:pt idx="439">
                  <c:v>41891</c:v>
                </c:pt>
                <c:pt idx="440">
                  <c:v>41892</c:v>
                </c:pt>
                <c:pt idx="441">
                  <c:v>41893</c:v>
                </c:pt>
                <c:pt idx="442">
                  <c:v>41894</c:v>
                </c:pt>
                <c:pt idx="443">
                  <c:v>41897</c:v>
                </c:pt>
                <c:pt idx="444">
                  <c:v>41898</c:v>
                </c:pt>
                <c:pt idx="445">
                  <c:v>41899</c:v>
                </c:pt>
                <c:pt idx="446">
                  <c:v>41900</c:v>
                </c:pt>
                <c:pt idx="447">
                  <c:v>41901</c:v>
                </c:pt>
                <c:pt idx="448">
                  <c:v>41904</c:v>
                </c:pt>
                <c:pt idx="449">
                  <c:v>41905</c:v>
                </c:pt>
                <c:pt idx="450">
                  <c:v>41906</c:v>
                </c:pt>
                <c:pt idx="451">
                  <c:v>41907</c:v>
                </c:pt>
                <c:pt idx="452">
                  <c:v>41908</c:v>
                </c:pt>
                <c:pt idx="453">
                  <c:v>41911</c:v>
                </c:pt>
                <c:pt idx="454">
                  <c:v>41912</c:v>
                </c:pt>
                <c:pt idx="455">
                  <c:v>41913</c:v>
                </c:pt>
                <c:pt idx="456">
                  <c:v>41914</c:v>
                </c:pt>
                <c:pt idx="457">
                  <c:v>41915</c:v>
                </c:pt>
                <c:pt idx="458">
                  <c:v>41918</c:v>
                </c:pt>
                <c:pt idx="459">
                  <c:v>41919</c:v>
                </c:pt>
                <c:pt idx="460">
                  <c:v>41920</c:v>
                </c:pt>
                <c:pt idx="461">
                  <c:v>41921</c:v>
                </c:pt>
                <c:pt idx="462">
                  <c:v>41922</c:v>
                </c:pt>
                <c:pt idx="463">
                  <c:v>41925</c:v>
                </c:pt>
                <c:pt idx="464">
                  <c:v>41926</c:v>
                </c:pt>
                <c:pt idx="465">
                  <c:v>41927</c:v>
                </c:pt>
                <c:pt idx="466">
                  <c:v>41928</c:v>
                </c:pt>
                <c:pt idx="467">
                  <c:v>41929</c:v>
                </c:pt>
                <c:pt idx="468">
                  <c:v>41932</c:v>
                </c:pt>
                <c:pt idx="469">
                  <c:v>41933</c:v>
                </c:pt>
                <c:pt idx="470">
                  <c:v>41934</c:v>
                </c:pt>
                <c:pt idx="471">
                  <c:v>41935</c:v>
                </c:pt>
                <c:pt idx="472">
                  <c:v>41936</c:v>
                </c:pt>
                <c:pt idx="473">
                  <c:v>41939</c:v>
                </c:pt>
                <c:pt idx="474">
                  <c:v>41940</c:v>
                </c:pt>
                <c:pt idx="475">
                  <c:v>41941</c:v>
                </c:pt>
                <c:pt idx="476">
                  <c:v>41942</c:v>
                </c:pt>
                <c:pt idx="477">
                  <c:v>41943</c:v>
                </c:pt>
                <c:pt idx="478">
                  <c:v>41946</c:v>
                </c:pt>
                <c:pt idx="479">
                  <c:v>41947</c:v>
                </c:pt>
                <c:pt idx="480">
                  <c:v>41948</c:v>
                </c:pt>
                <c:pt idx="481">
                  <c:v>41949</c:v>
                </c:pt>
                <c:pt idx="482">
                  <c:v>41950</c:v>
                </c:pt>
                <c:pt idx="483">
                  <c:v>41953</c:v>
                </c:pt>
                <c:pt idx="484">
                  <c:v>41954</c:v>
                </c:pt>
                <c:pt idx="485">
                  <c:v>41955</c:v>
                </c:pt>
                <c:pt idx="486">
                  <c:v>41956</c:v>
                </c:pt>
                <c:pt idx="487">
                  <c:v>41957</c:v>
                </c:pt>
                <c:pt idx="488">
                  <c:v>41960</c:v>
                </c:pt>
                <c:pt idx="489">
                  <c:v>41961</c:v>
                </c:pt>
                <c:pt idx="490">
                  <c:v>41962</c:v>
                </c:pt>
                <c:pt idx="491">
                  <c:v>41963</c:v>
                </c:pt>
                <c:pt idx="492">
                  <c:v>41964</c:v>
                </c:pt>
                <c:pt idx="493">
                  <c:v>41967</c:v>
                </c:pt>
                <c:pt idx="494">
                  <c:v>41968</c:v>
                </c:pt>
                <c:pt idx="495">
                  <c:v>41969</c:v>
                </c:pt>
                <c:pt idx="496">
                  <c:v>41970</c:v>
                </c:pt>
                <c:pt idx="497">
                  <c:v>41971</c:v>
                </c:pt>
                <c:pt idx="498">
                  <c:v>41973</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41999</c:v>
                </c:pt>
                <c:pt idx="518">
                  <c:v>42002</c:v>
                </c:pt>
                <c:pt idx="519">
                  <c:v>42003</c:v>
                </c:pt>
                <c:pt idx="520">
                  <c:v>42004</c:v>
                </c:pt>
                <c:pt idx="521">
                  <c:v>42006</c:v>
                </c:pt>
                <c:pt idx="522">
                  <c:v>42009</c:v>
                </c:pt>
                <c:pt idx="523">
                  <c:v>42010</c:v>
                </c:pt>
                <c:pt idx="524">
                  <c:v>42011</c:v>
                </c:pt>
                <c:pt idx="525">
                  <c:v>42012</c:v>
                </c:pt>
                <c:pt idx="526">
                  <c:v>42013</c:v>
                </c:pt>
                <c:pt idx="527">
                  <c:v>42016</c:v>
                </c:pt>
                <c:pt idx="528">
                  <c:v>42017</c:v>
                </c:pt>
                <c:pt idx="529">
                  <c:v>42018</c:v>
                </c:pt>
                <c:pt idx="530">
                  <c:v>42019</c:v>
                </c:pt>
                <c:pt idx="531">
                  <c:v>42023</c:v>
                </c:pt>
                <c:pt idx="532">
                  <c:v>42024</c:v>
                </c:pt>
                <c:pt idx="533">
                  <c:v>42025</c:v>
                </c:pt>
                <c:pt idx="534">
                  <c:v>42026</c:v>
                </c:pt>
                <c:pt idx="535">
                  <c:v>42027</c:v>
                </c:pt>
                <c:pt idx="536">
                  <c:v>42030</c:v>
                </c:pt>
                <c:pt idx="537">
                  <c:v>42031</c:v>
                </c:pt>
                <c:pt idx="538">
                  <c:v>42032</c:v>
                </c:pt>
                <c:pt idx="539">
                  <c:v>42033</c:v>
                </c:pt>
                <c:pt idx="540">
                  <c:v>42034</c:v>
                </c:pt>
                <c:pt idx="541">
                  <c:v>42035</c:v>
                </c:pt>
                <c:pt idx="542">
                  <c:v>42037</c:v>
                </c:pt>
                <c:pt idx="543">
                  <c:v>42038</c:v>
                </c:pt>
                <c:pt idx="544">
                  <c:v>42039</c:v>
                </c:pt>
                <c:pt idx="545">
                  <c:v>42040</c:v>
                </c:pt>
                <c:pt idx="546">
                  <c:v>42041</c:v>
                </c:pt>
                <c:pt idx="547">
                  <c:v>42044</c:v>
                </c:pt>
                <c:pt idx="548">
                  <c:v>42045</c:v>
                </c:pt>
                <c:pt idx="549">
                  <c:v>42046</c:v>
                </c:pt>
                <c:pt idx="550">
                  <c:v>42047</c:v>
                </c:pt>
                <c:pt idx="551">
                  <c:v>42048</c:v>
                </c:pt>
                <c:pt idx="552">
                  <c:v>42051</c:v>
                </c:pt>
                <c:pt idx="553">
                  <c:v>42052</c:v>
                </c:pt>
                <c:pt idx="554">
                  <c:v>42053</c:v>
                </c:pt>
                <c:pt idx="555">
                  <c:v>42054</c:v>
                </c:pt>
                <c:pt idx="556">
                  <c:v>42055</c:v>
                </c:pt>
                <c:pt idx="557">
                  <c:v>42058</c:v>
                </c:pt>
                <c:pt idx="558">
                  <c:v>42059</c:v>
                </c:pt>
                <c:pt idx="559">
                  <c:v>42060</c:v>
                </c:pt>
                <c:pt idx="560">
                  <c:v>42061</c:v>
                </c:pt>
                <c:pt idx="561">
                  <c:v>42062</c:v>
                </c:pt>
                <c:pt idx="562">
                  <c:v>42063</c:v>
                </c:pt>
                <c:pt idx="563">
                  <c:v>42065</c:v>
                </c:pt>
                <c:pt idx="564">
                  <c:v>42066</c:v>
                </c:pt>
                <c:pt idx="565">
                  <c:v>42067</c:v>
                </c:pt>
                <c:pt idx="566">
                  <c:v>42068</c:v>
                </c:pt>
                <c:pt idx="567">
                  <c:v>42069</c:v>
                </c:pt>
                <c:pt idx="568">
                  <c:v>42072</c:v>
                </c:pt>
                <c:pt idx="569">
                  <c:v>42073</c:v>
                </c:pt>
                <c:pt idx="570">
                  <c:v>42074</c:v>
                </c:pt>
                <c:pt idx="571">
                  <c:v>42075</c:v>
                </c:pt>
                <c:pt idx="572">
                  <c:v>42076</c:v>
                </c:pt>
                <c:pt idx="573">
                  <c:v>42079</c:v>
                </c:pt>
                <c:pt idx="574">
                  <c:v>42080</c:v>
                </c:pt>
                <c:pt idx="575">
                  <c:v>42081</c:v>
                </c:pt>
                <c:pt idx="576">
                  <c:v>42082</c:v>
                </c:pt>
                <c:pt idx="577">
                  <c:v>42083</c:v>
                </c:pt>
                <c:pt idx="578">
                  <c:v>42086</c:v>
                </c:pt>
                <c:pt idx="579">
                  <c:v>42087</c:v>
                </c:pt>
                <c:pt idx="580">
                  <c:v>42088</c:v>
                </c:pt>
                <c:pt idx="581">
                  <c:v>42089</c:v>
                </c:pt>
                <c:pt idx="582">
                  <c:v>42090</c:v>
                </c:pt>
                <c:pt idx="583">
                  <c:v>42093</c:v>
                </c:pt>
                <c:pt idx="584">
                  <c:v>42094</c:v>
                </c:pt>
                <c:pt idx="585">
                  <c:v>42095</c:v>
                </c:pt>
                <c:pt idx="586">
                  <c:v>42096</c:v>
                </c:pt>
                <c:pt idx="587">
                  <c:v>42100</c:v>
                </c:pt>
                <c:pt idx="588">
                  <c:v>42101</c:v>
                </c:pt>
                <c:pt idx="589">
                  <c:v>42102</c:v>
                </c:pt>
                <c:pt idx="590">
                  <c:v>42103</c:v>
                </c:pt>
                <c:pt idx="591">
                  <c:v>42104</c:v>
                </c:pt>
                <c:pt idx="592">
                  <c:v>42107</c:v>
                </c:pt>
                <c:pt idx="593">
                  <c:v>42108</c:v>
                </c:pt>
                <c:pt idx="594">
                  <c:v>42109</c:v>
                </c:pt>
                <c:pt idx="595">
                  <c:v>42110</c:v>
                </c:pt>
                <c:pt idx="596">
                  <c:v>42111</c:v>
                </c:pt>
                <c:pt idx="597">
                  <c:v>42114</c:v>
                </c:pt>
                <c:pt idx="598">
                  <c:v>42115</c:v>
                </c:pt>
                <c:pt idx="599">
                  <c:v>42116</c:v>
                </c:pt>
                <c:pt idx="600">
                  <c:v>42117</c:v>
                </c:pt>
                <c:pt idx="601">
                  <c:v>42118</c:v>
                </c:pt>
                <c:pt idx="602">
                  <c:v>42121</c:v>
                </c:pt>
                <c:pt idx="603">
                  <c:v>42122</c:v>
                </c:pt>
                <c:pt idx="604">
                  <c:v>42123</c:v>
                </c:pt>
                <c:pt idx="605">
                  <c:v>42124</c:v>
                </c:pt>
                <c:pt idx="606">
                  <c:v>42125</c:v>
                </c:pt>
                <c:pt idx="607">
                  <c:v>42128</c:v>
                </c:pt>
                <c:pt idx="608">
                  <c:v>42129</c:v>
                </c:pt>
                <c:pt idx="609">
                  <c:v>42130</c:v>
                </c:pt>
                <c:pt idx="610">
                  <c:v>42131</c:v>
                </c:pt>
                <c:pt idx="611">
                  <c:v>42132</c:v>
                </c:pt>
                <c:pt idx="612">
                  <c:v>42135</c:v>
                </c:pt>
                <c:pt idx="613">
                  <c:v>42136</c:v>
                </c:pt>
                <c:pt idx="614">
                  <c:v>42137</c:v>
                </c:pt>
                <c:pt idx="615">
                  <c:v>42138</c:v>
                </c:pt>
                <c:pt idx="616">
                  <c:v>42139</c:v>
                </c:pt>
                <c:pt idx="617">
                  <c:v>42142</c:v>
                </c:pt>
                <c:pt idx="618">
                  <c:v>42143</c:v>
                </c:pt>
                <c:pt idx="619">
                  <c:v>42144</c:v>
                </c:pt>
                <c:pt idx="620">
                  <c:v>42145</c:v>
                </c:pt>
                <c:pt idx="621">
                  <c:v>42146</c:v>
                </c:pt>
                <c:pt idx="622">
                  <c:v>42150</c:v>
                </c:pt>
                <c:pt idx="623">
                  <c:v>42151</c:v>
                </c:pt>
                <c:pt idx="624">
                  <c:v>42152</c:v>
                </c:pt>
                <c:pt idx="625">
                  <c:v>42153</c:v>
                </c:pt>
                <c:pt idx="626">
                  <c:v>42155</c:v>
                </c:pt>
                <c:pt idx="627">
                  <c:v>42156</c:v>
                </c:pt>
                <c:pt idx="628">
                  <c:v>42157</c:v>
                </c:pt>
                <c:pt idx="629">
                  <c:v>42158</c:v>
                </c:pt>
                <c:pt idx="630">
                  <c:v>42159</c:v>
                </c:pt>
                <c:pt idx="631">
                  <c:v>42160</c:v>
                </c:pt>
                <c:pt idx="632">
                  <c:v>42163</c:v>
                </c:pt>
                <c:pt idx="633">
                  <c:v>42164</c:v>
                </c:pt>
                <c:pt idx="634">
                  <c:v>42165</c:v>
                </c:pt>
                <c:pt idx="635">
                  <c:v>42166</c:v>
                </c:pt>
                <c:pt idx="636">
                  <c:v>42167</c:v>
                </c:pt>
                <c:pt idx="637">
                  <c:v>42170</c:v>
                </c:pt>
                <c:pt idx="638">
                  <c:v>42171</c:v>
                </c:pt>
                <c:pt idx="639">
                  <c:v>42172</c:v>
                </c:pt>
                <c:pt idx="640">
                  <c:v>42173</c:v>
                </c:pt>
                <c:pt idx="641">
                  <c:v>42174</c:v>
                </c:pt>
                <c:pt idx="642">
                  <c:v>42177</c:v>
                </c:pt>
                <c:pt idx="643">
                  <c:v>42178</c:v>
                </c:pt>
                <c:pt idx="644">
                  <c:v>42179</c:v>
                </c:pt>
                <c:pt idx="645">
                  <c:v>42180</c:v>
                </c:pt>
                <c:pt idx="646">
                  <c:v>42181</c:v>
                </c:pt>
                <c:pt idx="647">
                  <c:v>42184</c:v>
                </c:pt>
                <c:pt idx="648">
                  <c:v>42185</c:v>
                </c:pt>
                <c:pt idx="649">
                  <c:v>42186</c:v>
                </c:pt>
                <c:pt idx="650">
                  <c:v>42187</c:v>
                </c:pt>
                <c:pt idx="651">
                  <c:v>42188</c:v>
                </c:pt>
                <c:pt idx="652">
                  <c:v>42191</c:v>
                </c:pt>
                <c:pt idx="653">
                  <c:v>42192</c:v>
                </c:pt>
                <c:pt idx="654">
                  <c:v>42193</c:v>
                </c:pt>
                <c:pt idx="655">
                  <c:v>42194</c:v>
                </c:pt>
                <c:pt idx="656">
                  <c:v>42195</c:v>
                </c:pt>
                <c:pt idx="657">
                  <c:v>42198</c:v>
                </c:pt>
                <c:pt idx="658">
                  <c:v>42199</c:v>
                </c:pt>
                <c:pt idx="659">
                  <c:v>42200</c:v>
                </c:pt>
                <c:pt idx="660">
                  <c:v>42201</c:v>
                </c:pt>
                <c:pt idx="661">
                  <c:v>42202</c:v>
                </c:pt>
                <c:pt idx="662">
                  <c:v>42205</c:v>
                </c:pt>
                <c:pt idx="663">
                  <c:v>42206</c:v>
                </c:pt>
                <c:pt idx="664">
                  <c:v>42207</c:v>
                </c:pt>
                <c:pt idx="665">
                  <c:v>42208</c:v>
                </c:pt>
                <c:pt idx="666">
                  <c:v>42209</c:v>
                </c:pt>
                <c:pt idx="667">
                  <c:v>42212</c:v>
                </c:pt>
                <c:pt idx="668">
                  <c:v>42213</c:v>
                </c:pt>
                <c:pt idx="669">
                  <c:v>42214</c:v>
                </c:pt>
                <c:pt idx="670">
                  <c:v>42215</c:v>
                </c:pt>
                <c:pt idx="671">
                  <c:v>42216</c:v>
                </c:pt>
                <c:pt idx="672">
                  <c:v>42219</c:v>
                </c:pt>
                <c:pt idx="673">
                  <c:v>42220</c:v>
                </c:pt>
                <c:pt idx="674">
                  <c:v>42221</c:v>
                </c:pt>
                <c:pt idx="675">
                  <c:v>42222</c:v>
                </c:pt>
                <c:pt idx="676">
                  <c:v>42223</c:v>
                </c:pt>
                <c:pt idx="677">
                  <c:v>42226</c:v>
                </c:pt>
                <c:pt idx="678">
                  <c:v>42227</c:v>
                </c:pt>
                <c:pt idx="679">
                  <c:v>42228</c:v>
                </c:pt>
                <c:pt idx="680">
                  <c:v>42229</c:v>
                </c:pt>
                <c:pt idx="681">
                  <c:v>42230</c:v>
                </c:pt>
                <c:pt idx="682">
                  <c:v>42233</c:v>
                </c:pt>
                <c:pt idx="683">
                  <c:v>42234</c:v>
                </c:pt>
                <c:pt idx="684">
                  <c:v>42235</c:v>
                </c:pt>
                <c:pt idx="685">
                  <c:v>42236</c:v>
                </c:pt>
                <c:pt idx="686">
                  <c:v>42237</c:v>
                </c:pt>
                <c:pt idx="687">
                  <c:v>42240</c:v>
                </c:pt>
                <c:pt idx="688">
                  <c:v>42241</c:v>
                </c:pt>
                <c:pt idx="689">
                  <c:v>42242</c:v>
                </c:pt>
                <c:pt idx="690">
                  <c:v>42243</c:v>
                </c:pt>
                <c:pt idx="691">
                  <c:v>42244</c:v>
                </c:pt>
                <c:pt idx="692">
                  <c:v>42247</c:v>
                </c:pt>
                <c:pt idx="693">
                  <c:v>42248</c:v>
                </c:pt>
                <c:pt idx="694">
                  <c:v>42249</c:v>
                </c:pt>
                <c:pt idx="695">
                  <c:v>42250</c:v>
                </c:pt>
                <c:pt idx="696">
                  <c:v>42251</c:v>
                </c:pt>
                <c:pt idx="697">
                  <c:v>42254</c:v>
                </c:pt>
                <c:pt idx="698">
                  <c:v>42255</c:v>
                </c:pt>
                <c:pt idx="699">
                  <c:v>42256</c:v>
                </c:pt>
                <c:pt idx="700">
                  <c:v>42257</c:v>
                </c:pt>
                <c:pt idx="701">
                  <c:v>42258</c:v>
                </c:pt>
                <c:pt idx="702">
                  <c:v>42261</c:v>
                </c:pt>
                <c:pt idx="703">
                  <c:v>42262</c:v>
                </c:pt>
                <c:pt idx="704">
                  <c:v>42263</c:v>
                </c:pt>
                <c:pt idx="705">
                  <c:v>42264</c:v>
                </c:pt>
                <c:pt idx="706">
                  <c:v>42265</c:v>
                </c:pt>
                <c:pt idx="707">
                  <c:v>42268</c:v>
                </c:pt>
                <c:pt idx="708">
                  <c:v>42269</c:v>
                </c:pt>
                <c:pt idx="709">
                  <c:v>42270</c:v>
                </c:pt>
                <c:pt idx="710">
                  <c:v>42271</c:v>
                </c:pt>
                <c:pt idx="711">
                  <c:v>42272</c:v>
                </c:pt>
                <c:pt idx="712">
                  <c:v>42275</c:v>
                </c:pt>
                <c:pt idx="713">
                  <c:v>42276</c:v>
                </c:pt>
                <c:pt idx="714">
                  <c:v>42277</c:v>
                </c:pt>
                <c:pt idx="715">
                  <c:v>42278</c:v>
                </c:pt>
                <c:pt idx="716">
                  <c:v>42279</c:v>
                </c:pt>
                <c:pt idx="717">
                  <c:v>42282</c:v>
                </c:pt>
                <c:pt idx="718">
                  <c:v>42283</c:v>
                </c:pt>
                <c:pt idx="719">
                  <c:v>42284</c:v>
                </c:pt>
                <c:pt idx="720">
                  <c:v>42285</c:v>
                </c:pt>
                <c:pt idx="721">
                  <c:v>42286</c:v>
                </c:pt>
                <c:pt idx="722">
                  <c:v>42289</c:v>
                </c:pt>
                <c:pt idx="723">
                  <c:v>42290</c:v>
                </c:pt>
                <c:pt idx="724">
                  <c:v>42291</c:v>
                </c:pt>
                <c:pt idx="725">
                  <c:v>42292</c:v>
                </c:pt>
                <c:pt idx="726">
                  <c:v>42293</c:v>
                </c:pt>
                <c:pt idx="727">
                  <c:v>42296</c:v>
                </c:pt>
                <c:pt idx="728">
                  <c:v>42297</c:v>
                </c:pt>
                <c:pt idx="729">
                  <c:v>42298</c:v>
                </c:pt>
                <c:pt idx="730">
                  <c:v>42299</c:v>
                </c:pt>
                <c:pt idx="731">
                  <c:v>42300</c:v>
                </c:pt>
                <c:pt idx="732">
                  <c:v>42303</c:v>
                </c:pt>
                <c:pt idx="733">
                  <c:v>42304</c:v>
                </c:pt>
                <c:pt idx="734">
                  <c:v>42305</c:v>
                </c:pt>
                <c:pt idx="735">
                  <c:v>42306</c:v>
                </c:pt>
                <c:pt idx="736">
                  <c:v>42307</c:v>
                </c:pt>
                <c:pt idx="737">
                  <c:v>42308</c:v>
                </c:pt>
                <c:pt idx="738">
                  <c:v>42310</c:v>
                </c:pt>
                <c:pt idx="739">
                  <c:v>42311</c:v>
                </c:pt>
                <c:pt idx="740">
                  <c:v>42312</c:v>
                </c:pt>
                <c:pt idx="741">
                  <c:v>42313</c:v>
                </c:pt>
                <c:pt idx="742">
                  <c:v>42314</c:v>
                </c:pt>
                <c:pt idx="743">
                  <c:v>42317</c:v>
                </c:pt>
                <c:pt idx="744">
                  <c:v>42318</c:v>
                </c:pt>
                <c:pt idx="745">
                  <c:v>42319</c:v>
                </c:pt>
                <c:pt idx="746">
                  <c:v>42320</c:v>
                </c:pt>
                <c:pt idx="747">
                  <c:v>42321</c:v>
                </c:pt>
                <c:pt idx="748">
                  <c:v>42324</c:v>
                </c:pt>
                <c:pt idx="749">
                  <c:v>42325</c:v>
                </c:pt>
                <c:pt idx="750">
                  <c:v>42326</c:v>
                </c:pt>
                <c:pt idx="751">
                  <c:v>42327</c:v>
                </c:pt>
                <c:pt idx="752">
                  <c:v>42328</c:v>
                </c:pt>
                <c:pt idx="753">
                  <c:v>42331</c:v>
                </c:pt>
                <c:pt idx="754">
                  <c:v>42332</c:v>
                </c:pt>
                <c:pt idx="755">
                  <c:v>42333</c:v>
                </c:pt>
                <c:pt idx="756">
                  <c:v>42334</c:v>
                </c:pt>
                <c:pt idx="757">
                  <c:v>42335</c:v>
                </c:pt>
                <c:pt idx="758">
                  <c:v>42338</c:v>
                </c:pt>
                <c:pt idx="759">
                  <c:v>42339</c:v>
                </c:pt>
                <c:pt idx="760">
                  <c:v>42340</c:v>
                </c:pt>
                <c:pt idx="761">
                  <c:v>42341</c:v>
                </c:pt>
                <c:pt idx="762">
                  <c:v>42342</c:v>
                </c:pt>
                <c:pt idx="763">
                  <c:v>42345</c:v>
                </c:pt>
                <c:pt idx="764">
                  <c:v>42346</c:v>
                </c:pt>
                <c:pt idx="765">
                  <c:v>42347</c:v>
                </c:pt>
                <c:pt idx="766">
                  <c:v>42348</c:v>
                </c:pt>
                <c:pt idx="767">
                  <c:v>42349</c:v>
                </c:pt>
                <c:pt idx="768">
                  <c:v>42352</c:v>
                </c:pt>
                <c:pt idx="769">
                  <c:v>42353</c:v>
                </c:pt>
                <c:pt idx="770">
                  <c:v>42354</c:v>
                </c:pt>
                <c:pt idx="771">
                  <c:v>42355</c:v>
                </c:pt>
                <c:pt idx="772">
                  <c:v>42356</c:v>
                </c:pt>
                <c:pt idx="773">
                  <c:v>42359</c:v>
                </c:pt>
                <c:pt idx="774">
                  <c:v>42360</c:v>
                </c:pt>
                <c:pt idx="775">
                  <c:v>42361</c:v>
                </c:pt>
                <c:pt idx="776">
                  <c:v>42362</c:v>
                </c:pt>
                <c:pt idx="777">
                  <c:v>42366</c:v>
                </c:pt>
                <c:pt idx="778">
                  <c:v>42367</c:v>
                </c:pt>
                <c:pt idx="779">
                  <c:v>42368</c:v>
                </c:pt>
                <c:pt idx="780">
                  <c:v>42369</c:v>
                </c:pt>
                <c:pt idx="781">
                  <c:v>42373</c:v>
                </c:pt>
                <c:pt idx="782">
                  <c:v>42374</c:v>
                </c:pt>
                <c:pt idx="783">
                  <c:v>42375</c:v>
                </c:pt>
                <c:pt idx="784">
                  <c:v>42376</c:v>
                </c:pt>
                <c:pt idx="785">
                  <c:v>42377</c:v>
                </c:pt>
                <c:pt idx="786">
                  <c:v>42380</c:v>
                </c:pt>
                <c:pt idx="787">
                  <c:v>42381</c:v>
                </c:pt>
                <c:pt idx="788">
                  <c:v>42382</c:v>
                </c:pt>
                <c:pt idx="789">
                  <c:v>42383</c:v>
                </c:pt>
                <c:pt idx="790">
                  <c:v>42384</c:v>
                </c:pt>
                <c:pt idx="791">
                  <c:v>42387</c:v>
                </c:pt>
                <c:pt idx="792">
                  <c:v>42388</c:v>
                </c:pt>
                <c:pt idx="793">
                  <c:v>42389</c:v>
                </c:pt>
                <c:pt idx="794">
                  <c:v>42390</c:v>
                </c:pt>
                <c:pt idx="795">
                  <c:v>42391</c:v>
                </c:pt>
                <c:pt idx="796">
                  <c:v>42394</c:v>
                </c:pt>
                <c:pt idx="797">
                  <c:v>42395</c:v>
                </c:pt>
                <c:pt idx="798">
                  <c:v>42396</c:v>
                </c:pt>
                <c:pt idx="799">
                  <c:v>42397</c:v>
                </c:pt>
                <c:pt idx="800">
                  <c:v>42398</c:v>
                </c:pt>
                <c:pt idx="801">
                  <c:v>42400</c:v>
                </c:pt>
                <c:pt idx="802">
                  <c:v>42401</c:v>
                </c:pt>
                <c:pt idx="803">
                  <c:v>42402</c:v>
                </c:pt>
                <c:pt idx="804">
                  <c:v>42403</c:v>
                </c:pt>
                <c:pt idx="805">
                  <c:v>42404</c:v>
                </c:pt>
                <c:pt idx="806">
                  <c:v>42405</c:v>
                </c:pt>
                <c:pt idx="807">
                  <c:v>42408</c:v>
                </c:pt>
                <c:pt idx="808">
                  <c:v>42409</c:v>
                </c:pt>
                <c:pt idx="809">
                  <c:v>42410</c:v>
                </c:pt>
                <c:pt idx="810">
                  <c:v>42411</c:v>
                </c:pt>
                <c:pt idx="811">
                  <c:v>42412</c:v>
                </c:pt>
                <c:pt idx="812">
                  <c:v>42415</c:v>
                </c:pt>
                <c:pt idx="813">
                  <c:v>42416</c:v>
                </c:pt>
                <c:pt idx="814">
                  <c:v>42417</c:v>
                </c:pt>
                <c:pt idx="815">
                  <c:v>42418</c:v>
                </c:pt>
                <c:pt idx="816">
                  <c:v>42419</c:v>
                </c:pt>
                <c:pt idx="817">
                  <c:v>42422</c:v>
                </c:pt>
                <c:pt idx="818">
                  <c:v>42423</c:v>
                </c:pt>
                <c:pt idx="819">
                  <c:v>42424</c:v>
                </c:pt>
                <c:pt idx="820">
                  <c:v>42425</c:v>
                </c:pt>
                <c:pt idx="821">
                  <c:v>42426</c:v>
                </c:pt>
                <c:pt idx="822">
                  <c:v>42429</c:v>
                </c:pt>
                <c:pt idx="823">
                  <c:v>42430</c:v>
                </c:pt>
                <c:pt idx="824">
                  <c:v>42431</c:v>
                </c:pt>
                <c:pt idx="825">
                  <c:v>42432</c:v>
                </c:pt>
                <c:pt idx="826">
                  <c:v>42433</c:v>
                </c:pt>
                <c:pt idx="827">
                  <c:v>42436</c:v>
                </c:pt>
                <c:pt idx="828">
                  <c:v>42437</c:v>
                </c:pt>
                <c:pt idx="829">
                  <c:v>42438</c:v>
                </c:pt>
                <c:pt idx="830">
                  <c:v>42439</c:v>
                </c:pt>
                <c:pt idx="831">
                  <c:v>42440</c:v>
                </c:pt>
                <c:pt idx="832">
                  <c:v>42443</c:v>
                </c:pt>
                <c:pt idx="833">
                  <c:v>42444</c:v>
                </c:pt>
                <c:pt idx="834">
                  <c:v>42445</c:v>
                </c:pt>
                <c:pt idx="835">
                  <c:v>42446</c:v>
                </c:pt>
                <c:pt idx="836">
                  <c:v>42447</c:v>
                </c:pt>
                <c:pt idx="837">
                  <c:v>42450</c:v>
                </c:pt>
                <c:pt idx="838">
                  <c:v>42451</c:v>
                </c:pt>
                <c:pt idx="839">
                  <c:v>42452</c:v>
                </c:pt>
                <c:pt idx="840">
                  <c:v>42453</c:v>
                </c:pt>
                <c:pt idx="841">
                  <c:v>42457</c:v>
                </c:pt>
                <c:pt idx="842">
                  <c:v>42458</c:v>
                </c:pt>
                <c:pt idx="843">
                  <c:v>42459</c:v>
                </c:pt>
                <c:pt idx="844">
                  <c:v>42460</c:v>
                </c:pt>
                <c:pt idx="845">
                  <c:v>42461</c:v>
                </c:pt>
                <c:pt idx="846">
                  <c:v>42464</c:v>
                </c:pt>
                <c:pt idx="847">
                  <c:v>42465</c:v>
                </c:pt>
                <c:pt idx="848">
                  <c:v>42466</c:v>
                </c:pt>
                <c:pt idx="849">
                  <c:v>42467</c:v>
                </c:pt>
                <c:pt idx="850">
                  <c:v>42468</c:v>
                </c:pt>
                <c:pt idx="851">
                  <c:v>42471</c:v>
                </c:pt>
                <c:pt idx="852">
                  <c:v>42472</c:v>
                </c:pt>
                <c:pt idx="853">
                  <c:v>42473</c:v>
                </c:pt>
                <c:pt idx="854">
                  <c:v>42474</c:v>
                </c:pt>
                <c:pt idx="855">
                  <c:v>42475</c:v>
                </c:pt>
                <c:pt idx="856">
                  <c:v>42478</c:v>
                </c:pt>
                <c:pt idx="857">
                  <c:v>42479</c:v>
                </c:pt>
                <c:pt idx="858">
                  <c:v>42480</c:v>
                </c:pt>
                <c:pt idx="859">
                  <c:v>42481</c:v>
                </c:pt>
                <c:pt idx="860">
                  <c:v>42482</c:v>
                </c:pt>
                <c:pt idx="861">
                  <c:v>42485</c:v>
                </c:pt>
                <c:pt idx="862">
                  <c:v>42486</c:v>
                </c:pt>
                <c:pt idx="863">
                  <c:v>42487</c:v>
                </c:pt>
                <c:pt idx="864">
                  <c:v>42488</c:v>
                </c:pt>
                <c:pt idx="865">
                  <c:v>42489</c:v>
                </c:pt>
                <c:pt idx="866">
                  <c:v>42490</c:v>
                </c:pt>
                <c:pt idx="867">
                  <c:v>42492</c:v>
                </c:pt>
                <c:pt idx="868">
                  <c:v>42493</c:v>
                </c:pt>
                <c:pt idx="869">
                  <c:v>42494</c:v>
                </c:pt>
                <c:pt idx="870">
                  <c:v>42495</c:v>
                </c:pt>
                <c:pt idx="871">
                  <c:v>42496</c:v>
                </c:pt>
                <c:pt idx="872">
                  <c:v>42499</c:v>
                </c:pt>
                <c:pt idx="873">
                  <c:v>42500</c:v>
                </c:pt>
                <c:pt idx="874">
                  <c:v>42501</c:v>
                </c:pt>
                <c:pt idx="875">
                  <c:v>42502</c:v>
                </c:pt>
                <c:pt idx="876">
                  <c:v>42503</c:v>
                </c:pt>
                <c:pt idx="877">
                  <c:v>42506</c:v>
                </c:pt>
                <c:pt idx="878">
                  <c:v>42507</c:v>
                </c:pt>
                <c:pt idx="879">
                  <c:v>42508</c:v>
                </c:pt>
                <c:pt idx="880">
                  <c:v>42509</c:v>
                </c:pt>
                <c:pt idx="881">
                  <c:v>42510</c:v>
                </c:pt>
                <c:pt idx="882">
                  <c:v>42513</c:v>
                </c:pt>
                <c:pt idx="883">
                  <c:v>42514</c:v>
                </c:pt>
                <c:pt idx="884">
                  <c:v>42515</c:v>
                </c:pt>
                <c:pt idx="885">
                  <c:v>42516</c:v>
                </c:pt>
                <c:pt idx="886">
                  <c:v>42517</c:v>
                </c:pt>
                <c:pt idx="887">
                  <c:v>42520</c:v>
                </c:pt>
                <c:pt idx="888">
                  <c:v>42521</c:v>
                </c:pt>
                <c:pt idx="889">
                  <c:v>42522</c:v>
                </c:pt>
                <c:pt idx="890">
                  <c:v>42523</c:v>
                </c:pt>
                <c:pt idx="891">
                  <c:v>42524</c:v>
                </c:pt>
                <c:pt idx="892">
                  <c:v>42527</c:v>
                </c:pt>
                <c:pt idx="893">
                  <c:v>42528</c:v>
                </c:pt>
                <c:pt idx="894">
                  <c:v>42529</c:v>
                </c:pt>
                <c:pt idx="895">
                  <c:v>42530</c:v>
                </c:pt>
                <c:pt idx="896">
                  <c:v>42531</c:v>
                </c:pt>
                <c:pt idx="897">
                  <c:v>42534</c:v>
                </c:pt>
                <c:pt idx="898">
                  <c:v>42535</c:v>
                </c:pt>
                <c:pt idx="899">
                  <c:v>42536</c:v>
                </c:pt>
                <c:pt idx="900">
                  <c:v>42537</c:v>
                </c:pt>
                <c:pt idx="901">
                  <c:v>42538</c:v>
                </c:pt>
                <c:pt idx="902">
                  <c:v>42541</c:v>
                </c:pt>
                <c:pt idx="903">
                  <c:v>42542</c:v>
                </c:pt>
                <c:pt idx="904">
                  <c:v>42543</c:v>
                </c:pt>
                <c:pt idx="905">
                  <c:v>42544</c:v>
                </c:pt>
                <c:pt idx="906">
                  <c:v>42545</c:v>
                </c:pt>
                <c:pt idx="907">
                  <c:v>42548</c:v>
                </c:pt>
                <c:pt idx="908">
                  <c:v>42549</c:v>
                </c:pt>
                <c:pt idx="909">
                  <c:v>42550</c:v>
                </c:pt>
                <c:pt idx="910">
                  <c:v>42551</c:v>
                </c:pt>
                <c:pt idx="911">
                  <c:v>42552</c:v>
                </c:pt>
                <c:pt idx="912">
                  <c:v>42555</c:v>
                </c:pt>
                <c:pt idx="913">
                  <c:v>42556</c:v>
                </c:pt>
                <c:pt idx="914">
                  <c:v>42557</c:v>
                </c:pt>
                <c:pt idx="915">
                  <c:v>42558</c:v>
                </c:pt>
                <c:pt idx="916">
                  <c:v>42559</c:v>
                </c:pt>
                <c:pt idx="917">
                  <c:v>42562</c:v>
                </c:pt>
                <c:pt idx="918">
                  <c:v>42563</c:v>
                </c:pt>
                <c:pt idx="919">
                  <c:v>42564</c:v>
                </c:pt>
                <c:pt idx="920">
                  <c:v>42565</c:v>
                </c:pt>
                <c:pt idx="921">
                  <c:v>42566</c:v>
                </c:pt>
                <c:pt idx="922">
                  <c:v>42569</c:v>
                </c:pt>
                <c:pt idx="923">
                  <c:v>42570</c:v>
                </c:pt>
                <c:pt idx="924">
                  <c:v>42571</c:v>
                </c:pt>
                <c:pt idx="925">
                  <c:v>42572</c:v>
                </c:pt>
                <c:pt idx="926">
                  <c:v>42573</c:v>
                </c:pt>
                <c:pt idx="927">
                  <c:v>42576</c:v>
                </c:pt>
                <c:pt idx="928">
                  <c:v>42577</c:v>
                </c:pt>
                <c:pt idx="929">
                  <c:v>42578</c:v>
                </c:pt>
                <c:pt idx="930">
                  <c:v>42579</c:v>
                </c:pt>
                <c:pt idx="931">
                  <c:v>42580</c:v>
                </c:pt>
                <c:pt idx="932">
                  <c:v>42582</c:v>
                </c:pt>
                <c:pt idx="933">
                  <c:v>42583</c:v>
                </c:pt>
              </c:numCache>
            </c:numRef>
          </c:cat>
          <c:val>
            <c:numRef>
              <c:f>COD!$M$402:$M$1335</c:f>
              <c:numCache>
                <c:formatCode>0.00</c:formatCode>
                <c:ptCount val="934"/>
                <c:pt idx="0">
                  <c:v>6</c:v>
                </c:pt>
                <c:pt idx="1">
                  <c:v>5.95</c:v>
                </c:pt>
                <c:pt idx="2">
                  <c:v>5.93</c:v>
                </c:pt>
                <c:pt idx="3">
                  <c:v>5.89</c:v>
                </c:pt>
                <c:pt idx="4">
                  <c:v>5.87</c:v>
                </c:pt>
                <c:pt idx="5">
                  <c:v>5.82</c:v>
                </c:pt>
                <c:pt idx="6">
                  <c:v>5.81</c:v>
                </c:pt>
                <c:pt idx="7">
                  <c:v>5.79</c:v>
                </c:pt>
                <c:pt idx="8">
                  <c:v>5.76</c:v>
                </c:pt>
                <c:pt idx="9">
                  <c:v>5.79</c:v>
                </c:pt>
                <c:pt idx="10">
                  <c:v>5.78</c:v>
                </c:pt>
                <c:pt idx="11">
                  <c:v>5.74</c:v>
                </c:pt>
                <c:pt idx="12">
                  <c:v>5.73</c:v>
                </c:pt>
                <c:pt idx="13">
                  <c:v>5.73</c:v>
                </c:pt>
                <c:pt idx="14">
                  <c:v>5.71</c:v>
                </c:pt>
                <c:pt idx="15">
                  <c:v>5.68</c:v>
                </c:pt>
                <c:pt idx="16">
                  <c:v>5.65</c:v>
                </c:pt>
                <c:pt idx="17">
                  <c:v>5.64</c:v>
                </c:pt>
                <c:pt idx="18">
                  <c:v>5.64</c:v>
                </c:pt>
                <c:pt idx="19">
                  <c:v>5.72</c:v>
                </c:pt>
                <c:pt idx="20">
                  <c:v>5.81</c:v>
                </c:pt>
                <c:pt idx="21">
                  <c:v>6.02</c:v>
                </c:pt>
                <c:pt idx="22">
                  <c:v>6.01</c:v>
                </c:pt>
                <c:pt idx="23">
                  <c:v>6.05</c:v>
                </c:pt>
                <c:pt idx="24">
                  <c:v>6.11</c:v>
                </c:pt>
                <c:pt idx="25">
                  <c:v>6.1</c:v>
                </c:pt>
                <c:pt idx="26">
                  <c:v>6.12</c:v>
                </c:pt>
                <c:pt idx="27">
                  <c:v>6.13</c:v>
                </c:pt>
                <c:pt idx="28">
                  <c:v>6.12</c:v>
                </c:pt>
                <c:pt idx="29">
                  <c:v>6.13</c:v>
                </c:pt>
                <c:pt idx="30">
                  <c:v>6.07</c:v>
                </c:pt>
                <c:pt idx="31">
                  <c:v>6.04</c:v>
                </c:pt>
                <c:pt idx="32">
                  <c:v>6.03</c:v>
                </c:pt>
                <c:pt idx="33">
                  <c:v>6.02</c:v>
                </c:pt>
                <c:pt idx="34">
                  <c:v>6.01</c:v>
                </c:pt>
                <c:pt idx="35">
                  <c:v>5.99</c:v>
                </c:pt>
                <c:pt idx="36">
                  <c:v>6.04</c:v>
                </c:pt>
                <c:pt idx="37">
                  <c:v>6.02</c:v>
                </c:pt>
                <c:pt idx="38">
                  <c:v>5.95</c:v>
                </c:pt>
                <c:pt idx="39">
                  <c:v>5.99</c:v>
                </c:pt>
                <c:pt idx="40">
                  <c:v>5.94</c:v>
                </c:pt>
                <c:pt idx="41">
                  <c:v>5.94</c:v>
                </c:pt>
                <c:pt idx="42">
                  <c:v>5.93</c:v>
                </c:pt>
                <c:pt idx="43">
                  <c:v>5.92</c:v>
                </c:pt>
                <c:pt idx="44">
                  <c:v>5.87</c:v>
                </c:pt>
                <c:pt idx="45">
                  <c:v>5.87</c:v>
                </c:pt>
                <c:pt idx="46">
                  <c:v>5.83</c:v>
                </c:pt>
                <c:pt idx="47">
                  <c:v>5.83</c:v>
                </c:pt>
                <c:pt idx="48">
                  <c:v>5.82</c:v>
                </c:pt>
                <c:pt idx="49">
                  <c:v>5.81</c:v>
                </c:pt>
                <c:pt idx="50">
                  <c:v>5.79</c:v>
                </c:pt>
                <c:pt idx="51">
                  <c:v>5.74</c:v>
                </c:pt>
                <c:pt idx="52">
                  <c:v>5.7</c:v>
                </c:pt>
                <c:pt idx="53">
                  <c:v>5.73</c:v>
                </c:pt>
                <c:pt idx="54">
                  <c:v>5.71</c:v>
                </c:pt>
                <c:pt idx="55">
                  <c:v>5.7</c:v>
                </c:pt>
                <c:pt idx="56">
                  <c:v>5.7</c:v>
                </c:pt>
                <c:pt idx="57">
                  <c:v>5.71</c:v>
                </c:pt>
                <c:pt idx="58">
                  <c:v>5.68</c:v>
                </c:pt>
                <c:pt idx="59">
                  <c:v>5.71</c:v>
                </c:pt>
                <c:pt idx="60">
                  <c:v>5.7</c:v>
                </c:pt>
                <c:pt idx="61">
                  <c:v>5.7</c:v>
                </c:pt>
                <c:pt idx="62">
                  <c:v>5.75</c:v>
                </c:pt>
                <c:pt idx="63">
                  <c:v>5.73</c:v>
                </c:pt>
                <c:pt idx="64">
                  <c:v>5.71</c:v>
                </c:pt>
                <c:pt idx="65">
                  <c:v>5.72</c:v>
                </c:pt>
                <c:pt idx="66">
                  <c:v>5.7</c:v>
                </c:pt>
                <c:pt idx="67">
                  <c:v>5.73</c:v>
                </c:pt>
                <c:pt idx="68">
                  <c:v>5.7</c:v>
                </c:pt>
                <c:pt idx="69">
                  <c:v>5.69</c:v>
                </c:pt>
                <c:pt idx="70">
                  <c:v>5.64</c:v>
                </c:pt>
                <c:pt idx="71">
                  <c:v>5.57</c:v>
                </c:pt>
                <c:pt idx="72">
                  <c:v>5.55</c:v>
                </c:pt>
                <c:pt idx="73">
                  <c:v>5.59</c:v>
                </c:pt>
                <c:pt idx="74">
                  <c:v>5.59</c:v>
                </c:pt>
                <c:pt idx="75">
                  <c:v>5.61</c:v>
                </c:pt>
                <c:pt idx="76">
                  <c:v>5.6</c:v>
                </c:pt>
                <c:pt idx="77">
                  <c:v>5.59</c:v>
                </c:pt>
                <c:pt idx="78">
                  <c:v>5.54</c:v>
                </c:pt>
                <c:pt idx="79">
                  <c:v>5.51</c:v>
                </c:pt>
                <c:pt idx="80">
                  <c:v>5.44</c:v>
                </c:pt>
                <c:pt idx="81">
                  <c:v>5.39</c:v>
                </c:pt>
                <c:pt idx="82">
                  <c:v>5.35</c:v>
                </c:pt>
                <c:pt idx="83">
                  <c:v>5.28</c:v>
                </c:pt>
                <c:pt idx="84">
                  <c:v>5.29</c:v>
                </c:pt>
                <c:pt idx="85">
                  <c:v>5.22</c:v>
                </c:pt>
                <c:pt idx="86">
                  <c:v>5.14</c:v>
                </c:pt>
                <c:pt idx="87">
                  <c:v>5.0999999999999996</c:v>
                </c:pt>
                <c:pt idx="88">
                  <c:v>5.0999999999999996</c:v>
                </c:pt>
                <c:pt idx="89">
                  <c:v>5.05</c:v>
                </c:pt>
                <c:pt idx="90">
                  <c:v>5.03</c:v>
                </c:pt>
                <c:pt idx="91">
                  <c:v>5.03</c:v>
                </c:pt>
                <c:pt idx="92">
                  <c:v>5.1100000000000003</c:v>
                </c:pt>
                <c:pt idx="93">
                  <c:v>5.26</c:v>
                </c:pt>
                <c:pt idx="94">
                  <c:v>5.28</c:v>
                </c:pt>
                <c:pt idx="95">
                  <c:v>5.28</c:v>
                </c:pt>
                <c:pt idx="96">
                  <c:v>5.28</c:v>
                </c:pt>
                <c:pt idx="97">
                  <c:v>5.28</c:v>
                </c:pt>
                <c:pt idx="98">
                  <c:v>5.26</c:v>
                </c:pt>
                <c:pt idx="99">
                  <c:v>5.27</c:v>
                </c:pt>
                <c:pt idx="100">
                  <c:v>5.22</c:v>
                </c:pt>
                <c:pt idx="101">
                  <c:v>5.4</c:v>
                </c:pt>
                <c:pt idx="102">
                  <c:v>5.43</c:v>
                </c:pt>
                <c:pt idx="103">
                  <c:v>5.42</c:v>
                </c:pt>
                <c:pt idx="104">
                  <c:v>5.44</c:v>
                </c:pt>
                <c:pt idx="105">
                  <c:v>5.66</c:v>
                </c:pt>
                <c:pt idx="106">
                  <c:v>5.63</c:v>
                </c:pt>
                <c:pt idx="107">
                  <c:v>5.78</c:v>
                </c:pt>
                <c:pt idx="108">
                  <c:v>5.9</c:v>
                </c:pt>
                <c:pt idx="109">
                  <c:v>5.94</c:v>
                </c:pt>
                <c:pt idx="110">
                  <c:v>6.17</c:v>
                </c:pt>
                <c:pt idx="111">
                  <c:v>6.19</c:v>
                </c:pt>
                <c:pt idx="112">
                  <c:v>6.07</c:v>
                </c:pt>
                <c:pt idx="113">
                  <c:v>6.07</c:v>
                </c:pt>
                <c:pt idx="114">
                  <c:v>6.28</c:v>
                </c:pt>
                <c:pt idx="115">
                  <c:v>6.24</c:v>
                </c:pt>
                <c:pt idx="116">
                  <c:v>6.29</c:v>
                </c:pt>
                <c:pt idx="117">
                  <c:v>6.14</c:v>
                </c:pt>
                <c:pt idx="118">
                  <c:v>6.09</c:v>
                </c:pt>
                <c:pt idx="119">
                  <c:v>6.09</c:v>
                </c:pt>
                <c:pt idx="120">
                  <c:v>6.13</c:v>
                </c:pt>
                <c:pt idx="121">
                  <c:v>6.49</c:v>
                </c:pt>
                <c:pt idx="122">
                  <c:v>6.52</c:v>
                </c:pt>
                <c:pt idx="123">
                  <c:v>6.81</c:v>
                </c:pt>
                <c:pt idx="124">
                  <c:v>6.84</c:v>
                </c:pt>
                <c:pt idx="125">
                  <c:v>6.75</c:v>
                </c:pt>
                <c:pt idx="126">
                  <c:v>6.63</c:v>
                </c:pt>
                <c:pt idx="127">
                  <c:v>6.57</c:v>
                </c:pt>
                <c:pt idx="128">
                  <c:v>6.68</c:v>
                </c:pt>
                <c:pt idx="129">
                  <c:v>6.64</c:v>
                </c:pt>
                <c:pt idx="130">
                  <c:v>6.62</c:v>
                </c:pt>
                <c:pt idx="131">
                  <c:v>6.64</c:v>
                </c:pt>
                <c:pt idx="132">
                  <c:v>6.64</c:v>
                </c:pt>
                <c:pt idx="133">
                  <c:v>6.72</c:v>
                </c:pt>
                <c:pt idx="134">
                  <c:v>6.73</c:v>
                </c:pt>
                <c:pt idx="135">
                  <c:v>6.65</c:v>
                </c:pt>
                <c:pt idx="136">
                  <c:v>6.59</c:v>
                </c:pt>
                <c:pt idx="137">
                  <c:v>6.4</c:v>
                </c:pt>
                <c:pt idx="138">
                  <c:v>6.34</c:v>
                </c:pt>
                <c:pt idx="139">
                  <c:v>6.26</c:v>
                </c:pt>
                <c:pt idx="140">
                  <c:v>6.19</c:v>
                </c:pt>
                <c:pt idx="141">
                  <c:v>6.11</c:v>
                </c:pt>
                <c:pt idx="142">
                  <c:v>6.01</c:v>
                </c:pt>
                <c:pt idx="143">
                  <c:v>5.97</c:v>
                </c:pt>
                <c:pt idx="144">
                  <c:v>5.93</c:v>
                </c:pt>
                <c:pt idx="145">
                  <c:v>5.91</c:v>
                </c:pt>
                <c:pt idx="146">
                  <c:v>6.01</c:v>
                </c:pt>
                <c:pt idx="147">
                  <c:v>6.13</c:v>
                </c:pt>
                <c:pt idx="148">
                  <c:v>6.14</c:v>
                </c:pt>
                <c:pt idx="149">
                  <c:v>6.14</c:v>
                </c:pt>
                <c:pt idx="150">
                  <c:v>6.13</c:v>
                </c:pt>
                <c:pt idx="151">
                  <c:v>6.2</c:v>
                </c:pt>
                <c:pt idx="152">
                  <c:v>6.23</c:v>
                </c:pt>
                <c:pt idx="153">
                  <c:v>6.23</c:v>
                </c:pt>
                <c:pt idx="154">
                  <c:v>6.26</c:v>
                </c:pt>
                <c:pt idx="155">
                  <c:v>6.28</c:v>
                </c:pt>
                <c:pt idx="156">
                  <c:v>6.29</c:v>
                </c:pt>
                <c:pt idx="157">
                  <c:v>6.26</c:v>
                </c:pt>
                <c:pt idx="158">
                  <c:v>6.27</c:v>
                </c:pt>
                <c:pt idx="159">
                  <c:v>6.28</c:v>
                </c:pt>
                <c:pt idx="160">
                  <c:v>6.31</c:v>
                </c:pt>
                <c:pt idx="161">
                  <c:v>6.27</c:v>
                </c:pt>
                <c:pt idx="162">
                  <c:v>6.35</c:v>
                </c:pt>
                <c:pt idx="163">
                  <c:v>6.37</c:v>
                </c:pt>
                <c:pt idx="164">
                  <c:v>6.43</c:v>
                </c:pt>
                <c:pt idx="165">
                  <c:v>6.45</c:v>
                </c:pt>
                <c:pt idx="166">
                  <c:v>6.47</c:v>
                </c:pt>
                <c:pt idx="167">
                  <c:v>6.5</c:v>
                </c:pt>
                <c:pt idx="168">
                  <c:v>6.46</c:v>
                </c:pt>
                <c:pt idx="169">
                  <c:v>6.44</c:v>
                </c:pt>
                <c:pt idx="170">
                  <c:v>6.44</c:v>
                </c:pt>
                <c:pt idx="171">
                  <c:v>6.44</c:v>
                </c:pt>
                <c:pt idx="172">
                  <c:v>6.41</c:v>
                </c:pt>
                <c:pt idx="173">
                  <c:v>6.44</c:v>
                </c:pt>
                <c:pt idx="174">
                  <c:v>6.43</c:v>
                </c:pt>
                <c:pt idx="175">
                  <c:v>6.44</c:v>
                </c:pt>
                <c:pt idx="176">
                  <c:v>6.47</c:v>
                </c:pt>
                <c:pt idx="177">
                  <c:v>6.45</c:v>
                </c:pt>
                <c:pt idx="178">
                  <c:v>6.43</c:v>
                </c:pt>
                <c:pt idx="179">
                  <c:v>6.42</c:v>
                </c:pt>
                <c:pt idx="180">
                  <c:v>6.4</c:v>
                </c:pt>
                <c:pt idx="181">
                  <c:v>6.36</c:v>
                </c:pt>
                <c:pt idx="182">
                  <c:v>6.34</c:v>
                </c:pt>
                <c:pt idx="183">
                  <c:v>6.21</c:v>
                </c:pt>
                <c:pt idx="184">
                  <c:v>6.23</c:v>
                </c:pt>
                <c:pt idx="185">
                  <c:v>6.16</c:v>
                </c:pt>
                <c:pt idx="186">
                  <c:v>6.04</c:v>
                </c:pt>
                <c:pt idx="187">
                  <c:v>6.06</c:v>
                </c:pt>
                <c:pt idx="188">
                  <c:v>6.11</c:v>
                </c:pt>
                <c:pt idx="189">
                  <c:v>6.11</c:v>
                </c:pt>
                <c:pt idx="190">
                  <c:v>6.12</c:v>
                </c:pt>
                <c:pt idx="191">
                  <c:v>6.14</c:v>
                </c:pt>
                <c:pt idx="192">
                  <c:v>6.18</c:v>
                </c:pt>
                <c:pt idx="193">
                  <c:v>6.28</c:v>
                </c:pt>
                <c:pt idx="194">
                  <c:v>6.25</c:v>
                </c:pt>
                <c:pt idx="195">
                  <c:v>6.23</c:v>
                </c:pt>
                <c:pt idx="196">
                  <c:v>6.18</c:v>
                </c:pt>
                <c:pt idx="197">
                  <c:v>6.16</c:v>
                </c:pt>
                <c:pt idx="198">
                  <c:v>6.14</c:v>
                </c:pt>
                <c:pt idx="199">
                  <c:v>6.13</c:v>
                </c:pt>
                <c:pt idx="200">
                  <c:v>6.12</c:v>
                </c:pt>
                <c:pt idx="201">
                  <c:v>6.07</c:v>
                </c:pt>
                <c:pt idx="202">
                  <c:v>6.08</c:v>
                </c:pt>
                <c:pt idx="203">
                  <c:v>6.05</c:v>
                </c:pt>
                <c:pt idx="204">
                  <c:v>6</c:v>
                </c:pt>
                <c:pt idx="205">
                  <c:v>5.97</c:v>
                </c:pt>
                <c:pt idx="206">
                  <c:v>5.88</c:v>
                </c:pt>
                <c:pt idx="207">
                  <c:v>5.82</c:v>
                </c:pt>
                <c:pt idx="208">
                  <c:v>5.77</c:v>
                </c:pt>
                <c:pt idx="209">
                  <c:v>5.74</c:v>
                </c:pt>
                <c:pt idx="210">
                  <c:v>5.73</c:v>
                </c:pt>
                <c:pt idx="211">
                  <c:v>5.68</c:v>
                </c:pt>
                <c:pt idx="212">
                  <c:v>5.68</c:v>
                </c:pt>
                <c:pt idx="213">
                  <c:v>5.68</c:v>
                </c:pt>
                <c:pt idx="214">
                  <c:v>5.68</c:v>
                </c:pt>
                <c:pt idx="215">
                  <c:v>5.66</c:v>
                </c:pt>
                <c:pt idx="216">
                  <c:v>5.74</c:v>
                </c:pt>
                <c:pt idx="217">
                  <c:v>5.74</c:v>
                </c:pt>
                <c:pt idx="218">
                  <c:v>5.74</c:v>
                </c:pt>
                <c:pt idx="219">
                  <c:v>5.79</c:v>
                </c:pt>
                <c:pt idx="220">
                  <c:v>5.76</c:v>
                </c:pt>
                <c:pt idx="221">
                  <c:v>5.71</c:v>
                </c:pt>
                <c:pt idx="222">
                  <c:v>5.87</c:v>
                </c:pt>
                <c:pt idx="223">
                  <c:v>5.87</c:v>
                </c:pt>
                <c:pt idx="224">
                  <c:v>5.87</c:v>
                </c:pt>
                <c:pt idx="225">
                  <c:v>5.88</c:v>
                </c:pt>
                <c:pt idx="226">
                  <c:v>5.81</c:v>
                </c:pt>
                <c:pt idx="227">
                  <c:v>5.79</c:v>
                </c:pt>
                <c:pt idx="228">
                  <c:v>5.72</c:v>
                </c:pt>
                <c:pt idx="229">
                  <c:v>5.72</c:v>
                </c:pt>
                <c:pt idx="230">
                  <c:v>5.72</c:v>
                </c:pt>
                <c:pt idx="231">
                  <c:v>5.75</c:v>
                </c:pt>
                <c:pt idx="232">
                  <c:v>5.73</c:v>
                </c:pt>
                <c:pt idx="233">
                  <c:v>5.68</c:v>
                </c:pt>
                <c:pt idx="234">
                  <c:v>5.64</c:v>
                </c:pt>
                <c:pt idx="235">
                  <c:v>5.63</c:v>
                </c:pt>
                <c:pt idx="236">
                  <c:v>5.63</c:v>
                </c:pt>
                <c:pt idx="237">
                  <c:v>5.63</c:v>
                </c:pt>
                <c:pt idx="238">
                  <c:v>5.71</c:v>
                </c:pt>
                <c:pt idx="239">
                  <c:v>5.7</c:v>
                </c:pt>
                <c:pt idx="240">
                  <c:v>5.71</c:v>
                </c:pt>
                <c:pt idx="241">
                  <c:v>5.74</c:v>
                </c:pt>
                <c:pt idx="242">
                  <c:v>5.72</c:v>
                </c:pt>
                <c:pt idx="243">
                  <c:v>5.72</c:v>
                </c:pt>
                <c:pt idx="244">
                  <c:v>5.69</c:v>
                </c:pt>
                <c:pt idx="245">
                  <c:v>5.67</c:v>
                </c:pt>
                <c:pt idx="246">
                  <c:v>5.67</c:v>
                </c:pt>
                <c:pt idx="247">
                  <c:v>5.71</c:v>
                </c:pt>
                <c:pt idx="248">
                  <c:v>5.72</c:v>
                </c:pt>
                <c:pt idx="249">
                  <c:v>5.67</c:v>
                </c:pt>
                <c:pt idx="250">
                  <c:v>5.7</c:v>
                </c:pt>
                <c:pt idx="251">
                  <c:v>5.7</c:v>
                </c:pt>
                <c:pt idx="252">
                  <c:v>5.71</c:v>
                </c:pt>
                <c:pt idx="253">
                  <c:v>5.68</c:v>
                </c:pt>
                <c:pt idx="254">
                  <c:v>5.67</c:v>
                </c:pt>
                <c:pt idx="255">
                  <c:v>5.67</c:v>
                </c:pt>
                <c:pt idx="256">
                  <c:v>5.67</c:v>
                </c:pt>
                <c:pt idx="257">
                  <c:v>5.68</c:v>
                </c:pt>
                <c:pt idx="258">
                  <c:v>5.66</c:v>
                </c:pt>
                <c:pt idx="259">
                  <c:v>5.8</c:v>
                </c:pt>
                <c:pt idx="260">
                  <c:v>5.77</c:v>
                </c:pt>
                <c:pt idx="261">
                  <c:v>5.77</c:v>
                </c:pt>
                <c:pt idx="262">
                  <c:v>5.72</c:v>
                </c:pt>
                <c:pt idx="263">
                  <c:v>5.65</c:v>
                </c:pt>
                <c:pt idx="264">
                  <c:v>5.69</c:v>
                </c:pt>
                <c:pt idx="265">
                  <c:v>5.68</c:v>
                </c:pt>
                <c:pt idx="266">
                  <c:v>5.63</c:v>
                </c:pt>
                <c:pt idx="267">
                  <c:v>5.6</c:v>
                </c:pt>
                <c:pt idx="268">
                  <c:v>5.61</c:v>
                </c:pt>
                <c:pt idx="269">
                  <c:v>5.58</c:v>
                </c:pt>
                <c:pt idx="270">
                  <c:v>5.56</c:v>
                </c:pt>
                <c:pt idx="271">
                  <c:v>5.54</c:v>
                </c:pt>
                <c:pt idx="272">
                  <c:v>5.53</c:v>
                </c:pt>
                <c:pt idx="273">
                  <c:v>5.51</c:v>
                </c:pt>
                <c:pt idx="274">
                  <c:v>5.51</c:v>
                </c:pt>
                <c:pt idx="275">
                  <c:v>5.53</c:v>
                </c:pt>
                <c:pt idx="276">
                  <c:v>5.66</c:v>
                </c:pt>
                <c:pt idx="277">
                  <c:v>5.7</c:v>
                </c:pt>
                <c:pt idx="278">
                  <c:v>5.69</c:v>
                </c:pt>
                <c:pt idx="279">
                  <c:v>5.72</c:v>
                </c:pt>
                <c:pt idx="280">
                  <c:v>5.69</c:v>
                </c:pt>
                <c:pt idx="281">
                  <c:v>5.73</c:v>
                </c:pt>
                <c:pt idx="282">
                  <c:v>5.73</c:v>
                </c:pt>
                <c:pt idx="283">
                  <c:v>5.79</c:v>
                </c:pt>
                <c:pt idx="284">
                  <c:v>5.8</c:v>
                </c:pt>
                <c:pt idx="285">
                  <c:v>5.75</c:v>
                </c:pt>
                <c:pt idx="286">
                  <c:v>5.71</c:v>
                </c:pt>
                <c:pt idx="287">
                  <c:v>5.68</c:v>
                </c:pt>
                <c:pt idx="288">
                  <c:v>5.63</c:v>
                </c:pt>
                <c:pt idx="289">
                  <c:v>5.59</c:v>
                </c:pt>
                <c:pt idx="290">
                  <c:v>5.59</c:v>
                </c:pt>
                <c:pt idx="291">
                  <c:v>5.56</c:v>
                </c:pt>
                <c:pt idx="292">
                  <c:v>5.56</c:v>
                </c:pt>
                <c:pt idx="293">
                  <c:v>5.52</c:v>
                </c:pt>
                <c:pt idx="294">
                  <c:v>5.47</c:v>
                </c:pt>
                <c:pt idx="295">
                  <c:v>5.47</c:v>
                </c:pt>
                <c:pt idx="296">
                  <c:v>5.43</c:v>
                </c:pt>
                <c:pt idx="297">
                  <c:v>5.41</c:v>
                </c:pt>
                <c:pt idx="298">
                  <c:v>5.36</c:v>
                </c:pt>
                <c:pt idx="299">
                  <c:v>5.33</c:v>
                </c:pt>
                <c:pt idx="300">
                  <c:v>5.29</c:v>
                </c:pt>
                <c:pt idx="301">
                  <c:v>5.32</c:v>
                </c:pt>
                <c:pt idx="302">
                  <c:v>5.34</c:v>
                </c:pt>
                <c:pt idx="303">
                  <c:v>5.34</c:v>
                </c:pt>
                <c:pt idx="304">
                  <c:v>5.31</c:v>
                </c:pt>
                <c:pt idx="305">
                  <c:v>5.35</c:v>
                </c:pt>
                <c:pt idx="306">
                  <c:v>5.44</c:v>
                </c:pt>
                <c:pt idx="307">
                  <c:v>5.44</c:v>
                </c:pt>
                <c:pt idx="308">
                  <c:v>5.42</c:v>
                </c:pt>
                <c:pt idx="309">
                  <c:v>5.46</c:v>
                </c:pt>
                <c:pt idx="310">
                  <c:v>5.44</c:v>
                </c:pt>
                <c:pt idx="311">
                  <c:v>5.47</c:v>
                </c:pt>
                <c:pt idx="312">
                  <c:v>5.46</c:v>
                </c:pt>
                <c:pt idx="313">
                  <c:v>5.39</c:v>
                </c:pt>
                <c:pt idx="314">
                  <c:v>5.39</c:v>
                </c:pt>
                <c:pt idx="315">
                  <c:v>5.44</c:v>
                </c:pt>
                <c:pt idx="316">
                  <c:v>5.41</c:v>
                </c:pt>
                <c:pt idx="317">
                  <c:v>5.38</c:v>
                </c:pt>
                <c:pt idx="318">
                  <c:v>5.36</c:v>
                </c:pt>
                <c:pt idx="319">
                  <c:v>5.32</c:v>
                </c:pt>
                <c:pt idx="320">
                  <c:v>5.34</c:v>
                </c:pt>
                <c:pt idx="321">
                  <c:v>5.32</c:v>
                </c:pt>
                <c:pt idx="322">
                  <c:v>5.42</c:v>
                </c:pt>
                <c:pt idx="323">
                  <c:v>5.43</c:v>
                </c:pt>
                <c:pt idx="324">
                  <c:v>5.43</c:v>
                </c:pt>
                <c:pt idx="325">
                  <c:v>5.42</c:v>
                </c:pt>
                <c:pt idx="326">
                  <c:v>5.38</c:v>
                </c:pt>
                <c:pt idx="327">
                  <c:v>5.39</c:v>
                </c:pt>
                <c:pt idx="328">
                  <c:v>5.4</c:v>
                </c:pt>
                <c:pt idx="329">
                  <c:v>5.39</c:v>
                </c:pt>
                <c:pt idx="330">
                  <c:v>5.36</c:v>
                </c:pt>
                <c:pt idx="331">
                  <c:v>5.39</c:v>
                </c:pt>
                <c:pt idx="332">
                  <c:v>5.36</c:v>
                </c:pt>
                <c:pt idx="333">
                  <c:v>5.37</c:v>
                </c:pt>
                <c:pt idx="334">
                  <c:v>5.37</c:v>
                </c:pt>
                <c:pt idx="335">
                  <c:v>5.39</c:v>
                </c:pt>
                <c:pt idx="336">
                  <c:v>5.38</c:v>
                </c:pt>
                <c:pt idx="337">
                  <c:v>5.38</c:v>
                </c:pt>
                <c:pt idx="338">
                  <c:v>5.38</c:v>
                </c:pt>
                <c:pt idx="339">
                  <c:v>5.37</c:v>
                </c:pt>
                <c:pt idx="340">
                  <c:v>5.37</c:v>
                </c:pt>
                <c:pt idx="341">
                  <c:v>5.36</c:v>
                </c:pt>
                <c:pt idx="342">
                  <c:v>5.37</c:v>
                </c:pt>
                <c:pt idx="343">
                  <c:v>5.37</c:v>
                </c:pt>
                <c:pt idx="344">
                  <c:v>5.36</c:v>
                </c:pt>
                <c:pt idx="345">
                  <c:v>5.36</c:v>
                </c:pt>
                <c:pt idx="346">
                  <c:v>5.38</c:v>
                </c:pt>
                <c:pt idx="347">
                  <c:v>5.35</c:v>
                </c:pt>
                <c:pt idx="348">
                  <c:v>5.34</c:v>
                </c:pt>
                <c:pt idx="349">
                  <c:v>5.32</c:v>
                </c:pt>
                <c:pt idx="350">
                  <c:v>5.32</c:v>
                </c:pt>
                <c:pt idx="351">
                  <c:v>5.3</c:v>
                </c:pt>
                <c:pt idx="352">
                  <c:v>5.28</c:v>
                </c:pt>
                <c:pt idx="353">
                  <c:v>5.25</c:v>
                </c:pt>
                <c:pt idx="354">
                  <c:v>5.26</c:v>
                </c:pt>
                <c:pt idx="355">
                  <c:v>5.29</c:v>
                </c:pt>
                <c:pt idx="356">
                  <c:v>5.26</c:v>
                </c:pt>
                <c:pt idx="357">
                  <c:v>5.24</c:v>
                </c:pt>
                <c:pt idx="358">
                  <c:v>5.25</c:v>
                </c:pt>
                <c:pt idx="359">
                  <c:v>5.23</c:v>
                </c:pt>
                <c:pt idx="360">
                  <c:v>5.27</c:v>
                </c:pt>
                <c:pt idx="361">
                  <c:v>5.26</c:v>
                </c:pt>
                <c:pt idx="362">
                  <c:v>5.25</c:v>
                </c:pt>
                <c:pt idx="363">
                  <c:v>5.22</c:v>
                </c:pt>
                <c:pt idx="364">
                  <c:v>5.21</c:v>
                </c:pt>
                <c:pt idx="365">
                  <c:v>5.18</c:v>
                </c:pt>
                <c:pt idx="366">
                  <c:v>5.26</c:v>
                </c:pt>
                <c:pt idx="367">
                  <c:v>5.27</c:v>
                </c:pt>
                <c:pt idx="368">
                  <c:v>5.29</c:v>
                </c:pt>
                <c:pt idx="369">
                  <c:v>5.29</c:v>
                </c:pt>
                <c:pt idx="370">
                  <c:v>5.27</c:v>
                </c:pt>
                <c:pt idx="371">
                  <c:v>5.24</c:v>
                </c:pt>
                <c:pt idx="372">
                  <c:v>5.24</c:v>
                </c:pt>
                <c:pt idx="373">
                  <c:v>5.21</c:v>
                </c:pt>
                <c:pt idx="374">
                  <c:v>5.21</c:v>
                </c:pt>
                <c:pt idx="375">
                  <c:v>5.2</c:v>
                </c:pt>
                <c:pt idx="376">
                  <c:v>5.21</c:v>
                </c:pt>
                <c:pt idx="377">
                  <c:v>5.16</c:v>
                </c:pt>
                <c:pt idx="378">
                  <c:v>5.16</c:v>
                </c:pt>
                <c:pt idx="379">
                  <c:v>5.15</c:v>
                </c:pt>
                <c:pt idx="380">
                  <c:v>5.1100000000000003</c:v>
                </c:pt>
                <c:pt idx="381">
                  <c:v>5.0999999999999996</c:v>
                </c:pt>
                <c:pt idx="382">
                  <c:v>5.09</c:v>
                </c:pt>
                <c:pt idx="383">
                  <c:v>5.09</c:v>
                </c:pt>
                <c:pt idx="384">
                  <c:v>5.13</c:v>
                </c:pt>
                <c:pt idx="385">
                  <c:v>5.13</c:v>
                </c:pt>
                <c:pt idx="386">
                  <c:v>5.15</c:v>
                </c:pt>
                <c:pt idx="387">
                  <c:v>5.24</c:v>
                </c:pt>
                <c:pt idx="388">
                  <c:v>5.24</c:v>
                </c:pt>
                <c:pt idx="389">
                  <c:v>5.25</c:v>
                </c:pt>
                <c:pt idx="390">
                  <c:v>5.25</c:v>
                </c:pt>
                <c:pt idx="391">
                  <c:v>5.25</c:v>
                </c:pt>
                <c:pt idx="392">
                  <c:v>5.23</c:v>
                </c:pt>
                <c:pt idx="393">
                  <c:v>5.24</c:v>
                </c:pt>
                <c:pt idx="394">
                  <c:v>5.25</c:v>
                </c:pt>
                <c:pt idx="395">
                  <c:v>5.35</c:v>
                </c:pt>
                <c:pt idx="396">
                  <c:v>5.34</c:v>
                </c:pt>
                <c:pt idx="397">
                  <c:v>5.32</c:v>
                </c:pt>
                <c:pt idx="398">
                  <c:v>5.38</c:v>
                </c:pt>
                <c:pt idx="399">
                  <c:v>5.42</c:v>
                </c:pt>
                <c:pt idx="400">
                  <c:v>5.47</c:v>
                </c:pt>
                <c:pt idx="401">
                  <c:v>5.53</c:v>
                </c:pt>
                <c:pt idx="402">
                  <c:v>5.56</c:v>
                </c:pt>
                <c:pt idx="403">
                  <c:v>5.54</c:v>
                </c:pt>
                <c:pt idx="404">
                  <c:v>5.5</c:v>
                </c:pt>
                <c:pt idx="405">
                  <c:v>5.5</c:v>
                </c:pt>
                <c:pt idx="406">
                  <c:v>5.5</c:v>
                </c:pt>
                <c:pt idx="407">
                  <c:v>5.51</c:v>
                </c:pt>
                <c:pt idx="408">
                  <c:v>5.56</c:v>
                </c:pt>
                <c:pt idx="409">
                  <c:v>5.63</c:v>
                </c:pt>
                <c:pt idx="410">
                  <c:v>5.91</c:v>
                </c:pt>
                <c:pt idx="411">
                  <c:v>6.05</c:v>
                </c:pt>
                <c:pt idx="412">
                  <c:v>6.01</c:v>
                </c:pt>
                <c:pt idx="413">
                  <c:v>5.93</c:v>
                </c:pt>
                <c:pt idx="414">
                  <c:v>5.97</c:v>
                </c:pt>
                <c:pt idx="415">
                  <c:v>5.91</c:v>
                </c:pt>
                <c:pt idx="416">
                  <c:v>5.91</c:v>
                </c:pt>
                <c:pt idx="417">
                  <c:v>5.84</c:v>
                </c:pt>
                <c:pt idx="418">
                  <c:v>5.79</c:v>
                </c:pt>
                <c:pt idx="419">
                  <c:v>5.71</c:v>
                </c:pt>
                <c:pt idx="420">
                  <c:v>5.64</c:v>
                </c:pt>
                <c:pt idx="421">
                  <c:v>5.61</c:v>
                </c:pt>
                <c:pt idx="422">
                  <c:v>5.55</c:v>
                </c:pt>
                <c:pt idx="423">
                  <c:v>5.53</c:v>
                </c:pt>
                <c:pt idx="424">
                  <c:v>5.5</c:v>
                </c:pt>
                <c:pt idx="425">
                  <c:v>5.51</c:v>
                </c:pt>
                <c:pt idx="426">
                  <c:v>5.52</c:v>
                </c:pt>
                <c:pt idx="427">
                  <c:v>5.51</c:v>
                </c:pt>
                <c:pt idx="428">
                  <c:v>5.5</c:v>
                </c:pt>
                <c:pt idx="429">
                  <c:v>5.51</c:v>
                </c:pt>
                <c:pt idx="430">
                  <c:v>5.49</c:v>
                </c:pt>
                <c:pt idx="431">
                  <c:v>5.49</c:v>
                </c:pt>
                <c:pt idx="432">
                  <c:v>5.53</c:v>
                </c:pt>
                <c:pt idx="433">
                  <c:v>5.52</c:v>
                </c:pt>
                <c:pt idx="434">
                  <c:v>5.54</c:v>
                </c:pt>
                <c:pt idx="435">
                  <c:v>5.56</c:v>
                </c:pt>
                <c:pt idx="436">
                  <c:v>5.62</c:v>
                </c:pt>
                <c:pt idx="437">
                  <c:v>5.69</c:v>
                </c:pt>
                <c:pt idx="438">
                  <c:v>5.69</c:v>
                </c:pt>
                <c:pt idx="439">
                  <c:v>5.74</c:v>
                </c:pt>
                <c:pt idx="440">
                  <c:v>5.86</c:v>
                </c:pt>
                <c:pt idx="441">
                  <c:v>5.89</c:v>
                </c:pt>
                <c:pt idx="442">
                  <c:v>5.94</c:v>
                </c:pt>
                <c:pt idx="443">
                  <c:v>5.92</c:v>
                </c:pt>
                <c:pt idx="444">
                  <c:v>5.95</c:v>
                </c:pt>
                <c:pt idx="445">
                  <c:v>5.93</c:v>
                </c:pt>
                <c:pt idx="446">
                  <c:v>5.88</c:v>
                </c:pt>
                <c:pt idx="447">
                  <c:v>5.86</c:v>
                </c:pt>
                <c:pt idx="448">
                  <c:v>5.88</c:v>
                </c:pt>
                <c:pt idx="449">
                  <c:v>5.96</c:v>
                </c:pt>
                <c:pt idx="450">
                  <c:v>6.04</c:v>
                </c:pt>
                <c:pt idx="451">
                  <c:v>6.14</c:v>
                </c:pt>
                <c:pt idx="452">
                  <c:v>6.25</c:v>
                </c:pt>
                <c:pt idx="453">
                  <c:v>6.35</c:v>
                </c:pt>
                <c:pt idx="454">
                  <c:v>6.31</c:v>
                </c:pt>
                <c:pt idx="455">
                  <c:v>6.26</c:v>
                </c:pt>
                <c:pt idx="456">
                  <c:v>6.24</c:v>
                </c:pt>
                <c:pt idx="457">
                  <c:v>6.13</c:v>
                </c:pt>
                <c:pt idx="458">
                  <c:v>6.06</c:v>
                </c:pt>
                <c:pt idx="459">
                  <c:v>6.12</c:v>
                </c:pt>
                <c:pt idx="460">
                  <c:v>6.18</c:v>
                </c:pt>
                <c:pt idx="461">
                  <c:v>6.23</c:v>
                </c:pt>
                <c:pt idx="462">
                  <c:v>6.38</c:v>
                </c:pt>
                <c:pt idx="463">
                  <c:v>6.38</c:v>
                </c:pt>
                <c:pt idx="464">
                  <c:v>6.44</c:v>
                </c:pt>
                <c:pt idx="465">
                  <c:v>6.59</c:v>
                </c:pt>
                <c:pt idx="466">
                  <c:v>6.56</c:v>
                </c:pt>
                <c:pt idx="467">
                  <c:v>6.28</c:v>
                </c:pt>
                <c:pt idx="468">
                  <c:v>6.26</c:v>
                </c:pt>
                <c:pt idx="469">
                  <c:v>6.09</c:v>
                </c:pt>
                <c:pt idx="470">
                  <c:v>6.05</c:v>
                </c:pt>
                <c:pt idx="471">
                  <c:v>6.02</c:v>
                </c:pt>
                <c:pt idx="472">
                  <c:v>6.03</c:v>
                </c:pt>
                <c:pt idx="473">
                  <c:v>6.04</c:v>
                </c:pt>
                <c:pt idx="474">
                  <c:v>6.04</c:v>
                </c:pt>
                <c:pt idx="475">
                  <c:v>6.05</c:v>
                </c:pt>
                <c:pt idx="476">
                  <c:v>6.06</c:v>
                </c:pt>
                <c:pt idx="477">
                  <c:v>6.09</c:v>
                </c:pt>
                <c:pt idx="478">
                  <c:v>6.08</c:v>
                </c:pt>
                <c:pt idx="479">
                  <c:v>6.15</c:v>
                </c:pt>
                <c:pt idx="480">
                  <c:v>6.11</c:v>
                </c:pt>
                <c:pt idx="481">
                  <c:v>6.11</c:v>
                </c:pt>
                <c:pt idx="482">
                  <c:v>6.13</c:v>
                </c:pt>
                <c:pt idx="483">
                  <c:v>6.13</c:v>
                </c:pt>
                <c:pt idx="484">
                  <c:v>6.13</c:v>
                </c:pt>
                <c:pt idx="485">
                  <c:v>6.14</c:v>
                </c:pt>
                <c:pt idx="486">
                  <c:v>6.15</c:v>
                </c:pt>
                <c:pt idx="487">
                  <c:v>6.22</c:v>
                </c:pt>
                <c:pt idx="488">
                  <c:v>6.26</c:v>
                </c:pt>
                <c:pt idx="489">
                  <c:v>6.29</c:v>
                </c:pt>
                <c:pt idx="490">
                  <c:v>6.35</c:v>
                </c:pt>
                <c:pt idx="491">
                  <c:v>6.38</c:v>
                </c:pt>
                <c:pt idx="492">
                  <c:v>6.3</c:v>
                </c:pt>
                <c:pt idx="493">
                  <c:v>6.28</c:v>
                </c:pt>
                <c:pt idx="494">
                  <c:v>6.25</c:v>
                </c:pt>
                <c:pt idx="495">
                  <c:v>6.24</c:v>
                </c:pt>
                <c:pt idx="496">
                  <c:v>6.24</c:v>
                </c:pt>
                <c:pt idx="497">
                  <c:v>6.28</c:v>
                </c:pt>
                <c:pt idx="498">
                  <c:v>6.4</c:v>
                </c:pt>
                <c:pt idx="499">
                  <c:v>6.58</c:v>
                </c:pt>
                <c:pt idx="500">
                  <c:v>6.67</c:v>
                </c:pt>
                <c:pt idx="501">
                  <c:v>6.65</c:v>
                </c:pt>
                <c:pt idx="502">
                  <c:v>6.65</c:v>
                </c:pt>
                <c:pt idx="503">
                  <c:v>6.68</c:v>
                </c:pt>
                <c:pt idx="504">
                  <c:v>6.75</c:v>
                </c:pt>
                <c:pt idx="505">
                  <c:v>6.94</c:v>
                </c:pt>
                <c:pt idx="506">
                  <c:v>7.06</c:v>
                </c:pt>
                <c:pt idx="507">
                  <c:v>7.13</c:v>
                </c:pt>
                <c:pt idx="508">
                  <c:v>7.3</c:v>
                </c:pt>
                <c:pt idx="509">
                  <c:v>7.44</c:v>
                </c:pt>
                <c:pt idx="510">
                  <c:v>7.59</c:v>
                </c:pt>
                <c:pt idx="511">
                  <c:v>7.42</c:v>
                </c:pt>
                <c:pt idx="512">
                  <c:v>7.09</c:v>
                </c:pt>
                <c:pt idx="513">
                  <c:v>7</c:v>
                </c:pt>
                <c:pt idx="514">
                  <c:v>6.95</c:v>
                </c:pt>
                <c:pt idx="515">
                  <c:v>6.93</c:v>
                </c:pt>
                <c:pt idx="516">
                  <c:v>6.93</c:v>
                </c:pt>
                <c:pt idx="517">
                  <c:v>6.93</c:v>
                </c:pt>
                <c:pt idx="518">
                  <c:v>6.91</c:v>
                </c:pt>
                <c:pt idx="519">
                  <c:v>6.91</c:v>
                </c:pt>
                <c:pt idx="520">
                  <c:v>7.01</c:v>
                </c:pt>
                <c:pt idx="521">
                  <c:v>7.01</c:v>
                </c:pt>
                <c:pt idx="522">
                  <c:v>7.11</c:v>
                </c:pt>
                <c:pt idx="523">
                  <c:v>7.2</c:v>
                </c:pt>
                <c:pt idx="524">
                  <c:v>7.12</c:v>
                </c:pt>
                <c:pt idx="525">
                  <c:v>6.99</c:v>
                </c:pt>
                <c:pt idx="526">
                  <c:v>6.98</c:v>
                </c:pt>
                <c:pt idx="527">
                  <c:v>6.98</c:v>
                </c:pt>
                <c:pt idx="528">
                  <c:v>6.98</c:v>
                </c:pt>
                <c:pt idx="529">
                  <c:v>7.03</c:v>
                </c:pt>
                <c:pt idx="530">
                  <c:v>7</c:v>
                </c:pt>
                <c:pt idx="531">
                  <c:v>7.03</c:v>
                </c:pt>
                <c:pt idx="532">
                  <c:v>7.03</c:v>
                </c:pt>
                <c:pt idx="533">
                  <c:v>7.04</c:v>
                </c:pt>
                <c:pt idx="534">
                  <c:v>6.99</c:v>
                </c:pt>
                <c:pt idx="535">
                  <c:v>6.97</c:v>
                </c:pt>
                <c:pt idx="536">
                  <c:v>6.94</c:v>
                </c:pt>
                <c:pt idx="537">
                  <c:v>6.97</c:v>
                </c:pt>
                <c:pt idx="538">
                  <c:v>6.9</c:v>
                </c:pt>
                <c:pt idx="539">
                  <c:v>6.92</c:v>
                </c:pt>
                <c:pt idx="540">
                  <c:v>6.93</c:v>
                </c:pt>
                <c:pt idx="541">
                  <c:v>6.95</c:v>
                </c:pt>
                <c:pt idx="542">
                  <c:v>6.94</c:v>
                </c:pt>
                <c:pt idx="543">
                  <c:v>6.85</c:v>
                </c:pt>
                <c:pt idx="544">
                  <c:v>6.81</c:v>
                </c:pt>
                <c:pt idx="545">
                  <c:v>6.75</c:v>
                </c:pt>
                <c:pt idx="546">
                  <c:v>6.67</c:v>
                </c:pt>
                <c:pt idx="547">
                  <c:v>6.69</c:v>
                </c:pt>
                <c:pt idx="548">
                  <c:v>6.67</c:v>
                </c:pt>
                <c:pt idx="549">
                  <c:v>6.68</c:v>
                </c:pt>
                <c:pt idx="550">
                  <c:v>6.65</c:v>
                </c:pt>
                <c:pt idx="551">
                  <c:v>6.62</c:v>
                </c:pt>
                <c:pt idx="552">
                  <c:v>6.59</c:v>
                </c:pt>
                <c:pt idx="553">
                  <c:v>6.58</c:v>
                </c:pt>
                <c:pt idx="554">
                  <c:v>6.54</c:v>
                </c:pt>
                <c:pt idx="555">
                  <c:v>6.56</c:v>
                </c:pt>
                <c:pt idx="556">
                  <c:v>6.53</c:v>
                </c:pt>
                <c:pt idx="557">
                  <c:v>6.5</c:v>
                </c:pt>
                <c:pt idx="558">
                  <c:v>6.43</c:v>
                </c:pt>
                <c:pt idx="559">
                  <c:v>6.39</c:v>
                </c:pt>
                <c:pt idx="560">
                  <c:v>6.33</c:v>
                </c:pt>
                <c:pt idx="561">
                  <c:v>6.31</c:v>
                </c:pt>
                <c:pt idx="562">
                  <c:v>6.32</c:v>
                </c:pt>
                <c:pt idx="563">
                  <c:v>6.31</c:v>
                </c:pt>
                <c:pt idx="564">
                  <c:v>6.34</c:v>
                </c:pt>
                <c:pt idx="565">
                  <c:v>6.38</c:v>
                </c:pt>
                <c:pt idx="566">
                  <c:v>6.39</c:v>
                </c:pt>
                <c:pt idx="567">
                  <c:v>6.47</c:v>
                </c:pt>
                <c:pt idx="568">
                  <c:v>6.53</c:v>
                </c:pt>
                <c:pt idx="569">
                  <c:v>6.64</c:v>
                </c:pt>
                <c:pt idx="570">
                  <c:v>6.59</c:v>
                </c:pt>
                <c:pt idx="571">
                  <c:v>6.56</c:v>
                </c:pt>
                <c:pt idx="572">
                  <c:v>6.63</c:v>
                </c:pt>
                <c:pt idx="573">
                  <c:v>6.66</c:v>
                </c:pt>
                <c:pt idx="574">
                  <c:v>6.71</c:v>
                </c:pt>
                <c:pt idx="575">
                  <c:v>6.72</c:v>
                </c:pt>
                <c:pt idx="576">
                  <c:v>6.64</c:v>
                </c:pt>
                <c:pt idx="577">
                  <c:v>6.6</c:v>
                </c:pt>
                <c:pt idx="578">
                  <c:v>6.58</c:v>
                </c:pt>
                <c:pt idx="579">
                  <c:v>6.54</c:v>
                </c:pt>
                <c:pt idx="580">
                  <c:v>6.53</c:v>
                </c:pt>
                <c:pt idx="581">
                  <c:v>6.56</c:v>
                </c:pt>
                <c:pt idx="582">
                  <c:v>6.54</c:v>
                </c:pt>
                <c:pt idx="583">
                  <c:v>6.51</c:v>
                </c:pt>
                <c:pt idx="584">
                  <c:v>6.56</c:v>
                </c:pt>
                <c:pt idx="585">
                  <c:v>6.53</c:v>
                </c:pt>
                <c:pt idx="586">
                  <c:v>6.51</c:v>
                </c:pt>
                <c:pt idx="587">
                  <c:v>6.46</c:v>
                </c:pt>
                <c:pt idx="588">
                  <c:v>6.38</c:v>
                </c:pt>
                <c:pt idx="589">
                  <c:v>6.34</c:v>
                </c:pt>
                <c:pt idx="590">
                  <c:v>6.36</c:v>
                </c:pt>
                <c:pt idx="591">
                  <c:v>6.34</c:v>
                </c:pt>
                <c:pt idx="592">
                  <c:v>6.31</c:v>
                </c:pt>
                <c:pt idx="593">
                  <c:v>6.29</c:v>
                </c:pt>
                <c:pt idx="594">
                  <c:v>6.23</c:v>
                </c:pt>
                <c:pt idx="595">
                  <c:v>6.24</c:v>
                </c:pt>
                <c:pt idx="596">
                  <c:v>6.27</c:v>
                </c:pt>
                <c:pt idx="597">
                  <c:v>6.24</c:v>
                </c:pt>
                <c:pt idx="598">
                  <c:v>6.22</c:v>
                </c:pt>
                <c:pt idx="599">
                  <c:v>6.22</c:v>
                </c:pt>
                <c:pt idx="600">
                  <c:v>6.22</c:v>
                </c:pt>
                <c:pt idx="601">
                  <c:v>6.2</c:v>
                </c:pt>
                <c:pt idx="602">
                  <c:v>6.2</c:v>
                </c:pt>
                <c:pt idx="603">
                  <c:v>6.21</c:v>
                </c:pt>
                <c:pt idx="604">
                  <c:v>6.24</c:v>
                </c:pt>
                <c:pt idx="605">
                  <c:v>6.34</c:v>
                </c:pt>
                <c:pt idx="606">
                  <c:v>6.35</c:v>
                </c:pt>
                <c:pt idx="607">
                  <c:v>6.32</c:v>
                </c:pt>
                <c:pt idx="608">
                  <c:v>6.31</c:v>
                </c:pt>
                <c:pt idx="609">
                  <c:v>6.37</c:v>
                </c:pt>
                <c:pt idx="610">
                  <c:v>6.39</c:v>
                </c:pt>
                <c:pt idx="611">
                  <c:v>6.29</c:v>
                </c:pt>
                <c:pt idx="612">
                  <c:v>6.3</c:v>
                </c:pt>
                <c:pt idx="613">
                  <c:v>6.39</c:v>
                </c:pt>
                <c:pt idx="614">
                  <c:v>6.34</c:v>
                </c:pt>
                <c:pt idx="615">
                  <c:v>6.3</c:v>
                </c:pt>
                <c:pt idx="616">
                  <c:v>6.28</c:v>
                </c:pt>
                <c:pt idx="617">
                  <c:v>6.28</c:v>
                </c:pt>
                <c:pt idx="618">
                  <c:v>6.3</c:v>
                </c:pt>
                <c:pt idx="619">
                  <c:v>6.31</c:v>
                </c:pt>
                <c:pt idx="620">
                  <c:v>6.27</c:v>
                </c:pt>
                <c:pt idx="621">
                  <c:v>6.3</c:v>
                </c:pt>
                <c:pt idx="622">
                  <c:v>6.28</c:v>
                </c:pt>
                <c:pt idx="623">
                  <c:v>6.25</c:v>
                </c:pt>
                <c:pt idx="624">
                  <c:v>6.25</c:v>
                </c:pt>
                <c:pt idx="625">
                  <c:v>6.25</c:v>
                </c:pt>
                <c:pt idx="626">
                  <c:v>6.25</c:v>
                </c:pt>
                <c:pt idx="627">
                  <c:v>6.25</c:v>
                </c:pt>
                <c:pt idx="628">
                  <c:v>6.28</c:v>
                </c:pt>
                <c:pt idx="629">
                  <c:v>6.33</c:v>
                </c:pt>
                <c:pt idx="630">
                  <c:v>6.39</c:v>
                </c:pt>
                <c:pt idx="631">
                  <c:v>6.49</c:v>
                </c:pt>
                <c:pt idx="632">
                  <c:v>6.5</c:v>
                </c:pt>
                <c:pt idx="633">
                  <c:v>6.58</c:v>
                </c:pt>
                <c:pt idx="634">
                  <c:v>6.58</c:v>
                </c:pt>
                <c:pt idx="635">
                  <c:v>6.52</c:v>
                </c:pt>
                <c:pt idx="636">
                  <c:v>6.54</c:v>
                </c:pt>
                <c:pt idx="637">
                  <c:v>6.6</c:v>
                </c:pt>
                <c:pt idx="638">
                  <c:v>6.63</c:v>
                </c:pt>
                <c:pt idx="639">
                  <c:v>6.58</c:v>
                </c:pt>
                <c:pt idx="640">
                  <c:v>6.55</c:v>
                </c:pt>
                <c:pt idx="641">
                  <c:v>6.5</c:v>
                </c:pt>
                <c:pt idx="642">
                  <c:v>6.47</c:v>
                </c:pt>
                <c:pt idx="643">
                  <c:v>6.49</c:v>
                </c:pt>
                <c:pt idx="644">
                  <c:v>6.5</c:v>
                </c:pt>
                <c:pt idx="645">
                  <c:v>6.52</c:v>
                </c:pt>
                <c:pt idx="646">
                  <c:v>6.56</c:v>
                </c:pt>
                <c:pt idx="647">
                  <c:v>6.71</c:v>
                </c:pt>
                <c:pt idx="648">
                  <c:v>6.75</c:v>
                </c:pt>
                <c:pt idx="649">
                  <c:v>6.69</c:v>
                </c:pt>
                <c:pt idx="650">
                  <c:v>6.68</c:v>
                </c:pt>
                <c:pt idx="651">
                  <c:v>6.68</c:v>
                </c:pt>
                <c:pt idx="652">
                  <c:v>6.75</c:v>
                </c:pt>
                <c:pt idx="653">
                  <c:v>6.79</c:v>
                </c:pt>
                <c:pt idx="654">
                  <c:v>6.83</c:v>
                </c:pt>
                <c:pt idx="655">
                  <c:v>6.82</c:v>
                </c:pt>
                <c:pt idx="656">
                  <c:v>6.78</c:v>
                </c:pt>
                <c:pt idx="657">
                  <c:v>6.74</c:v>
                </c:pt>
                <c:pt idx="658">
                  <c:v>6.71</c:v>
                </c:pt>
                <c:pt idx="659">
                  <c:v>6.77</c:v>
                </c:pt>
                <c:pt idx="660">
                  <c:v>6.77</c:v>
                </c:pt>
                <c:pt idx="661">
                  <c:v>6.84</c:v>
                </c:pt>
                <c:pt idx="662">
                  <c:v>6.88</c:v>
                </c:pt>
                <c:pt idx="663">
                  <c:v>6.85</c:v>
                </c:pt>
                <c:pt idx="664">
                  <c:v>6.97</c:v>
                </c:pt>
                <c:pt idx="665">
                  <c:v>6.98</c:v>
                </c:pt>
                <c:pt idx="666">
                  <c:v>7.02</c:v>
                </c:pt>
                <c:pt idx="667">
                  <c:v>7.14</c:v>
                </c:pt>
                <c:pt idx="668">
                  <c:v>7.11</c:v>
                </c:pt>
                <c:pt idx="669">
                  <c:v>7</c:v>
                </c:pt>
                <c:pt idx="670">
                  <c:v>6.92</c:v>
                </c:pt>
                <c:pt idx="671">
                  <c:v>6.85</c:v>
                </c:pt>
                <c:pt idx="672">
                  <c:v>6.9</c:v>
                </c:pt>
                <c:pt idx="673">
                  <c:v>6.92</c:v>
                </c:pt>
                <c:pt idx="674">
                  <c:v>6.92</c:v>
                </c:pt>
                <c:pt idx="675">
                  <c:v>7</c:v>
                </c:pt>
                <c:pt idx="676">
                  <c:v>7.09</c:v>
                </c:pt>
                <c:pt idx="677">
                  <c:v>7.12</c:v>
                </c:pt>
                <c:pt idx="678">
                  <c:v>7.21</c:v>
                </c:pt>
                <c:pt idx="679">
                  <c:v>7.32</c:v>
                </c:pt>
                <c:pt idx="680">
                  <c:v>7.24</c:v>
                </c:pt>
                <c:pt idx="681">
                  <c:v>7.23</c:v>
                </c:pt>
                <c:pt idx="682">
                  <c:v>7.24</c:v>
                </c:pt>
                <c:pt idx="683">
                  <c:v>7.27</c:v>
                </c:pt>
                <c:pt idx="684">
                  <c:v>7.32</c:v>
                </c:pt>
                <c:pt idx="685">
                  <c:v>7.39</c:v>
                </c:pt>
                <c:pt idx="686">
                  <c:v>7.46</c:v>
                </c:pt>
                <c:pt idx="687">
                  <c:v>7.7</c:v>
                </c:pt>
                <c:pt idx="688">
                  <c:v>7.56</c:v>
                </c:pt>
                <c:pt idx="689">
                  <c:v>7.57</c:v>
                </c:pt>
                <c:pt idx="690">
                  <c:v>7.46</c:v>
                </c:pt>
                <c:pt idx="691">
                  <c:v>7.41</c:v>
                </c:pt>
                <c:pt idx="692">
                  <c:v>7.39</c:v>
                </c:pt>
                <c:pt idx="693">
                  <c:v>7.43</c:v>
                </c:pt>
                <c:pt idx="694">
                  <c:v>7.41</c:v>
                </c:pt>
                <c:pt idx="695">
                  <c:v>7.35</c:v>
                </c:pt>
                <c:pt idx="696">
                  <c:v>7.37</c:v>
                </c:pt>
                <c:pt idx="697">
                  <c:v>7.37</c:v>
                </c:pt>
                <c:pt idx="698">
                  <c:v>7.32</c:v>
                </c:pt>
                <c:pt idx="699">
                  <c:v>7.23</c:v>
                </c:pt>
                <c:pt idx="700">
                  <c:v>7.28</c:v>
                </c:pt>
                <c:pt idx="701">
                  <c:v>7.27</c:v>
                </c:pt>
                <c:pt idx="702">
                  <c:v>7.24</c:v>
                </c:pt>
                <c:pt idx="703">
                  <c:v>7.27</c:v>
                </c:pt>
                <c:pt idx="704">
                  <c:v>7.36</c:v>
                </c:pt>
                <c:pt idx="705">
                  <c:v>7.39</c:v>
                </c:pt>
                <c:pt idx="706">
                  <c:v>7.43</c:v>
                </c:pt>
                <c:pt idx="707">
                  <c:v>7.46</c:v>
                </c:pt>
                <c:pt idx="708">
                  <c:v>7.6</c:v>
                </c:pt>
                <c:pt idx="709">
                  <c:v>7.62</c:v>
                </c:pt>
                <c:pt idx="710">
                  <c:v>7.75</c:v>
                </c:pt>
                <c:pt idx="711">
                  <c:v>7.8</c:v>
                </c:pt>
                <c:pt idx="712">
                  <c:v>8.09</c:v>
                </c:pt>
                <c:pt idx="713">
                  <c:v>8.15</c:v>
                </c:pt>
                <c:pt idx="714">
                  <c:v>8.27</c:v>
                </c:pt>
                <c:pt idx="715">
                  <c:v>8.3000000000000007</c:v>
                </c:pt>
                <c:pt idx="716">
                  <c:v>8.4</c:v>
                </c:pt>
                <c:pt idx="717">
                  <c:v>8.2200000000000006</c:v>
                </c:pt>
                <c:pt idx="718">
                  <c:v>8.11</c:v>
                </c:pt>
                <c:pt idx="719">
                  <c:v>7.93</c:v>
                </c:pt>
                <c:pt idx="720">
                  <c:v>7.9</c:v>
                </c:pt>
                <c:pt idx="721">
                  <c:v>7.75</c:v>
                </c:pt>
                <c:pt idx="722">
                  <c:v>7.75</c:v>
                </c:pt>
                <c:pt idx="723">
                  <c:v>7.85</c:v>
                </c:pt>
                <c:pt idx="724">
                  <c:v>7.83</c:v>
                </c:pt>
                <c:pt idx="725">
                  <c:v>7.84</c:v>
                </c:pt>
                <c:pt idx="726">
                  <c:v>7.75</c:v>
                </c:pt>
                <c:pt idx="727">
                  <c:v>7.76</c:v>
                </c:pt>
                <c:pt idx="728">
                  <c:v>7.69</c:v>
                </c:pt>
                <c:pt idx="729">
                  <c:v>7.71</c:v>
                </c:pt>
                <c:pt idx="730">
                  <c:v>7.77</c:v>
                </c:pt>
                <c:pt idx="731">
                  <c:v>7.68</c:v>
                </c:pt>
                <c:pt idx="732">
                  <c:v>7.73</c:v>
                </c:pt>
                <c:pt idx="733">
                  <c:v>7.76</c:v>
                </c:pt>
                <c:pt idx="734">
                  <c:v>7.7</c:v>
                </c:pt>
                <c:pt idx="735">
                  <c:v>7.69</c:v>
                </c:pt>
                <c:pt idx="736">
                  <c:v>7.68</c:v>
                </c:pt>
                <c:pt idx="737">
                  <c:v>7.67</c:v>
                </c:pt>
                <c:pt idx="738">
                  <c:v>7.63</c:v>
                </c:pt>
                <c:pt idx="739">
                  <c:v>7.59</c:v>
                </c:pt>
                <c:pt idx="740">
                  <c:v>7.59</c:v>
                </c:pt>
                <c:pt idx="741">
                  <c:v>7.69</c:v>
                </c:pt>
                <c:pt idx="742">
                  <c:v>7.79</c:v>
                </c:pt>
                <c:pt idx="743">
                  <c:v>7.91</c:v>
                </c:pt>
                <c:pt idx="744">
                  <c:v>7.96</c:v>
                </c:pt>
                <c:pt idx="745">
                  <c:v>7.96</c:v>
                </c:pt>
                <c:pt idx="746">
                  <c:v>8.09</c:v>
                </c:pt>
                <c:pt idx="747">
                  <c:v>8.19</c:v>
                </c:pt>
                <c:pt idx="748">
                  <c:v>8.1999999999999993</c:v>
                </c:pt>
                <c:pt idx="749">
                  <c:v>8.1</c:v>
                </c:pt>
                <c:pt idx="750">
                  <c:v>8.11</c:v>
                </c:pt>
                <c:pt idx="751">
                  <c:v>8.19</c:v>
                </c:pt>
                <c:pt idx="752">
                  <c:v>8.25</c:v>
                </c:pt>
                <c:pt idx="753">
                  <c:v>8.2899999999999991</c:v>
                </c:pt>
                <c:pt idx="754">
                  <c:v>8.34</c:v>
                </c:pt>
                <c:pt idx="755">
                  <c:v>8.2899999999999991</c:v>
                </c:pt>
                <c:pt idx="756">
                  <c:v>8.2899999999999991</c:v>
                </c:pt>
                <c:pt idx="757">
                  <c:v>8.3000000000000007</c:v>
                </c:pt>
                <c:pt idx="758">
                  <c:v>8.1199999999999992</c:v>
                </c:pt>
                <c:pt idx="759">
                  <c:v>8.06</c:v>
                </c:pt>
                <c:pt idx="760">
                  <c:v>8.02</c:v>
                </c:pt>
                <c:pt idx="761">
                  <c:v>8.1300000000000008</c:v>
                </c:pt>
                <c:pt idx="762">
                  <c:v>8.18</c:v>
                </c:pt>
                <c:pt idx="763">
                  <c:v>8.3000000000000007</c:v>
                </c:pt>
                <c:pt idx="764">
                  <c:v>8.4499999999999993</c:v>
                </c:pt>
                <c:pt idx="765">
                  <c:v>8.48</c:v>
                </c:pt>
                <c:pt idx="766">
                  <c:v>8.5299999999999994</c:v>
                </c:pt>
                <c:pt idx="767">
                  <c:v>8.85</c:v>
                </c:pt>
                <c:pt idx="768">
                  <c:v>9.17</c:v>
                </c:pt>
                <c:pt idx="769">
                  <c:v>8.92</c:v>
                </c:pt>
                <c:pt idx="770">
                  <c:v>8.83</c:v>
                </c:pt>
                <c:pt idx="771">
                  <c:v>8.83</c:v>
                </c:pt>
                <c:pt idx="772">
                  <c:v>8.99</c:v>
                </c:pt>
                <c:pt idx="773">
                  <c:v>9.02</c:v>
                </c:pt>
                <c:pt idx="774">
                  <c:v>8.9700000000000006</c:v>
                </c:pt>
                <c:pt idx="775">
                  <c:v>8.8800000000000008</c:v>
                </c:pt>
                <c:pt idx="776">
                  <c:v>8.86</c:v>
                </c:pt>
                <c:pt idx="777">
                  <c:v>8.8699999999999992</c:v>
                </c:pt>
                <c:pt idx="778">
                  <c:v>8.84</c:v>
                </c:pt>
                <c:pt idx="779">
                  <c:v>8.81</c:v>
                </c:pt>
                <c:pt idx="780">
                  <c:v>8.9600000000000009</c:v>
                </c:pt>
                <c:pt idx="781">
                  <c:v>9.1</c:v>
                </c:pt>
                <c:pt idx="782">
                  <c:v>9.01</c:v>
                </c:pt>
                <c:pt idx="783">
                  <c:v>9.02</c:v>
                </c:pt>
                <c:pt idx="784">
                  <c:v>9.1300000000000008</c:v>
                </c:pt>
                <c:pt idx="785">
                  <c:v>9.09</c:v>
                </c:pt>
                <c:pt idx="786">
                  <c:v>9.18</c:v>
                </c:pt>
                <c:pt idx="787">
                  <c:v>9.2200000000000006</c:v>
                </c:pt>
                <c:pt idx="788">
                  <c:v>9.33</c:v>
                </c:pt>
                <c:pt idx="789">
                  <c:v>9.43</c:v>
                </c:pt>
                <c:pt idx="790">
                  <c:v>9.7100000000000009</c:v>
                </c:pt>
                <c:pt idx="791">
                  <c:v>9.7100000000000009</c:v>
                </c:pt>
                <c:pt idx="792">
                  <c:v>9.73</c:v>
                </c:pt>
                <c:pt idx="793">
                  <c:v>10.11</c:v>
                </c:pt>
                <c:pt idx="794">
                  <c:v>9.99</c:v>
                </c:pt>
                <c:pt idx="795">
                  <c:v>9.73</c:v>
                </c:pt>
                <c:pt idx="796">
                  <c:v>9.67</c:v>
                </c:pt>
                <c:pt idx="797">
                  <c:v>9.61</c:v>
                </c:pt>
                <c:pt idx="798">
                  <c:v>9.56</c:v>
                </c:pt>
                <c:pt idx="799">
                  <c:v>9.52</c:v>
                </c:pt>
                <c:pt idx="800">
                  <c:v>9.4499999999999993</c:v>
                </c:pt>
                <c:pt idx="801">
                  <c:v>9.2799999999999994</c:v>
                </c:pt>
                <c:pt idx="802">
                  <c:v>9.34</c:v>
                </c:pt>
                <c:pt idx="803">
                  <c:v>9.4700000000000006</c:v>
                </c:pt>
                <c:pt idx="804">
                  <c:v>9.5399999999999991</c:v>
                </c:pt>
                <c:pt idx="805">
                  <c:v>9.51</c:v>
                </c:pt>
                <c:pt idx="806">
                  <c:v>9.59</c:v>
                </c:pt>
                <c:pt idx="807">
                  <c:v>9.92</c:v>
                </c:pt>
                <c:pt idx="808">
                  <c:v>10.029999999999999</c:v>
                </c:pt>
                <c:pt idx="809">
                  <c:v>9.89</c:v>
                </c:pt>
                <c:pt idx="810">
                  <c:v>10.18</c:v>
                </c:pt>
                <c:pt idx="811">
                  <c:v>10.039999999999999</c:v>
                </c:pt>
                <c:pt idx="812">
                  <c:v>10</c:v>
                </c:pt>
                <c:pt idx="813">
                  <c:v>9.89</c:v>
                </c:pt>
                <c:pt idx="814">
                  <c:v>9.6999999999999993</c:v>
                </c:pt>
                <c:pt idx="815">
                  <c:v>9.6199999999999992</c:v>
                </c:pt>
                <c:pt idx="816">
                  <c:v>9.6999999999999993</c:v>
                </c:pt>
                <c:pt idx="817">
                  <c:v>9.57</c:v>
                </c:pt>
                <c:pt idx="818">
                  <c:v>9.59</c:v>
                </c:pt>
                <c:pt idx="819">
                  <c:v>9.67</c:v>
                </c:pt>
                <c:pt idx="820">
                  <c:v>9.51</c:v>
                </c:pt>
                <c:pt idx="821">
                  <c:v>9.27</c:v>
                </c:pt>
                <c:pt idx="822">
                  <c:v>9.0299999999999994</c:v>
                </c:pt>
                <c:pt idx="823">
                  <c:v>8.86</c:v>
                </c:pt>
                <c:pt idx="824">
                  <c:v>8.69</c:v>
                </c:pt>
                <c:pt idx="825">
                  <c:v>8.6300000000000008</c:v>
                </c:pt>
                <c:pt idx="826">
                  <c:v>8.4700000000000006</c:v>
                </c:pt>
                <c:pt idx="827">
                  <c:v>8.44</c:v>
                </c:pt>
                <c:pt idx="828">
                  <c:v>8.49</c:v>
                </c:pt>
                <c:pt idx="829">
                  <c:v>8.52</c:v>
                </c:pt>
                <c:pt idx="830">
                  <c:v>8.4499999999999993</c:v>
                </c:pt>
                <c:pt idx="831">
                  <c:v>8.27</c:v>
                </c:pt>
                <c:pt idx="832">
                  <c:v>8.18</c:v>
                </c:pt>
                <c:pt idx="833">
                  <c:v>8.32</c:v>
                </c:pt>
                <c:pt idx="834">
                  <c:v>8.3800000000000008</c:v>
                </c:pt>
                <c:pt idx="835">
                  <c:v>8.26</c:v>
                </c:pt>
                <c:pt idx="836">
                  <c:v>8.1199999999999992</c:v>
                </c:pt>
                <c:pt idx="837">
                  <c:v>8.09</c:v>
                </c:pt>
                <c:pt idx="838">
                  <c:v>8.1300000000000008</c:v>
                </c:pt>
                <c:pt idx="839">
                  <c:v>8.18</c:v>
                </c:pt>
                <c:pt idx="840">
                  <c:v>8.36</c:v>
                </c:pt>
                <c:pt idx="841">
                  <c:v>8.39</c:v>
                </c:pt>
                <c:pt idx="842">
                  <c:v>8.4700000000000006</c:v>
                </c:pt>
                <c:pt idx="843">
                  <c:v>8.33</c:v>
                </c:pt>
                <c:pt idx="844">
                  <c:v>8.16</c:v>
                </c:pt>
                <c:pt idx="845">
                  <c:v>8.18</c:v>
                </c:pt>
                <c:pt idx="846">
                  <c:v>8.1199999999999992</c:v>
                </c:pt>
                <c:pt idx="847">
                  <c:v>8.17</c:v>
                </c:pt>
                <c:pt idx="848">
                  <c:v>8.07</c:v>
                </c:pt>
                <c:pt idx="849">
                  <c:v>8.08</c:v>
                </c:pt>
                <c:pt idx="850">
                  <c:v>8.0299999999999994</c:v>
                </c:pt>
                <c:pt idx="851">
                  <c:v>8.01</c:v>
                </c:pt>
                <c:pt idx="852">
                  <c:v>7.95</c:v>
                </c:pt>
                <c:pt idx="853">
                  <c:v>7.78</c:v>
                </c:pt>
                <c:pt idx="854">
                  <c:v>7.68</c:v>
                </c:pt>
                <c:pt idx="855">
                  <c:v>7.66</c:v>
                </c:pt>
                <c:pt idx="856">
                  <c:v>7.7</c:v>
                </c:pt>
                <c:pt idx="857">
                  <c:v>7.53</c:v>
                </c:pt>
                <c:pt idx="858">
                  <c:v>7.46</c:v>
                </c:pt>
                <c:pt idx="859">
                  <c:v>7.46</c:v>
                </c:pt>
                <c:pt idx="860">
                  <c:v>7.49</c:v>
                </c:pt>
                <c:pt idx="861">
                  <c:v>7.52</c:v>
                </c:pt>
                <c:pt idx="862">
                  <c:v>7.48</c:v>
                </c:pt>
                <c:pt idx="863">
                  <c:v>7.4</c:v>
                </c:pt>
                <c:pt idx="864">
                  <c:v>7.29</c:v>
                </c:pt>
                <c:pt idx="865">
                  <c:v>7.33</c:v>
                </c:pt>
                <c:pt idx="866">
                  <c:v>7.41</c:v>
                </c:pt>
                <c:pt idx="867">
                  <c:v>7.42</c:v>
                </c:pt>
                <c:pt idx="868">
                  <c:v>7.51</c:v>
                </c:pt>
                <c:pt idx="869">
                  <c:v>7.58</c:v>
                </c:pt>
                <c:pt idx="870">
                  <c:v>7.56</c:v>
                </c:pt>
                <c:pt idx="871">
                  <c:v>7.67</c:v>
                </c:pt>
                <c:pt idx="872">
                  <c:v>7.68</c:v>
                </c:pt>
                <c:pt idx="873">
                  <c:v>7.63</c:v>
                </c:pt>
                <c:pt idx="874">
                  <c:v>7.55</c:v>
                </c:pt>
                <c:pt idx="875">
                  <c:v>7.55</c:v>
                </c:pt>
                <c:pt idx="876">
                  <c:v>7.57</c:v>
                </c:pt>
                <c:pt idx="877">
                  <c:v>7.5</c:v>
                </c:pt>
                <c:pt idx="878">
                  <c:v>7.48</c:v>
                </c:pt>
                <c:pt idx="879">
                  <c:v>7.49</c:v>
                </c:pt>
                <c:pt idx="880">
                  <c:v>7.61</c:v>
                </c:pt>
                <c:pt idx="881">
                  <c:v>7.53</c:v>
                </c:pt>
                <c:pt idx="882">
                  <c:v>7.52</c:v>
                </c:pt>
                <c:pt idx="883">
                  <c:v>7.44</c:v>
                </c:pt>
                <c:pt idx="884">
                  <c:v>7.37</c:v>
                </c:pt>
                <c:pt idx="885">
                  <c:v>7.36</c:v>
                </c:pt>
                <c:pt idx="886">
                  <c:v>7.36</c:v>
                </c:pt>
                <c:pt idx="887">
                  <c:v>7.36</c:v>
                </c:pt>
                <c:pt idx="888">
                  <c:v>7.45</c:v>
                </c:pt>
                <c:pt idx="889">
                  <c:v>7.52</c:v>
                </c:pt>
                <c:pt idx="890">
                  <c:v>7.47</c:v>
                </c:pt>
                <c:pt idx="891">
                  <c:v>7.45</c:v>
                </c:pt>
                <c:pt idx="892">
                  <c:v>7.36</c:v>
                </c:pt>
                <c:pt idx="893">
                  <c:v>7.26</c:v>
                </c:pt>
                <c:pt idx="894">
                  <c:v>7.17</c:v>
                </c:pt>
                <c:pt idx="895">
                  <c:v>7.18</c:v>
                </c:pt>
                <c:pt idx="896">
                  <c:v>7.26</c:v>
                </c:pt>
                <c:pt idx="897">
                  <c:v>7.33</c:v>
                </c:pt>
                <c:pt idx="898">
                  <c:v>7.45</c:v>
                </c:pt>
                <c:pt idx="899">
                  <c:v>7.42</c:v>
                </c:pt>
                <c:pt idx="900">
                  <c:v>7.55</c:v>
                </c:pt>
                <c:pt idx="901">
                  <c:v>7.48</c:v>
                </c:pt>
                <c:pt idx="902">
                  <c:v>7.3</c:v>
                </c:pt>
                <c:pt idx="903">
                  <c:v>7.34</c:v>
                </c:pt>
                <c:pt idx="904">
                  <c:v>7.28</c:v>
                </c:pt>
                <c:pt idx="905">
                  <c:v>7.17</c:v>
                </c:pt>
                <c:pt idx="906">
                  <c:v>7.58</c:v>
                </c:pt>
                <c:pt idx="907">
                  <c:v>7.75</c:v>
                </c:pt>
                <c:pt idx="908">
                  <c:v>7.65</c:v>
                </c:pt>
                <c:pt idx="909">
                  <c:v>7.42</c:v>
                </c:pt>
                <c:pt idx="910">
                  <c:v>7.43</c:v>
                </c:pt>
                <c:pt idx="911">
                  <c:v>7.31</c:v>
                </c:pt>
                <c:pt idx="912">
                  <c:v>7.31</c:v>
                </c:pt>
                <c:pt idx="913">
                  <c:v>7.3</c:v>
                </c:pt>
                <c:pt idx="914">
                  <c:v>7.29</c:v>
                </c:pt>
                <c:pt idx="915">
                  <c:v>7.16</c:v>
                </c:pt>
                <c:pt idx="916">
                  <c:v>7.01</c:v>
                </c:pt>
                <c:pt idx="917">
                  <c:v>6.82</c:v>
                </c:pt>
                <c:pt idx="918">
                  <c:v>6.66</c:v>
                </c:pt>
                <c:pt idx="919">
                  <c:v>6.77</c:v>
                </c:pt>
                <c:pt idx="920">
                  <c:v>6.67</c:v>
                </c:pt>
                <c:pt idx="921">
                  <c:v>6.71</c:v>
                </c:pt>
                <c:pt idx="922">
                  <c:v>6.73</c:v>
                </c:pt>
                <c:pt idx="923">
                  <c:v>6.72</c:v>
                </c:pt>
                <c:pt idx="924">
                  <c:v>6.66</c:v>
                </c:pt>
                <c:pt idx="925">
                  <c:v>6.66</c:v>
                </c:pt>
                <c:pt idx="926">
                  <c:v>6.66</c:v>
                </c:pt>
                <c:pt idx="927">
                  <c:v>6.66</c:v>
                </c:pt>
                <c:pt idx="928">
                  <c:v>6.75</c:v>
                </c:pt>
                <c:pt idx="929">
                  <c:v>6.77</c:v>
                </c:pt>
                <c:pt idx="930">
                  <c:v>6.81</c:v>
                </c:pt>
                <c:pt idx="931">
                  <c:v>6.82</c:v>
                </c:pt>
                <c:pt idx="932">
                  <c:v>6.86</c:v>
                </c:pt>
                <c:pt idx="933">
                  <c:v>6.88</c:v>
                </c:pt>
              </c:numCache>
            </c:numRef>
          </c:val>
          <c:smooth val="0"/>
          <c:extLst xmlns:c16r2="http://schemas.microsoft.com/office/drawing/2015/06/chart">
            <c:ext xmlns:c16="http://schemas.microsoft.com/office/drawing/2014/chart" uri="{C3380CC4-5D6E-409C-BE32-E72D297353CC}">
              <c16:uniqueId val="{00000001-21AB-48EB-B631-F7A934F728E8}"/>
            </c:ext>
          </c:extLst>
        </c:ser>
        <c:ser>
          <c:idx val="1"/>
          <c:order val="1"/>
          <c:tx>
            <c:strRef>
              <c:f>COD!$U$14</c:f>
              <c:strCache>
                <c:ptCount val="1"/>
                <c:pt idx="0">
                  <c:v>BB</c:v>
                </c:pt>
              </c:strCache>
            </c:strRef>
          </c:tx>
          <c:spPr>
            <a:ln w="28575" cap="rnd">
              <a:solidFill>
                <a:schemeClr val="accent2"/>
              </a:solidFill>
              <a:round/>
            </a:ln>
            <a:effectLst/>
          </c:spPr>
          <c:marker>
            <c:symbol val="none"/>
          </c:marker>
          <c:cat>
            <c:numRef>
              <c:f>COD!$J$402:$J$1335</c:f>
              <c:numCache>
                <c:formatCode>yyyy\-mm\-dd</c:formatCode>
                <c:ptCount val="934"/>
                <c:pt idx="0">
                  <c:v>41276</c:v>
                </c:pt>
                <c:pt idx="1">
                  <c:v>41277</c:v>
                </c:pt>
                <c:pt idx="2">
                  <c:v>41278</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41316</c:v>
                </c:pt>
                <c:pt idx="29">
                  <c:v>41317</c:v>
                </c:pt>
                <c:pt idx="30">
                  <c:v>41318</c:v>
                </c:pt>
                <c:pt idx="31">
                  <c:v>41319</c:v>
                </c:pt>
                <c:pt idx="32">
                  <c:v>41320</c:v>
                </c:pt>
                <c:pt idx="33">
                  <c:v>41323</c:v>
                </c:pt>
                <c:pt idx="34">
                  <c:v>41324</c:v>
                </c:pt>
                <c:pt idx="35">
                  <c:v>41325</c:v>
                </c:pt>
                <c:pt idx="36">
                  <c:v>41326</c:v>
                </c:pt>
                <c:pt idx="37">
                  <c:v>41327</c:v>
                </c:pt>
                <c:pt idx="38">
                  <c:v>41330</c:v>
                </c:pt>
                <c:pt idx="39">
                  <c:v>41331</c:v>
                </c:pt>
                <c:pt idx="40">
                  <c:v>41332</c:v>
                </c:pt>
                <c:pt idx="41">
                  <c:v>41333</c:v>
                </c:pt>
                <c:pt idx="42">
                  <c:v>41334</c:v>
                </c:pt>
                <c:pt idx="43">
                  <c:v>41337</c:v>
                </c:pt>
                <c:pt idx="44">
                  <c:v>41338</c:v>
                </c:pt>
                <c:pt idx="45">
                  <c:v>41339</c:v>
                </c:pt>
                <c:pt idx="46">
                  <c:v>41340</c:v>
                </c:pt>
                <c:pt idx="47">
                  <c:v>41341</c:v>
                </c:pt>
                <c:pt idx="48">
                  <c:v>41344</c:v>
                </c:pt>
                <c:pt idx="49">
                  <c:v>41345</c:v>
                </c:pt>
                <c:pt idx="50">
                  <c:v>41346</c:v>
                </c:pt>
                <c:pt idx="51">
                  <c:v>41347</c:v>
                </c:pt>
                <c:pt idx="52">
                  <c:v>41348</c:v>
                </c:pt>
                <c:pt idx="53">
                  <c:v>41351</c:v>
                </c:pt>
                <c:pt idx="54">
                  <c:v>41352</c:v>
                </c:pt>
                <c:pt idx="55">
                  <c:v>41353</c:v>
                </c:pt>
                <c:pt idx="56">
                  <c:v>41354</c:v>
                </c:pt>
                <c:pt idx="57">
                  <c:v>41355</c:v>
                </c:pt>
                <c:pt idx="58">
                  <c:v>41358</c:v>
                </c:pt>
                <c:pt idx="59">
                  <c:v>41359</c:v>
                </c:pt>
                <c:pt idx="60">
                  <c:v>41360</c:v>
                </c:pt>
                <c:pt idx="61">
                  <c:v>41361</c:v>
                </c:pt>
                <c:pt idx="62">
                  <c:v>41364</c:v>
                </c:pt>
                <c:pt idx="63">
                  <c:v>41365</c:v>
                </c:pt>
                <c:pt idx="64">
                  <c:v>41366</c:v>
                </c:pt>
                <c:pt idx="65">
                  <c:v>41367</c:v>
                </c:pt>
                <c:pt idx="66">
                  <c:v>41368</c:v>
                </c:pt>
                <c:pt idx="67">
                  <c:v>41369</c:v>
                </c:pt>
                <c:pt idx="68">
                  <c:v>41372</c:v>
                </c:pt>
                <c:pt idx="69">
                  <c:v>41373</c:v>
                </c:pt>
                <c:pt idx="70">
                  <c:v>41374</c:v>
                </c:pt>
                <c:pt idx="71">
                  <c:v>41375</c:v>
                </c:pt>
                <c:pt idx="72">
                  <c:v>41376</c:v>
                </c:pt>
                <c:pt idx="73">
                  <c:v>41379</c:v>
                </c:pt>
                <c:pt idx="74">
                  <c:v>41380</c:v>
                </c:pt>
                <c:pt idx="75">
                  <c:v>41381</c:v>
                </c:pt>
                <c:pt idx="76">
                  <c:v>41382</c:v>
                </c:pt>
                <c:pt idx="77">
                  <c:v>41383</c:v>
                </c:pt>
                <c:pt idx="78">
                  <c:v>41386</c:v>
                </c:pt>
                <c:pt idx="79">
                  <c:v>41387</c:v>
                </c:pt>
                <c:pt idx="80">
                  <c:v>41388</c:v>
                </c:pt>
                <c:pt idx="81">
                  <c:v>41389</c:v>
                </c:pt>
                <c:pt idx="82">
                  <c:v>41390</c:v>
                </c:pt>
                <c:pt idx="83">
                  <c:v>41393</c:v>
                </c:pt>
                <c:pt idx="84">
                  <c:v>41394</c:v>
                </c:pt>
                <c:pt idx="85">
                  <c:v>41395</c:v>
                </c:pt>
                <c:pt idx="86">
                  <c:v>41396</c:v>
                </c:pt>
                <c:pt idx="87">
                  <c:v>41397</c:v>
                </c:pt>
                <c:pt idx="88">
                  <c:v>41400</c:v>
                </c:pt>
                <c:pt idx="89">
                  <c:v>41401</c:v>
                </c:pt>
                <c:pt idx="90">
                  <c:v>41402</c:v>
                </c:pt>
                <c:pt idx="91">
                  <c:v>41403</c:v>
                </c:pt>
                <c:pt idx="92">
                  <c:v>41404</c:v>
                </c:pt>
                <c:pt idx="93">
                  <c:v>41407</c:v>
                </c:pt>
                <c:pt idx="94">
                  <c:v>41408</c:v>
                </c:pt>
                <c:pt idx="95">
                  <c:v>41409</c:v>
                </c:pt>
                <c:pt idx="96">
                  <c:v>41410</c:v>
                </c:pt>
                <c:pt idx="97">
                  <c:v>41411</c:v>
                </c:pt>
                <c:pt idx="98">
                  <c:v>41414</c:v>
                </c:pt>
                <c:pt idx="99">
                  <c:v>41415</c:v>
                </c:pt>
                <c:pt idx="100">
                  <c:v>41416</c:v>
                </c:pt>
                <c:pt idx="101">
                  <c:v>41417</c:v>
                </c:pt>
                <c:pt idx="102">
                  <c:v>41418</c:v>
                </c:pt>
                <c:pt idx="103">
                  <c:v>41421</c:v>
                </c:pt>
                <c:pt idx="104">
                  <c:v>41422</c:v>
                </c:pt>
                <c:pt idx="105">
                  <c:v>41423</c:v>
                </c:pt>
                <c:pt idx="106">
                  <c:v>41424</c:v>
                </c:pt>
                <c:pt idx="107">
                  <c:v>41425</c:v>
                </c:pt>
                <c:pt idx="108">
                  <c:v>41428</c:v>
                </c:pt>
                <c:pt idx="109">
                  <c:v>41429</c:v>
                </c:pt>
                <c:pt idx="110">
                  <c:v>41430</c:v>
                </c:pt>
                <c:pt idx="111">
                  <c:v>41431</c:v>
                </c:pt>
                <c:pt idx="112">
                  <c:v>41432</c:v>
                </c:pt>
                <c:pt idx="113">
                  <c:v>41435</c:v>
                </c:pt>
                <c:pt idx="114">
                  <c:v>41436</c:v>
                </c:pt>
                <c:pt idx="115">
                  <c:v>41437</c:v>
                </c:pt>
                <c:pt idx="116">
                  <c:v>41438</c:v>
                </c:pt>
                <c:pt idx="117">
                  <c:v>41439</c:v>
                </c:pt>
                <c:pt idx="118">
                  <c:v>41442</c:v>
                </c:pt>
                <c:pt idx="119">
                  <c:v>41443</c:v>
                </c:pt>
                <c:pt idx="120">
                  <c:v>41444</c:v>
                </c:pt>
                <c:pt idx="121">
                  <c:v>41445</c:v>
                </c:pt>
                <c:pt idx="122">
                  <c:v>41446</c:v>
                </c:pt>
                <c:pt idx="123">
                  <c:v>41449</c:v>
                </c:pt>
                <c:pt idx="124">
                  <c:v>41450</c:v>
                </c:pt>
                <c:pt idx="125">
                  <c:v>41451</c:v>
                </c:pt>
                <c:pt idx="126">
                  <c:v>41452</c:v>
                </c:pt>
                <c:pt idx="127">
                  <c:v>41453</c:v>
                </c:pt>
                <c:pt idx="128">
                  <c:v>41455</c:v>
                </c:pt>
                <c:pt idx="129">
                  <c:v>41456</c:v>
                </c:pt>
                <c:pt idx="130">
                  <c:v>41457</c:v>
                </c:pt>
                <c:pt idx="131">
                  <c:v>41458</c:v>
                </c:pt>
                <c:pt idx="132">
                  <c:v>41459</c:v>
                </c:pt>
                <c:pt idx="133">
                  <c:v>41460</c:v>
                </c:pt>
                <c:pt idx="134">
                  <c:v>41463</c:v>
                </c:pt>
                <c:pt idx="135">
                  <c:v>41464</c:v>
                </c:pt>
                <c:pt idx="136">
                  <c:v>41465</c:v>
                </c:pt>
                <c:pt idx="137">
                  <c:v>41466</c:v>
                </c:pt>
                <c:pt idx="138">
                  <c:v>41467</c:v>
                </c:pt>
                <c:pt idx="139">
                  <c:v>41470</c:v>
                </c:pt>
                <c:pt idx="140">
                  <c:v>41471</c:v>
                </c:pt>
                <c:pt idx="141">
                  <c:v>41472</c:v>
                </c:pt>
                <c:pt idx="142">
                  <c:v>41473</c:v>
                </c:pt>
                <c:pt idx="143">
                  <c:v>41474</c:v>
                </c:pt>
                <c:pt idx="144">
                  <c:v>41477</c:v>
                </c:pt>
                <c:pt idx="145">
                  <c:v>41478</c:v>
                </c:pt>
                <c:pt idx="146">
                  <c:v>41479</c:v>
                </c:pt>
                <c:pt idx="147">
                  <c:v>41480</c:v>
                </c:pt>
                <c:pt idx="148">
                  <c:v>41481</c:v>
                </c:pt>
                <c:pt idx="149">
                  <c:v>41484</c:v>
                </c:pt>
                <c:pt idx="150">
                  <c:v>41485</c:v>
                </c:pt>
                <c:pt idx="151">
                  <c:v>41486</c:v>
                </c:pt>
                <c:pt idx="152">
                  <c:v>41487</c:v>
                </c:pt>
                <c:pt idx="153">
                  <c:v>41488</c:v>
                </c:pt>
                <c:pt idx="154">
                  <c:v>41491</c:v>
                </c:pt>
                <c:pt idx="155">
                  <c:v>41492</c:v>
                </c:pt>
                <c:pt idx="156">
                  <c:v>41493</c:v>
                </c:pt>
                <c:pt idx="157">
                  <c:v>41494</c:v>
                </c:pt>
                <c:pt idx="158">
                  <c:v>41495</c:v>
                </c:pt>
                <c:pt idx="159">
                  <c:v>41498</c:v>
                </c:pt>
                <c:pt idx="160">
                  <c:v>41499</c:v>
                </c:pt>
                <c:pt idx="161">
                  <c:v>41500</c:v>
                </c:pt>
                <c:pt idx="162">
                  <c:v>41501</c:v>
                </c:pt>
                <c:pt idx="163">
                  <c:v>41502</c:v>
                </c:pt>
                <c:pt idx="164">
                  <c:v>41505</c:v>
                </c:pt>
                <c:pt idx="165">
                  <c:v>41506</c:v>
                </c:pt>
                <c:pt idx="166">
                  <c:v>41507</c:v>
                </c:pt>
                <c:pt idx="167">
                  <c:v>41508</c:v>
                </c:pt>
                <c:pt idx="168">
                  <c:v>41509</c:v>
                </c:pt>
                <c:pt idx="169">
                  <c:v>41512</c:v>
                </c:pt>
                <c:pt idx="170">
                  <c:v>41513</c:v>
                </c:pt>
                <c:pt idx="171">
                  <c:v>41514</c:v>
                </c:pt>
                <c:pt idx="172">
                  <c:v>41515</c:v>
                </c:pt>
                <c:pt idx="173">
                  <c:v>41519</c:v>
                </c:pt>
                <c:pt idx="174">
                  <c:v>41520</c:v>
                </c:pt>
                <c:pt idx="175">
                  <c:v>41521</c:v>
                </c:pt>
                <c:pt idx="176">
                  <c:v>41522</c:v>
                </c:pt>
                <c:pt idx="177">
                  <c:v>41523</c:v>
                </c:pt>
                <c:pt idx="178">
                  <c:v>41526</c:v>
                </c:pt>
                <c:pt idx="179">
                  <c:v>41527</c:v>
                </c:pt>
                <c:pt idx="180">
                  <c:v>41528</c:v>
                </c:pt>
                <c:pt idx="181">
                  <c:v>41529</c:v>
                </c:pt>
                <c:pt idx="182">
                  <c:v>41530</c:v>
                </c:pt>
                <c:pt idx="183">
                  <c:v>41533</c:v>
                </c:pt>
                <c:pt idx="184">
                  <c:v>41534</c:v>
                </c:pt>
                <c:pt idx="185">
                  <c:v>41535</c:v>
                </c:pt>
                <c:pt idx="186">
                  <c:v>41536</c:v>
                </c:pt>
                <c:pt idx="187">
                  <c:v>41537</c:v>
                </c:pt>
                <c:pt idx="188">
                  <c:v>41540</c:v>
                </c:pt>
                <c:pt idx="189">
                  <c:v>41541</c:v>
                </c:pt>
                <c:pt idx="190">
                  <c:v>41542</c:v>
                </c:pt>
                <c:pt idx="191">
                  <c:v>41543</c:v>
                </c:pt>
                <c:pt idx="192">
                  <c:v>41544</c:v>
                </c:pt>
                <c:pt idx="193">
                  <c:v>41547</c:v>
                </c:pt>
                <c:pt idx="194">
                  <c:v>41548</c:v>
                </c:pt>
                <c:pt idx="195">
                  <c:v>41549</c:v>
                </c:pt>
                <c:pt idx="196">
                  <c:v>41550</c:v>
                </c:pt>
                <c:pt idx="197">
                  <c:v>41551</c:v>
                </c:pt>
                <c:pt idx="198">
                  <c:v>41554</c:v>
                </c:pt>
                <c:pt idx="199">
                  <c:v>41555</c:v>
                </c:pt>
                <c:pt idx="200">
                  <c:v>41556</c:v>
                </c:pt>
                <c:pt idx="201">
                  <c:v>41557</c:v>
                </c:pt>
                <c:pt idx="202">
                  <c:v>41558</c:v>
                </c:pt>
                <c:pt idx="203">
                  <c:v>41561</c:v>
                </c:pt>
                <c:pt idx="204">
                  <c:v>41562</c:v>
                </c:pt>
                <c:pt idx="205">
                  <c:v>41563</c:v>
                </c:pt>
                <c:pt idx="206">
                  <c:v>41564</c:v>
                </c:pt>
                <c:pt idx="207">
                  <c:v>41565</c:v>
                </c:pt>
                <c:pt idx="208">
                  <c:v>41568</c:v>
                </c:pt>
                <c:pt idx="209">
                  <c:v>41569</c:v>
                </c:pt>
                <c:pt idx="210">
                  <c:v>41570</c:v>
                </c:pt>
                <c:pt idx="211">
                  <c:v>41571</c:v>
                </c:pt>
                <c:pt idx="212">
                  <c:v>41572</c:v>
                </c:pt>
                <c:pt idx="213">
                  <c:v>41575</c:v>
                </c:pt>
                <c:pt idx="214">
                  <c:v>41576</c:v>
                </c:pt>
                <c:pt idx="215">
                  <c:v>41577</c:v>
                </c:pt>
                <c:pt idx="216">
                  <c:v>41578</c:v>
                </c:pt>
                <c:pt idx="217">
                  <c:v>41579</c:v>
                </c:pt>
                <c:pt idx="218">
                  <c:v>41582</c:v>
                </c:pt>
                <c:pt idx="219">
                  <c:v>41583</c:v>
                </c:pt>
                <c:pt idx="220">
                  <c:v>41584</c:v>
                </c:pt>
                <c:pt idx="221">
                  <c:v>41585</c:v>
                </c:pt>
                <c:pt idx="222">
                  <c:v>41586</c:v>
                </c:pt>
                <c:pt idx="223">
                  <c:v>41589</c:v>
                </c:pt>
                <c:pt idx="224">
                  <c:v>41590</c:v>
                </c:pt>
                <c:pt idx="225">
                  <c:v>41591</c:v>
                </c:pt>
                <c:pt idx="226">
                  <c:v>41592</c:v>
                </c:pt>
                <c:pt idx="227">
                  <c:v>41593</c:v>
                </c:pt>
                <c:pt idx="228">
                  <c:v>41596</c:v>
                </c:pt>
                <c:pt idx="229">
                  <c:v>41597</c:v>
                </c:pt>
                <c:pt idx="230">
                  <c:v>41598</c:v>
                </c:pt>
                <c:pt idx="231">
                  <c:v>41599</c:v>
                </c:pt>
                <c:pt idx="232">
                  <c:v>41600</c:v>
                </c:pt>
                <c:pt idx="233">
                  <c:v>41603</c:v>
                </c:pt>
                <c:pt idx="234">
                  <c:v>41604</c:v>
                </c:pt>
                <c:pt idx="235">
                  <c:v>41605</c:v>
                </c:pt>
                <c:pt idx="236">
                  <c:v>41606</c:v>
                </c:pt>
                <c:pt idx="237">
                  <c:v>41607</c:v>
                </c:pt>
                <c:pt idx="238">
                  <c:v>41608</c:v>
                </c:pt>
                <c:pt idx="239">
                  <c:v>41610</c:v>
                </c:pt>
                <c:pt idx="240">
                  <c:v>41611</c:v>
                </c:pt>
                <c:pt idx="241">
                  <c:v>41612</c:v>
                </c:pt>
                <c:pt idx="242">
                  <c:v>41613</c:v>
                </c:pt>
                <c:pt idx="243">
                  <c:v>41614</c:v>
                </c:pt>
                <c:pt idx="244">
                  <c:v>41617</c:v>
                </c:pt>
                <c:pt idx="245">
                  <c:v>41618</c:v>
                </c:pt>
                <c:pt idx="246">
                  <c:v>41619</c:v>
                </c:pt>
                <c:pt idx="247">
                  <c:v>41620</c:v>
                </c:pt>
                <c:pt idx="248">
                  <c:v>41621</c:v>
                </c:pt>
                <c:pt idx="249">
                  <c:v>41624</c:v>
                </c:pt>
                <c:pt idx="250">
                  <c:v>41625</c:v>
                </c:pt>
                <c:pt idx="251">
                  <c:v>41626</c:v>
                </c:pt>
                <c:pt idx="252">
                  <c:v>41627</c:v>
                </c:pt>
                <c:pt idx="253">
                  <c:v>41628</c:v>
                </c:pt>
                <c:pt idx="254">
                  <c:v>41631</c:v>
                </c:pt>
                <c:pt idx="255">
                  <c:v>41632</c:v>
                </c:pt>
                <c:pt idx="256">
                  <c:v>41634</c:v>
                </c:pt>
                <c:pt idx="257">
                  <c:v>41635</c:v>
                </c:pt>
                <c:pt idx="258">
                  <c:v>41638</c:v>
                </c:pt>
                <c:pt idx="259">
                  <c:v>41639</c:v>
                </c:pt>
                <c:pt idx="260">
                  <c:v>41641</c:v>
                </c:pt>
                <c:pt idx="261">
                  <c:v>41642</c:v>
                </c:pt>
                <c:pt idx="262">
                  <c:v>41645</c:v>
                </c:pt>
                <c:pt idx="263">
                  <c:v>41646</c:v>
                </c:pt>
                <c:pt idx="264">
                  <c:v>41647</c:v>
                </c:pt>
                <c:pt idx="265">
                  <c:v>41648</c:v>
                </c:pt>
                <c:pt idx="266">
                  <c:v>41649</c:v>
                </c:pt>
                <c:pt idx="267">
                  <c:v>41652</c:v>
                </c:pt>
                <c:pt idx="268">
                  <c:v>41653</c:v>
                </c:pt>
                <c:pt idx="269">
                  <c:v>41654</c:v>
                </c:pt>
                <c:pt idx="270">
                  <c:v>41655</c:v>
                </c:pt>
                <c:pt idx="271">
                  <c:v>41656</c:v>
                </c:pt>
                <c:pt idx="272">
                  <c:v>41659</c:v>
                </c:pt>
                <c:pt idx="273">
                  <c:v>41660</c:v>
                </c:pt>
                <c:pt idx="274">
                  <c:v>41661</c:v>
                </c:pt>
                <c:pt idx="275">
                  <c:v>41662</c:v>
                </c:pt>
                <c:pt idx="276">
                  <c:v>41663</c:v>
                </c:pt>
                <c:pt idx="277">
                  <c:v>41666</c:v>
                </c:pt>
                <c:pt idx="278">
                  <c:v>41667</c:v>
                </c:pt>
                <c:pt idx="279">
                  <c:v>41668</c:v>
                </c:pt>
                <c:pt idx="280">
                  <c:v>41669</c:v>
                </c:pt>
                <c:pt idx="281">
                  <c:v>41670</c:v>
                </c:pt>
                <c:pt idx="282">
                  <c:v>41673</c:v>
                </c:pt>
                <c:pt idx="283">
                  <c:v>41674</c:v>
                </c:pt>
                <c:pt idx="284">
                  <c:v>41675</c:v>
                </c:pt>
                <c:pt idx="285">
                  <c:v>41676</c:v>
                </c:pt>
                <c:pt idx="286">
                  <c:v>41677</c:v>
                </c:pt>
                <c:pt idx="287">
                  <c:v>41680</c:v>
                </c:pt>
                <c:pt idx="288">
                  <c:v>41681</c:v>
                </c:pt>
                <c:pt idx="289">
                  <c:v>41682</c:v>
                </c:pt>
                <c:pt idx="290">
                  <c:v>41683</c:v>
                </c:pt>
                <c:pt idx="291">
                  <c:v>41684</c:v>
                </c:pt>
                <c:pt idx="292">
                  <c:v>41687</c:v>
                </c:pt>
                <c:pt idx="293">
                  <c:v>41688</c:v>
                </c:pt>
                <c:pt idx="294">
                  <c:v>41689</c:v>
                </c:pt>
                <c:pt idx="295">
                  <c:v>41690</c:v>
                </c:pt>
                <c:pt idx="296">
                  <c:v>41691</c:v>
                </c:pt>
                <c:pt idx="297">
                  <c:v>41694</c:v>
                </c:pt>
                <c:pt idx="298">
                  <c:v>41695</c:v>
                </c:pt>
                <c:pt idx="299">
                  <c:v>41696</c:v>
                </c:pt>
                <c:pt idx="300">
                  <c:v>41697</c:v>
                </c:pt>
                <c:pt idx="301">
                  <c:v>41698</c:v>
                </c:pt>
                <c:pt idx="302">
                  <c:v>41701</c:v>
                </c:pt>
                <c:pt idx="303">
                  <c:v>41702</c:v>
                </c:pt>
                <c:pt idx="304">
                  <c:v>41703</c:v>
                </c:pt>
                <c:pt idx="305">
                  <c:v>41704</c:v>
                </c:pt>
                <c:pt idx="306">
                  <c:v>41705</c:v>
                </c:pt>
                <c:pt idx="307">
                  <c:v>41708</c:v>
                </c:pt>
                <c:pt idx="308">
                  <c:v>41709</c:v>
                </c:pt>
                <c:pt idx="309">
                  <c:v>41710</c:v>
                </c:pt>
                <c:pt idx="310">
                  <c:v>41711</c:v>
                </c:pt>
                <c:pt idx="311">
                  <c:v>41712</c:v>
                </c:pt>
                <c:pt idx="312">
                  <c:v>41715</c:v>
                </c:pt>
                <c:pt idx="313">
                  <c:v>41716</c:v>
                </c:pt>
                <c:pt idx="314">
                  <c:v>41717</c:v>
                </c:pt>
                <c:pt idx="315">
                  <c:v>41718</c:v>
                </c:pt>
                <c:pt idx="316">
                  <c:v>41719</c:v>
                </c:pt>
                <c:pt idx="317">
                  <c:v>41722</c:v>
                </c:pt>
                <c:pt idx="318">
                  <c:v>41723</c:v>
                </c:pt>
                <c:pt idx="319">
                  <c:v>41724</c:v>
                </c:pt>
                <c:pt idx="320">
                  <c:v>41725</c:v>
                </c:pt>
                <c:pt idx="321">
                  <c:v>41726</c:v>
                </c:pt>
                <c:pt idx="322">
                  <c:v>41729</c:v>
                </c:pt>
                <c:pt idx="323">
                  <c:v>41730</c:v>
                </c:pt>
                <c:pt idx="324">
                  <c:v>41731</c:v>
                </c:pt>
                <c:pt idx="325">
                  <c:v>41732</c:v>
                </c:pt>
                <c:pt idx="326">
                  <c:v>41733</c:v>
                </c:pt>
                <c:pt idx="327">
                  <c:v>41736</c:v>
                </c:pt>
                <c:pt idx="328">
                  <c:v>41737</c:v>
                </c:pt>
                <c:pt idx="329">
                  <c:v>41738</c:v>
                </c:pt>
                <c:pt idx="330">
                  <c:v>41739</c:v>
                </c:pt>
                <c:pt idx="331">
                  <c:v>41740</c:v>
                </c:pt>
                <c:pt idx="332">
                  <c:v>41743</c:v>
                </c:pt>
                <c:pt idx="333">
                  <c:v>41744</c:v>
                </c:pt>
                <c:pt idx="334">
                  <c:v>41745</c:v>
                </c:pt>
                <c:pt idx="335">
                  <c:v>41746</c:v>
                </c:pt>
                <c:pt idx="336">
                  <c:v>41750</c:v>
                </c:pt>
                <c:pt idx="337">
                  <c:v>41751</c:v>
                </c:pt>
                <c:pt idx="338">
                  <c:v>41752</c:v>
                </c:pt>
                <c:pt idx="339">
                  <c:v>41753</c:v>
                </c:pt>
                <c:pt idx="340">
                  <c:v>41754</c:v>
                </c:pt>
                <c:pt idx="341">
                  <c:v>41757</c:v>
                </c:pt>
                <c:pt idx="342">
                  <c:v>41758</c:v>
                </c:pt>
                <c:pt idx="343">
                  <c:v>41759</c:v>
                </c:pt>
                <c:pt idx="344">
                  <c:v>41760</c:v>
                </c:pt>
                <c:pt idx="345">
                  <c:v>41761</c:v>
                </c:pt>
                <c:pt idx="346">
                  <c:v>41764</c:v>
                </c:pt>
                <c:pt idx="347">
                  <c:v>41765</c:v>
                </c:pt>
                <c:pt idx="348">
                  <c:v>41766</c:v>
                </c:pt>
                <c:pt idx="349">
                  <c:v>41767</c:v>
                </c:pt>
                <c:pt idx="350">
                  <c:v>41768</c:v>
                </c:pt>
                <c:pt idx="351">
                  <c:v>41771</c:v>
                </c:pt>
                <c:pt idx="352">
                  <c:v>41772</c:v>
                </c:pt>
                <c:pt idx="353">
                  <c:v>41773</c:v>
                </c:pt>
                <c:pt idx="354">
                  <c:v>41774</c:v>
                </c:pt>
                <c:pt idx="355">
                  <c:v>41775</c:v>
                </c:pt>
                <c:pt idx="356">
                  <c:v>41778</c:v>
                </c:pt>
                <c:pt idx="357">
                  <c:v>41779</c:v>
                </c:pt>
                <c:pt idx="358">
                  <c:v>41780</c:v>
                </c:pt>
                <c:pt idx="359">
                  <c:v>41781</c:v>
                </c:pt>
                <c:pt idx="360">
                  <c:v>41782</c:v>
                </c:pt>
                <c:pt idx="361">
                  <c:v>41785</c:v>
                </c:pt>
                <c:pt idx="362">
                  <c:v>41786</c:v>
                </c:pt>
                <c:pt idx="363">
                  <c:v>41787</c:v>
                </c:pt>
                <c:pt idx="364">
                  <c:v>41788</c:v>
                </c:pt>
                <c:pt idx="365">
                  <c:v>41789</c:v>
                </c:pt>
                <c:pt idx="366">
                  <c:v>41790</c:v>
                </c:pt>
                <c:pt idx="367">
                  <c:v>41792</c:v>
                </c:pt>
                <c:pt idx="368">
                  <c:v>41793</c:v>
                </c:pt>
                <c:pt idx="369">
                  <c:v>41794</c:v>
                </c:pt>
                <c:pt idx="370">
                  <c:v>41795</c:v>
                </c:pt>
                <c:pt idx="371">
                  <c:v>41796</c:v>
                </c:pt>
                <c:pt idx="372">
                  <c:v>41799</c:v>
                </c:pt>
                <c:pt idx="373">
                  <c:v>41800</c:v>
                </c:pt>
                <c:pt idx="374">
                  <c:v>41801</c:v>
                </c:pt>
                <c:pt idx="375">
                  <c:v>41802</c:v>
                </c:pt>
                <c:pt idx="376">
                  <c:v>41803</c:v>
                </c:pt>
                <c:pt idx="377">
                  <c:v>41806</c:v>
                </c:pt>
                <c:pt idx="378">
                  <c:v>41807</c:v>
                </c:pt>
                <c:pt idx="379">
                  <c:v>41808</c:v>
                </c:pt>
                <c:pt idx="380">
                  <c:v>41809</c:v>
                </c:pt>
                <c:pt idx="381">
                  <c:v>41810</c:v>
                </c:pt>
                <c:pt idx="382">
                  <c:v>41813</c:v>
                </c:pt>
                <c:pt idx="383">
                  <c:v>41814</c:v>
                </c:pt>
                <c:pt idx="384">
                  <c:v>41815</c:v>
                </c:pt>
                <c:pt idx="385">
                  <c:v>41816</c:v>
                </c:pt>
                <c:pt idx="386">
                  <c:v>41817</c:v>
                </c:pt>
                <c:pt idx="387">
                  <c:v>41820</c:v>
                </c:pt>
                <c:pt idx="388">
                  <c:v>41821</c:v>
                </c:pt>
                <c:pt idx="389">
                  <c:v>41822</c:v>
                </c:pt>
                <c:pt idx="390">
                  <c:v>41823</c:v>
                </c:pt>
                <c:pt idx="391">
                  <c:v>41824</c:v>
                </c:pt>
                <c:pt idx="392">
                  <c:v>41827</c:v>
                </c:pt>
                <c:pt idx="393">
                  <c:v>41828</c:v>
                </c:pt>
                <c:pt idx="394">
                  <c:v>41829</c:v>
                </c:pt>
                <c:pt idx="395">
                  <c:v>41830</c:v>
                </c:pt>
                <c:pt idx="396">
                  <c:v>41831</c:v>
                </c:pt>
                <c:pt idx="397">
                  <c:v>41834</c:v>
                </c:pt>
                <c:pt idx="398">
                  <c:v>41835</c:v>
                </c:pt>
                <c:pt idx="399">
                  <c:v>41836</c:v>
                </c:pt>
                <c:pt idx="400">
                  <c:v>41837</c:v>
                </c:pt>
                <c:pt idx="401">
                  <c:v>41838</c:v>
                </c:pt>
                <c:pt idx="402">
                  <c:v>41841</c:v>
                </c:pt>
                <c:pt idx="403">
                  <c:v>41842</c:v>
                </c:pt>
                <c:pt idx="404">
                  <c:v>41843</c:v>
                </c:pt>
                <c:pt idx="405">
                  <c:v>41844</c:v>
                </c:pt>
                <c:pt idx="406">
                  <c:v>41845</c:v>
                </c:pt>
                <c:pt idx="407">
                  <c:v>41848</c:v>
                </c:pt>
                <c:pt idx="408">
                  <c:v>41849</c:v>
                </c:pt>
                <c:pt idx="409">
                  <c:v>41850</c:v>
                </c:pt>
                <c:pt idx="410">
                  <c:v>41851</c:v>
                </c:pt>
                <c:pt idx="411">
                  <c:v>41852</c:v>
                </c:pt>
                <c:pt idx="412">
                  <c:v>41855</c:v>
                </c:pt>
                <c:pt idx="413">
                  <c:v>41856</c:v>
                </c:pt>
                <c:pt idx="414">
                  <c:v>41857</c:v>
                </c:pt>
                <c:pt idx="415">
                  <c:v>41858</c:v>
                </c:pt>
                <c:pt idx="416">
                  <c:v>41859</c:v>
                </c:pt>
                <c:pt idx="417">
                  <c:v>41862</c:v>
                </c:pt>
                <c:pt idx="418">
                  <c:v>41863</c:v>
                </c:pt>
                <c:pt idx="419">
                  <c:v>41864</c:v>
                </c:pt>
                <c:pt idx="420">
                  <c:v>41865</c:v>
                </c:pt>
                <c:pt idx="421">
                  <c:v>41866</c:v>
                </c:pt>
                <c:pt idx="422">
                  <c:v>41869</c:v>
                </c:pt>
                <c:pt idx="423">
                  <c:v>41870</c:v>
                </c:pt>
                <c:pt idx="424">
                  <c:v>41871</c:v>
                </c:pt>
                <c:pt idx="425">
                  <c:v>41872</c:v>
                </c:pt>
                <c:pt idx="426">
                  <c:v>41873</c:v>
                </c:pt>
                <c:pt idx="427">
                  <c:v>41876</c:v>
                </c:pt>
                <c:pt idx="428">
                  <c:v>41877</c:v>
                </c:pt>
                <c:pt idx="429">
                  <c:v>41878</c:v>
                </c:pt>
                <c:pt idx="430">
                  <c:v>41879</c:v>
                </c:pt>
                <c:pt idx="431">
                  <c:v>41880</c:v>
                </c:pt>
                <c:pt idx="432">
                  <c:v>41882</c:v>
                </c:pt>
                <c:pt idx="433">
                  <c:v>41883</c:v>
                </c:pt>
                <c:pt idx="434">
                  <c:v>41884</c:v>
                </c:pt>
                <c:pt idx="435">
                  <c:v>41885</c:v>
                </c:pt>
                <c:pt idx="436">
                  <c:v>41886</c:v>
                </c:pt>
                <c:pt idx="437">
                  <c:v>41887</c:v>
                </c:pt>
                <c:pt idx="438">
                  <c:v>41890</c:v>
                </c:pt>
                <c:pt idx="439">
                  <c:v>41891</c:v>
                </c:pt>
                <c:pt idx="440">
                  <c:v>41892</c:v>
                </c:pt>
                <c:pt idx="441">
                  <c:v>41893</c:v>
                </c:pt>
                <c:pt idx="442">
                  <c:v>41894</c:v>
                </c:pt>
                <c:pt idx="443">
                  <c:v>41897</c:v>
                </c:pt>
                <c:pt idx="444">
                  <c:v>41898</c:v>
                </c:pt>
                <c:pt idx="445">
                  <c:v>41899</c:v>
                </c:pt>
                <c:pt idx="446">
                  <c:v>41900</c:v>
                </c:pt>
                <c:pt idx="447">
                  <c:v>41901</c:v>
                </c:pt>
                <c:pt idx="448">
                  <c:v>41904</c:v>
                </c:pt>
                <c:pt idx="449">
                  <c:v>41905</c:v>
                </c:pt>
                <c:pt idx="450">
                  <c:v>41906</c:v>
                </c:pt>
                <c:pt idx="451">
                  <c:v>41907</c:v>
                </c:pt>
                <c:pt idx="452">
                  <c:v>41908</c:v>
                </c:pt>
                <c:pt idx="453">
                  <c:v>41911</c:v>
                </c:pt>
                <c:pt idx="454">
                  <c:v>41912</c:v>
                </c:pt>
                <c:pt idx="455">
                  <c:v>41913</c:v>
                </c:pt>
                <c:pt idx="456">
                  <c:v>41914</c:v>
                </c:pt>
                <c:pt idx="457">
                  <c:v>41915</c:v>
                </c:pt>
                <c:pt idx="458">
                  <c:v>41918</c:v>
                </c:pt>
                <c:pt idx="459">
                  <c:v>41919</c:v>
                </c:pt>
                <c:pt idx="460">
                  <c:v>41920</c:v>
                </c:pt>
                <c:pt idx="461">
                  <c:v>41921</c:v>
                </c:pt>
                <c:pt idx="462">
                  <c:v>41922</c:v>
                </c:pt>
                <c:pt idx="463">
                  <c:v>41925</c:v>
                </c:pt>
                <c:pt idx="464">
                  <c:v>41926</c:v>
                </c:pt>
                <c:pt idx="465">
                  <c:v>41927</c:v>
                </c:pt>
                <c:pt idx="466">
                  <c:v>41928</c:v>
                </c:pt>
                <c:pt idx="467">
                  <c:v>41929</c:v>
                </c:pt>
                <c:pt idx="468">
                  <c:v>41932</c:v>
                </c:pt>
                <c:pt idx="469">
                  <c:v>41933</c:v>
                </c:pt>
                <c:pt idx="470">
                  <c:v>41934</c:v>
                </c:pt>
                <c:pt idx="471">
                  <c:v>41935</c:v>
                </c:pt>
                <c:pt idx="472">
                  <c:v>41936</c:v>
                </c:pt>
                <c:pt idx="473">
                  <c:v>41939</c:v>
                </c:pt>
                <c:pt idx="474">
                  <c:v>41940</c:v>
                </c:pt>
                <c:pt idx="475">
                  <c:v>41941</c:v>
                </c:pt>
                <c:pt idx="476">
                  <c:v>41942</c:v>
                </c:pt>
                <c:pt idx="477">
                  <c:v>41943</c:v>
                </c:pt>
                <c:pt idx="478">
                  <c:v>41946</c:v>
                </c:pt>
                <c:pt idx="479">
                  <c:v>41947</c:v>
                </c:pt>
                <c:pt idx="480">
                  <c:v>41948</c:v>
                </c:pt>
                <c:pt idx="481">
                  <c:v>41949</c:v>
                </c:pt>
                <c:pt idx="482">
                  <c:v>41950</c:v>
                </c:pt>
                <c:pt idx="483">
                  <c:v>41953</c:v>
                </c:pt>
                <c:pt idx="484">
                  <c:v>41954</c:v>
                </c:pt>
                <c:pt idx="485">
                  <c:v>41955</c:v>
                </c:pt>
                <c:pt idx="486">
                  <c:v>41956</c:v>
                </c:pt>
                <c:pt idx="487">
                  <c:v>41957</c:v>
                </c:pt>
                <c:pt idx="488">
                  <c:v>41960</c:v>
                </c:pt>
                <c:pt idx="489">
                  <c:v>41961</c:v>
                </c:pt>
                <c:pt idx="490">
                  <c:v>41962</c:v>
                </c:pt>
                <c:pt idx="491">
                  <c:v>41963</c:v>
                </c:pt>
                <c:pt idx="492">
                  <c:v>41964</c:v>
                </c:pt>
                <c:pt idx="493">
                  <c:v>41967</c:v>
                </c:pt>
                <c:pt idx="494">
                  <c:v>41968</c:v>
                </c:pt>
                <c:pt idx="495">
                  <c:v>41969</c:v>
                </c:pt>
                <c:pt idx="496">
                  <c:v>41970</c:v>
                </c:pt>
                <c:pt idx="497">
                  <c:v>41971</c:v>
                </c:pt>
                <c:pt idx="498">
                  <c:v>41973</c:v>
                </c:pt>
                <c:pt idx="499">
                  <c:v>41974</c:v>
                </c:pt>
                <c:pt idx="500">
                  <c:v>41975</c:v>
                </c:pt>
                <c:pt idx="501">
                  <c:v>41976</c:v>
                </c:pt>
                <c:pt idx="502">
                  <c:v>41977</c:v>
                </c:pt>
                <c:pt idx="503">
                  <c:v>41978</c:v>
                </c:pt>
                <c:pt idx="504">
                  <c:v>41981</c:v>
                </c:pt>
                <c:pt idx="505">
                  <c:v>41982</c:v>
                </c:pt>
                <c:pt idx="506">
                  <c:v>41983</c:v>
                </c:pt>
                <c:pt idx="507">
                  <c:v>41984</c:v>
                </c:pt>
                <c:pt idx="508">
                  <c:v>41985</c:v>
                </c:pt>
                <c:pt idx="509">
                  <c:v>41988</c:v>
                </c:pt>
                <c:pt idx="510">
                  <c:v>41989</c:v>
                </c:pt>
                <c:pt idx="511">
                  <c:v>41990</c:v>
                </c:pt>
                <c:pt idx="512">
                  <c:v>41991</c:v>
                </c:pt>
                <c:pt idx="513">
                  <c:v>41992</c:v>
                </c:pt>
                <c:pt idx="514">
                  <c:v>41995</c:v>
                </c:pt>
                <c:pt idx="515">
                  <c:v>41996</c:v>
                </c:pt>
                <c:pt idx="516">
                  <c:v>41997</c:v>
                </c:pt>
                <c:pt idx="517">
                  <c:v>41999</c:v>
                </c:pt>
                <c:pt idx="518">
                  <c:v>42002</c:v>
                </c:pt>
                <c:pt idx="519">
                  <c:v>42003</c:v>
                </c:pt>
                <c:pt idx="520">
                  <c:v>42004</c:v>
                </c:pt>
                <c:pt idx="521">
                  <c:v>42006</c:v>
                </c:pt>
                <c:pt idx="522">
                  <c:v>42009</c:v>
                </c:pt>
                <c:pt idx="523">
                  <c:v>42010</c:v>
                </c:pt>
                <c:pt idx="524">
                  <c:v>42011</c:v>
                </c:pt>
                <c:pt idx="525">
                  <c:v>42012</c:v>
                </c:pt>
                <c:pt idx="526">
                  <c:v>42013</c:v>
                </c:pt>
                <c:pt idx="527">
                  <c:v>42016</c:v>
                </c:pt>
                <c:pt idx="528">
                  <c:v>42017</c:v>
                </c:pt>
                <c:pt idx="529">
                  <c:v>42018</c:v>
                </c:pt>
                <c:pt idx="530">
                  <c:v>42019</c:v>
                </c:pt>
                <c:pt idx="531">
                  <c:v>42023</c:v>
                </c:pt>
                <c:pt idx="532">
                  <c:v>42024</c:v>
                </c:pt>
                <c:pt idx="533">
                  <c:v>42025</c:v>
                </c:pt>
                <c:pt idx="534">
                  <c:v>42026</c:v>
                </c:pt>
                <c:pt idx="535">
                  <c:v>42027</c:v>
                </c:pt>
                <c:pt idx="536">
                  <c:v>42030</c:v>
                </c:pt>
                <c:pt idx="537">
                  <c:v>42031</c:v>
                </c:pt>
                <c:pt idx="538">
                  <c:v>42032</c:v>
                </c:pt>
                <c:pt idx="539">
                  <c:v>42033</c:v>
                </c:pt>
                <c:pt idx="540">
                  <c:v>42034</c:v>
                </c:pt>
                <c:pt idx="541">
                  <c:v>42035</c:v>
                </c:pt>
                <c:pt idx="542">
                  <c:v>42037</c:v>
                </c:pt>
                <c:pt idx="543">
                  <c:v>42038</c:v>
                </c:pt>
                <c:pt idx="544">
                  <c:v>42039</c:v>
                </c:pt>
                <c:pt idx="545">
                  <c:v>42040</c:v>
                </c:pt>
                <c:pt idx="546">
                  <c:v>42041</c:v>
                </c:pt>
                <c:pt idx="547">
                  <c:v>42044</c:v>
                </c:pt>
                <c:pt idx="548">
                  <c:v>42045</c:v>
                </c:pt>
                <c:pt idx="549">
                  <c:v>42046</c:v>
                </c:pt>
                <c:pt idx="550">
                  <c:v>42047</c:v>
                </c:pt>
                <c:pt idx="551">
                  <c:v>42048</c:v>
                </c:pt>
                <c:pt idx="552">
                  <c:v>42051</c:v>
                </c:pt>
                <c:pt idx="553">
                  <c:v>42052</c:v>
                </c:pt>
                <c:pt idx="554">
                  <c:v>42053</c:v>
                </c:pt>
                <c:pt idx="555">
                  <c:v>42054</c:v>
                </c:pt>
                <c:pt idx="556">
                  <c:v>42055</c:v>
                </c:pt>
                <c:pt idx="557">
                  <c:v>42058</c:v>
                </c:pt>
                <c:pt idx="558">
                  <c:v>42059</c:v>
                </c:pt>
                <c:pt idx="559">
                  <c:v>42060</c:v>
                </c:pt>
                <c:pt idx="560">
                  <c:v>42061</c:v>
                </c:pt>
                <c:pt idx="561">
                  <c:v>42062</c:v>
                </c:pt>
                <c:pt idx="562">
                  <c:v>42063</c:v>
                </c:pt>
                <c:pt idx="563">
                  <c:v>42065</c:v>
                </c:pt>
                <c:pt idx="564">
                  <c:v>42066</c:v>
                </c:pt>
                <c:pt idx="565">
                  <c:v>42067</c:v>
                </c:pt>
                <c:pt idx="566">
                  <c:v>42068</c:v>
                </c:pt>
                <c:pt idx="567">
                  <c:v>42069</c:v>
                </c:pt>
                <c:pt idx="568">
                  <c:v>42072</c:v>
                </c:pt>
                <c:pt idx="569">
                  <c:v>42073</c:v>
                </c:pt>
                <c:pt idx="570">
                  <c:v>42074</c:v>
                </c:pt>
                <c:pt idx="571">
                  <c:v>42075</c:v>
                </c:pt>
                <c:pt idx="572">
                  <c:v>42076</c:v>
                </c:pt>
                <c:pt idx="573">
                  <c:v>42079</c:v>
                </c:pt>
                <c:pt idx="574">
                  <c:v>42080</c:v>
                </c:pt>
                <c:pt idx="575">
                  <c:v>42081</c:v>
                </c:pt>
                <c:pt idx="576">
                  <c:v>42082</c:v>
                </c:pt>
                <c:pt idx="577">
                  <c:v>42083</c:v>
                </c:pt>
                <c:pt idx="578">
                  <c:v>42086</c:v>
                </c:pt>
                <c:pt idx="579">
                  <c:v>42087</c:v>
                </c:pt>
                <c:pt idx="580">
                  <c:v>42088</c:v>
                </c:pt>
                <c:pt idx="581">
                  <c:v>42089</c:v>
                </c:pt>
                <c:pt idx="582">
                  <c:v>42090</c:v>
                </c:pt>
                <c:pt idx="583">
                  <c:v>42093</c:v>
                </c:pt>
                <c:pt idx="584">
                  <c:v>42094</c:v>
                </c:pt>
                <c:pt idx="585">
                  <c:v>42095</c:v>
                </c:pt>
                <c:pt idx="586">
                  <c:v>42096</c:v>
                </c:pt>
                <c:pt idx="587">
                  <c:v>42100</c:v>
                </c:pt>
                <c:pt idx="588">
                  <c:v>42101</c:v>
                </c:pt>
                <c:pt idx="589">
                  <c:v>42102</c:v>
                </c:pt>
                <c:pt idx="590">
                  <c:v>42103</c:v>
                </c:pt>
                <c:pt idx="591">
                  <c:v>42104</c:v>
                </c:pt>
                <c:pt idx="592">
                  <c:v>42107</c:v>
                </c:pt>
                <c:pt idx="593">
                  <c:v>42108</c:v>
                </c:pt>
                <c:pt idx="594">
                  <c:v>42109</c:v>
                </c:pt>
                <c:pt idx="595">
                  <c:v>42110</c:v>
                </c:pt>
                <c:pt idx="596">
                  <c:v>42111</c:v>
                </c:pt>
                <c:pt idx="597">
                  <c:v>42114</c:v>
                </c:pt>
                <c:pt idx="598">
                  <c:v>42115</c:v>
                </c:pt>
                <c:pt idx="599">
                  <c:v>42116</c:v>
                </c:pt>
                <c:pt idx="600">
                  <c:v>42117</c:v>
                </c:pt>
                <c:pt idx="601">
                  <c:v>42118</c:v>
                </c:pt>
                <c:pt idx="602">
                  <c:v>42121</c:v>
                </c:pt>
                <c:pt idx="603">
                  <c:v>42122</c:v>
                </c:pt>
                <c:pt idx="604">
                  <c:v>42123</c:v>
                </c:pt>
                <c:pt idx="605">
                  <c:v>42124</c:v>
                </c:pt>
                <c:pt idx="606">
                  <c:v>42125</c:v>
                </c:pt>
                <c:pt idx="607">
                  <c:v>42128</c:v>
                </c:pt>
                <c:pt idx="608">
                  <c:v>42129</c:v>
                </c:pt>
                <c:pt idx="609">
                  <c:v>42130</c:v>
                </c:pt>
                <c:pt idx="610">
                  <c:v>42131</c:v>
                </c:pt>
                <c:pt idx="611">
                  <c:v>42132</c:v>
                </c:pt>
                <c:pt idx="612">
                  <c:v>42135</c:v>
                </c:pt>
                <c:pt idx="613">
                  <c:v>42136</c:v>
                </c:pt>
                <c:pt idx="614">
                  <c:v>42137</c:v>
                </c:pt>
                <c:pt idx="615">
                  <c:v>42138</c:v>
                </c:pt>
                <c:pt idx="616">
                  <c:v>42139</c:v>
                </c:pt>
                <c:pt idx="617">
                  <c:v>42142</c:v>
                </c:pt>
                <c:pt idx="618">
                  <c:v>42143</c:v>
                </c:pt>
                <c:pt idx="619">
                  <c:v>42144</c:v>
                </c:pt>
                <c:pt idx="620">
                  <c:v>42145</c:v>
                </c:pt>
                <c:pt idx="621">
                  <c:v>42146</c:v>
                </c:pt>
                <c:pt idx="622">
                  <c:v>42150</c:v>
                </c:pt>
                <c:pt idx="623">
                  <c:v>42151</c:v>
                </c:pt>
                <c:pt idx="624">
                  <c:v>42152</c:v>
                </c:pt>
                <c:pt idx="625">
                  <c:v>42153</c:v>
                </c:pt>
                <c:pt idx="626">
                  <c:v>42155</c:v>
                </c:pt>
                <c:pt idx="627">
                  <c:v>42156</c:v>
                </c:pt>
                <c:pt idx="628">
                  <c:v>42157</c:v>
                </c:pt>
                <c:pt idx="629">
                  <c:v>42158</c:v>
                </c:pt>
                <c:pt idx="630">
                  <c:v>42159</c:v>
                </c:pt>
                <c:pt idx="631">
                  <c:v>42160</c:v>
                </c:pt>
                <c:pt idx="632">
                  <c:v>42163</c:v>
                </c:pt>
                <c:pt idx="633">
                  <c:v>42164</c:v>
                </c:pt>
                <c:pt idx="634">
                  <c:v>42165</c:v>
                </c:pt>
                <c:pt idx="635">
                  <c:v>42166</c:v>
                </c:pt>
                <c:pt idx="636">
                  <c:v>42167</c:v>
                </c:pt>
                <c:pt idx="637">
                  <c:v>42170</c:v>
                </c:pt>
                <c:pt idx="638">
                  <c:v>42171</c:v>
                </c:pt>
                <c:pt idx="639">
                  <c:v>42172</c:v>
                </c:pt>
                <c:pt idx="640">
                  <c:v>42173</c:v>
                </c:pt>
                <c:pt idx="641">
                  <c:v>42174</c:v>
                </c:pt>
                <c:pt idx="642">
                  <c:v>42177</c:v>
                </c:pt>
                <c:pt idx="643">
                  <c:v>42178</c:v>
                </c:pt>
                <c:pt idx="644">
                  <c:v>42179</c:v>
                </c:pt>
                <c:pt idx="645">
                  <c:v>42180</c:v>
                </c:pt>
                <c:pt idx="646">
                  <c:v>42181</c:v>
                </c:pt>
                <c:pt idx="647">
                  <c:v>42184</c:v>
                </c:pt>
                <c:pt idx="648">
                  <c:v>42185</c:v>
                </c:pt>
                <c:pt idx="649">
                  <c:v>42186</c:v>
                </c:pt>
                <c:pt idx="650">
                  <c:v>42187</c:v>
                </c:pt>
                <c:pt idx="651">
                  <c:v>42188</c:v>
                </c:pt>
                <c:pt idx="652">
                  <c:v>42191</c:v>
                </c:pt>
                <c:pt idx="653">
                  <c:v>42192</c:v>
                </c:pt>
                <c:pt idx="654">
                  <c:v>42193</c:v>
                </c:pt>
                <c:pt idx="655">
                  <c:v>42194</c:v>
                </c:pt>
                <c:pt idx="656">
                  <c:v>42195</c:v>
                </c:pt>
                <c:pt idx="657">
                  <c:v>42198</c:v>
                </c:pt>
                <c:pt idx="658">
                  <c:v>42199</c:v>
                </c:pt>
                <c:pt idx="659">
                  <c:v>42200</c:v>
                </c:pt>
                <c:pt idx="660">
                  <c:v>42201</c:v>
                </c:pt>
                <c:pt idx="661">
                  <c:v>42202</c:v>
                </c:pt>
                <c:pt idx="662">
                  <c:v>42205</c:v>
                </c:pt>
                <c:pt idx="663">
                  <c:v>42206</c:v>
                </c:pt>
                <c:pt idx="664">
                  <c:v>42207</c:v>
                </c:pt>
                <c:pt idx="665">
                  <c:v>42208</c:v>
                </c:pt>
                <c:pt idx="666">
                  <c:v>42209</c:v>
                </c:pt>
                <c:pt idx="667">
                  <c:v>42212</c:v>
                </c:pt>
                <c:pt idx="668">
                  <c:v>42213</c:v>
                </c:pt>
                <c:pt idx="669">
                  <c:v>42214</c:v>
                </c:pt>
                <c:pt idx="670">
                  <c:v>42215</c:v>
                </c:pt>
                <c:pt idx="671">
                  <c:v>42216</c:v>
                </c:pt>
                <c:pt idx="672">
                  <c:v>42219</c:v>
                </c:pt>
                <c:pt idx="673">
                  <c:v>42220</c:v>
                </c:pt>
                <c:pt idx="674">
                  <c:v>42221</c:v>
                </c:pt>
                <c:pt idx="675">
                  <c:v>42222</c:v>
                </c:pt>
                <c:pt idx="676">
                  <c:v>42223</c:v>
                </c:pt>
                <c:pt idx="677">
                  <c:v>42226</c:v>
                </c:pt>
                <c:pt idx="678">
                  <c:v>42227</c:v>
                </c:pt>
                <c:pt idx="679">
                  <c:v>42228</c:v>
                </c:pt>
                <c:pt idx="680">
                  <c:v>42229</c:v>
                </c:pt>
                <c:pt idx="681">
                  <c:v>42230</c:v>
                </c:pt>
                <c:pt idx="682">
                  <c:v>42233</c:v>
                </c:pt>
                <c:pt idx="683">
                  <c:v>42234</c:v>
                </c:pt>
                <c:pt idx="684">
                  <c:v>42235</c:v>
                </c:pt>
                <c:pt idx="685">
                  <c:v>42236</c:v>
                </c:pt>
                <c:pt idx="686">
                  <c:v>42237</c:v>
                </c:pt>
                <c:pt idx="687">
                  <c:v>42240</c:v>
                </c:pt>
                <c:pt idx="688">
                  <c:v>42241</c:v>
                </c:pt>
                <c:pt idx="689">
                  <c:v>42242</c:v>
                </c:pt>
                <c:pt idx="690">
                  <c:v>42243</c:v>
                </c:pt>
                <c:pt idx="691">
                  <c:v>42244</c:v>
                </c:pt>
                <c:pt idx="692">
                  <c:v>42247</c:v>
                </c:pt>
                <c:pt idx="693">
                  <c:v>42248</c:v>
                </c:pt>
                <c:pt idx="694">
                  <c:v>42249</c:v>
                </c:pt>
                <c:pt idx="695">
                  <c:v>42250</c:v>
                </c:pt>
                <c:pt idx="696">
                  <c:v>42251</c:v>
                </c:pt>
                <c:pt idx="697">
                  <c:v>42254</c:v>
                </c:pt>
                <c:pt idx="698">
                  <c:v>42255</c:v>
                </c:pt>
                <c:pt idx="699">
                  <c:v>42256</c:v>
                </c:pt>
                <c:pt idx="700">
                  <c:v>42257</c:v>
                </c:pt>
                <c:pt idx="701">
                  <c:v>42258</c:v>
                </c:pt>
                <c:pt idx="702">
                  <c:v>42261</c:v>
                </c:pt>
                <c:pt idx="703">
                  <c:v>42262</c:v>
                </c:pt>
                <c:pt idx="704">
                  <c:v>42263</c:v>
                </c:pt>
                <c:pt idx="705">
                  <c:v>42264</c:v>
                </c:pt>
                <c:pt idx="706">
                  <c:v>42265</c:v>
                </c:pt>
                <c:pt idx="707">
                  <c:v>42268</c:v>
                </c:pt>
                <c:pt idx="708">
                  <c:v>42269</c:v>
                </c:pt>
                <c:pt idx="709">
                  <c:v>42270</c:v>
                </c:pt>
                <c:pt idx="710">
                  <c:v>42271</c:v>
                </c:pt>
                <c:pt idx="711">
                  <c:v>42272</c:v>
                </c:pt>
                <c:pt idx="712">
                  <c:v>42275</c:v>
                </c:pt>
                <c:pt idx="713">
                  <c:v>42276</c:v>
                </c:pt>
                <c:pt idx="714">
                  <c:v>42277</c:v>
                </c:pt>
                <c:pt idx="715">
                  <c:v>42278</c:v>
                </c:pt>
                <c:pt idx="716">
                  <c:v>42279</c:v>
                </c:pt>
                <c:pt idx="717">
                  <c:v>42282</c:v>
                </c:pt>
                <c:pt idx="718">
                  <c:v>42283</c:v>
                </c:pt>
                <c:pt idx="719">
                  <c:v>42284</c:v>
                </c:pt>
                <c:pt idx="720">
                  <c:v>42285</c:v>
                </c:pt>
                <c:pt idx="721">
                  <c:v>42286</c:v>
                </c:pt>
                <c:pt idx="722">
                  <c:v>42289</c:v>
                </c:pt>
                <c:pt idx="723">
                  <c:v>42290</c:v>
                </c:pt>
                <c:pt idx="724">
                  <c:v>42291</c:v>
                </c:pt>
                <c:pt idx="725">
                  <c:v>42292</c:v>
                </c:pt>
                <c:pt idx="726">
                  <c:v>42293</c:v>
                </c:pt>
                <c:pt idx="727">
                  <c:v>42296</c:v>
                </c:pt>
                <c:pt idx="728">
                  <c:v>42297</c:v>
                </c:pt>
                <c:pt idx="729">
                  <c:v>42298</c:v>
                </c:pt>
                <c:pt idx="730">
                  <c:v>42299</c:v>
                </c:pt>
                <c:pt idx="731">
                  <c:v>42300</c:v>
                </c:pt>
                <c:pt idx="732">
                  <c:v>42303</c:v>
                </c:pt>
                <c:pt idx="733">
                  <c:v>42304</c:v>
                </c:pt>
                <c:pt idx="734">
                  <c:v>42305</c:v>
                </c:pt>
                <c:pt idx="735">
                  <c:v>42306</c:v>
                </c:pt>
                <c:pt idx="736">
                  <c:v>42307</c:v>
                </c:pt>
                <c:pt idx="737">
                  <c:v>42308</c:v>
                </c:pt>
                <c:pt idx="738">
                  <c:v>42310</c:v>
                </c:pt>
                <c:pt idx="739">
                  <c:v>42311</c:v>
                </c:pt>
                <c:pt idx="740">
                  <c:v>42312</c:v>
                </c:pt>
                <c:pt idx="741">
                  <c:v>42313</c:v>
                </c:pt>
                <c:pt idx="742">
                  <c:v>42314</c:v>
                </c:pt>
                <c:pt idx="743">
                  <c:v>42317</c:v>
                </c:pt>
                <c:pt idx="744">
                  <c:v>42318</c:v>
                </c:pt>
                <c:pt idx="745">
                  <c:v>42319</c:v>
                </c:pt>
                <c:pt idx="746">
                  <c:v>42320</c:v>
                </c:pt>
                <c:pt idx="747">
                  <c:v>42321</c:v>
                </c:pt>
                <c:pt idx="748">
                  <c:v>42324</c:v>
                </c:pt>
                <c:pt idx="749">
                  <c:v>42325</c:v>
                </c:pt>
                <c:pt idx="750">
                  <c:v>42326</c:v>
                </c:pt>
                <c:pt idx="751">
                  <c:v>42327</c:v>
                </c:pt>
                <c:pt idx="752">
                  <c:v>42328</c:v>
                </c:pt>
                <c:pt idx="753">
                  <c:v>42331</c:v>
                </c:pt>
                <c:pt idx="754">
                  <c:v>42332</c:v>
                </c:pt>
                <c:pt idx="755">
                  <c:v>42333</c:v>
                </c:pt>
                <c:pt idx="756">
                  <c:v>42334</c:v>
                </c:pt>
                <c:pt idx="757">
                  <c:v>42335</c:v>
                </c:pt>
                <c:pt idx="758">
                  <c:v>42338</c:v>
                </c:pt>
                <c:pt idx="759">
                  <c:v>42339</c:v>
                </c:pt>
                <c:pt idx="760">
                  <c:v>42340</c:v>
                </c:pt>
                <c:pt idx="761">
                  <c:v>42341</c:v>
                </c:pt>
                <c:pt idx="762">
                  <c:v>42342</c:v>
                </c:pt>
                <c:pt idx="763">
                  <c:v>42345</c:v>
                </c:pt>
                <c:pt idx="764">
                  <c:v>42346</c:v>
                </c:pt>
                <c:pt idx="765">
                  <c:v>42347</c:v>
                </c:pt>
                <c:pt idx="766">
                  <c:v>42348</c:v>
                </c:pt>
                <c:pt idx="767">
                  <c:v>42349</c:v>
                </c:pt>
                <c:pt idx="768">
                  <c:v>42352</c:v>
                </c:pt>
                <c:pt idx="769">
                  <c:v>42353</c:v>
                </c:pt>
                <c:pt idx="770">
                  <c:v>42354</c:v>
                </c:pt>
                <c:pt idx="771">
                  <c:v>42355</c:v>
                </c:pt>
                <c:pt idx="772">
                  <c:v>42356</c:v>
                </c:pt>
                <c:pt idx="773">
                  <c:v>42359</c:v>
                </c:pt>
                <c:pt idx="774">
                  <c:v>42360</c:v>
                </c:pt>
                <c:pt idx="775">
                  <c:v>42361</c:v>
                </c:pt>
                <c:pt idx="776">
                  <c:v>42362</c:v>
                </c:pt>
                <c:pt idx="777">
                  <c:v>42366</c:v>
                </c:pt>
                <c:pt idx="778">
                  <c:v>42367</c:v>
                </c:pt>
                <c:pt idx="779">
                  <c:v>42368</c:v>
                </c:pt>
                <c:pt idx="780">
                  <c:v>42369</c:v>
                </c:pt>
                <c:pt idx="781">
                  <c:v>42373</c:v>
                </c:pt>
                <c:pt idx="782">
                  <c:v>42374</c:v>
                </c:pt>
                <c:pt idx="783">
                  <c:v>42375</c:v>
                </c:pt>
                <c:pt idx="784">
                  <c:v>42376</c:v>
                </c:pt>
                <c:pt idx="785">
                  <c:v>42377</c:v>
                </c:pt>
                <c:pt idx="786">
                  <c:v>42380</c:v>
                </c:pt>
                <c:pt idx="787">
                  <c:v>42381</c:v>
                </c:pt>
                <c:pt idx="788">
                  <c:v>42382</c:v>
                </c:pt>
                <c:pt idx="789">
                  <c:v>42383</c:v>
                </c:pt>
                <c:pt idx="790">
                  <c:v>42384</c:v>
                </c:pt>
                <c:pt idx="791">
                  <c:v>42387</c:v>
                </c:pt>
                <c:pt idx="792">
                  <c:v>42388</c:v>
                </c:pt>
                <c:pt idx="793">
                  <c:v>42389</c:v>
                </c:pt>
                <c:pt idx="794">
                  <c:v>42390</c:v>
                </c:pt>
                <c:pt idx="795">
                  <c:v>42391</c:v>
                </c:pt>
                <c:pt idx="796">
                  <c:v>42394</c:v>
                </c:pt>
                <c:pt idx="797">
                  <c:v>42395</c:v>
                </c:pt>
                <c:pt idx="798">
                  <c:v>42396</c:v>
                </c:pt>
                <c:pt idx="799">
                  <c:v>42397</c:v>
                </c:pt>
                <c:pt idx="800">
                  <c:v>42398</c:v>
                </c:pt>
                <c:pt idx="801">
                  <c:v>42400</c:v>
                </c:pt>
                <c:pt idx="802">
                  <c:v>42401</c:v>
                </c:pt>
                <c:pt idx="803">
                  <c:v>42402</c:v>
                </c:pt>
                <c:pt idx="804">
                  <c:v>42403</c:v>
                </c:pt>
                <c:pt idx="805">
                  <c:v>42404</c:v>
                </c:pt>
                <c:pt idx="806">
                  <c:v>42405</c:v>
                </c:pt>
                <c:pt idx="807">
                  <c:v>42408</c:v>
                </c:pt>
                <c:pt idx="808">
                  <c:v>42409</c:v>
                </c:pt>
                <c:pt idx="809">
                  <c:v>42410</c:v>
                </c:pt>
                <c:pt idx="810">
                  <c:v>42411</c:v>
                </c:pt>
                <c:pt idx="811">
                  <c:v>42412</c:v>
                </c:pt>
                <c:pt idx="812">
                  <c:v>42415</c:v>
                </c:pt>
                <c:pt idx="813">
                  <c:v>42416</c:v>
                </c:pt>
                <c:pt idx="814">
                  <c:v>42417</c:v>
                </c:pt>
                <c:pt idx="815">
                  <c:v>42418</c:v>
                </c:pt>
                <c:pt idx="816">
                  <c:v>42419</c:v>
                </c:pt>
                <c:pt idx="817">
                  <c:v>42422</c:v>
                </c:pt>
                <c:pt idx="818">
                  <c:v>42423</c:v>
                </c:pt>
                <c:pt idx="819">
                  <c:v>42424</c:v>
                </c:pt>
                <c:pt idx="820">
                  <c:v>42425</c:v>
                </c:pt>
                <c:pt idx="821">
                  <c:v>42426</c:v>
                </c:pt>
                <c:pt idx="822">
                  <c:v>42429</c:v>
                </c:pt>
                <c:pt idx="823">
                  <c:v>42430</c:v>
                </c:pt>
                <c:pt idx="824">
                  <c:v>42431</c:v>
                </c:pt>
                <c:pt idx="825">
                  <c:v>42432</c:v>
                </c:pt>
                <c:pt idx="826">
                  <c:v>42433</c:v>
                </c:pt>
                <c:pt idx="827">
                  <c:v>42436</c:v>
                </c:pt>
                <c:pt idx="828">
                  <c:v>42437</c:v>
                </c:pt>
                <c:pt idx="829">
                  <c:v>42438</c:v>
                </c:pt>
                <c:pt idx="830">
                  <c:v>42439</c:v>
                </c:pt>
                <c:pt idx="831">
                  <c:v>42440</c:v>
                </c:pt>
                <c:pt idx="832">
                  <c:v>42443</c:v>
                </c:pt>
                <c:pt idx="833">
                  <c:v>42444</c:v>
                </c:pt>
                <c:pt idx="834">
                  <c:v>42445</c:v>
                </c:pt>
                <c:pt idx="835">
                  <c:v>42446</c:v>
                </c:pt>
                <c:pt idx="836">
                  <c:v>42447</c:v>
                </c:pt>
                <c:pt idx="837">
                  <c:v>42450</c:v>
                </c:pt>
                <c:pt idx="838">
                  <c:v>42451</c:v>
                </c:pt>
                <c:pt idx="839">
                  <c:v>42452</c:v>
                </c:pt>
                <c:pt idx="840">
                  <c:v>42453</c:v>
                </c:pt>
                <c:pt idx="841">
                  <c:v>42457</c:v>
                </c:pt>
                <c:pt idx="842">
                  <c:v>42458</c:v>
                </c:pt>
                <c:pt idx="843">
                  <c:v>42459</c:v>
                </c:pt>
                <c:pt idx="844">
                  <c:v>42460</c:v>
                </c:pt>
                <c:pt idx="845">
                  <c:v>42461</c:v>
                </c:pt>
                <c:pt idx="846">
                  <c:v>42464</c:v>
                </c:pt>
                <c:pt idx="847">
                  <c:v>42465</c:v>
                </c:pt>
                <c:pt idx="848">
                  <c:v>42466</c:v>
                </c:pt>
                <c:pt idx="849">
                  <c:v>42467</c:v>
                </c:pt>
                <c:pt idx="850">
                  <c:v>42468</c:v>
                </c:pt>
                <c:pt idx="851">
                  <c:v>42471</c:v>
                </c:pt>
                <c:pt idx="852">
                  <c:v>42472</c:v>
                </c:pt>
                <c:pt idx="853">
                  <c:v>42473</c:v>
                </c:pt>
                <c:pt idx="854">
                  <c:v>42474</c:v>
                </c:pt>
                <c:pt idx="855">
                  <c:v>42475</c:v>
                </c:pt>
                <c:pt idx="856">
                  <c:v>42478</c:v>
                </c:pt>
                <c:pt idx="857">
                  <c:v>42479</c:v>
                </c:pt>
                <c:pt idx="858">
                  <c:v>42480</c:v>
                </c:pt>
                <c:pt idx="859">
                  <c:v>42481</c:v>
                </c:pt>
                <c:pt idx="860">
                  <c:v>42482</c:v>
                </c:pt>
                <c:pt idx="861">
                  <c:v>42485</c:v>
                </c:pt>
                <c:pt idx="862">
                  <c:v>42486</c:v>
                </c:pt>
                <c:pt idx="863">
                  <c:v>42487</c:v>
                </c:pt>
                <c:pt idx="864">
                  <c:v>42488</c:v>
                </c:pt>
                <c:pt idx="865">
                  <c:v>42489</c:v>
                </c:pt>
                <c:pt idx="866">
                  <c:v>42490</c:v>
                </c:pt>
                <c:pt idx="867">
                  <c:v>42492</c:v>
                </c:pt>
                <c:pt idx="868">
                  <c:v>42493</c:v>
                </c:pt>
                <c:pt idx="869">
                  <c:v>42494</c:v>
                </c:pt>
                <c:pt idx="870">
                  <c:v>42495</c:v>
                </c:pt>
                <c:pt idx="871">
                  <c:v>42496</c:v>
                </c:pt>
                <c:pt idx="872">
                  <c:v>42499</c:v>
                </c:pt>
                <c:pt idx="873">
                  <c:v>42500</c:v>
                </c:pt>
                <c:pt idx="874">
                  <c:v>42501</c:v>
                </c:pt>
                <c:pt idx="875">
                  <c:v>42502</c:v>
                </c:pt>
                <c:pt idx="876">
                  <c:v>42503</c:v>
                </c:pt>
                <c:pt idx="877">
                  <c:v>42506</c:v>
                </c:pt>
                <c:pt idx="878">
                  <c:v>42507</c:v>
                </c:pt>
                <c:pt idx="879">
                  <c:v>42508</c:v>
                </c:pt>
                <c:pt idx="880">
                  <c:v>42509</c:v>
                </c:pt>
                <c:pt idx="881">
                  <c:v>42510</c:v>
                </c:pt>
                <c:pt idx="882">
                  <c:v>42513</c:v>
                </c:pt>
                <c:pt idx="883">
                  <c:v>42514</c:v>
                </c:pt>
                <c:pt idx="884">
                  <c:v>42515</c:v>
                </c:pt>
                <c:pt idx="885">
                  <c:v>42516</c:v>
                </c:pt>
                <c:pt idx="886">
                  <c:v>42517</c:v>
                </c:pt>
                <c:pt idx="887">
                  <c:v>42520</c:v>
                </c:pt>
                <c:pt idx="888">
                  <c:v>42521</c:v>
                </c:pt>
                <c:pt idx="889">
                  <c:v>42522</c:v>
                </c:pt>
                <c:pt idx="890">
                  <c:v>42523</c:v>
                </c:pt>
                <c:pt idx="891">
                  <c:v>42524</c:v>
                </c:pt>
                <c:pt idx="892">
                  <c:v>42527</c:v>
                </c:pt>
                <c:pt idx="893">
                  <c:v>42528</c:v>
                </c:pt>
                <c:pt idx="894">
                  <c:v>42529</c:v>
                </c:pt>
                <c:pt idx="895">
                  <c:v>42530</c:v>
                </c:pt>
                <c:pt idx="896">
                  <c:v>42531</c:v>
                </c:pt>
                <c:pt idx="897">
                  <c:v>42534</c:v>
                </c:pt>
                <c:pt idx="898">
                  <c:v>42535</c:v>
                </c:pt>
                <c:pt idx="899">
                  <c:v>42536</c:v>
                </c:pt>
                <c:pt idx="900">
                  <c:v>42537</c:v>
                </c:pt>
                <c:pt idx="901">
                  <c:v>42538</c:v>
                </c:pt>
                <c:pt idx="902">
                  <c:v>42541</c:v>
                </c:pt>
                <c:pt idx="903">
                  <c:v>42542</c:v>
                </c:pt>
                <c:pt idx="904">
                  <c:v>42543</c:v>
                </c:pt>
                <c:pt idx="905">
                  <c:v>42544</c:v>
                </c:pt>
                <c:pt idx="906">
                  <c:v>42545</c:v>
                </c:pt>
                <c:pt idx="907">
                  <c:v>42548</c:v>
                </c:pt>
                <c:pt idx="908">
                  <c:v>42549</c:v>
                </c:pt>
                <c:pt idx="909">
                  <c:v>42550</c:v>
                </c:pt>
                <c:pt idx="910">
                  <c:v>42551</c:v>
                </c:pt>
                <c:pt idx="911">
                  <c:v>42552</c:v>
                </c:pt>
                <c:pt idx="912">
                  <c:v>42555</c:v>
                </c:pt>
                <c:pt idx="913">
                  <c:v>42556</c:v>
                </c:pt>
                <c:pt idx="914">
                  <c:v>42557</c:v>
                </c:pt>
                <c:pt idx="915">
                  <c:v>42558</c:v>
                </c:pt>
                <c:pt idx="916">
                  <c:v>42559</c:v>
                </c:pt>
                <c:pt idx="917">
                  <c:v>42562</c:v>
                </c:pt>
                <c:pt idx="918">
                  <c:v>42563</c:v>
                </c:pt>
                <c:pt idx="919">
                  <c:v>42564</c:v>
                </c:pt>
                <c:pt idx="920">
                  <c:v>42565</c:v>
                </c:pt>
                <c:pt idx="921">
                  <c:v>42566</c:v>
                </c:pt>
                <c:pt idx="922">
                  <c:v>42569</c:v>
                </c:pt>
                <c:pt idx="923">
                  <c:v>42570</c:v>
                </c:pt>
                <c:pt idx="924">
                  <c:v>42571</c:v>
                </c:pt>
                <c:pt idx="925">
                  <c:v>42572</c:v>
                </c:pt>
                <c:pt idx="926">
                  <c:v>42573</c:v>
                </c:pt>
                <c:pt idx="927">
                  <c:v>42576</c:v>
                </c:pt>
                <c:pt idx="928">
                  <c:v>42577</c:v>
                </c:pt>
                <c:pt idx="929">
                  <c:v>42578</c:v>
                </c:pt>
                <c:pt idx="930">
                  <c:v>42579</c:v>
                </c:pt>
                <c:pt idx="931">
                  <c:v>42580</c:v>
                </c:pt>
                <c:pt idx="932">
                  <c:v>42582</c:v>
                </c:pt>
                <c:pt idx="933">
                  <c:v>42583</c:v>
                </c:pt>
              </c:numCache>
            </c:numRef>
          </c:cat>
          <c:val>
            <c:numRef>
              <c:f>COD!$P$402:$P$1335</c:f>
              <c:numCache>
                <c:formatCode>0.00</c:formatCode>
                <c:ptCount val="934"/>
                <c:pt idx="0">
                  <c:v>4.72</c:v>
                </c:pt>
                <c:pt idx="1">
                  <c:v>4.7</c:v>
                </c:pt>
                <c:pt idx="2">
                  <c:v>4.7</c:v>
                </c:pt>
                <c:pt idx="3">
                  <c:v>4.67</c:v>
                </c:pt>
                <c:pt idx="4">
                  <c:v>4.6500000000000004</c:v>
                </c:pt>
                <c:pt idx="5">
                  <c:v>4.62</c:v>
                </c:pt>
                <c:pt idx="6">
                  <c:v>4.5999999999999996</c:v>
                </c:pt>
                <c:pt idx="7">
                  <c:v>4.58</c:v>
                </c:pt>
                <c:pt idx="8">
                  <c:v>4.5599999999999996</c:v>
                </c:pt>
                <c:pt idx="9">
                  <c:v>4.57</c:v>
                </c:pt>
                <c:pt idx="10">
                  <c:v>4.57</c:v>
                </c:pt>
                <c:pt idx="11">
                  <c:v>4.5599999999999996</c:v>
                </c:pt>
                <c:pt idx="12">
                  <c:v>4.55</c:v>
                </c:pt>
                <c:pt idx="13">
                  <c:v>4.54</c:v>
                </c:pt>
                <c:pt idx="14">
                  <c:v>4.5199999999999996</c:v>
                </c:pt>
                <c:pt idx="15">
                  <c:v>4.51</c:v>
                </c:pt>
                <c:pt idx="16">
                  <c:v>4.5</c:v>
                </c:pt>
                <c:pt idx="17">
                  <c:v>4.51</c:v>
                </c:pt>
                <c:pt idx="18">
                  <c:v>4.5199999999999996</c:v>
                </c:pt>
                <c:pt idx="19">
                  <c:v>4.59</c:v>
                </c:pt>
                <c:pt idx="20">
                  <c:v>4.6399999999999997</c:v>
                </c:pt>
                <c:pt idx="21">
                  <c:v>4.67</c:v>
                </c:pt>
                <c:pt idx="22">
                  <c:v>4.67</c:v>
                </c:pt>
                <c:pt idx="23">
                  <c:v>4.71</c:v>
                </c:pt>
                <c:pt idx="24">
                  <c:v>4.7300000000000004</c:v>
                </c:pt>
                <c:pt idx="25">
                  <c:v>4.7300000000000004</c:v>
                </c:pt>
                <c:pt idx="26">
                  <c:v>4.74</c:v>
                </c:pt>
                <c:pt idx="27">
                  <c:v>4.76</c:v>
                </c:pt>
                <c:pt idx="28">
                  <c:v>4.74</c:v>
                </c:pt>
                <c:pt idx="29">
                  <c:v>4.74</c:v>
                </c:pt>
                <c:pt idx="30">
                  <c:v>4.72</c:v>
                </c:pt>
                <c:pt idx="31">
                  <c:v>4.7</c:v>
                </c:pt>
                <c:pt idx="32">
                  <c:v>4.6900000000000004</c:v>
                </c:pt>
                <c:pt idx="33">
                  <c:v>4.6900000000000004</c:v>
                </c:pt>
                <c:pt idx="34">
                  <c:v>4.6900000000000004</c:v>
                </c:pt>
                <c:pt idx="35">
                  <c:v>4.67</c:v>
                </c:pt>
                <c:pt idx="36">
                  <c:v>4.71</c:v>
                </c:pt>
                <c:pt idx="37">
                  <c:v>4.6900000000000004</c:v>
                </c:pt>
                <c:pt idx="38">
                  <c:v>4.63</c:v>
                </c:pt>
                <c:pt idx="39">
                  <c:v>4.67</c:v>
                </c:pt>
                <c:pt idx="40">
                  <c:v>4.6500000000000004</c:v>
                </c:pt>
                <c:pt idx="41">
                  <c:v>4.6500000000000004</c:v>
                </c:pt>
                <c:pt idx="42">
                  <c:v>4.6500000000000004</c:v>
                </c:pt>
                <c:pt idx="43">
                  <c:v>4.6500000000000004</c:v>
                </c:pt>
                <c:pt idx="44">
                  <c:v>4.6100000000000003</c:v>
                </c:pt>
                <c:pt idx="45">
                  <c:v>4.62</c:v>
                </c:pt>
                <c:pt idx="46">
                  <c:v>4.5999999999999996</c:v>
                </c:pt>
                <c:pt idx="47">
                  <c:v>4.6100000000000003</c:v>
                </c:pt>
                <c:pt idx="48">
                  <c:v>4.6100000000000003</c:v>
                </c:pt>
                <c:pt idx="49">
                  <c:v>4.59</c:v>
                </c:pt>
                <c:pt idx="50">
                  <c:v>4.59</c:v>
                </c:pt>
                <c:pt idx="51">
                  <c:v>4.58</c:v>
                </c:pt>
                <c:pt idx="52">
                  <c:v>4.5599999999999996</c:v>
                </c:pt>
                <c:pt idx="53">
                  <c:v>4.5599999999999996</c:v>
                </c:pt>
                <c:pt idx="54">
                  <c:v>4.54</c:v>
                </c:pt>
                <c:pt idx="55">
                  <c:v>4.55</c:v>
                </c:pt>
                <c:pt idx="56">
                  <c:v>4.55</c:v>
                </c:pt>
                <c:pt idx="57">
                  <c:v>4.5599999999999996</c:v>
                </c:pt>
                <c:pt idx="58">
                  <c:v>4.54</c:v>
                </c:pt>
                <c:pt idx="59">
                  <c:v>4.55</c:v>
                </c:pt>
                <c:pt idx="60">
                  <c:v>4.55</c:v>
                </c:pt>
                <c:pt idx="61">
                  <c:v>4.5599999999999996</c:v>
                </c:pt>
                <c:pt idx="62">
                  <c:v>4.6500000000000004</c:v>
                </c:pt>
                <c:pt idx="63">
                  <c:v>4.6500000000000004</c:v>
                </c:pt>
                <c:pt idx="64">
                  <c:v>4.6500000000000004</c:v>
                </c:pt>
                <c:pt idx="65">
                  <c:v>4.63</c:v>
                </c:pt>
                <c:pt idx="66">
                  <c:v>4.6100000000000003</c:v>
                </c:pt>
                <c:pt idx="67">
                  <c:v>4.62</c:v>
                </c:pt>
                <c:pt idx="68">
                  <c:v>4.6100000000000003</c:v>
                </c:pt>
                <c:pt idx="69">
                  <c:v>4.58</c:v>
                </c:pt>
                <c:pt idx="70">
                  <c:v>4.54</c:v>
                </c:pt>
                <c:pt idx="71">
                  <c:v>4.51</c:v>
                </c:pt>
                <c:pt idx="72">
                  <c:v>4.49</c:v>
                </c:pt>
                <c:pt idx="73">
                  <c:v>4.5</c:v>
                </c:pt>
                <c:pt idx="74">
                  <c:v>4.49</c:v>
                </c:pt>
                <c:pt idx="75">
                  <c:v>4.49</c:v>
                </c:pt>
                <c:pt idx="76">
                  <c:v>4.47</c:v>
                </c:pt>
                <c:pt idx="77">
                  <c:v>4.47</c:v>
                </c:pt>
                <c:pt idx="78">
                  <c:v>4.4400000000000004</c:v>
                </c:pt>
                <c:pt idx="79">
                  <c:v>4.4000000000000004</c:v>
                </c:pt>
                <c:pt idx="80">
                  <c:v>4.37</c:v>
                </c:pt>
                <c:pt idx="81">
                  <c:v>4.33</c:v>
                </c:pt>
                <c:pt idx="82">
                  <c:v>4.3</c:v>
                </c:pt>
                <c:pt idx="83">
                  <c:v>4.26</c:v>
                </c:pt>
                <c:pt idx="84">
                  <c:v>4.3099999999999996</c:v>
                </c:pt>
                <c:pt idx="85">
                  <c:v>4.2699999999999996</c:v>
                </c:pt>
                <c:pt idx="86">
                  <c:v>4.2300000000000004</c:v>
                </c:pt>
                <c:pt idx="87">
                  <c:v>4.21</c:v>
                </c:pt>
                <c:pt idx="88">
                  <c:v>4.2</c:v>
                </c:pt>
                <c:pt idx="89">
                  <c:v>4.1500000000000004</c:v>
                </c:pt>
                <c:pt idx="90">
                  <c:v>4.1500000000000004</c:v>
                </c:pt>
                <c:pt idx="91">
                  <c:v>4.13</c:v>
                </c:pt>
                <c:pt idx="92">
                  <c:v>4.1900000000000004</c:v>
                </c:pt>
                <c:pt idx="93">
                  <c:v>4.2699999999999996</c:v>
                </c:pt>
                <c:pt idx="94">
                  <c:v>4.29</c:v>
                </c:pt>
                <c:pt idx="95">
                  <c:v>4.3</c:v>
                </c:pt>
                <c:pt idx="96">
                  <c:v>4.3</c:v>
                </c:pt>
                <c:pt idx="97">
                  <c:v>4.3099999999999996</c:v>
                </c:pt>
                <c:pt idx="98">
                  <c:v>4.3</c:v>
                </c:pt>
                <c:pt idx="99">
                  <c:v>4.3</c:v>
                </c:pt>
                <c:pt idx="100">
                  <c:v>4.3099999999999996</c:v>
                </c:pt>
                <c:pt idx="101">
                  <c:v>4.43</c:v>
                </c:pt>
                <c:pt idx="102">
                  <c:v>4.4400000000000004</c:v>
                </c:pt>
                <c:pt idx="103">
                  <c:v>4.4400000000000004</c:v>
                </c:pt>
                <c:pt idx="104">
                  <c:v>4.46</c:v>
                </c:pt>
                <c:pt idx="105">
                  <c:v>4.5999999999999996</c:v>
                </c:pt>
                <c:pt idx="106">
                  <c:v>4.6100000000000003</c:v>
                </c:pt>
                <c:pt idx="107">
                  <c:v>4.72</c:v>
                </c:pt>
                <c:pt idx="108">
                  <c:v>4.82</c:v>
                </c:pt>
                <c:pt idx="109">
                  <c:v>4.8499999999999996</c:v>
                </c:pt>
                <c:pt idx="110">
                  <c:v>5.03</c:v>
                </c:pt>
                <c:pt idx="111">
                  <c:v>5.05</c:v>
                </c:pt>
                <c:pt idx="112">
                  <c:v>4.9400000000000004</c:v>
                </c:pt>
                <c:pt idx="113">
                  <c:v>4.9800000000000004</c:v>
                </c:pt>
                <c:pt idx="114">
                  <c:v>5.14</c:v>
                </c:pt>
                <c:pt idx="115">
                  <c:v>5.12</c:v>
                </c:pt>
                <c:pt idx="116">
                  <c:v>5.17</c:v>
                </c:pt>
                <c:pt idx="117">
                  <c:v>5.0599999999999996</c:v>
                </c:pt>
                <c:pt idx="118">
                  <c:v>5.03</c:v>
                </c:pt>
                <c:pt idx="119">
                  <c:v>5.03</c:v>
                </c:pt>
                <c:pt idx="120">
                  <c:v>5.0599999999999996</c:v>
                </c:pt>
                <c:pt idx="121">
                  <c:v>5.38</c:v>
                </c:pt>
                <c:pt idx="122">
                  <c:v>5.43</c:v>
                </c:pt>
                <c:pt idx="123">
                  <c:v>5.69</c:v>
                </c:pt>
                <c:pt idx="124">
                  <c:v>5.71</c:v>
                </c:pt>
                <c:pt idx="125">
                  <c:v>5.62</c:v>
                </c:pt>
                <c:pt idx="126">
                  <c:v>5.51</c:v>
                </c:pt>
                <c:pt idx="127">
                  <c:v>5.47</c:v>
                </c:pt>
                <c:pt idx="128">
                  <c:v>5.54</c:v>
                </c:pt>
                <c:pt idx="129">
                  <c:v>5.5</c:v>
                </c:pt>
                <c:pt idx="130">
                  <c:v>5.47</c:v>
                </c:pt>
                <c:pt idx="131">
                  <c:v>5.49</c:v>
                </c:pt>
                <c:pt idx="132">
                  <c:v>5.49</c:v>
                </c:pt>
                <c:pt idx="133">
                  <c:v>5.57</c:v>
                </c:pt>
                <c:pt idx="134">
                  <c:v>5.55</c:v>
                </c:pt>
                <c:pt idx="135">
                  <c:v>5.48</c:v>
                </c:pt>
                <c:pt idx="136">
                  <c:v>5.47</c:v>
                </c:pt>
                <c:pt idx="137">
                  <c:v>5.32</c:v>
                </c:pt>
                <c:pt idx="138">
                  <c:v>5.26</c:v>
                </c:pt>
                <c:pt idx="139">
                  <c:v>5.19</c:v>
                </c:pt>
                <c:pt idx="140">
                  <c:v>5.13</c:v>
                </c:pt>
                <c:pt idx="141">
                  <c:v>5.07</c:v>
                </c:pt>
                <c:pt idx="142">
                  <c:v>4.9800000000000004</c:v>
                </c:pt>
                <c:pt idx="143">
                  <c:v>4.95</c:v>
                </c:pt>
                <c:pt idx="144">
                  <c:v>4.93</c:v>
                </c:pt>
                <c:pt idx="145">
                  <c:v>4.92</c:v>
                </c:pt>
                <c:pt idx="146">
                  <c:v>5.01</c:v>
                </c:pt>
                <c:pt idx="147">
                  <c:v>5.0999999999999996</c:v>
                </c:pt>
                <c:pt idx="148">
                  <c:v>5.1100000000000003</c:v>
                </c:pt>
                <c:pt idx="149">
                  <c:v>5.0999999999999996</c:v>
                </c:pt>
                <c:pt idx="150">
                  <c:v>5.09</c:v>
                </c:pt>
                <c:pt idx="151">
                  <c:v>5.15</c:v>
                </c:pt>
                <c:pt idx="152">
                  <c:v>5.16</c:v>
                </c:pt>
                <c:pt idx="153">
                  <c:v>5.15</c:v>
                </c:pt>
                <c:pt idx="154">
                  <c:v>5.16</c:v>
                </c:pt>
                <c:pt idx="155">
                  <c:v>5.19</c:v>
                </c:pt>
                <c:pt idx="156">
                  <c:v>5.2</c:v>
                </c:pt>
                <c:pt idx="157">
                  <c:v>5.18</c:v>
                </c:pt>
                <c:pt idx="158">
                  <c:v>5.19</c:v>
                </c:pt>
                <c:pt idx="159">
                  <c:v>5.18</c:v>
                </c:pt>
                <c:pt idx="160">
                  <c:v>5.21</c:v>
                </c:pt>
                <c:pt idx="161">
                  <c:v>5.2</c:v>
                </c:pt>
                <c:pt idx="162">
                  <c:v>5.27</c:v>
                </c:pt>
                <c:pt idx="163">
                  <c:v>5.29</c:v>
                </c:pt>
                <c:pt idx="164">
                  <c:v>5.33</c:v>
                </c:pt>
                <c:pt idx="165">
                  <c:v>5.37</c:v>
                </c:pt>
                <c:pt idx="166">
                  <c:v>5.39</c:v>
                </c:pt>
                <c:pt idx="167">
                  <c:v>5.4</c:v>
                </c:pt>
                <c:pt idx="168">
                  <c:v>5.37</c:v>
                </c:pt>
                <c:pt idx="169">
                  <c:v>5.35</c:v>
                </c:pt>
                <c:pt idx="170">
                  <c:v>5.35</c:v>
                </c:pt>
                <c:pt idx="171">
                  <c:v>5.35</c:v>
                </c:pt>
                <c:pt idx="172">
                  <c:v>5.32</c:v>
                </c:pt>
                <c:pt idx="173">
                  <c:v>5.35</c:v>
                </c:pt>
                <c:pt idx="174">
                  <c:v>5.33</c:v>
                </c:pt>
                <c:pt idx="175">
                  <c:v>5.35</c:v>
                </c:pt>
                <c:pt idx="176">
                  <c:v>5.39</c:v>
                </c:pt>
                <c:pt idx="177">
                  <c:v>5.37</c:v>
                </c:pt>
                <c:pt idx="178">
                  <c:v>5.35</c:v>
                </c:pt>
                <c:pt idx="179">
                  <c:v>5.34</c:v>
                </c:pt>
                <c:pt idx="180">
                  <c:v>5.31</c:v>
                </c:pt>
                <c:pt idx="181">
                  <c:v>5.3</c:v>
                </c:pt>
                <c:pt idx="182">
                  <c:v>5.28</c:v>
                </c:pt>
                <c:pt idx="183">
                  <c:v>5.2</c:v>
                </c:pt>
                <c:pt idx="184">
                  <c:v>5.21</c:v>
                </c:pt>
                <c:pt idx="185">
                  <c:v>5.14</c:v>
                </c:pt>
                <c:pt idx="186">
                  <c:v>5.04</c:v>
                </c:pt>
                <c:pt idx="187">
                  <c:v>5.0599999999999996</c:v>
                </c:pt>
                <c:pt idx="188">
                  <c:v>5.08</c:v>
                </c:pt>
                <c:pt idx="189">
                  <c:v>5.07</c:v>
                </c:pt>
                <c:pt idx="190">
                  <c:v>5.07</c:v>
                </c:pt>
                <c:pt idx="191">
                  <c:v>5.08</c:v>
                </c:pt>
                <c:pt idx="192">
                  <c:v>5.09</c:v>
                </c:pt>
                <c:pt idx="193">
                  <c:v>5.22</c:v>
                </c:pt>
                <c:pt idx="194">
                  <c:v>5.19</c:v>
                </c:pt>
                <c:pt idx="195">
                  <c:v>5.16</c:v>
                </c:pt>
                <c:pt idx="196">
                  <c:v>5.12</c:v>
                </c:pt>
                <c:pt idx="197">
                  <c:v>5.12</c:v>
                </c:pt>
                <c:pt idx="198">
                  <c:v>5.0999999999999996</c:v>
                </c:pt>
                <c:pt idx="199">
                  <c:v>5.0999999999999996</c:v>
                </c:pt>
                <c:pt idx="200">
                  <c:v>5.0999999999999996</c:v>
                </c:pt>
                <c:pt idx="201">
                  <c:v>5.07</c:v>
                </c:pt>
                <c:pt idx="202">
                  <c:v>5.0599999999999996</c:v>
                </c:pt>
                <c:pt idx="203">
                  <c:v>5.04</c:v>
                </c:pt>
                <c:pt idx="204">
                  <c:v>5.01</c:v>
                </c:pt>
                <c:pt idx="205">
                  <c:v>4.9800000000000004</c:v>
                </c:pt>
                <c:pt idx="206">
                  <c:v>4.91</c:v>
                </c:pt>
                <c:pt idx="207">
                  <c:v>4.8499999999999996</c:v>
                </c:pt>
                <c:pt idx="208">
                  <c:v>4.82</c:v>
                </c:pt>
                <c:pt idx="209">
                  <c:v>4.79</c:v>
                </c:pt>
                <c:pt idx="210">
                  <c:v>4.7699999999999996</c:v>
                </c:pt>
                <c:pt idx="211">
                  <c:v>4.7699999999999996</c:v>
                </c:pt>
                <c:pt idx="212">
                  <c:v>4.76</c:v>
                </c:pt>
                <c:pt idx="213">
                  <c:v>4.74</c:v>
                </c:pt>
                <c:pt idx="214">
                  <c:v>4.72</c:v>
                </c:pt>
                <c:pt idx="215">
                  <c:v>4.71</c:v>
                </c:pt>
                <c:pt idx="216">
                  <c:v>4.78</c:v>
                </c:pt>
                <c:pt idx="217">
                  <c:v>4.79</c:v>
                </c:pt>
                <c:pt idx="218">
                  <c:v>4.79</c:v>
                </c:pt>
                <c:pt idx="219">
                  <c:v>4.82</c:v>
                </c:pt>
                <c:pt idx="220">
                  <c:v>4.8099999999999996</c:v>
                </c:pt>
                <c:pt idx="221">
                  <c:v>4.79</c:v>
                </c:pt>
                <c:pt idx="222">
                  <c:v>4.92</c:v>
                </c:pt>
                <c:pt idx="223">
                  <c:v>4.91</c:v>
                </c:pt>
                <c:pt idx="224">
                  <c:v>4.92</c:v>
                </c:pt>
                <c:pt idx="225">
                  <c:v>4.9400000000000004</c:v>
                </c:pt>
                <c:pt idx="226">
                  <c:v>4.88</c:v>
                </c:pt>
                <c:pt idx="227">
                  <c:v>4.8600000000000003</c:v>
                </c:pt>
                <c:pt idx="228">
                  <c:v>4.83</c:v>
                </c:pt>
                <c:pt idx="229">
                  <c:v>4.82</c:v>
                </c:pt>
                <c:pt idx="230">
                  <c:v>4.82</c:v>
                </c:pt>
                <c:pt idx="231">
                  <c:v>4.8499999999999996</c:v>
                </c:pt>
                <c:pt idx="232">
                  <c:v>4.82</c:v>
                </c:pt>
                <c:pt idx="233">
                  <c:v>4.78</c:v>
                </c:pt>
                <c:pt idx="234">
                  <c:v>4.76</c:v>
                </c:pt>
                <c:pt idx="235">
                  <c:v>4.75</c:v>
                </c:pt>
                <c:pt idx="236">
                  <c:v>4.75</c:v>
                </c:pt>
                <c:pt idx="237">
                  <c:v>4.74</c:v>
                </c:pt>
                <c:pt idx="238">
                  <c:v>4.82</c:v>
                </c:pt>
                <c:pt idx="239">
                  <c:v>4.75</c:v>
                </c:pt>
                <c:pt idx="240">
                  <c:v>4.72</c:v>
                </c:pt>
                <c:pt idx="241">
                  <c:v>4.75</c:v>
                </c:pt>
                <c:pt idx="242">
                  <c:v>4.75</c:v>
                </c:pt>
                <c:pt idx="243">
                  <c:v>4.74</c:v>
                </c:pt>
                <c:pt idx="244">
                  <c:v>4.72</c:v>
                </c:pt>
                <c:pt idx="245">
                  <c:v>4.6900000000000004</c:v>
                </c:pt>
                <c:pt idx="246">
                  <c:v>4.7</c:v>
                </c:pt>
                <c:pt idx="247">
                  <c:v>4.7300000000000004</c:v>
                </c:pt>
                <c:pt idx="248">
                  <c:v>4.74</c:v>
                </c:pt>
                <c:pt idx="249">
                  <c:v>4.7300000000000004</c:v>
                </c:pt>
                <c:pt idx="250">
                  <c:v>4.74</c:v>
                </c:pt>
                <c:pt idx="251">
                  <c:v>4.74</c:v>
                </c:pt>
                <c:pt idx="252">
                  <c:v>4.75</c:v>
                </c:pt>
                <c:pt idx="253">
                  <c:v>4.74</c:v>
                </c:pt>
                <c:pt idx="254">
                  <c:v>4.7300000000000004</c:v>
                </c:pt>
                <c:pt idx="255">
                  <c:v>4.74</c:v>
                </c:pt>
                <c:pt idx="256">
                  <c:v>4.7300000000000004</c:v>
                </c:pt>
                <c:pt idx="257">
                  <c:v>4.75</c:v>
                </c:pt>
                <c:pt idx="258">
                  <c:v>4.72</c:v>
                </c:pt>
                <c:pt idx="259">
                  <c:v>4.75</c:v>
                </c:pt>
                <c:pt idx="260">
                  <c:v>4.7300000000000004</c:v>
                </c:pt>
                <c:pt idx="261">
                  <c:v>4.7300000000000004</c:v>
                </c:pt>
                <c:pt idx="262">
                  <c:v>4.68</c:v>
                </c:pt>
                <c:pt idx="263">
                  <c:v>4.66</c:v>
                </c:pt>
                <c:pt idx="264">
                  <c:v>4.6500000000000004</c:v>
                </c:pt>
                <c:pt idx="265">
                  <c:v>4.6500000000000004</c:v>
                </c:pt>
                <c:pt idx="266">
                  <c:v>4.62</c:v>
                </c:pt>
                <c:pt idx="267">
                  <c:v>4.62</c:v>
                </c:pt>
                <c:pt idx="268">
                  <c:v>4.6100000000000003</c:v>
                </c:pt>
                <c:pt idx="269">
                  <c:v>4.58</c:v>
                </c:pt>
                <c:pt idx="270">
                  <c:v>4.58</c:v>
                </c:pt>
                <c:pt idx="271">
                  <c:v>4.57</c:v>
                </c:pt>
                <c:pt idx="272">
                  <c:v>4.5599999999999996</c:v>
                </c:pt>
                <c:pt idx="273">
                  <c:v>4.55</c:v>
                </c:pt>
                <c:pt idx="274">
                  <c:v>4.57</c:v>
                </c:pt>
                <c:pt idx="275">
                  <c:v>4.57</c:v>
                </c:pt>
                <c:pt idx="276">
                  <c:v>4.68</c:v>
                </c:pt>
                <c:pt idx="277">
                  <c:v>4.6900000000000004</c:v>
                </c:pt>
                <c:pt idx="278">
                  <c:v>4.6500000000000004</c:v>
                </c:pt>
                <c:pt idx="279">
                  <c:v>4.6500000000000004</c:v>
                </c:pt>
                <c:pt idx="280">
                  <c:v>4.6399999999999997</c:v>
                </c:pt>
                <c:pt idx="281">
                  <c:v>4.7300000000000004</c:v>
                </c:pt>
                <c:pt idx="282">
                  <c:v>4.7300000000000004</c:v>
                </c:pt>
                <c:pt idx="283">
                  <c:v>4.76</c:v>
                </c:pt>
                <c:pt idx="284">
                  <c:v>4.75</c:v>
                </c:pt>
                <c:pt idx="285">
                  <c:v>4.72</c:v>
                </c:pt>
                <c:pt idx="286">
                  <c:v>4.68</c:v>
                </c:pt>
                <c:pt idx="287">
                  <c:v>4.6500000000000004</c:v>
                </c:pt>
                <c:pt idx="288">
                  <c:v>4.62</c:v>
                </c:pt>
                <c:pt idx="289">
                  <c:v>4.5999999999999996</c:v>
                </c:pt>
                <c:pt idx="290">
                  <c:v>4.6100000000000003</c:v>
                </c:pt>
                <c:pt idx="291">
                  <c:v>4.58</c:v>
                </c:pt>
                <c:pt idx="292">
                  <c:v>4.58</c:v>
                </c:pt>
                <c:pt idx="293">
                  <c:v>4.53</c:v>
                </c:pt>
                <c:pt idx="294">
                  <c:v>4.5</c:v>
                </c:pt>
                <c:pt idx="295">
                  <c:v>4.5</c:v>
                </c:pt>
                <c:pt idx="296">
                  <c:v>4.46</c:v>
                </c:pt>
                <c:pt idx="297">
                  <c:v>4.42</c:v>
                </c:pt>
                <c:pt idx="298">
                  <c:v>4.38</c:v>
                </c:pt>
                <c:pt idx="299">
                  <c:v>4.3600000000000003</c:v>
                </c:pt>
                <c:pt idx="300">
                  <c:v>4.3499999999999996</c:v>
                </c:pt>
                <c:pt idx="301">
                  <c:v>4.3899999999999997</c:v>
                </c:pt>
                <c:pt idx="302">
                  <c:v>4.3899999999999997</c:v>
                </c:pt>
                <c:pt idx="303">
                  <c:v>4.38</c:v>
                </c:pt>
                <c:pt idx="304">
                  <c:v>4.38</c:v>
                </c:pt>
                <c:pt idx="305">
                  <c:v>4.4000000000000004</c:v>
                </c:pt>
                <c:pt idx="306">
                  <c:v>4.46</c:v>
                </c:pt>
                <c:pt idx="307">
                  <c:v>4.49</c:v>
                </c:pt>
                <c:pt idx="308">
                  <c:v>4.4800000000000004</c:v>
                </c:pt>
                <c:pt idx="309">
                  <c:v>4.49</c:v>
                </c:pt>
                <c:pt idx="310">
                  <c:v>4.49</c:v>
                </c:pt>
                <c:pt idx="311">
                  <c:v>4.51</c:v>
                </c:pt>
                <c:pt idx="312">
                  <c:v>4.49</c:v>
                </c:pt>
                <c:pt idx="313">
                  <c:v>4.45</c:v>
                </c:pt>
                <c:pt idx="314">
                  <c:v>4.4400000000000004</c:v>
                </c:pt>
                <c:pt idx="315">
                  <c:v>4.4800000000000004</c:v>
                </c:pt>
                <c:pt idx="316">
                  <c:v>4.46</c:v>
                </c:pt>
                <c:pt idx="317">
                  <c:v>4.46</c:v>
                </c:pt>
                <c:pt idx="318">
                  <c:v>4.45</c:v>
                </c:pt>
                <c:pt idx="319">
                  <c:v>4.43</c:v>
                </c:pt>
                <c:pt idx="320">
                  <c:v>4.4400000000000004</c:v>
                </c:pt>
                <c:pt idx="321">
                  <c:v>4.45</c:v>
                </c:pt>
                <c:pt idx="322">
                  <c:v>4.47</c:v>
                </c:pt>
                <c:pt idx="323">
                  <c:v>4.46</c:v>
                </c:pt>
                <c:pt idx="324">
                  <c:v>4.47</c:v>
                </c:pt>
                <c:pt idx="325">
                  <c:v>4.46</c:v>
                </c:pt>
                <c:pt idx="326">
                  <c:v>4.43</c:v>
                </c:pt>
                <c:pt idx="327">
                  <c:v>4.43</c:v>
                </c:pt>
                <c:pt idx="328">
                  <c:v>4.43</c:v>
                </c:pt>
                <c:pt idx="329">
                  <c:v>4.41</c:v>
                </c:pt>
                <c:pt idx="330">
                  <c:v>4.3899999999999997</c:v>
                </c:pt>
                <c:pt idx="331">
                  <c:v>4.42</c:v>
                </c:pt>
                <c:pt idx="332">
                  <c:v>4.3899999999999997</c:v>
                </c:pt>
                <c:pt idx="333">
                  <c:v>4.3899999999999997</c:v>
                </c:pt>
                <c:pt idx="334">
                  <c:v>4.4000000000000004</c:v>
                </c:pt>
                <c:pt idx="335">
                  <c:v>4.42</c:v>
                </c:pt>
                <c:pt idx="336">
                  <c:v>4.4000000000000004</c:v>
                </c:pt>
                <c:pt idx="337">
                  <c:v>4.38</c:v>
                </c:pt>
                <c:pt idx="338">
                  <c:v>4.37</c:v>
                </c:pt>
                <c:pt idx="339">
                  <c:v>4.3600000000000003</c:v>
                </c:pt>
                <c:pt idx="340">
                  <c:v>4.37</c:v>
                </c:pt>
                <c:pt idx="341">
                  <c:v>4.37</c:v>
                </c:pt>
                <c:pt idx="342">
                  <c:v>4.3600000000000003</c:v>
                </c:pt>
                <c:pt idx="343">
                  <c:v>4.4000000000000004</c:v>
                </c:pt>
                <c:pt idx="344">
                  <c:v>4.3899999999999997</c:v>
                </c:pt>
                <c:pt idx="345">
                  <c:v>4.3899999999999997</c:v>
                </c:pt>
                <c:pt idx="346">
                  <c:v>4.3899999999999997</c:v>
                </c:pt>
                <c:pt idx="347">
                  <c:v>4.38</c:v>
                </c:pt>
                <c:pt idx="348">
                  <c:v>4.37</c:v>
                </c:pt>
                <c:pt idx="349">
                  <c:v>4.3499999999999996</c:v>
                </c:pt>
                <c:pt idx="350">
                  <c:v>4.3499999999999996</c:v>
                </c:pt>
                <c:pt idx="351">
                  <c:v>4.34</c:v>
                </c:pt>
                <c:pt idx="352">
                  <c:v>4.32</c:v>
                </c:pt>
                <c:pt idx="353">
                  <c:v>4.29</c:v>
                </c:pt>
                <c:pt idx="354">
                  <c:v>4.3</c:v>
                </c:pt>
                <c:pt idx="355">
                  <c:v>4.3099999999999996</c:v>
                </c:pt>
                <c:pt idx="356">
                  <c:v>4.29</c:v>
                </c:pt>
                <c:pt idx="357">
                  <c:v>4.2699999999999996</c:v>
                </c:pt>
                <c:pt idx="358">
                  <c:v>4.29</c:v>
                </c:pt>
                <c:pt idx="359">
                  <c:v>4.3</c:v>
                </c:pt>
                <c:pt idx="360">
                  <c:v>4.3099999999999996</c:v>
                </c:pt>
                <c:pt idx="361">
                  <c:v>4.3</c:v>
                </c:pt>
                <c:pt idx="362">
                  <c:v>4.28</c:v>
                </c:pt>
                <c:pt idx="363">
                  <c:v>4.2699999999999996</c:v>
                </c:pt>
                <c:pt idx="364">
                  <c:v>4.2699999999999996</c:v>
                </c:pt>
                <c:pt idx="365">
                  <c:v>4.25</c:v>
                </c:pt>
                <c:pt idx="366">
                  <c:v>4.3099999999999996</c:v>
                </c:pt>
                <c:pt idx="367">
                  <c:v>4.32</c:v>
                </c:pt>
                <c:pt idx="368">
                  <c:v>4.33</c:v>
                </c:pt>
                <c:pt idx="369">
                  <c:v>4.34</c:v>
                </c:pt>
                <c:pt idx="370">
                  <c:v>4.33</c:v>
                </c:pt>
                <c:pt idx="371">
                  <c:v>4.3</c:v>
                </c:pt>
                <c:pt idx="372">
                  <c:v>4.28</c:v>
                </c:pt>
                <c:pt idx="373">
                  <c:v>4.28</c:v>
                </c:pt>
                <c:pt idx="374">
                  <c:v>4.28</c:v>
                </c:pt>
                <c:pt idx="375">
                  <c:v>4.2699999999999996</c:v>
                </c:pt>
                <c:pt idx="376">
                  <c:v>4.28</c:v>
                </c:pt>
                <c:pt idx="377">
                  <c:v>4.25</c:v>
                </c:pt>
                <c:pt idx="378">
                  <c:v>4.26</c:v>
                </c:pt>
                <c:pt idx="379">
                  <c:v>4.25</c:v>
                </c:pt>
                <c:pt idx="380">
                  <c:v>4.22</c:v>
                </c:pt>
                <c:pt idx="381">
                  <c:v>4.21</c:v>
                </c:pt>
                <c:pt idx="382">
                  <c:v>4.2</c:v>
                </c:pt>
                <c:pt idx="383">
                  <c:v>4.2</c:v>
                </c:pt>
                <c:pt idx="384">
                  <c:v>4.22</c:v>
                </c:pt>
                <c:pt idx="385">
                  <c:v>4.22</c:v>
                </c:pt>
                <c:pt idx="386">
                  <c:v>4.22</c:v>
                </c:pt>
                <c:pt idx="387">
                  <c:v>4.3</c:v>
                </c:pt>
                <c:pt idx="388">
                  <c:v>4.3099999999999996</c:v>
                </c:pt>
                <c:pt idx="389">
                  <c:v>4.32</c:v>
                </c:pt>
                <c:pt idx="390">
                  <c:v>4.32</c:v>
                </c:pt>
                <c:pt idx="391">
                  <c:v>4.32</c:v>
                </c:pt>
                <c:pt idx="392">
                  <c:v>4.3099999999999996</c:v>
                </c:pt>
                <c:pt idx="393">
                  <c:v>4.3099999999999996</c:v>
                </c:pt>
                <c:pt idx="394">
                  <c:v>4.32</c:v>
                </c:pt>
                <c:pt idx="395">
                  <c:v>4.38</c:v>
                </c:pt>
                <c:pt idx="396">
                  <c:v>4.37</c:v>
                </c:pt>
                <c:pt idx="397">
                  <c:v>4.3600000000000003</c:v>
                </c:pt>
                <c:pt idx="398">
                  <c:v>4.3899999999999997</c:v>
                </c:pt>
                <c:pt idx="399">
                  <c:v>4.41</c:v>
                </c:pt>
                <c:pt idx="400">
                  <c:v>4.46</c:v>
                </c:pt>
                <c:pt idx="401">
                  <c:v>4.5</c:v>
                </c:pt>
                <c:pt idx="402">
                  <c:v>4.5199999999999996</c:v>
                </c:pt>
                <c:pt idx="403">
                  <c:v>4.49</c:v>
                </c:pt>
                <c:pt idx="404">
                  <c:v>4.47</c:v>
                </c:pt>
                <c:pt idx="405">
                  <c:v>4.47</c:v>
                </c:pt>
                <c:pt idx="406">
                  <c:v>4.47</c:v>
                </c:pt>
                <c:pt idx="407">
                  <c:v>4.4800000000000004</c:v>
                </c:pt>
                <c:pt idx="408">
                  <c:v>4.5</c:v>
                </c:pt>
                <c:pt idx="409">
                  <c:v>4.54</c:v>
                </c:pt>
                <c:pt idx="410">
                  <c:v>4.76</c:v>
                </c:pt>
                <c:pt idx="411">
                  <c:v>4.8899999999999997</c:v>
                </c:pt>
                <c:pt idx="412">
                  <c:v>4.8600000000000003</c:v>
                </c:pt>
                <c:pt idx="413">
                  <c:v>4.8099999999999996</c:v>
                </c:pt>
                <c:pt idx="414">
                  <c:v>4.83</c:v>
                </c:pt>
                <c:pt idx="415">
                  <c:v>4.78</c:v>
                </c:pt>
                <c:pt idx="416">
                  <c:v>4.78</c:v>
                </c:pt>
                <c:pt idx="417">
                  <c:v>4.7</c:v>
                </c:pt>
                <c:pt idx="418">
                  <c:v>4.66</c:v>
                </c:pt>
                <c:pt idx="419">
                  <c:v>4.6100000000000003</c:v>
                </c:pt>
                <c:pt idx="420">
                  <c:v>4.54</c:v>
                </c:pt>
                <c:pt idx="421">
                  <c:v>4.51</c:v>
                </c:pt>
                <c:pt idx="422">
                  <c:v>4.47</c:v>
                </c:pt>
                <c:pt idx="423">
                  <c:v>4.4400000000000004</c:v>
                </c:pt>
                <c:pt idx="424">
                  <c:v>4.41</c:v>
                </c:pt>
                <c:pt idx="425">
                  <c:v>4.41</c:v>
                </c:pt>
                <c:pt idx="426">
                  <c:v>4.41</c:v>
                </c:pt>
                <c:pt idx="427">
                  <c:v>4.4000000000000004</c:v>
                </c:pt>
                <c:pt idx="428">
                  <c:v>4.4000000000000004</c:v>
                </c:pt>
                <c:pt idx="429">
                  <c:v>4.3899999999999997</c:v>
                </c:pt>
                <c:pt idx="430">
                  <c:v>4.3899999999999997</c:v>
                </c:pt>
                <c:pt idx="431">
                  <c:v>4.38</c:v>
                </c:pt>
                <c:pt idx="432">
                  <c:v>4.43</c:v>
                </c:pt>
                <c:pt idx="433">
                  <c:v>4.43</c:v>
                </c:pt>
                <c:pt idx="434">
                  <c:v>4.4400000000000004</c:v>
                </c:pt>
                <c:pt idx="435">
                  <c:v>4.47</c:v>
                </c:pt>
                <c:pt idx="436">
                  <c:v>4.51</c:v>
                </c:pt>
                <c:pt idx="437">
                  <c:v>4.5599999999999996</c:v>
                </c:pt>
                <c:pt idx="438">
                  <c:v>4.57</c:v>
                </c:pt>
                <c:pt idx="439">
                  <c:v>4.6100000000000003</c:v>
                </c:pt>
                <c:pt idx="440">
                  <c:v>4.68</c:v>
                </c:pt>
                <c:pt idx="441">
                  <c:v>4.71</c:v>
                </c:pt>
                <c:pt idx="442">
                  <c:v>4.7300000000000004</c:v>
                </c:pt>
                <c:pt idx="443">
                  <c:v>4.74</c:v>
                </c:pt>
                <c:pt idx="444">
                  <c:v>4.7699999999999996</c:v>
                </c:pt>
                <c:pt idx="445">
                  <c:v>4.74</c:v>
                </c:pt>
                <c:pt idx="446">
                  <c:v>4.7</c:v>
                </c:pt>
                <c:pt idx="447">
                  <c:v>4.68</c:v>
                </c:pt>
                <c:pt idx="448">
                  <c:v>4.6900000000000004</c:v>
                </c:pt>
                <c:pt idx="449">
                  <c:v>4.74</c:v>
                </c:pt>
                <c:pt idx="450">
                  <c:v>4.8099999999999996</c:v>
                </c:pt>
                <c:pt idx="451">
                  <c:v>4.8899999999999997</c:v>
                </c:pt>
                <c:pt idx="452">
                  <c:v>4.9800000000000004</c:v>
                </c:pt>
                <c:pt idx="453">
                  <c:v>5.03</c:v>
                </c:pt>
                <c:pt idx="454">
                  <c:v>4.99</c:v>
                </c:pt>
                <c:pt idx="455">
                  <c:v>4.95</c:v>
                </c:pt>
                <c:pt idx="456">
                  <c:v>4.93</c:v>
                </c:pt>
                <c:pt idx="457">
                  <c:v>4.8499999999999996</c:v>
                </c:pt>
                <c:pt idx="458">
                  <c:v>4.79</c:v>
                </c:pt>
                <c:pt idx="459">
                  <c:v>4.82</c:v>
                </c:pt>
                <c:pt idx="460">
                  <c:v>4.87</c:v>
                </c:pt>
                <c:pt idx="461">
                  <c:v>4.88</c:v>
                </c:pt>
                <c:pt idx="462">
                  <c:v>4.97</c:v>
                </c:pt>
                <c:pt idx="463">
                  <c:v>4.96</c:v>
                </c:pt>
                <c:pt idx="464">
                  <c:v>5.01</c:v>
                </c:pt>
                <c:pt idx="465">
                  <c:v>5.1100000000000003</c:v>
                </c:pt>
                <c:pt idx="466">
                  <c:v>5.05</c:v>
                </c:pt>
                <c:pt idx="467">
                  <c:v>4.8600000000000003</c:v>
                </c:pt>
                <c:pt idx="468">
                  <c:v>4.82</c:v>
                </c:pt>
                <c:pt idx="469">
                  <c:v>4.6900000000000004</c:v>
                </c:pt>
                <c:pt idx="470">
                  <c:v>4.66</c:v>
                </c:pt>
                <c:pt idx="471">
                  <c:v>4.6399999999999997</c:v>
                </c:pt>
                <c:pt idx="472">
                  <c:v>4.62</c:v>
                </c:pt>
                <c:pt idx="473">
                  <c:v>4.63</c:v>
                </c:pt>
                <c:pt idx="474">
                  <c:v>4.62</c:v>
                </c:pt>
                <c:pt idx="475">
                  <c:v>4.62</c:v>
                </c:pt>
                <c:pt idx="476">
                  <c:v>4.62</c:v>
                </c:pt>
                <c:pt idx="477">
                  <c:v>4.6399999999999997</c:v>
                </c:pt>
                <c:pt idx="478">
                  <c:v>4.6399999999999997</c:v>
                </c:pt>
                <c:pt idx="479">
                  <c:v>4.67</c:v>
                </c:pt>
                <c:pt idx="480">
                  <c:v>4.66</c:v>
                </c:pt>
                <c:pt idx="481">
                  <c:v>4.67</c:v>
                </c:pt>
                <c:pt idx="482">
                  <c:v>4.6500000000000004</c:v>
                </c:pt>
                <c:pt idx="483">
                  <c:v>4.66</c:v>
                </c:pt>
                <c:pt idx="484">
                  <c:v>4.66</c:v>
                </c:pt>
                <c:pt idx="485">
                  <c:v>4.66</c:v>
                </c:pt>
                <c:pt idx="486">
                  <c:v>4.68</c:v>
                </c:pt>
                <c:pt idx="487">
                  <c:v>4.7</c:v>
                </c:pt>
                <c:pt idx="488">
                  <c:v>4.74</c:v>
                </c:pt>
                <c:pt idx="489">
                  <c:v>4.79</c:v>
                </c:pt>
                <c:pt idx="490">
                  <c:v>4.84</c:v>
                </c:pt>
                <c:pt idx="491">
                  <c:v>4.8499999999999996</c:v>
                </c:pt>
                <c:pt idx="492">
                  <c:v>4.79</c:v>
                </c:pt>
                <c:pt idx="493">
                  <c:v>4.7699999999999996</c:v>
                </c:pt>
                <c:pt idx="494">
                  <c:v>4.75</c:v>
                </c:pt>
                <c:pt idx="495">
                  <c:v>4.74</c:v>
                </c:pt>
                <c:pt idx="496">
                  <c:v>4.74</c:v>
                </c:pt>
                <c:pt idx="497">
                  <c:v>4.78</c:v>
                </c:pt>
                <c:pt idx="498">
                  <c:v>4.84</c:v>
                </c:pt>
                <c:pt idx="499">
                  <c:v>4.9400000000000004</c:v>
                </c:pt>
                <c:pt idx="500">
                  <c:v>4.9800000000000004</c:v>
                </c:pt>
                <c:pt idx="501">
                  <c:v>4.97</c:v>
                </c:pt>
                <c:pt idx="502">
                  <c:v>4.96</c:v>
                </c:pt>
                <c:pt idx="503">
                  <c:v>4.97</c:v>
                </c:pt>
                <c:pt idx="504">
                  <c:v>5.0199999999999996</c:v>
                </c:pt>
                <c:pt idx="505">
                  <c:v>5.12</c:v>
                </c:pt>
                <c:pt idx="506">
                  <c:v>5.18</c:v>
                </c:pt>
                <c:pt idx="507">
                  <c:v>5.24</c:v>
                </c:pt>
                <c:pt idx="508">
                  <c:v>5.34</c:v>
                </c:pt>
                <c:pt idx="509">
                  <c:v>5.42</c:v>
                </c:pt>
                <c:pt idx="510">
                  <c:v>5.54</c:v>
                </c:pt>
                <c:pt idx="511">
                  <c:v>5.41</c:v>
                </c:pt>
                <c:pt idx="512">
                  <c:v>5.19</c:v>
                </c:pt>
                <c:pt idx="513">
                  <c:v>5.13</c:v>
                </c:pt>
                <c:pt idx="514">
                  <c:v>5.08</c:v>
                </c:pt>
                <c:pt idx="515">
                  <c:v>5.05</c:v>
                </c:pt>
                <c:pt idx="516">
                  <c:v>5.05</c:v>
                </c:pt>
                <c:pt idx="517">
                  <c:v>5.04</c:v>
                </c:pt>
                <c:pt idx="518">
                  <c:v>5.0199999999999996</c:v>
                </c:pt>
                <c:pt idx="519">
                  <c:v>5.0199999999999996</c:v>
                </c:pt>
                <c:pt idx="520">
                  <c:v>5.03</c:v>
                </c:pt>
                <c:pt idx="521">
                  <c:v>5.03</c:v>
                </c:pt>
                <c:pt idx="522">
                  <c:v>5.08</c:v>
                </c:pt>
                <c:pt idx="523">
                  <c:v>5.15</c:v>
                </c:pt>
                <c:pt idx="524">
                  <c:v>5.09</c:v>
                </c:pt>
                <c:pt idx="525">
                  <c:v>5.0199999999999996</c:v>
                </c:pt>
                <c:pt idx="526">
                  <c:v>4.99</c:v>
                </c:pt>
                <c:pt idx="527">
                  <c:v>5</c:v>
                </c:pt>
                <c:pt idx="528">
                  <c:v>5</c:v>
                </c:pt>
                <c:pt idx="529">
                  <c:v>5.03</c:v>
                </c:pt>
                <c:pt idx="530">
                  <c:v>5.01</c:v>
                </c:pt>
                <c:pt idx="531">
                  <c:v>5.0199999999999996</c:v>
                </c:pt>
                <c:pt idx="532">
                  <c:v>5.01</c:v>
                </c:pt>
                <c:pt idx="533">
                  <c:v>5.0199999999999996</c:v>
                </c:pt>
                <c:pt idx="534">
                  <c:v>4.96</c:v>
                </c:pt>
                <c:pt idx="535">
                  <c:v>4.9400000000000004</c:v>
                </c:pt>
                <c:pt idx="536">
                  <c:v>4.9000000000000004</c:v>
                </c:pt>
                <c:pt idx="537">
                  <c:v>4.91</c:v>
                </c:pt>
                <c:pt idx="538">
                  <c:v>4.8600000000000003</c:v>
                </c:pt>
                <c:pt idx="539">
                  <c:v>4.8499999999999996</c:v>
                </c:pt>
                <c:pt idx="540">
                  <c:v>4.84</c:v>
                </c:pt>
                <c:pt idx="541">
                  <c:v>4.88</c:v>
                </c:pt>
                <c:pt idx="542">
                  <c:v>4.8600000000000003</c:v>
                </c:pt>
                <c:pt idx="543">
                  <c:v>4.82</c:v>
                </c:pt>
                <c:pt idx="544">
                  <c:v>4.78</c:v>
                </c:pt>
                <c:pt idx="545">
                  <c:v>4.74</c:v>
                </c:pt>
                <c:pt idx="546">
                  <c:v>4.6900000000000004</c:v>
                </c:pt>
                <c:pt idx="547">
                  <c:v>4.72</c:v>
                </c:pt>
                <c:pt idx="548">
                  <c:v>4.71</c:v>
                </c:pt>
                <c:pt idx="549">
                  <c:v>4.7300000000000004</c:v>
                </c:pt>
                <c:pt idx="550">
                  <c:v>4.71</c:v>
                </c:pt>
                <c:pt idx="551">
                  <c:v>4.71</c:v>
                </c:pt>
                <c:pt idx="552">
                  <c:v>4.6900000000000004</c:v>
                </c:pt>
                <c:pt idx="553">
                  <c:v>4.68</c:v>
                </c:pt>
                <c:pt idx="554">
                  <c:v>4.6500000000000004</c:v>
                </c:pt>
                <c:pt idx="555">
                  <c:v>4.6500000000000004</c:v>
                </c:pt>
                <c:pt idx="556">
                  <c:v>4.63</c:v>
                </c:pt>
                <c:pt idx="557">
                  <c:v>4.5999999999999996</c:v>
                </c:pt>
                <c:pt idx="558">
                  <c:v>4.55</c:v>
                </c:pt>
                <c:pt idx="559">
                  <c:v>4.5199999999999996</c:v>
                </c:pt>
                <c:pt idx="560">
                  <c:v>4.49</c:v>
                </c:pt>
                <c:pt idx="561">
                  <c:v>4.4800000000000004</c:v>
                </c:pt>
                <c:pt idx="562">
                  <c:v>4.5199999999999996</c:v>
                </c:pt>
                <c:pt idx="563">
                  <c:v>4.5199999999999996</c:v>
                </c:pt>
                <c:pt idx="564">
                  <c:v>4.55</c:v>
                </c:pt>
                <c:pt idx="565">
                  <c:v>4.59</c:v>
                </c:pt>
                <c:pt idx="566">
                  <c:v>4.58</c:v>
                </c:pt>
                <c:pt idx="567">
                  <c:v>4.66</c:v>
                </c:pt>
                <c:pt idx="568">
                  <c:v>4.68</c:v>
                </c:pt>
                <c:pt idx="569">
                  <c:v>4.7699999999999996</c:v>
                </c:pt>
                <c:pt idx="570">
                  <c:v>4.72</c:v>
                </c:pt>
                <c:pt idx="571">
                  <c:v>4.7</c:v>
                </c:pt>
                <c:pt idx="572">
                  <c:v>4.7699999999999996</c:v>
                </c:pt>
                <c:pt idx="573">
                  <c:v>4.78</c:v>
                </c:pt>
                <c:pt idx="574">
                  <c:v>4.82</c:v>
                </c:pt>
                <c:pt idx="575">
                  <c:v>4.83</c:v>
                </c:pt>
                <c:pt idx="576">
                  <c:v>4.76</c:v>
                </c:pt>
                <c:pt idx="577">
                  <c:v>4.74</c:v>
                </c:pt>
                <c:pt idx="578">
                  <c:v>4.72</c:v>
                </c:pt>
                <c:pt idx="579">
                  <c:v>4.6900000000000004</c:v>
                </c:pt>
                <c:pt idx="580">
                  <c:v>4.68</c:v>
                </c:pt>
                <c:pt idx="581">
                  <c:v>4.71</c:v>
                </c:pt>
                <c:pt idx="582">
                  <c:v>4.68</c:v>
                </c:pt>
                <c:pt idx="583">
                  <c:v>4.67</c:v>
                </c:pt>
                <c:pt idx="584">
                  <c:v>4.7300000000000004</c:v>
                </c:pt>
                <c:pt idx="585">
                  <c:v>4.72</c:v>
                </c:pt>
                <c:pt idx="586">
                  <c:v>4.7</c:v>
                </c:pt>
                <c:pt idx="587">
                  <c:v>4.66</c:v>
                </c:pt>
                <c:pt idx="588">
                  <c:v>4.5999999999999996</c:v>
                </c:pt>
                <c:pt idx="589">
                  <c:v>4.5599999999999996</c:v>
                </c:pt>
                <c:pt idx="590">
                  <c:v>4.57</c:v>
                </c:pt>
                <c:pt idx="591">
                  <c:v>4.55</c:v>
                </c:pt>
                <c:pt idx="592">
                  <c:v>4.54</c:v>
                </c:pt>
                <c:pt idx="593">
                  <c:v>4.54</c:v>
                </c:pt>
                <c:pt idx="594">
                  <c:v>4.5</c:v>
                </c:pt>
                <c:pt idx="595">
                  <c:v>4.51</c:v>
                </c:pt>
                <c:pt idx="596">
                  <c:v>4.55</c:v>
                </c:pt>
                <c:pt idx="597">
                  <c:v>4.53</c:v>
                </c:pt>
                <c:pt idx="598">
                  <c:v>4.53</c:v>
                </c:pt>
                <c:pt idx="599">
                  <c:v>4.51</c:v>
                </c:pt>
                <c:pt idx="600">
                  <c:v>4.51</c:v>
                </c:pt>
                <c:pt idx="601">
                  <c:v>4.5</c:v>
                </c:pt>
                <c:pt idx="602">
                  <c:v>4.5</c:v>
                </c:pt>
                <c:pt idx="603">
                  <c:v>4.5</c:v>
                </c:pt>
                <c:pt idx="604">
                  <c:v>4.55</c:v>
                </c:pt>
                <c:pt idx="605">
                  <c:v>4.6500000000000004</c:v>
                </c:pt>
                <c:pt idx="606">
                  <c:v>4.66</c:v>
                </c:pt>
                <c:pt idx="607">
                  <c:v>4.6399999999999997</c:v>
                </c:pt>
                <c:pt idx="608">
                  <c:v>4.66</c:v>
                </c:pt>
                <c:pt idx="609">
                  <c:v>4.72</c:v>
                </c:pt>
                <c:pt idx="610">
                  <c:v>4.74</c:v>
                </c:pt>
                <c:pt idx="611">
                  <c:v>4.68</c:v>
                </c:pt>
                <c:pt idx="612">
                  <c:v>4.7</c:v>
                </c:pt>
                <c:pt idx="613">
                  <c:v>4.7699999999999996</c:v>
                </c:pt>
                <c:pt idx="614">
                  <c:v>4.74</c:v>
                </c:pt>
                <c:pt idx="615">
                  <c:v>4.71</c:v>
                </c:pt>
                <c:pt idx="616">
                  <c:v>4.68</c:v>
                </c:pt>
                <c:pt idx="617">
                  <c:v>4.6900000000000004</c:v>
                </c:pt>
                <c:pt idx="618">
                  <c:v>4.7</c:v>
                </c:pt>
                <c:pt idx="619">
                  <c:v>4.7</c:v>
                </c:pt>
                <c:pt idx="620">
                  <c:v>4.67</c:v>
                </c:pt>
                <c:pt idx="621">
                  <c:v>4.67</c:v>
                </c:pt>
                <c:pt idx="622">
                  <c:v>4.6500000000000004</c:v>
                </c:pt>
                <c:pt idx="623">
                  <c:v>4.62</c:v>
                </c:pt>
                <c:pt idx="624">
                  <c:v>4.62</c:v>
                </c:pt>
                <c:pt idx="625">
                  <c:v>4.5999999999999996</c:v>
                </c:pt>
                <c:pt idx="626">
                  <c:v>4.6900000000000004</c:v>
                </c:pt>
                <c:pt idx="627">
                  <c:v>4.7</c:v>
                </c:pt>
                <c:pt idx="628">
                  <c:v>4.72</c:v>
                </c:pt>
                <c:pt idx="629">
                  <c:v>4.7699999999999996</c:v>
                </c:pt>
                <c:pt idx="630">
                  <c:v>4.82</c:v>
                </c:pt>
                <c:pt idx="631">
                  <c:v>4.9000000000000004</c:v>
                </c:pt>
                <c:pt idx="632">
                  <c:v>4.91</c:v>
                </c:pt>
                <c:pt idx="633">
                  <c:v>4.97</c:v>
                </c:pt>
                <c:pt idx="634">
                  <c:v>4.95</c:v>
                </c:pt>
                <c:pt idx="635">
                  <c:v>4.92</c:v>
                </c:pt>
                <c:pt idx="636">
                  <c:v>4.9400000000000004</c:v>
                </c:pt>
                <c:pt idx="637">
                  <c:v>4.9800000000000004</c:v>
                </c:pt>
                <c:pt idx="638">
                  <c:v>5</c:v>
                </c:pt>
                <c:pt idx="639">
                  <c:v>4.97</c:v>
                </c:pt>
                <c:pt idx="640">
                  <c:v>4.95</c:v>
                </c:pt>
                <c:pt idx="641">
                  <c:v>4.9000000000000004</c:v>
                </c:pt>
                <c:pt idx="642">
                  <c:v>4.87</c:v>
                </c:pt>
                <c:pt idx="643">
                  <c:v>4.91</c:v>
                </c:pt>
                <c:pt idx="644">
                  <c:v>4.92</c:v>
                </c:pt>
                <c:pt idx="645">
                  <c:v>4.9400000000000004</c:v>
                </c:pt>
                <c:pt idx="646">
                  <c:v>4.97</c:v>
                </c:pt>
                <c:pt idx="647">
                  <c:v>5.07</c:v>
                </c:pt>
                <c:pt idx="648">
                  <c:v>5.19</c:v>
                </c:pt>
                <c:pt idx="649">
                  <c:v>5.15</c:v>
                </c:pt>
                <c:pt idx="650">
                  <c:v>5.13</c:v>
                </c:pt>
                <c:pt idx="651">
                  <c:v>5.13</c:v>
                </c:pt>
                <c:pt idx="652">
                  <c:v>5.17</c:v>
                </c:pt>
                <c:pt idx="653">
                  <c:v>5.19</c:v>
                </c:pt>
                <c:pt idx="654">
                  <c:v>5.21</c:v>
                </c:pt>
                <c:pt idx="655">
                  <c:v>5.19</c:v>
                </c:pt>
                <c:pt idx="656">
                  <c:v>5.17</c:v>
                </c:pt>
                <c:pt idx="657">
                  <c:v>5.14</c:v>
                </c:pt>
                <c:pt idx="658">
                  <c:v>5.12</c:v>
                </c:pt>
                <c:pt idx="659">
                  <c:v>5.08</c:v>
                </c:pt>
                <c:pt idx="660">
                  <c:v>5.08</c:v>
                </c:pt>
                <c:pt idx="661">
                  <c:v>5.12</c:v>
                </c:pt>
                <c:pt idx="662">
                  <c:v>5.14</c:v>
                </c:pt>
                <c:pt idx="663">
                  <c:v>5.19</c:v>
                </c:pt>
                <c:pt idx="664">
                  <c:v>5.26</c:v>
                </c:pt>
                <c:pt idx="665">
                  <c:v>5.26</c:v>
                </c:pt>
                <c:pt idx="666">
                  <c:v>5.29</c:v>
                </c:pt>
                <c:pt idx="667">
                  <c:v>5.37</c:v>
                </c:pt>
                <c:pt idx="668">
                  <c:v>5.33</c:v>
                </c:pt>
                <c:pt idx="669">
                  <c:v>5.25</c:v>
                </c:pt>
                <c:pt idx="670">
                  <c:v>5.19</c:v>
                </c:pt>
                <c:pt idx="671">
                  <c:v>5.22</c:v>
                </c:pt>
                <c:pt idx="672">
                  <c:v>5.23</c:v>
                </c:pt>
                <c:pt idx="673">
                  <c:v>5.25</c:v>
                </c:pt>
                <c:pt idx="674">
                  <c:v>5.24</c:v>
                </c:pt>
                <c:pt idx="675">
                  <c:v>5.31</c:v>
                </c:pt>
                <c:pt idx="676">
                  <c:v>5.37</c:v>
                </c:pt>
                <c:pt idx="677">
                  <c:v>5.39</c:v>
                </c:pt>
                <c:pt idx="678">
                  <c:v>5.44</c:v>
                </c:pt>
                <c:pt idx="679">
                  <c:v>5.51</c:v>
                </c:pt>
                <c:pt idx="680">
                  <c:v>5.47</c:v>
                </c:pt>
                <c:pt idx="681">
                  <c:v>5.45</c:v>
                </c:pt>
                <c:pt idx="682">
                  <c:v>5.45</c:v>
                </c:pt>
                <c:pt idx="683">
                  <c:v>5.47</c:v>
                </c:pt>
                <c:pt idx="684">
                  <c:v>5.52</c:v>
                </c:pt>
                <c:pt idx="685">
                  <c:v>5.55</c:v>
                </c:pt>
                <c:pt idx="686">
                  <c:v>5.61</c:v>
                </c:pt>
                <c:pt idx="687">
                  <c:v>5.77</c:v>
                </c:pt>
                <c:pt idx="688">
                  <c:v>5.66</c:v>
                </c:pt>
                <c:pt idx="689">
                  <c:v>5.69</c:v>
                </c:pt>
                <c:pt idx="690">
                  <c:v>5.6</c:v>
                </c:pt>
                <c:pt idx="691">
                  <c:v>5.56</c:v>
                </c:pt>
                <c:pt idx="692">
                  <c:v>5.59</c:v>
                </c:pt>
                <c:pt idx="693">
                  <c:v>5.62</c:v>
                </c:pt>
                <c:pt idx="694">
                  <c:v>5.6</c:v>
                </c:pt>
                <c:pt idx="695">
                  <c:v>5.55</c:v>
                </c:pt>
                <c:pt idx="696">
                  <c:v>5.55</c:v>
                </c:pt>
                <c:pt idx="697">
                  <c:v>5.55</c:v>
                </c:pt>
                <c:pt idx="698">
                  <c:v>5.51</c:v>
                </c:pt>
                <c:pt idx="699">
                  <c:v>5.46</c:v>
                </c:pt>
                <c:pt idx="700">
                  <c:v>5.46</c:v>
                </c:pt>
                <c:pt idx="701">
                  <c:v>5.47</c:v>
                </c:pt>
                <c:pt idx="702">
                  <c:v>5.48</c:v>
                </c:pt>
                <c:pt idx="703">
                  <c:v>5.49</c:v>
                </c:pt>
                <c:pt idx="704">
                  <c:v>5.54</c:v>
                </c:pt>
                <c:pt idx="705">
                  <c:v>5.55</c:v>
                </c:pt>
                <c:pt idx="706">
                  <c:v>5.56</c:v>
                </c:pt>
                <c:pt idx="707">
                  <c:v>5.58</c:v>
                </c:pt>
                <c:pt idx="708">
                  <c:v>5.68</c:v>
                </c:pt>
                <c:pt idx="709">
                  <c:v>5.69</c:v>
                </c:pt>
                <c:pt idx="710">
                  <c:v>5.81</c:v>
                </c:pt>
                <c:pt idx="711">
                  <c:v>5.85</c:v>
                </c:pt>
                <c:pt idx="712">
                  <c:v>6.08</c:v>
                </c:pt>
                <c:pt idx="713">
                  <c:v>6.16</c:v>
                </c:pt>
                <c:pt idx="714">
                  <c:v>6.1</c:v>
                </c:pt>
                <c:pt idx="715">
                  <c:v>6.16</c:v>
                </c:pt>
                <c:pt idx="716">
                  <c:v>6.22</c:v>
                </c:pt>
                <c:pt idx="717">
                  <c:v>6.08</c:v>
                </c:pt>
                <c:pt idx="718">
                  <c:v>5.97</c:v>
                </c:pt>
                <c:pt idx="719">
                  <c:v>5.8</c:v>
                </c:pt>
                <c:pt idx="720">
                  <c:v>5.78</c:v>
                </c:pt>
                <c:pt idx="721">
                  <c:v>5.68</c:v>
                </c:pt>
                <c:pt idx="722">
                  <c:v>5.68</c:v>
                </c:pt>
                <c:pt idx="723">
                  <c:v>5.7</c:v>
                </c:pt>
                <c:pt idx="724">
                  <c:v>5.71</c:v>
                </c:pt>
                <c:pt idx="725">
                  <c:v>5.7</c:v>
                </c:pt>
                <c:pt idx="726">
                  <c:v>5.65</c:v>
                </c:pt>
                <c:pt idx="727">
                  <c:v>5.61</c:v>
                </c:pt>
                <c:pt idx="728">
                  <c:v>5.55</c:v>
                </c:pt>
                <c:pt idx="729">
                  <c:v>5.51</c:v>
                </c:pt>
                <c:pt idx="730">
                  <c:v>5.5</c:v>
                </c:pt>
                <c:pt idx="731">
                  <c:v>5.43</c:v>
                </c:pt>
                <c:pt idx="732">
                  <c:v>5.42</c:v>
                </c:pt>
                <c:pt idx="733">
                  <c:v>5.45</c:v>
                </c:pt>
                <c:pt idx="734">
                  <c:v>5.43</c:v>
                </c:pt>
                <c:pt idx="735">
                  <c:v>5.44</c:v>
                </c:pt>
                <c:pt idx="736">
                  <c:v>5.42</c:v>
                </c:pt>
                <c:pt idx="737">
                  <c:v>5.46</c:v>
                </c:pt>
                <c:pt idx="738">
                  <c:v>5.42</c:v>
                </c:pt>
                <c:pt idx="739">
                  <c:v>5.39</c:v>
                </c:pt>
                <c:pt idx="740">
                  <c:v>5.4</c:v>
                </c:pt>
                <c:pt idx="741">
                  <c:v>5.44</c:v>
                </c:pt>
                <c:pt idx="742">
                  <c:v>5.55</c:v>
                </c:pt>
                <c:pt idx="743">
                  <c:v>5.64</c:v>
                </c:pt>
                <c:pt idx="744">
                  <c:v>5.69</c:v>
                </c:pt>
                <c:pt idx="745">
                  <c:v>5.69</c:v>
                </c:pt>
                <c:pt idx="746">
                  <c:v>5.79</c:v>
                </c:pt>
                <c:pt idx="747">
                  <c:v>5.83</c:v>
                </c:pt>
                <c:pt idx="748">
                  <c:v>5.85</c:v>
                </c:pt>
                <c:pt idx="749">
                  <c:v>5.76</c:v>
                </c:pt>
                <c:pt idx="750">
                  <c:v>5.77</c:v>
                </c:pt>
                <c:pt idx="751">
                  <c:v>5.82</c:v>
                </c:pt>
                <c:pt idx="752">
                  <c:v>5.84</c:v>
                </c:pt>
                <c:pt idx="753">
                  <c:v>5.85</c:v>
                </c:pt>
                <c:pt idx="754">
                  <c:v>5.88</c:v>
                </c:pt>
                <c:pt idx="755">
                  <c:v>5.84</c:v>
                </c:pt>
                <c:pt idx="756">
                  <c:v>5.83</c:v>
                </c:pt>
                <c:pt idx="757">
                  <c:v>5.83</c:v>
                </c:pt>
                <c:pt idx="758">
                  <c:v>5.83</c:v>
                </c:pt>
                <c:pt idx="759">
                  <c:v>5.77</c:v>
                </c:pt>
                <c:pt idx="760">
                  <c:v>5.74</c:v>
                </c:pt>
                <c:pt idx="761">
                  <c:v>5.81</c:v>
                </c:pt>
                <c:pt idx="762">
                  <c:v>5.84</c:v>
                </c:pt>
                <c:pt idx="763">
                  <c:v>5.93</c:v>
                </c:pt>
                <c:pt idx="764">
                  <c:v>6.06</c:v>
                </c:pt>
                <c:pt idx="765">
                  <c:v>6.07</c:v>
                </c:pt>
                <c:pt idx="766">
                  <c:v>6.07</c:v>
                </c:pt>
                <c:pt idx="767">
                  <c:v>6.31</c:v>
                </c:pt>
                <c:pt idx="768">
                  <c:v>6.58</c:v>
                </c:pt>
                <c:pt idx="769">
                  <c:v>6.4</c:v>
                </c:pt>
                <c:pt idx="770">
                  <c:v>6.35</c:v>
                </c:pt>
                <c:pt idx="771">
                  <c:v>6.34</c:v>
                </c:pt>
                <c:pt idx="772">
                  <c:v>6.46</c:v>
                </c:pt>
                <c:pt idx="773">
                  <c:v>6.5</c:v>
                </c:pt>
                <c:pt idx="774">
                  <c:v>6.44</c:v>
                </c:pt>
                <c:pt idx="775">
                  <c:v>6.37</c:v>
                </c:pt>
                <c:pt idx="776">
                  <c:v>6.35</c:v>
                </c:pt>
                <c:pt idx="777">
                  <c:v>6.36</c:v>
                </c:pt>
                <c:pt idx="778">
                  <c:v>6.32</c:v>
                </c:pt>
                <c:pt idx="779">
                  <c:v>6.31</c:v>
                </c:pt>
                <c:pt idx="780">
                  <c:v>6.09</c:v>
                </c:pt>
                <c:pt idx="781">
                  <c:v>6.18</c:v>
                </c:pt>
                <c:pt idx="782">
                  <c:v>6.12</c:v>
                </c:pt>
                <c:pt idx="783">
                  <c:v>6.13</c:v>
                </c:pt>
                <c:pt idx="784">
                  <c:v>6.2</c:v>
                </c:pt>
                <c:pt idx="785">
                  <c:v>6.19</c:v>
                </c:pt>
                <c:pt idx="786">
                  <c:v>6.24</c:v>
                </c:pt>
                <c:pt idx="787">
                  <c:v>6.26</c:v>
                </c:pt>
                <c:pt idx="788">
                  <c:v>6.33</c:v>
                </c:pt>
                <c:pt idx="789">
                  <c:v>6.42</c:v>
                </c:pt>
                <c:pt idx="790">
                  <c:v>6.63</c:v>
                </c:pt>
                <c:pt idx="791">
                  <c:v>6.63</c:v>
                </c:pt>
                <c:pt idx="792">
                  <c:v>6.61</c:v>
                </c:pt>
                <c:pt idx="793">
                  <c:v>6.88</c:v>
                </c:pt>
                <c:pt idx="794">
                  <c:v>6.76</c:v>
                </c:pt>
                <c:pt idx="795">
                  <c:v>6.56</c:v>
                </c:pt>
                <c:pt idx="796">
                  <c:v>6.53</c:v>
                </c:pt>
                <c:pt idx="797">
                  <c:v>6.49</c:v>
                </c:pt>
                <c:pt idx="798">
                  <c:v>6.46</c:v>
                </c:pt>
                <c:pt idx="799">
                  <c:v>6.39</c:v>
                </c:pt>
                <c:pt idx="800">
                  <c:v>6.32</c:v>
                </c:pt>
                <c:pt idx="801">
                  <c:v>6.36</c:v>
                </c:pt>
                <c:pt idx="802">
                  <c:v>6.43</c:v>
                </c:pt>
                <c:pt idx="803">
                  <c:v>6.52</c:v>
                </c:pt>
                <c:pt idx="804">
                  <c:v>6.55</c:v>
                </c:pt>
                <c:pt idx="805">
                  <c:v>6.5</c:v>
                </c:pt>
                <c:pt idx="806">
                  <c:v>6.53</c:v>
                </c:pt>
                <c:pt idx="807">
                  <c:v>6.8</c:v>
                </c:pt>
                <c:pt idx="808">
                  <c:v>6.9</c:v>
                </c:pt>
                <c:pt idx="809">
                  <c:v>6.83</c:v>
                </c:pt>
                <c:pt idx="810">
                  <c:v>7.07</c:v>
                </c:pt>
                <c:pt idx="811">
                  <c:v>6.93</c:v>
                </c:pt>
                <c:pt idx="812">
                  <c:v>6.91</c:v>
                </c:pt>
                <c:pt idx="813">
                  <c:v>6.78</c:v>
                </c:pt>
                <c:pt idx="814">
                  <c:v>6.59</c:v>
                </c:pt>
                <c:pt idx="815">
                  <c:v>6.48</c:v>
                </c:pt>
                <c:pt idx="816">
                  <c:v>6.54</c:v>
                </c:pt>
                <c:pt idx="817">
                  <c:v>6.41</c:v>
                </c:pt>
                <c:pt idx="818">
                  <c:v>6.38</c:v>
                </c:pt>
                <c:pt idx="819">
                  <c:v>6.43</c:v>
                </c:pt>
                <c:pt idx="820">
                  <c:v>6.32</c:v>
                </c:pt>
                <c:pt idx="821">
                  <c:v>6.17</c:v>
                </c:pt>
                <c:pt idx="822">
                  <c:v>6.12</c:v>
                </c:pt>
                <c:pt idx="823">
                  <c:v>5.94</c:v>
                </c:pt>
                <c:pt idx="824">
                  <c:v>5.83</c:v>
                </c:pt>
                <c:pt idx="825">
                  <c:v>5.82</c:v>
                </c:pt>
                <c:pt idx="826">
                  <c:v>5.71</c:v>
                </c:pt>
                <c:pt idx="827">
                  <c:v>5.68</c:v>
                </c:pt>
                <c:pt idx="828">
                  <c:v>5.75</c:v>
                </c:pt>
                <c:pt idx="829">
                  <c:v>5.82</c:v>
                </c:pt>
                <c:pt idx="830">
                  <c:v>5.77</c:v>
                </c:pt>
                <c:pt idx="831">
                  <c:v>5.61</c:v>
                </c:pt>
                <c:pt idx="832">
                  <c:v>5.56</c:v>
                </c:pt>
                <c:pt idx="833">
                  <c:v>5.62</c:v>
                </c:pt>
                <c:pt idx="834">
                  <c:v>5.66</c:v>
                </c:pt>
                <c:pt idx="835">
                  <c:v>5.51</c:v>
                </c:pt>
                <c:pt idx="836">
                  <c:v>5.4</c:v>
                </c:pt>
                <c:pt idx="837">
                  <c:v>5.4</c:v>
                </c:pt>
                <c:pt idx="838">
                  <c:v>5.47</c:v>
                </c:pt>
                <c:pt idx="839">
                  <c:v>5.51</c:v>
                </c:pt>
                <c:pt idx="840">
                  <c:v>5.64</c:v>
                </c:pt>
                <c:pt idx="841">
                  <c:v>5.67</c:v>
                </c:pt>
                <c:pt idx="842">
                  <c:v>5.73</c:v>
                </c:pt>
                <c:pt idx="843">
                  <c:v>5.63</c:v>
                </c:pt>
                <c:pt idx="844">
                  <c:v>5.66</c:v>
                </c:pt>
                <c:pt idx="845">
                  <c:v>5.68</c:v>
                </c:pt>
                <c:pt idx="846">
                  <c:v>5.64</c:v>
                </c:pt>
                <c:pt idx="847">
                  <c:v>5.7</c:v>
                </c:pt>
                <c:pt idx="848">
                  <c:v>5.64</c:v>
                </c:pt>
                <c:pt idx="849">
                  <c:v>5.66</c:v>
                </c:pt>
                <c:pt idx="850">
                  <c:v>5.61</c:v>
                </c:pt>
                <c:pt idx="851">
                  <c:v>5.57</c:v>
                </c:pt>
                <c:pt idx="852">
                  <c:v>5.51</c:v>
                </c:pt>
                <c:pt idx="853">
                  <c:v>5.41</c:v>
                </c:pt>
                <c:pt idx="854">
                  <c:v>5.36</c:v>
                </c:pt>
                <c:pt idx="855">
                  <c:v>5.36</c:v>
                </c:pt>
                <c:pt idx="856">
                  <c:v>5.36</c:v>
                </c:pt>
                <c:pt idx="857">
                  <c:v>5.25</c:v>
                </c:pt>
                <c:pt idx="858">
                  <c:v>5.18</c:v>
                </c:pt>
                <c:pt idx="859">
                  <c:v>5.2</c:v>
                </c:pt>
                <c:pt idx="860">
                  <c:v>5.2</c:v>
                </c:pt>
                <c:pt idx="861">
                  <c:v>5.24</c:v>
                </c:pt>
                <c:pt idx="862">
                  <c:v>5.21</c:v>
                </c:pt>
                <c:pt idx="863">
                  <c:v>5.17</c:v>
                </c:pt>
                <c:pt idx="864">
                  <c:v>5.0999999999999996</c:v>
                </c:pt>
                <c:pt idx="865">
                  <c:v>5.14</c:v>
                </c:pt>
                <c:pt idx="866">
                  <c:v>5.23</c:v>
                </c:pt>
                <c:pt idx="867">
                  <c:v>5.22</c:v>
                </c:pt>
                <c:pt idx="868">
                  <c:v>5.3</c:v>
                </c:pt>
                <c:pt idx="869">
                  <c:v>5.35</c:v>
                </c:pt>
                <c:pt idx="870">
                  <c:v>5.37</c:v>
                </c:pt>
                <c:pt idx="871">
                  <c:v>5.43</c:v>
                </c:pt>
                <c:pt idx="872">
                  <c:v>5.44</c:v>
                </c:pt>
                <c:pt idx="873">
                  <c:v>5.38</c:v>
                </c:pt>
                <c:pt idx="874">
                  <c:v>5.33</c:v>
                </c:pt>
                <c:pt idx="875">
                  <c:v>5.32</c:v>
                </c:pt>
                <c:pt idx="876">
                  <c:v>5.34</c:v>
                </c:pt>
                <c:pt idx="877">
                  <c:v>5.29</c:v>
                </c:pt>
                <c:pt idx="878">
                  <c:v>5.27</c:v>
                </c:pt>
                <c:pt idx="879">
                  <c:v>5.3</c:v>
                </c:pt>
                <c:pt idx="880">
                  <c:v>5.4</c:v>
                </c:pt>
                <c:pt idx="881">
                  <c:v>5.33</c:v>
                </c:pt>
                <c:pt idx="882">
                  <c:v>5.32</c:v>
                </c:pt>
                <c:pt idx="883">
                  <c:v>5.27</c:v>
                </c:pt>
                <c:pt idx="884">
                  <c:v>5.21</c:v>
                </c:pt>
                <c:pt idx="885">
                  <c:v>5.21</c:v>
                </c:pt>
                <c:pt idx="886">
                  <c:v>5.21</c:v>
                </c:pt>
                <c:pt idx="887">
                  <c:v>5.21</c:v>
                </c:pt>
                <c:pt idx="888">
                  <c:v>5.2</c:v>
                </c:pt>
                <c:pt idx="889">
                  <c:v>5.25</c:v>
                </c:pt>
                <c:pt idx="890">
                  <c:v>5.23</c:v>
                </c:pt>
                <c:pt idx="891">
                  <c:v>5.2</c:v>
                </c:pt>
                <c:pt idx="892">
                  <c:v>5.12</c:v>
                </c:pt>
                <c:pt idx="893">
                  <c:v>5.05</c:v>
                </c:pt>
                <c:pt idx="894">
                  <c:v>4.99</c:v>
                </c:pt>
                <c:pt idx="895">
                  <c:v>5.01</c:v>
                </c:pt>
                <c:pt idx="896">
                  <c:v>5.09</c:v>
                </c:pt>
                <c:pt idx="897">
                  <c:v>5.13</c:v>
                </c:pt>
                <c:pt idx="898">
                  <c:v>5.26</c:v>
                </c:pt>
                <c:pt idx="899">
                  <c:v>5.2</c:v>
                </c:pt>
                <c:pt idx="900">
                  <c:v>5.29</c:v>
                </c:pt>
                <c:pt idx="901">
                  <c:v>5.22</c:v>
                </c:pt>
                <c:pt idx="902">
                  <c:v>5.09</c:v>
                </c:pt>
                <c:pt idx="903">
                  <c:v>5.12</c:v>
                </c:pt>
                <c:pt idx="904">
                  <c:v>5.08</c:v>
                </c:pt>
                <c:pt idx="905">
                  <c:v>5.0199999999999996</c:v>
                </c:pt>
                <c:pt idx="906">
                  <c:v>5.29</c:v>
                </c:pt>
                <c:pt idx="907">
                  <c:v>5.4</c:v>
                </c:pt>
                <c:pt idx="908">
                  <c:v>5.32</c:v>
                </c:pt>
                <c:pt idx="909">
                  <c:v>5.15</c:v>
                </c:pt>
                <c:pt idx="910">
                  <c:v>5.15</c:v>
                </c:pt>
                <c:pt idx="911">
                  <c:v>5.0599999999999996</c:v>
                </c:pt>
                <c:pt idx="912">
                  <c:v>5.0599999999999996</c:v>
                </c:pt>
                <c:pt idx="913">
                  <c:v>5.03</c:v>
                </c:pt>
                <c:pt idx="914">
                  <c:v>5.0199999999999996</c:v>
                </c:pt>
                <c:pt idx="915">
                  <c:v>4.92</c:v>
                </c:pt>
                <c:pt idx="916">
                  <c:v>4.79</c:v>
                </c:pt>
                <c:pt idx="917">
                  <c:v>4.68</c:v>
                </c:pt>
                <c:pt idx="918">
                  <c:v>4.58</c:v>
                </c:pt>
                <c:pt idx="919">
                  <c:v>4.66</c:v>
                </c:pt>
                <c:pt idx="920">
                  <c:v>4.58</c:v>
                </c:pt>
                <c:pt idx="921">
                  <c:v>4.6100000000000003</c:v>
                </c:pt>
                <c:pt idx="922">
                  <c:v>4.6100000000000003</c:v>
                </c:pt>
                <c:pt idx="923">
                  <c:v>4.5999999999999996</c:v>
                </c:pt>
                <c:pt idx="924">
                  <c:v>4.57</c:v>
                </c:pt>
                <c:pt idx="925">
                  <c:v>4.5599999999999996</c:v>
                </c:pt>
                <c:pt idx="926">
                  <c:v>4.57</c:v>
                </c:pt>
                <c:pt idx="927">
                  <c:v>4.57</c:v>
                </c:pt>
                <c:pt idx="928">
                  <c:v>4.62</c:v>
                </c:pt>
                <c:pt idx="929">
                  <c:v>4.62</c:v>
                </c:pt>
                <c:pt idx="930">
                  <c:v>4.6500000000000004</c:v>
                </c:pt>
                <c:pt idx="931">
                  <c:v>4.68</c:v>
                </c:pt>
                <c:pt idx="932">
                  <c:v>4.76</c:v>
                </c:pt>
                <c:pt idx="933">
                  <c:v>4.79</c:v>
                </c:pt>
              </c:numCache>
            </c:numRef>
          </c:val>
          <c:smooth val="0"/>
          <c:extLst xmlns:c16r2="http://schemas.microsoft.com/office/drawing/2015/06/chart">
            <c:ext xmlns:c16="http://schemas.microsoft.com/office/drawing/2014/chart" uri="{C3380CC4-5D6E-409C-BE32-E72D297353CC}">
              <c16:uniqueId val="{00000002-21AB-48EB-B631-F7A934F728E8}"/>
            </c:ext>
          </c:extLst>
        </c:ser>
        <c:dLbls>
          <c:showLegendKey val="0"/>
          <c:showVal val="0"/>
          <c:showCatName val="0"/>
          <c:showSerName val="0"/>
          <c:showPercent val="0"/>
          <c:showBubbleSize val="0"/>
        </c:dLbls>
        <c:marker val="1"/>
        <c:smooth val="0"/>
        <c:axId val="223335168"/>
        <c:axId val="223337088"/>
      </c:lineChart>
      <c:dateAx>
        <c:axId val="223335168"/>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en-US"/>
          </a:p>
        </c:txPr>
        <c:crossAx val="223337088"/>
        <c:crosses val="autoZero"/>
        <c:auto val="1"/>
        <c:lblOffset val="100"/>
        <c:baseTimeUnit val="days"/>
      </c:dateAx>
      <c:valAx>
        <c:axId val="22333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en-US"/>
          </a:p>
        </c:txPr>
        <c:crossAx val="223335168"/>
        <c:crosses val="autoZero"/>
        <c:crossBetween val="between"/>
      </c:valAx>
      <c:spPr>
        <a:noFill/>
        <a:ln>
          <a:noFill/>
        </a:ln>
        <a:effectLst/>
      </c:spPr>
    </c:plotArea>
    <c:legend>
      <c:legendPos val="r"/>
      <c:layout>
        <c:manualLayout>
          <c:xMode val="edge"/>
          <c:yMode val="edge"/>
          <c:x val="0.28100393700787402"/>
          <c:y val="8.8541119860017448E-2"/>
          <c:w val="0.12333333333333334"/>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9347514496926E-2"/>
          <c:y val="9.6064603645978228E-2"/>
          <c:w val="0.91412165966166115"/>
          <c:h val="0.71007528753108229"/>
        </c:manualLayout>
      </c:layout>
      <c:lineChart>
        <c:grouping val="standard"/>
        <c:varyColors val="0"/>
        <c:ser>
          <c:idx val="0"/>
          <c:order val="0"/>
          <c:tx>
            <c:strRef>
              <c:f>Cap_Str!$B$5</c:f>
              <c:strCache>
                <c:ptCount val="1"/>
                <c:pt idx="0">
                  <c:v>AES</c:v>
                </c:pt>
              </c:strCache>
            </c:strRef>
          </c:tx>
          <c:spPr>
            <a:ln w="31750" cap="rnd">
              <a:solidFill>
                <a:schemeClr val="tx1"/>
              </a:solidFill>
              <a:round/>
            </a:ln>
            <a:effectLst/>
          </c:spPr>
          <c:marker>
            <c:symbol val="none"/>
          </c:marker>
          <c:cat>
            <c:strRef>
              <c:f>Cap_Str!$C$4:$L$4</c:f>
              <c:strCache>
                <c:ptCount val="10"/>
                <c:pt idx="0">
                  <c:v>2014Q1</c:v>
                </c:pt>
                <c:pt idx="1">
                  <c:v>2014Q2</c:v>
                </c:pt>
                <c:pt idx="2">
                  <c:v>2014Q3</c:v>
                </c:pt>
                <c:pt idx="3">
                  <c:v>2014Q4</c:v>
                </c:pt>
                <c:pt idx="4">
                  <c:v>2015Q1</c:v>
                </c:pt>
                <c:pt idx="5">
                  <c:v>2015Q2</c:v>
                </c:pt>
                <c:pt idx="6">
                  <c:v>2015Q3</c:v>
                </c:pt>
                <c:pt idx="7">
                  <c:v>2015Q4</c:v>
                </c:pt>
                <c:pt idx="8">
                  <c:v>2016Q1</c:v>
                </c:pt>
                <c:pt idx="9">
                  <c:v>2016Q2</c:v>
                </c:pt>
              </c:strCache>
            </c:strRef>
          </c:cat>
          <c:val>
            <c:numRef>
              <c:f>Cap_Str!$C$5:$L$5</c:f>
              <c:numCache>
                <c:formatCode>_(* #,##0.0_);_(* \(#,##0.0\);_(* "-"??_);_(@_)</c:formatCode>
                <c:ptCount val="10"/>
                <c:pt idx="0">
                  <c:v>67.308000000000007</c:v>
                </c:pt>
                <c:pt idx="1">
                  <c:v>65.733500000000006</c:v>
                </c:pt>
                <c:pt idx="2">
                  <c:v>67.311400000000006</c:v>
                </c:pt>
                <c:pt idx="3">
                  <c:v>68.100999999999999</c:v>
                </c:pt>
                <c:pt idx="4">
                  <c:v>68.560400000000001</c:v>
                </c:pt>
                <c:pt idx="5">
                  <c:v>68.406499999999994</c:v>
                </c:pt>
                <c:pt idx="6">
                  <c:v>74.349000000000004</c:v>
                </c:pt>
                <c:pt idx="7">
                  <c:v>75.0441</c:v>
                </c:pt>
                <c:pt idx="8">
                  <c:v>70.873599999999996</c:v>
                </c:pt>
                <c:pt idx="9">
                  <c:v>69.831500000000005</c:v>
                </c:pt>
              </c:numCache>
            </c:numRef>
          </c:val>
          <c:smooth val="0"/>
          <c:extLst xmlns:c16r2="http://schemas.microsoft.com/office/drawing/2015/06/chart">
            <c:ext xmlns:c16="http://schemas.microsoft.com/office/drawing/2014/chart" uri="{C3380CC4-5D6E-409C-BE32-E72D297353CC}">
              <c16:uniqueId val="{00000000-DD0D-46DE-9EC1-DA65E14D1085}"/>
            </c:ext>
          </c:extLst>
        </c:ser>
        <c:ser>
          <c:idx val="1"/>
          <c:order val="1"/>
          <c:tx>
            <c:strRef>
              <c:f>Cap_Str!$B$6</c:f>
              <c:strCache>
                <c:ptCount val="1"/>
                <c:pt idx="0">
                  <c:v>CPN</c:v>
                </c:pt>
              </c:strCache>
            </c:strRef>
          </c:tx>
          <c:spPr>
            <a:ln w="31750" cap="rnd">
              <a:solidFill>
                <a:schemeClr val="tx1"/>
              </a:solidFill>
              <a:prstDash val="lgDashDotDot"/>
              <a:round/>
            </a:ln>
            <a:effectLst/>
          </c:spPr>
          <c:marker>
            <c:symbol val="none"/>
          </c:marker>
          <c:cat>
            <c:strRef>
              <c:f>Cap_Str!$C$4:$L$4</c:f>
              <c:strCache>
                <c:ptCount val="10"/>
                <c:pt idx="0">
                  <c:v>2014Q1</c:v>
                </c:pt>
                <c:pt idx="1">
                  <c:v>2014Q2</c:v>
                </c:pt>
                <c:pt idx="2">
                  <c:v>2014Q3</c:v>
                </c:pt>
                <c:pt idx="3">
                  <c:v>2014Q4</c:v>
                </c:pt>
                <c:pt idx="4">
                  <c:v>2015Q1</c:v>
                </c:pt>
                <c:pt idx="5">
                  <c:v>2015Q2</c:v>
                </c:pt>
                <c:pt idx="6">
                  <c:v>2015Q3</c:v>
                </c:pt>
                <c:pt idx="7">
                  <c:v>2015Q4</c:v>
                </c:pt>
                <c:pt idx="8">
                  <c:v>2016Q1</c:v>
                </c:pt>
                <c:pt idx="9">
                  <c:v>2016Q2</c:v>
                </c:pt>
              </c:strCache>
            </c:strRef>
          </c:cat>
          <c:val>
            <c:numRef>
              <c:f>Cap_Str!$C$6:$L$6</c:f>
              <c:numCache>
                <c:formatCode>_(* #,##0.0_);_(* \(#,##0.0\);_(* "-"??_);_(@_)</c:formatCode>
                <c:ptCount val="10"/>
                <c:pt idx="0">
                  <c:v>56.457599999999999</c:v>
                </c:pt>
                <c:pt idx="1">
                  <c:v>53.547699999999999</c:v>
                </c:pt>
                <c:pt idx="2">
                  <c:v>57.056100000000001</c:v>
                </c:pt>
                <c:pt idx="3">
                  <c:v>57.1706</c:v>
                </c:pt>
                <c:pt idx="4">
                  <c:v>57.8142</c:v>
                </c:pt>
                <c:pt idx="5">
                  <c:v>64.278300000000002</c:v>
                </c:pt>
                <c:pt idx="6">
                  <c:v>69.065399999999997</c:v>
                </c:pt>
                <c:pt idx="7">
                  <c:v>70.081599999999995</c:v>
                </c:pt>
                <c:pt idx="8">
                  <c:v>68.560299999999998</c:v>
                </c:pt>
                <c:pt idx="9">
                  <c:v>69.090800000000002</c:v>
                </c:pt>
              </c:numCache>
            </c:numRef>
          </c:val>
          <c:smooth val="0"/>
          <c:extLst xmlns:c16r2="http://schemas.microsoft.com/office/drawing/2015/06/chart">
            <c:ext xmlns:c16="http://schemas.microsoft.com/office/drawing/2014/chart" uri="{C3380CC4-5D6E-409C-BE32-E72D297353CC}">
              <c16:uniqueId val="{00000001-DD0D-46DE-9EC1-DA65E14D1085}"/>
            </c:ext>
          </c:extLst>
        </c:ser>
        <c:ser>
          <c:idx val="2"/>
          <c:order val="2"/>
          <c:tx>
            <c:strRef>
              <c:f>Cap_Str!$B$7</c:f>
              <c:strCache>
                <c:ptCount val="1"/>
                <c:pt idx="0">
                  <c:v>DYN</c:v>
                </c:pt>
              </c:strCache>
            </c:strRef>
          </c:tx>
          <c:spPr>
            <a:ln w="6350" cap="rnd">
              <a:solidFill>
                <a:schemeClr val="tx1"/>
              </a:solidFill>
              <a:prstDash val="solid"/>
              <a:round/>
            </a:ln>
            <a:effectLst/>
          </c:spPr>
          <c:marker>
            <c:symbol val="none"/>
          </c:marker>
          <c:cat>
            <c:strRef>
              <c:f>Cap_Str!$C$4:$L$4</c:f>
              <c:strCache>
                <c:ptCount val="10"/>
                <c:pt idx="0">
                  <c:v>2014Q1</c:v>
                </c:pt>
                <c:pt idx="1">
                  <c:v>2014Q2</c:v>
                </c:pt>
                <c:pt idx="2">
                  <c:v>2014Q3</c:v>
                </c:pt>
                <c:pt idx="3">
                  <c:v>2014Q4</c:v>
                </c:pt>
                <c:pt idx="4">
                  <c:v>2015Q1</c:v>
                </c:pt>
                <c:pt idx="5">
                  <c:v>2015Q2</c:v>
                </c:pt>
                <c:pt idx="6">
                  <c:v>2015Q3</c:v>
                </c:pt>
                <c:pt idx="7">
                  <c:v>2015Q4</c:v>
                </c:pt>
                <c:pt idx="8">
                  <c:v>2016Q1</c:v>
                </c:pt>
                <c:pt idx="9">
                  <c:v>2016Q2</c:v>
                </c:pt>
              </c:strCache>
            </c:strRef>
          </c:cat>
          <c:val>
            <c:numRef>
              <c:f>Cap_Str!$C$7:$L$7</c:f>
              <c:numCache>
                <c:formatCode>_(* #,##0.0_);_(* \(#,##0.0\);_(* "-"??_);_(@_)</c:formatCode>
                <c:ptCount val="10"/>
                <c:pt idx="0">
                  <c:v>44.500300000000003</c:v>
                </c:pt>
                <c:pt idx="1">
                  <c:v>36.498037057845103</c:v>
                </c:pt>
                <c:pt idx="2">
                  <c:v>40.9617</c:v>
                </c:pt>
                <c:pt idx="3">
                  <c:v>63.054200000000002</c:v>
                </c:pt>
                <c:pt idx="4">
                  <c:v>62.131100000000004</c:v>
                </c:pt>
                <c:pt idx="5">
                  <c:v>63.217100000000002</c:v>
                </c:pt>
                <c:pt idx="6">
                  <c:v>70.475099999999998</c:v>
                </c:pt>
                <c:pt idx="7">
                  <c:v>77.482699999999994</c:v>
                </c:pt>
                <c:pt idx="8">
                  <c:v>76.732699999999994</c:v>
                </c:pt>
                <c:pt idx="9">
                  <c:v>79.694500000000005</c:v>
                </c:pt>
              </c:numCache>
            </c:numRef>
          </c:val>
          <c:smooth val="0"/>
          <c:extLst xmlns:c16r2="http://schemas.microsoft.com/office/drawing/2015/06/chart">
            <c:ext xmlns:c16="http://schemas.microsoft.com/office/drawing/2014/chart" uri="{C3380CC4-5D6E-409C-BE32-E72D297353CC}">
              <c16:uniqueId val="{00000002-DD0D-46DE-9EC1-DA65E14D1085}"/>
            </c:ext>
          </c:extLst>
        </c:ser>
        <c:ser>
          <c:idx val="3"/>
          <c:order val="3"/>
          <c:tx>
            <c:strRef>
              <c:f>Cap_Str!$B$8</c:f>
              <c:strCache>
                <c:ptCount val="1"/>
                <c:pt idx="0">
                  <c:v>NRG</c:v>
                </c:pt>
              </c:strCache>
            </c:strRef>
          </c:tx>
          <c:spPr>
            <a:ln w="28575" cap="rnd">
              <a:solidFill>
                <a:schemeClr val="tx1"/>
              </a:solidFill>
              <a:prstDash val="sysDot"/>
              <a:round/>
            </a:ln>
            <a:effectLst/>
          </c:spPr>
          <c:marker>
            <c:symbol val="none"/>
          </c:marker>
          <c:cat>
            <c:strRef>
              <c:f>Cap_Str!$C$4:$L$4</c:f>
              <c:strCache>
                <c:ptCount val="10"/>
                <c:pt idx="0">
                  <c:v>2014Q1</c:v>
                </c:pt>
                <c:pt idx="1">
                  <c:v>2014Q2</c:v>
                </c:pt>
                <c:pt idx="2">
                  <c:v>2014Q3</c:v>
                </c:pt>
                <c:pt idx="3">
                  <c:v>2014Q4</c:v>
                </c:pt>
                <c:pt idx="4">
                  <c:v>2015Q1</c:v>
                </c:pt>
                <c:pt idx="5">
                  <c:v>2015Q2</c:v>
                </c:pt>
                <c:pt idx="6">
                  <c:v>2015Q3</c:v>
                </c:pt>
                <c:pt idx="7">
                  <c:v>2015Q4</c:v>
                </c:pt>
                <c:pt idx="8">
                  <c:v>2016Q1</c:v>
                </c:pt>
                <c:pt idx="9">
                  <c:v>2016Q2</c:v>
                </c:pt>
              </c:strCache>
            </c:strRef>
          </c:cat>
          <c:val>
            <c:numRef>
              <c:f>Cap_Str!$C$8:$L$8</c:f>
              <c:numCache>
                <c:formatCode>_(* #,##0.0_);_(* \(#,##0.0\);_(* "-"??_);_(@_)</c:formatCode>
                <c:ptCount val="10"/>
                <c:pt idx="0">
                  <c:v>62.329900000000002</c:v>
                </c:pt>
                <c:pt idx="1">
                  <c:v>59.740200000000002</c:v>
                </c:pt>
                <c:pt idx="2">
                  <c:v>66.316900000000004</c:v>
                </c:pt>
                <c:pt idx="3">
                  <c:v>68.175899999999999</c:v>
                </c:pt>
                <c:pt idx="4">
                  <c:v>70.155799999999999</c:v>
                </c:pt>
                <c:pt idx="5">
                  <c:v>72.090800000000002</c:v>
                </c:pt>
                <c:pt idx="6">
                  <c:v>79.893799999999999</c:v>
                </c:pt>
                <c:pt idx="7">
                  <c:v>82.802599999999998</c:v>
                </c:pt>
                <c:pt idx="8">
                  <c:v>81.306799999999996</c:v>
                </c:pt>
                <c:pt idx="9">
                  <c:v>80.187899999999999</c:v>
                </c:pt>
              </c:numCache>
            </c:numRef>
          </c:val>
          <c:smooth val="0"/>
          <c:extLst xmlns:c16r2="http://schemas.microsoft.com/office/drawing/2015/06/chart">
            <c:ext xmlns:c16="http://schemas.microsoft.com/office/drawing/2014/chart" uri="{C3380CC4-5D6E-409C-BE32-E72D297353CC}">
              <c16:uniqueId val="{00000003-DD0D-46DE-9EC1-DA65E14D1085}"/>
            </c:ext>
          </c:extLst>
        </c:ser>
        <c:ser>
          <c:idx val="4"/>
          <c:order val="4"/>
          <c:tx>
            <c:strRef>
              <c:f>Cap_Str!$B$9</c:f>
              <c:strCache>
                <c:ptCount val="1"/>
                <c:pt idx="0">
                  <c:v>TLN</c:v>
                </c:pt>
              </c:strCache>
            </c:strRef>
          </c:tx>
          <c:spPr>
            <a:ln w="28575" cap="rnd" cmpd="sng">
              <a:solidFill>
                <a:schemeClr val="tx1"/>
              </a:solidFill>
              <a:prstDash val="sysDash"/>
              <a:round/>
            </a:ln>
            <a:effectLst/>
          </c:spPr>
          <c:marker>
            <c:symbol val="none"/>
          </c:marker>
          <c:dPt>
            <c:idx val="4"/>
            <c:bubble3D val="0"/>
            <c:spPr>
              <a:ln w="0" cap="rnd" cmpd="sng">
                <a:noFill/>
                <a:prstDash val="sysDash"/>
                <a:round/>
              </a:ln>
              <a:effectLst/>
            </c:spPr>
            <c:extLst xmlns:c16r2="http://schemas.microsoft.com/office/drawing/2015/06/chart">
              <c:ext xmlns:c16="http://schemas.microsoft.com/office/drawing/2014/chart" uri="{C3380CC4-5D6E-409C-BE32-E72D297353CC}">
                <c16:uniqueId val="{00000005-DD0D-46DE-9EC1-DA65E14D1085}"/>
              </c:ext>
            </c:extLst>
          </c:dPt>
          <c:cat>
            <c:strRef>
              <c:f>Cap_Str!$C$4:$L$4</c:f>
              <c:strCache>
                <c:ptCount val="10"/>
                <c:pt idx="0">
                  <c:v>2014Q1</c:v>
                </c:pt>
                <c:pt idx="1">
                  <c:v>2014Q2</c:v>
                </c:pt>
                <c:pt idx="2">
                  <c:v>2014Q3</c:v>
                </c:pt>
                <c:pt idx="3">
                  <c:v>2014Q4</c:v>
                </c:pt>
                <c:pt idx="4">
                  <c:v>2015Q1</c:v>
                </c:pt>
                <c:pt idx="5">
                  <c:v>2015Q2</c:v>
                </c:pt>
                <c:pt idx="6">
                  <c:v>2015Q3</c:v>
                </c:pt>
                <c:pt idx="7">
                  <c:v>2015Q4</c:v>
                </c:pt>
                <c:pt idx="8">
                  <c:v>2016Q1</c:v>
                </c:pt>
                <c:pt idx="9">
                  <c:v>2016Q2</c:v>
                </c:pt>
              </c:strCache>
            </c:strRef>
          </c:cat>
          <c:val>
            <c:numRef>
              <c:f>Cap_Str!$C$9:$L$9</c:f>
              <c:numCache>
                <c:formatCode>_(* #,##0.0_);_(* \(#,##0.0\);_(* "-"??_);_(@_)</c:formatCode>
                <c:ptCount val="10"/>
                <c:pt idx="0">
                  <c:v>0</c:v>
                </c:pt>
                <c:pt idx="1">
                  <c:v>0</c:v>
                </c:pt>
                <c:pt idx="2">
                  <c:v>0</c:v>
                </c:pt>
                <c:pt idx="3">
                  <c:v>0</c:v>
                </c:pt>
                <c:pt idx="4">
                  <c:v>42.469499999999996</c:v>
                </c:pt>
                <c:pt idx="5">
                  <c:v>64.796599999999998</c:v>
                </c:pt>
                <c:pt idx="6">
                  <c:v>75.638999999999996</c:v>
                </c:pt>
                <c:pt idx="7">
                  <c:v>85.733000000000004</c:v>
                </c:pt>
                <c:pt idx="8">
                  <c:v>78.676500000000004</c:v>
                </c:pt>
                <c:pt idx="9">
                  <c:v>70.938199999999995</c:v>
                </c:pt>
              </c:numCache>
            </c:numRef>
          </c:val>
          <c:smooth val="0"/>
          <c:extLst xmlns:c16r2="http://schemas.microsoft.com/office/drawing/2015/06/chart">
            <c:ext xmlns:c16="http://schemas.microsoft.com/office/drawing/2014/chart" uri="{C3380CC4-5D6E-409C-BE32-E72D297353CC}">
              <c16:uniqueId val="{00000006-DD0D-46DE-9EC1-DA65E14D1085}"/>
            </c:ext>
          </c:extLst>
        </c:ser>
        <c:dLbls>
          <c:showLegendKey val="0"/>
          <c:showVal val="0"/>
          <c:showCatName val="0"/>
          <c:showSerName val="0"/>
          <c:showPercent val="0"/>
          <c:showBubbleSize val="0"/>
        </c:dLbls>
        <c:marker val="1"/>
        <c:smooth val="0"/>
        <c:axId val="228754944"/>
        <c:axId val="228756480"/>
      </c:lineChart>
      <c:catAx>
        <c:axId val="22875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28756480"/>
        <c:crosses val="autoZero"/>
        <c:auto val="1"/>
        <c:lblAlgn val="ctr"/>
        <c:lblOffset val="100"/>
        <c:noMultiLvlLbl val="0"/>
      </c:catAx>
      <c:valAx>
        <c:axId val="228756480"/>
        <c:scaling>
          <c:orientation val="minMax"/>
          <c:max val="100"/>
          <c:min val="20"/>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vert="horz"/>
          <a:lstStyle/>
          <a:p>
            <a:pPr>
              <a:defRPr/>
            </a:pPr>
            <a:endParaRPr lang="en-US"/>
          </a:p>
        </c:txPr>
        <c:crossAx val="228754944"/>
        <c:crosses val="autoZero"/>
        <c:crossBetween val="between"/>
      </c:valAx>
      <c:spPr>
        <a:noFill/>
        <a:ln>
          <a:noFill/>
        </a:ln>
        <a:effectLst>
          <a:softEdge rad="0"/>
        </a:effectLst>
      </c:spPr>
    </c:plotArea>
    <c:legend>
      <c:legendPos val="b"/>
      <c:layout>
        <c:manualLayout>
          <c:xMode val="edge"/>
          <c:yMode val="edge"/>
          <c:x val="3.347662036136987E-2"/>
          <c:y val="0.90239902175811815"/>
          <c:w val="0.90178509129587914"/>
          <c:h val="6.3632520935368336E-2"/>
        </c:manualLayout>
      </c:layout>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DEADB-01A3-48E4-8FAF-D89F404C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25970</Words>
  <Characters>148034</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2016-11-30T23:05:00Z</dcterms:created>
  <dcterms:modified xsi:type="dcterms:W3CDTF">2016-11-30T23:07:00Z</dcterms:modified>
</cp:coreProperties>
</file>