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65D2" w:rsidRDefault="00A4310D">
      <w:bookmarkStart w:id="0" w:name="_GoBack"/>
      <w:bookmarkEnd w:id="0"/>
      <w:r>
        <w:rPr>
          <w:rFonts w:ascii="Calibri" w:hAnsi="Calibri" w:cs="OpenSans-Bold"/>
          <w:b/>
          <w:bCs/>
          <w:noProof/>
          <w:color w:val="3D484C"/>
          <w:sz w:val="80"/>
          <w:szCs w:val="80"/>
        </w:rPr>
        <w:drawing>
          <wp:anchor distT="0" distB="0" distL="114300" distR="114300" simplePos="0" relativeHeight="251659264" behindDoc="1" locked="0" layoutInCell="1" allowOverlap="1" wp14:anchorId="23F9CBA9" wp14:editId="4106EA6F">
            <wp:simplePos x="0" y="0"/>
            <wp:positionH relativeFrom="page">
              <wp:posOffset>-36195</wp:posOffset>
            </wp:positionH>
            <wp:positionV relativeFrom="page">
              <wp:posOffset>41021</wp:posOffset>
            </wp:positionV>
            <wp:extent cx="7772400" cy="10058400"/>
            <wp:effectExtent l="0" t="0" r="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meshindle:Dropbox (TAF):CURRENT CLIENTS (2):  ISO_ISO New England: OPEN:ISO049 2015 Templates:Cover Backgrounds:ISO049-report-covers-d2.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A4310D" w:rsidRDefault="00A4310D">
      <w:pPr>
        <w:ind w:left="360"/>
      </w:pPr>
    </w:p>
    <w:p w:rsidR="00A4310D" w:rsidRPr="00716539" w:rsidRDefault="00BB2C60" w:rsidP="00A4310D">
      <w:pPr>
        <w:pStyle w:val="body"/>
        <w:spacing w:before="0" w:after="120" w:line="192" w:lineRule="auto"/>
        <w:rPr>
          <w:rFonts w:ascii="Calibri" w:hAnsi="Calibri" w:cs="OpenSans-Bold"/>
          <w:b/>
          <w:bCs/>
          <w:color w:val="3D484C"/>
          <w:sz w:val="80"/>
          <w:szCs w:val="80"/>
        </w:rPr>
        <w:sectPr w:rsidR="00A4310D" w:rsidRPr="00716539" w:rsidSect="00A4310D">
          <w:headerReference w:type="even" r:id="rId10"/>
          <w:headerReference w:type="default" r:id="rId11"/>
          <w:footerReference w:type="even" r:id="rId12"/>
          <w:footerReference w:type="default" r:id="rId13"/>
          <w:headerReference w:type="first" r:id="rId14"/>
          <w:footerReference w:type="first" r:id="rId15"/>
          <w:pgSz w:w="12240" w:h="15840"/>
          <w:pgMar w:top="900" w:right="1440" w:bottom="1440" w:left="1440" w:header="720" w:footer="720" w:gutter="0"/>
          <w:pgNumType w:fmt="lowerRoman" w:start="2"/>
          <w:cols w:space="720"/>
          <w:titlePg/>
          <w:docGrid w:linePitch="360"/>
        </w:sectPr>
      </w:pPr>
      <w:r>
        <w:rPr>
          <w:rFonts w:ascii="Calibri" w:hAnsi="Calibri" w:cs="OpenSans-Bold"/>
          <w:b/>
          <w:bCs/>
          <w:noProof/>
          <w:color w:val="3D484C"/>
          <w:sz w:val="80"/>
          <w:szCs w:val="80"/>
        </w:rPr>
        <mc:AlternateContent>
          <mc:Choice Requires="wps">
            <w:drawing>
              <wp:anchor distT="0" distB="0" distL="114300" distR="114300" simplePos="0" relativeHeight="251661312" behindDoc="0" locked="0" layoutInCell="1" allowOverlap="1" wp14:anchorId="415C8E93" wp14:editId="16D6669C">
                <wp:simplePos x="0" y="0"/>
                <wp:positionH relativeFrom="column">
                  <wp:posOffset>128016</wp:posOffset>
                </wp:positionH>
                <wp:positionV relativeFrom="paragraph">
                  <wp:posOffset>1449324</wp:posOffset>
                </wp:positionV>
                <wp:extent cx="6163310" cy="3285744"/>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310" cy="3285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CD5" w:rsidRPr="009107ED" w:rsidRDefault="00954CD5" w:rsidP="00A4310D">
                            <w:pPr>
                              <w:pStyle w:val="body"/>
                              <w:spacing w:before="0" w:after="120" w:line="192" w:lineRule="auto"/>
                              <w:rPr>
                                <w:rFonts w:ascii="Calibri" w:hAnsi="Calibri" w:cs="OpenSans-Bold"/>
                                <w:b/>
                                <w:bCs/>
                                <w:color w:val="62777F"/>
                                <w:sz w:val="40"/>
                                <w:szCs w:val="40"/>
                              </w:rPr>
                            </w:pPr>
                            <w:r>
                              <w:rPr>
                                <w:rFonts w:ascii="Calibri" w:hAnsi="Calibri" w:cs="OpenSans-Bold"/>
                                <w:b/>
                                <w:bCs/>
                                <w:color w:val="62777F"/>
                                <w:sz w:val="40"/>
                                <w:szCs w:val="40"/>
                              </w:rPr>
                              <w:t>FIRST</w:t>
                            </w:r>
                            <w:r w:rsidRPr="009107ED">
                              <w:rPr>
                                <w:rFonts w:ascii="Calibri" w:hAnsi="Calibri" w:cs="OpenSans-Bold"/>
                                <w:b/>
                                <w:bCs/>
                                <w:color w:val="62777F"/>
                                <w:sz w:val="40"/>
                                <w:szCs w:val="40"/>
                              </w:rPr>
                              <w:t xml:space="preserve"> DRAFT</w:t>
                            </w:r>
                          </w:p>
                          <w:p w:rsidR="00954CD5" w:rsidRPr="00596940" w:rsidRDefault="00954CD5" w:rsidP="00A4310D">
                            <w:pPr>
                              <w:pStyle w:val="body"/>
                              <w:spacing w:before="0" w:after="120" w:line="192" w:lineRule="auto"/>
                              <w:rPr>
                                <w:rFonts w:ascii="Calibri" w:hAnsi="Calibri" w:cs="OpenSans-Bold"/>
                                <w:b/>
                                <w:bCs/>
                                <w:color w:val="62777F"/>
                                <w:sz w:val="72"/>
                                <w:szCs w:val="72"/>
                              </w:rPr>
                            </w:pPr>
                            <w:r w:rsidRPr="00596940">
                              <w:rPr>
                                <w:rFonts w:ascii="Calibri" w:hAnsi="Calibri" w:cs="OpenSans-Bold"/>
                                <w:b/>
                                <w:bCs/>
                                <w:color w:val="62777F"/>
                                <w:sz w:val="72"/>
                                <w:szCs w:val="72"/>
                              </w:rPr>
                              <w:t>2016 Economic Study:</w:t>
                            </w:r>
                            <w:r w:rsidRPr="00596940">
                              <w:rPr>
                                <w:rFonts w:ascii="Calibri" w:hAnsi="Calibri" w:cs="OpenSans-Bold"/>
                                <w:b/>
                                <w:bCs/>
                                <w:color w:val="62777F"/>
                                <w:sz w:val="72"/>
                                <w:szCs w:val="72"/>
                              </w:rPr>
                              <w:br/>
                              <w:t>NEPOOL Scenario Analysis</w:t>
                            </w:r>
                          </w:p>
                          <w:p w:rsidR="00954CD5" w:rsidRPr="00A53E17" w:rsidRDefault="00954CD5" w:rsidP="00596940">
                            <w:pPr>
                              <w:pStyle w:val="body"/>
                              <w:spacing w:before="0" w:after="120" w:line="192" w:lineRule="auto"/>
                              <w:rPr>
                                <w:rFonts w:ascii="Calibri" w:hAnsi="Calibri" w:cs="OpenSans-Bold"/>
                                <w:b/>
                                <w:bCs/>
                                <w:color w:val="62777F"/>
                                <w:spacing w:val="-2"/>
                                <w:sz w:val="28"/>
                                <w:szCs w:val="28"/>
                              </w:rPr>
                            </w:pPr>
                            <w:r w:rsidRPr="009107ED">
                              <w:rPr>
                                <w:rFonts w:ascii="Calibri" w:hAnsi="Calibri" w:cs="OpenSans-Bold"/>
                                <w:b/>
                                <w:bCs/>
                                <w:color w:val="62777F"/>
                                <w:spacing w:val="-2"/>
                                <w:sz w:val="28"/>
                                <w:szCs w:val="28"/>
                              </w:rPr>
                              <w:t>Implications of Public Polic</w:t>
                            </w:r>
                            <w:r>
                              <w:rPr>
                                <w:rFonts w:ascii="Calibri" w:hAnsi="Calibri" w:cs="OpenSans-Bold"/>
                                <w:b/>
                                <w:bCs/>
                                <w:color w:val="62777F"/>
                                <w:spacing w:val="-2"/>
                                <w:sz w:val="28"/>
                                <w:szCs w:val="28"/>
                              </w:rPr>
                              <w:t>ies</w:t>
                            </w:r>
                            <w:r w:rsidRPr="009107ED">
                              <w:rPr>
                                <w:rFonts w:ascii="Calibri" w:hAnsi="Calibri" w:cs="OpenSans-Bold"/>
                                <w:b/>
                                <w:bCs/>
                                <w:color w:val="62777F"/>
                                <w:spacing w:val="-2"/>
                                <w:sz w:val="28"/>
                                <w:szCs w:val="28"/>
                              </w:rPr>
                              <w:t xml:space="preserve"> on </w:t>
                            </w:r>
                            <w:r w:rsidRPr="00596940">
                              <w:rPr>
                                <w:rFonts w:ascii="Calibri" w:hAnsi="Calibri" w:cs="OpenSans-Bold"/>
                                <w:b/>
                                <w:bCs/>
                                <w:color w:val="62777F"/>
                                <w:spacing w:val="-2"/>
                                <w:sz w:val="28"/>
                                <w:szCs w:val="28"/>
                              </w:rPr>
                              <w:t>ISO New England Market Design, System Reliability and Operability, Resource Costs and Revenues</w:t>
                            </w:r>
                            <w:r>
                              <w:rPr>
                                <w:rFonts w:ascii="Calibri" w:hAnsi="Calibri" w:cs="OpenSans-Bold"/>
                                <w:b/>
                                <w:bCs/>
                                <w:color w:val="62777F"/>
                                <w:spacing w:val="-2"/>
                                <w:sz w:val="28"/>
                                <w:szCs w:val="28"/>
                              </w:rPr>
                              <w:t xml:space="preserve">, </w:t>
                            </w:r>
                            <w:r w:rsidRPr="00596940">
                              <w:rPr>
                                <w:rFonts w:ascii="Calibri" w:hAnsi="Calibri" w:cs="OpenSans-Bold"/>
                                <w:b/>
                                <w:bCs/>
                                <w:color w:val="62777F"/>
                                <w:spacing w:val="-2"/>
                                <w:sz w:val="28"/>
                                <w:szCs w:val="28"/>
                              </w:rPr>
                              <w:t>and Emissions</w:t>
                            </w:r>
                          </w:p>
                          <w:p w:rsidR="00954CD5" w:rsidRPr="00A53E17" w:rsidRDefault="00954CD5" w:rsidP="00193782">
                            <w:pPr>
                              <w:pStyle w:val="body"/>
                              <w:spacing w:before="0" w:after="120" w:line="192" w:lineRule="auto"/>
                              <w:rPr>
                                <w:rFonts w:ascii="Calibri" w:hAnsi="Calibri" w:cs="OpenSans-Bold"/>
                                <w:b/>
                                <w:bCs/>
                                <w:color w:val="62777F"/>
                                <w:spacing w:val="-2"/>
                                <w:sz w:val="28"/>
                                <w:szCs w:val="28"/>
                              </w:rPr>
                            </w:pPr>
                          </w:p>
                          <w:p w:rsidR="00954CD5" w:rsidRDefault="00954CD5" w:rsidP="00BB2C60">
                            <w:pPr>
                              <w:pStyle w:val="body"/>
                              <w:spacing w:before="0" w:line="192" w:lineRule="auto"/>
                              <w:ind w:left="90"/>
                              <w:rPr>
                                <w:rFonts w:ascii="Calibri" w:hAnsi="Calibri" w:cs="OpenSans-Bold"/>
                                <w:b/>
                                <w:bCs/>
                                <w:caps/>
                                <w:color w:val="62777F"/>
                                <w:sz w:val="24"/>
                                <w:szCs w:val="24"/>
                              </w:rPr>
                            </w:pPr>
                            <w:r w:rsidRPr="00716539">
                              <w:rPr>
                                <w:rFonts w:ascii="Calibri" w:hAnsi="Calibri" w:cs="OpenSans-Bold"/>
                                <w:b/>
                                <w:bCs/>
                                <w:color w:val="62777F"/>
                                <w:spacing w:val="-2"/>
                                <w:sz w:val="32"/>
                                <w:szCs w:val="32"/>
                              </w:rPr>
                              <w:t>© ISO New England Inc.</w:t>
                            </w:r>
                          </w:p>
                          <w:p w:rsidR="00954CD5" w:rsidRPr="00716539" w:rsidRDefault="00954CD5" w:rsidP="00BB2C60">
                            <w:pPr>
                              <w:pStyle w:val="body"/>
                              <w:spacing w:before="0" w:line="192" w:lineRule="auto"/>
                              <w:ind w:left="90"/>
                              <w:rPr>
                                <w:color w:val="62777F"/>
                              </w:rPr>
                            </w:pPr>
                            <w:r w:rsidRPr="00954CD5">
                              <w:rPr>
                                <w:rFonts w:ascii="Calibri" w:hAnsi="Calibri" w:cs="OpenSans-Bold"/>
                                <w:b/>
                                <w:bCs/>
                                <w:caps/>
                                <w:color w:val="62777F"/>
                                <w:sz w:val="24"/>
                                <w:szCs w:val="24"/>
                              </w:rPr>
                              <w:t>July 24,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0.1pt;margin-top:114.1pt;width:485.3pt;height:25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LXRtgIAALo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" filled="f" stroked="f">
                <v:textbox>
                  <w:txbxContent>
                    <w:p w:rsidR="00954CD5" w:rsidRPr="009107ED" w:rsidRDefault="00954CD5" w:rsidP="00A4310D">
                      <w:pPr>
                        <w:pStyle w:val="body"/>
                        <w:spacing w:before="0" w:after="120" w:line="192" w:lineRule="auto"/>
                        <w:rPr>
                          <w:rFonts w:ascii="Calibri" w:hAnsi="Calibri" w:cs="OpenSans-Bold"/>
                          <w:b/>
                          <w:bCs/>
                          <w:color w:val="62777F"/>
                          <w:sz w:val="40"/>
                          <w:szCs w:val="40"/>
                        </w:rPr>
                      </w:pPr>
                      <w:r>
                        <w:rPr>
                          <w:rFonts w:ascii="Calibri" w:hAnsi="Calibri" w:cs="OpenSans-Bold"/>
                          <w:b/>
                          <w:bCs/>
                          <w:color w:val="62777F"/>
                          <w:sz w:val="40"/>
                          <w:szCs w:val="40"/>
                        </w:rPr>
                        <w:t>FIRST</w:t>
                      </w:r>
                      <w:r w:rsidRPr="009107ED">
                        <w:rPr>
                          <w:rFonts w:ascii="Calibri" w:hAnsi="Calibri" w:cs="OpenSans-Bold"/>
                          <w:b/>
                          <w:bCs/>
                          <w:color w:val="62777F"/>
                          <w:sz w:val="40"/>
                          <w:szCs w:val="40"/>
                        </w:rPr>
                        <w:t xml:space="preserve"> DRAFT</w:t>
                      </w:r>
                    </w:p>
                    <w:p w:rsidR="00954CD5" w:rsidRPr="00596940" w:rsidRDefault="00954CD5" w:rsidP="00A4310D">
                      <w:pPr>
                        <w:pStyle w:val="body"/>
                        <w:spacing w:before="0" w:after="120" w:line="192" w:lineRule="auto"/>
                        <w:rPr>
                          <w:rFonts w:ascii="Calibri" w:hAnsi="Calibri" w:cs="OpenSans-Bold"/>
                          <w:b/>
                          <w:bCs/>
                          <w:color w:val="62777F"/>
                          <w:sz w:val="72"/>
                          <w:szCs w:val="72"/>
                        </w:rPr>
                      </w:pPr>
                      <w:r w:rsidRPr="00596940">
                        <w:rPr>
                          <w:rFonts w:ascii="Calibri" w:hAnsi="Calibri" w:cs="OpenSans-Bold"/>
                          <w:b/>
                          <w:bCs/>
                          <w:color w:val="62777F"/>
                          <w:sz w:val="72"/>
                          <w:szCs w:val="72"/>
                        </w:rPr>
                        <w:t>2016 Economic Study:</w:t>
                      </w:r>
                      <w:r w:rsidRPr="00596940">
                        <w:rPr>
                          <w:rFonts w:ascii="Calibri" w:hAnsi="Calibri" w:cs="OpenSans-Bold"/>
                          <w:b/>
                          <w:bCs/>
                          <w:color w:val="62777F"/>
                          <w:sz w:val="72"/>
                          <w:szCs w:val="72"/>
                        </w:rPr>
                        <w:br/>
                        <w:t>NEPOOL Scenario Analysis</w:t>
                      </w:r>
                    </w:p>
                    <w:p w:rsidR="00954CD5" w:rsidRPr="00A53E17" w:rsidRDefault="00954CD5" w:rsidP="00596940">
                      <w:pPr>
                        <w:pStyle w:val="body"/>
                        <w:spacing w:before="0" w:after="120" w:line="192" w:lineRule="auto"/>
                        <w:rPr>
                          <w:rFonts w:ascii="Calibri" w:hAnsi="Calibri" w:cs="OpenSans-Bold"/>
                          <w:b/>
                          <w:bCs/>
                          <w:color w:val="62777F"/>
                          <w:spacing w:val="-2"/>
                          <w:sz w:val="28"/>
                          <w:szCs w:val="28"/>
                        </w:rPr>
                      </w:pPr>
                      <w:r w:rsidRPr="009107ED">
                        <w:rPr>
                          <w:rFonts w:ascii="Calibri" w:hAnsi="Calibri" w:cs="OpenSans-Bold"/>
                          <w:b/>
                          <w:bCs/>
                          <w:color w:val="62777F"/>
                          <w:spacing w:val="-2"/>
                          <w:sz w:val="28"/>
                          <w:szCs w:val="28"/>
                        </w:rPr>
                        <w:t>Implications of Public Polic</w:t>
                      </w:r>
                      <w:r>
                        <w:rPr>
                          <w:rFonts w:ascii="Calibri" w:hAnsi="Calibri" w:cs="OpenSans-Bold"/>
                          <w:b/>
                          <w:bCs/>
                          <w:color w:val="62777F"/>
                          <w:spacing w:val="-2"/>
                          <w:sz w:val="28"/>
                          <w:szCs w:val="28"/>
                        </w:rPr>
                        <w:t>ies</w:t>
                      </w:r>
                      <w:r w:rsidRPr="009107ED">
                        <w:rPr>
                          <w:rFonts w:ascii="Calibri" w:hAnsi="Calibri" w:cs="OpenSans-Bold"/>
                          <w:b/>
                          <w:bCs/>
                          <w:color w:val="62777F"/>
                          <w:spacing w:val="-2"/>
                          <w:sz w:val="28"/>
                          <w:szCs w:val="28"/>
                        </w:rPr>
                        <w:t xml:space="preserve"> on </w:t>
                      </w:r>
                      <w:r w:rsidRPr="00596940">
                        <w:rPr>
                          <w:rFonts w:ascii="Calibri" w:hAnsi="Calibri" w:cs="OpenSans-Bold"/>
                          <w:b/>
                          <w:bCs/>
                          <w:color w:val="62777F"/>
                          <w:spacing w:val="-2"/>
                          <w:sz w:val="28"/>
                          <w:szCs w:val="28"/>
                        </w:rPr>
                        <w:t>ISO New England Market Design, System Reliability and Operability, Resource Costs and Revenues</w:t>
                      </w:r>
                      <w:r>
                        <w:rPr>
                          <w:rFonts w:ascii="Calibri" w:hAnsi="Calibri" w:cs="OpenSans-Bold"/>
                          <w:b/>
                          <w:bCs/>
                          <w:color w:val="62777F"/>
                          <w:spacing w:val="-2"/>
                          <w:sz w:val="28"/>
                          <w:szCs w:val="28"/>
                        </w:rPr>
                        <w:t xml:space="preserve">, </w:t>
                      </w:r>
                      <w:r w:rsidRPr="00596940">
                        <w:rPr>
                          <w:rFonts w:ascii="Calibri" w:hAnsi="Calibri" w:cs="OpenSans-Bold"/>
                          <w:b/>
                          <w:bCs/>
                          <w:color w:val="62777F"/>
                          <w:spacing w:val="-2"/>
                          <w:sz w:val="28"/>
                          <w:szCs w:val="28"/>
                        </w:rPr>
                        <w:t>and Emissions</w:t>
                      </w:r>
                    </w:p>
                    <w:p w:rsidR="00954CD5" w:rsidRPr="00A53E17" w:rsidRDefault="00954CD5" w:rsidP="00193782">
                      <w:pPr>
                        <w:pStyle w:val="body"/>
                        <w:spacing w:before="0" w:after="120" w:line="192" w:lineRule="auto"/>
                        <w:rPr>
                          <w:rFonts w:ascii="Calibri" w:hAnsi="Calibri" w:cs="OpenSans-Bold"/>
                          <w:b/>
                          <w:bCs/>
                          <w:color w:val="62777F"/>
                          <w:spacing w:val="-2"/>
                          <w:sz w:val="28"/>
                          <w:szCs w:val="28"/>
                        </w:rPr>
                      </w:pPr>
                    </w:p>
                    <w:p w:rsidR="00954CD5" w:rsidRDefault="00954CD5" w:rsidP="00BB2C60">
                      <w:pPr>
                        <w:pStyle w:val="body"/>
                        <w:spacing w:before="0" w:line="192" w:lineRule="auto"/>
                        <w:ind w:left="90"/>
                        <w:rPr>
                          <w:rFonts w:ascii="Calibri" w:hAnsi="Calibri" w:cs="OpenSans-Bold"/>
                          <w:b/>
                          <w:bCs/>
                          <w:caps/>
                          <w:color w:val="62777F"/>
                          <w:sz w:val="24"/>
                          <w:szCs w:val="24"/>
                        </w:rPr>
                      </w:pPr>
                      <w:r w:rsidRPr="00716539">
                        <w:rPr>
                          <w:rFonts w:ascii="Calibri" w:hAnsi="Calibri" w:cs="OpenSans-Bold"/>
                          <w:b/>
                          <w:bCs/>
                          <w:color w:val="62777F"/>
                          <w:spacing w:val="-2"/>
                          <w:sz w:val="32"/>
                          <w:szCs w:val="32"/>
                        </w:rPr>
                        <w:t>© ISO New England Inc.</w:t>
                      </w:r>
                    </w:p>
                    <w:p w:rsidR="00954CD5" w:rsidRPr="00716539" w:rsidRDefault="00954CD5" w:rsidP="00BB2C60">
                      <w:pPr>
                        <w:pStyle w:val="body"/>
                        <w:spacing w:before="0" w:line="192" w:lineRule="auto"/>
                        <w:ind w:left="90"/>
                        <w:rPr>
                          <w:color w:val="62777F"/>
                        </w:rPr>
                      </w:pPr>
                      <w:r w:rsidRPr="00954CD5">
                        <w:rPr>
                          <w:rFonts w:ascii="Calibri" w:hAnsi="Calibri" w:cs="OpenSans-Bold"/>
                          <w:b/>
                          <w:bCs/>
                          <w:caps/>
                          <w:color w:val="62777F"/>
                          <w:sz w:val="24"/>
                          <w:szCs w:val="24"/>
                        </w:rPr>
                        <w:t>July 24, 2017</w:t>
                      </w:r>
                    </w:p>
                  </w:txbxContent>
                </v:textbox>
              </v:shape>
            </w:pict>
          </mc:Fallback>
        </mc:AlternateContent>
      </w:r>
      <w:r>
        <w:rPr>
          <w:rFonts w:ascii="Calibri" w:hAnsi="Calibri" w:cs="OpenSans-Bold"/>
          <w:b/>
          <w:bCs/>
          <w:noProof/>
          <w:color w:val="3D484C"/>
          <w:sz w:val="80"/>
          <w:szCs w:val="80"/>
        </w:rPr>
        <mc:AlternateContent>
          <mc:Choice Requires="wps">
            <w:drawing>
              <wp:anchor distT="0" distB="0" distL="114300" distR="114300" simplePos="0" relativeHeight="251660288" behindDoc="0" locked="0" layoutInCell="1" allowOverlap="1" wp14:anchorId="3A2B33E8" wp14:editId="26731ED4">
                <wp:simplePos x="0" y="0"/>
                <wp:positionH relativeFrom="column">
                  <wp:posOffset>-687070</wp:posOffset>
                </wp:positionH>
                <wp:positionV relativeFrom="paragraph">
                  <wp:posOffset>5707380</wp:posOffset>
                </wp:positionV>
                <wp:extent cx="7315200" cy="34290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0" cy="3429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954CD5" w:rsidRPr="00716539" w:rsidRDefault="00954CD5" w:rsidP="00A4310D">
                            <w:pPr>
                              <w:widowControl w:val="0"/>
                              <w:suppressAutoHyphens/>
                              <w:autoSpaceDE w:val="0"/>
                              <w:autoSpaceDN w:val="0"/>
                              <w:jc w:val="center"/>
                              <w:textAlignment w:val="center"/>
                              <w:rPr>
                                <w:rFonts w:ascii="Calibri" w:hAnsi="Calibri" w:cs="OpenSans-Bold"/>
                                <w:b/>
                                <w:bCs/>
                                <w:caps/>
                                <w:color w:val="62777F"/>
                                <w:sz w:val="14"/>
                                <w:szCs w:val="14"/>
                              </w:rPr>
                            </w:pPr>
                            <w:r w:rsidRPr="00716539">
                              <w:rPr>
                                <w:rFonts w:ascii="Calibri" w:hAnsi="Calibri" w:cs="OpenSans-Bold"/>
                                <w:b/>
                                <w:bCs/>
                                <w:caps/>
                                <w:color w:val="62777F"/>
                                <w:sz w:val="14"/>
                                <w:szCs w:val="14"/>
                              </w:rPr>
                              <w:t xml:space="preserve">ISO-NE </w:t>
                            </w:r>
                            <w:r>
                              <w:rPr>
                                <w:rFonts w:ascii="Calibri" w:hAnsi="Calibri" w:cs="OpenSans-Bold"/>
                                <w:b/>
                                <w:bCs/>
                                <w:caps/>
                                <w:color w:val="62777F"/>
                                <w:sz w:val="14"/>
                                <w:szCs w:val="14"/>
                              </w:rPr>
                              <w:t>public USE</w:t>
                            </w:r>
                          </w:p>
                          <w:p w:rsidR="00954CD5" w:rsidRPr="004759C4" w:rsidRDefault="00954CD5" w:rsidP="00A4310D">
                            <w:pPr>
                              <w:rPr>
                                <w:rFonts w:ascii="Calibri" w:hAnsi="Calibri"/>
                                <w:color w:val="787B7F"/>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27" type="#_x0000_t202" style="position:absolute;margin-left:-54.1pt;margin-top:449.4pt;width:8in;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" filled="f" stroked="f">
                <v:path arrowok="t"/>
                <v:textbox>
                  <w:txbxContent>
                    <w:p w:rsidR="00954CD5" w:rsidRPr="00716539" w:rsidRDefault="00954CD5" w:rsidP="00A4310D">
                      <w:pPr>
                        <w:widowControl w:val="0"/>
                        <w:suppressAutoHyphens/>
                        <w:autoSpaceDE w:val="0"/>
                        <w:autoSpaceDN w:val="0"/>
                        <w:jc w:val="center"/>
                        <w:textAlignment w:val="center"/>
                        <w:rPr>
                          <w:rFonts w:ascii="Calibri" w:hAnsi="Calibri" w:cs="OpenSans-Bold"/>
                          <w:b/>
                          <w:bCs/>
                          <w:caps/>
                          <w:color w:val="62777F"/>
                          <w:sz w:val="14"/>
                          <w:szCs w:val="14"/>
                        </w:rPr>
                      </w:pPr>
                      <w:r w:rsidRPr="00716539">
                        <w:rPr>
                          <w:rFonts w:ascii="Calibri" w:hAnsi="Calibri" w:cs="OpenSans-Bold"/>
                          <w:b/>
                          <w:bCs/>
                          <w:caps/>
                          <w:color w:val="62777F"/>
                          <w:sz w:val="14"/>
                          <w:szCs w:val="14"/>
                        </w:rPr>
                        <w:t xml:space="preserve">ISO-NE </w:t>
                      </w:r>
                      <w:r>
                        <w:rPr>
                          <w:rFonts w:ascii="Calibri" w:hAnsi="Calibri" w:cs="OpenSans-Bold"/>
                          <w:b/>
                          <w:bCs/>
                          <w:caps/>
                          <w:color w:val="62777F"/>
                          <w:sz w:val="14"/>
                          <w:szCs w:val="14"/>
                        </w:rPr>
                        <w:t>public USE</w:t>
                      </w:r>
                    </w:p>
                    <w:p w:rsidR="00954CD5" w:rsidRPr="004759C4" w:rsidRDefault="00954CD5" w:rsidP="00A4310D">
                      <w:pPr>
                        <w:rPr>
                          <w:rFonts w:ascii="Calibri" w:hAnsi="Calibri"/>
                          <w:color w:val="787B7F"/>
                          <w:sz w:val="14"/>
                          <w:szCs w:val="14"/>
                        </w:rPr>
                      </w:pPr>
                    </w:p>
                  </w:txbxContent>
                </v:textbox>
                <w10:wrap type="square"/>
              </v:shape>
            </w:pict>
          </mc:Fallback>
        </mc:AlternateContent>
      </w:r>
    </w:p>
    <w:p w:rsidR="00400EA4" w:rsidRPr="00E401C4" w:rsidRDefault="00400EA4" w:rsidP="00E401C4">
      <w:pPr>
        <w:adjustRightInd/>
        <w:spacing w:line="240" w:lineRule="auto"/>
        <w:textAlignment w:val="auto"/>
        <w:outlineLvl w:val="0"/>
        <w:rPr>
          <w:rFonts w:ascii="Calibri" w:hAnsi="Calibri" w:cs="Arial"/>
          <w:b/>
          <w:bCs/>
          <w:color w:val="0C95D2"/>
          <w:sz w:val="36"/>
          <w:szCs w:val="36"/>
        </w:rPr>
      </w:pPr>
      <w:r w:rsidRPr="00E401C4">
        <w:rPr>
          <w:rFonts w:ascii="Calibri" w:hAnsi="Calibri" w:cs="Arial"/>
          <w:b/>
          <w:bCs/>
          <w:color w:val="0C95D2"/>
          <w:sz w:val="36"/>
          <w:szCs w:val="36"/>
        </w:rPr>
        <w:lastRenderedPageBreak/>
        <w:t>Disclaimer</w:t>
      </w:r>
    </w:p>
    <w:p w:rsidR="00954CD5" w:rsidRDefault="00400EA4" w:rsidP="00BB2C60">
      <w:pPr>
        <w:spacing w:after="200" w:line="276" w:lineRule="auto"/>
      </w:pPr>
      <w:r>
        <w:t>Scenario analys</w:t>
      </w:r>
      <w:r w:rsidR="00790C64">
        <w:t>e</w:t>
      </w:r>
      <w:r>
        <w:t xml:space="preserve">s inform stakeholders </w:t>
      </w:r>
      <w:r w:rsidR="00790C64">
        <w:t xml:space="preserve">about </w:t>
      </w:r>
      <w:r>
        <w:t xml:space="preserve">different </w:t>
      </w:r>
      <w:r w:rsidR="00790C64">
        <w:t xml:space="preserve">future </w:t>
      </w:r>
      <w:r>
        <w:t>systems. The</w:t>
      </w:r>
      <w:r w:rsidR="00790C64">
        <w:t>se</w:t>
      </w:r>
      <w:r>
        <w:t xml:space="preserve"> </w:t>
      </w:r>
      <w:r w:rsidR="00790C64">
        <w:t xml:space="preserve">hypothetical </w:t>
      </w:r>
      <w:r>
        <w:t>s</w:t>
      </w:r>
      <w:r w:rsidR="00790C64">
        <w:t>ystems</w:t>
      </w:r>
      <w:r>
        <w:t xml:space="preserve"> should not be regarded as the ISO’s vision of realistic future development, but they </w:t>
      </w:r>
      <w:r w:rsidR="00790C64">
        <w:t>can</w:t>
      </w:r>
      <w:r>
        <w:t xml:space="preserve"> assist stakeholders </w:t>
      </w:r>
      <w:r w:rsidR="004F24B6">
        <w:t>in</w:t>
      </w:r>
      <w:r>
        <w:t xml:space="preserve"> identifying key regional issues that </w:t>
      </w:r>
      <w:r w:rsidR="00790C64">
        <w:t xml:space="preserve">must </w:t>
      </w:r>
      <w:r>
        <w:t>be addressed</w:t>
      </w:r>
      <w:r w:rsidR="00790C64">
        <w:t xml:space="preserve">. </w:t>
      </w:r>
      <w:r>
        <w:t xml:space="preserve">For example, this report identifies several </w:t>
      </w:r>
      <w:r w:rsidR="00FC1795">
        <w:t xml:space="preserve">physical and market </w:t>
      </w:r>
      <w:r>
        <w:t>challenges associated with the large</w:t>
      </w:r>
      <w:r w:rsidR="00790C64">
        <w:t>-</w:t>
      </w:r>
      <w:r>
        <w:t>scale development of renewable resources.</w:t>
      </w:r>
      <w:r w:rsidR="00FC1795">
        <w:t xml:space="preserve"> </w:t>
      </w:r>
      <w:r w:rsidR="00C466EE">
        <w:t xml:space="preserve">It also </w:t>
      </w:r>
      <w:r w:rsidR="00FC1795">
        <w:t>summarizes h</w:t>
      </w:r>
      <w:r>
        <w:t>igh</w:t>
      </w:r>
      <w:r w:rsidR="00543810">
        <w:t>-</w:t>
      </w:r>
      <w:r>
        <w:t>order</w:t>
      </w:r>
      <w:r w:rsidR="00790C64">
        <w:t>-</w:t>
      </w:r>
      <w:r>
        <w:t>of</w:t>
      </w:r>
      <w:r w:rsidR="00790C64">
        <w:t>-</w:t>
      </w:r>
      <w:r>
        <w:t xml:space="preserve">magnitude transmission </w:t>
      </w:r>
      <w:r w:rsidR="00FC1795">
        <w:t>system expansion costs</w:t>
      </w:r>
      <w:r w:rsidR="00C466EE">
        <w:t xml:space="preserve">, which </w:t>
      </w:r>
      <w:r>
        <w:t xml:space="preserve">provide stakeholders with </w:t>
      </w:r>
      <w:r w:rsidR="00FC1795">
        <w:t xml:space="preserve">cost </w:t>
      </w:r>
      <w:r>
        <w:t>information</w:t>
      </w:r>
      <w:r w:rsidR="00C466EE">
        <w:t xml:space="preserve"> </w:t>
      </w:r>
      <w:r>
        <w:t xml:space="preserve">but </w:t>
      </w:r>
      <w:r w:rsidR="00C466EE">
        <w:t xml:space="preserve">do </w:t>
      </w:r>
      <w:r>
        <w:t xml:space="preserve">not identify particular facilities or </w:t>
      </w:r>
      <w:r w:rsidR="00C466EE">
        <w:t xml:space="preserve">include </w:t>
      </w:r>
      <w:r w:rsidR="00FC1795">
        <w:t xml:space="preserve">detailed </w:t>
      </w:r>
      <w:r>
        <w:t xml:space="preserve">plans associated with </w:t>
      </w:r>
      <w:r w:rsidR="00FC1795">
        <w:t>any of the scenarios</w:t>
      </w:r>
      <w:r w:rsidR="0083798E">
        <w:t>.</w:t>
      </w:r>
    </w:p>
    <w:p w:rsidR="00954CD5" w:rsidRPr="00954CD5" w:rsidRDefault="00954CD5" w:rsidP="00954CD5"/>
    <w:p w:rsidR="00954CD5" w:rsidRPr="00954CD5" w:rsidRDefault="00954CD5" w:rsidP="00954CD5"/>
    <w:p w:rsidR="00954CD5" w:rsidRPr="00954CD5" w:rsidRDefault="00954CD5" w:rsidP="00954CD5"/>
    <w:p w:rsidR="00954CD5" w:rsidRPr="00954CD5" w:rsidRDefault="00954CD5" w:rsidP="00954CD5"/>
    <w:p w:rsidR="00954CD5" w:rsidRPr="00954CD5" w:rsidRDefault="00954CD5" w:rsidP="00954CD5"/>
    <w:p w:rsidR="00954CD5" w:rsidRDefault="00954CD5" w:rsidP="00954CD5"/>
    <w:p w:rsidR="00954CD5" w:rsidRDefault="00954CD5" w:rsidP="00954CD5">
      <w:pPr>
        <w:tabs>
          <w:tab w:val="left" w:pos="1548"/>
        </w:tabs>
      </w:pPr>
      <w:r>
        <w:tab/>
      </w:r>
    </w:p>
    <w:p w:rsidR="00954CD5" w:rsidRDefault="00954CD5" w:rsidP="00954CD5"/>
    <w:p w:rsidR="00400EA4" w:rsidRPr="00954CD5" w:rsidRDefault="00400EA4" w:rsidP="00AD76C4">
      <w:pPr>
        <w:sectPr w:rsidR="00400EA4" w:rsidRPr="00954CD5" w:rsidSect="004C3378">
          <w:headerReference w:type="default" r:id="rId16"/>
          <w:footerReference w:type="default" r:id="rId17"/>
          <w:pgSz w:w="12240" w:h="15840" w:code="1"/>
          <w:pgMar w:top="1440" w:right="1440" w:bottom="1440" w:left="1440" w:header="720" w:footer="720" w:gutter="0"/>
          <w:pgNumType w:fmt="lowerRoman" w:start="2"/>
          <w:cols w:space="720"/>
          <w:docGrid w:linePitch="360"/>
        </w:sectPr>
      </w:pPr>
    </w:p>
    <w:p w:rsidR="00F565D2" w:rsidRPr="00E401C4" w:rsidRDefault="00F565D2" w:rsidP="00E401C4">
      <w:pPr>
        <w:adjustRightInd/>
        <w:spacing w:line="240" w:lineRule="auto"/>
        <w:textAlignment w:val="auto"/>
        <w:outlineLvl w:val="0"/>
        <w:rPr>
          <w:rFonts w:ascii="Calibri" w:hAnsi="Calibri" w:cs="Arial"/>
          <w:b/>
          <w:bCs/>
          <w:color w:val="0C95D2"/>
          <w:sz w:val="36"/>
          <w:szCs w:val="36"/>
        </w:rPr>
      </w:pPr>
      <w:bookmarkStart w:id="1" w:name="_Toc477187093"/>
      <w:bookmarkStart w:id="2" w:name="_Toc477794591"/>
      <w:bookmarkStart w:id="3" w:name="_Toc486405945"/>
      <w:r w:rsidRPr="00027DE4">
        <w:rPr>
          <w:rFonts w:ascii="Calibri" w:hAnsi="Calibri" w:cs="Arial"/>
          <w:b/>
          <w:bCs/>
          <w:color w:val="0C95D2"/>
          <w:sz w:val="36"/>
          <w:szCs w:val="36"/>
        </w:rPr>
        <w:lastRenderedPageBreak/>
        <w:t>Table of Contents</w:t>
      </w:r>
      <w:bookmarkEnd w:id="1"/>
      <w:bookmarkEnd w:id="2"/>
      <w:bookmarkEnd w:id="3"/>
    </w:p>
    <w:p w:rsidR="00E401C4" w:rsidRPr="00E401C4" w:rsidRDefault="00E401C4" w:rsidP="00E401C4">
      <w:pPr>
        <w:pStyle w:val="TOC1"/>
        <w:rPr>
          <w:rStyle w:val="Hyperlink"/>
          <w:color w:val="auto"/>
          <w:u w:val="none"/>
        </w:rPr>
      </w:pPr>
      <w:r w:rsidRPr="00E401C4">
        <w:rPr>
          <w:rStyle w:val="Hyperlink"/>
          <w:color w:val="auto"/>
          <w:u w:val="none"/>
        </w:rPr>
        <w:t>Disclaimer</w:t>
      </w:r>
      <w:r w:rsidRPr="00E401C4">
        <w:rPr>
          <w:rStyle w:val="Hyperlink"/>
          <w:color w:val="auto"/>
          <w:u w:val="none"/>
        </w:rPr>
        <w:tab/>
        <w:t>ii</w:t>
      </w:r>
    </w:p>
    <w:p w:rsidR="008D4799" w:rsidRPr="00E401C4" w:rsidRDefault="00CD7DBD" w:rsidP="00E401C4">
      <w:pPr>
        <w:pStyle w:val="TOC1"/>
        <w:rPr>
          <w:rFonts w:eastAsiaTheme="minorEastAsia" w:cstheme="minorBidi"/>
        </w:rPr>
      </w:pPr>
      <w:r w:rsidRPr="00E401C4">
        <w:fldChar w:fldCharType="begin"/>
      </w:r>
      <w:r w:rsidRPr="00E401C4">
        <w:instrText xml:space="preserve"> TOC \o "1-3" \h \z \u </w:instrText>
      </w:r>
      <w:r w:rsidRPr="00E401C4">
        <w:fldChar w:fldCharType="separate"/>
      </w:r>
      <w:hyperlink w:anchor="_Toc486405946" w:history="1">
        <w:r w:rsidR="008D4799" w:rsidRPr="00E401C4">
          <w:rPr>
            <w:rStyle w:val="Hyperlink"/>
            <w:color w:val="auto"/>
          </w:rPr>
          <w:t>Figures</w:t>
        </w:r>
        <w:r w:rsidR="008D4799" w:rsidRPr="00E401C4">
          <w:rPr>
            <w:webHidden/>
          </w:rPr>
          <w:tab/>
        </w:r>
        <w:r w:rsidR="008D4799" w:rsidRPr="00E401C4">
          <w:rPr>
            <w:webHidden/>
          </w:rPr>
          <w:fldChar w:fldCharType="begin"/>
        </w:r>
        <w:r w:rsidR="008D4799" w:rsidRPr="00E401C4">
          <w:rPr>
            <w:webHidden/>
          </w:rPr>
          <w:instrText xml:space="preserve"> PAGEREF _Toc486405946 \h </w:instrText>
        </w:r>
        <w:r w:rsidR="008D4799" w:rsidRPr="00E401C4">
          <w:rPr>
            <w:webHidden/>
          </w:rPr>
        </w:r>
        <w:r w:rsidR="008D4799" w:rsidRPr="00E401C4">
          <w:rPr>
            <w:webHidden/>
          </w:rPr>
          <w:fldChar w:fldCharType="separate"/>
        </w:r>
        <w:r w:rsidR="00553160">
          <w:rPr>
            <w:webHidden/>
          </w:rPr>
          <w:t>vi</w:t>
        </w:r>
        <w:r w:rsidR="008D4799" w:rsidRPr="00E401C4">
          <w:rPr>
            <w:webHidden/>
          </w:rPr>
          <w:fldChar w:fldCharType="end"/>
        </w:r>
      </w:hyperlink>
    </w:p>
    <w:p w:rsidR="008D4799" w:rsidRPr="00E401C4" w:rsidRDefault="00505DC7" w:rsidP="00E401C4">
      <w:pPr>
        <w:pStyle w:val="TOC1"/>
        <w:rPr>
          <w:rFonts w:eastAsiaTheme="minorEastAsia" w:cstheme="minorBidi"/>
        </w:rPr>
      </w:pPr>
      <w:hyperlink w:anchor="_Toc486405947" w:history="1">
        <w:r w:rsidR="008D4799" w:rsidRPr="00E401C4">
          <w:rPr>
            <w:rStyle w:val="Hyperlink"/>
            <w:color w:val="auto"/>
          </w:rPr>
          <w:t>Tables</w:t>
        </w:r>
        <w:r w:rsidR="008D4799" w:rsidRPr="00E401C4">
          <w:rPr>
            <w:webHidden/>
          </w:rPr>
          <w:tab/>
        </w:r>
        <w:r w:rsidR="008D4799" w:rsidRPr="00E401C4">
          <w:rPr>
            <w:webHidden/>
          </w:rPr>
          <w:fldChar w:fldCharType="begin"/>
        </w:r>
        <w:r w:rsidR="008D4799" w:rsidRPr="00E401C4">
          <w:rPr>
            <w:webHidden/>
          </w:rPr>
          <w:instrText xml:space="preserve"> PAGEREF _Toc486405947 \h </w:instrText>
        </w:r>
        <w:r w:rsidR="008D4799" w:rsidRPr="00E401C4">
          <w:rPr>
            <w:webHidden/>
          </w:rPr>
        </w:r>
        <w:r w:rsidR="008D4799" w:rsidRPr="00E401C4">
          <w:rPr>
            <w:webHidden/>
          </w:rPr>
          <w:fldChar w:fldCharType="separate"/>
        </w:r>
        <w:r w:rsidR="00553160">
          <w:rPr>
            <w:webHidden/>
          </w:rPr>
          <w:t>viii</w:t>
        </w:r>
        <w:r w:rsidR="008D4799" w:rsidRPr="00E401C4">
          <w:rPr>
            <w:webHidden/>
          </w:rPr>
          <w:fldChar w:fldCharType="end"/>
        </w:r>
      </w:hyperlink>
    </w:p>
    <w:p w:rsidR="008D4799" w:rsidRPr="00E401C4" w:rsidRDefault="00505DC7" w:rsidP="00E401C4">
      <w:pPr>
        <w:pStyle w:val="TOC1"/>
        <w:rPr>
          <w:rFonts w:eastAsiaTheme="minorEastAsia" w:cstheme="minorBidi"/>
        </w:rPr>
      </w:pPr>
      <w:hyperlink w:anchor="_Toc486405948" w:history="1">
        <w:r w:rsidR="008D4799" w:rsidRPr="00E401C4">
          <w:rPr>
            <w:rStyle w:val="Hyperlink"/>
            <w:color w:val="auto"/>
          </w:rPr>
          <w:t>Nomenclature</w:t>
        </w:r>
        <w:r w:rsidR="008D4799" w:rsidRPr="00E401C4">
          <w:rPr>
            <w:webHidden/>
          </w:rPr>
          <w:tab/>
        </w:r>
        <w:r w:rsidR="008D4799" w:rsidRPr="00E401C4">
          <w:rPr>
            <w:webHidden/>
          </w:rPr>
          <w:fldChar w:fldCharType="begin"/>
        </w:r>
        <w:r w:rsidR="008D4799" w:rsidRPr="00E401C4">
          <w:rPr>
            <w:webHidden/>
          </w:rPr>
          <w:instrText xml:space="preserve"> PAGEREF _Toc486405948 \h </w:instrText>
        </w:r>
        <w:r w:rsidR="008D4799" w:rsidRPr="00E401C4">
          <w:rPr>
            <w:webHidden/>
          </w:rPr>
        </w:r>
        <w:r w:rsidR="008D4799" w:rsidRPr="00E401C4">
          <w:rPr>
            <w:webHidden/>
          </w:rPr>
          <w:fldChar w:fldCharType="separate"/>
        </w:r>
        <w:r w:rsidR="00553160">
          <w:rPr>
            <w:webHidden/>
          </w:rPr>
          <w:t>x</w:t>
        </w:r>
        <w:r w:rsidR="008D4799" w:rsidRPr="00E401C4">
          <w:rPr>
            <w:webHidden/>
          </w:rPr>
          <w:fldChar w:fldCharType="end"/>
        </w:r>
      </w:hyperlink>
    </w:p>
    <w:p w:rsidR="008D4799" w:rsidRPr="00E401C4" w:rsidRDefault="00505DC7" w:rsidP="00E401C4">
      <w:pPr>
        <w:pStyle w:val="TOC1"/>
        <w:rPr>
          <w:rFonts w:eastAsiaTheme="minorEastAsia" w:cstheme="minorBidi"/>
        </w:rPr>
      </w:pPr>
      <w:hyperlink w:anchor="_Toc486405949" w:history="1">
        <w:r w:rsidR="008D4799" w:rsidRPr="00E401C4">
          <w:rPr>
            <w:rStyle w:val="Hyperlink"/>
            <w:color w:val="auto"/>
          </w:rPr>
          <w:t>Section 1</w:t>
        </w:r>
        <w:r w:rsidR="00E401C4">
          <w:rPr>
            <w:rStyle w:val="Hyperlink"/>
            <w:color w:val="auto"/>
          </w:rPr>
          <w:br/>
        </w:r>
        <w:r w:rsidR="008D4799" w:rsidRPr="00E401C4">
          <w:rPr>
            <w:rStyle w:val="Hyperlink"/>
            <w:color w:val="auto"/>
          </w:rPr>
          <w:t>Executive Summary</w:t>
        </w:r>
        <w:r w:rsidR="008D4799" w:rsidRPr="00E401C4">
          <w:rPr>
            <w:webHidden/>
          </w:rPr>
          <w:tab/>
        </w:r>
        <w:r w:rsidR="008D4799" w:rsidRPr="00E401C4">
          <w:rPr>
            <w:webHidden/>
          </w:rPr>
          <w:fldChar w:fldCharType="begin"/>
        </w:r>
        <w:r w:rsidR="008D4799" w:rsidRPr="00E401C4">
          <w:rPr>
            <w:webHidden/>
          </w:rPr>
          <w:instrText xml:space="preserve"> PAGEREF _Toc486405949 \h </w:instrText>
        </w:r>
        <w:r w:rsidR="008D4799" w:rsidRPr="00E401C4">
          <w:rPr>
            <w:webHidden/>
          </w:rPr>
        </w:r>
        <w:r w:rsidR="008D4799" w:rsidRPr="00E401C4">
          <w:rPr>
            <w:webHidden/>
          </w:rPr>
          <w:fldChar w:fldCharType="separate"/>
        </w:r>
        <w:r w:rsidR="00553160">
          <w:rPr>
            <w:webHidden/>
          </w:rPr>
          <w:t>1</w:t>
        </w:r>
        <w:r w:rsidR="008D4799" w:rsidRPr="00E401C4">
          <w:rPr>
            <w:webHidden/>
          </w:rPr>
          <w:fldChar w:fldCharType="end"/>
        </w:r>
      </w:hyperlink>
    </w:p>
    <w:p w:rsidR="008D4799" w:rsidRPr="00E401C4" w:rsidRDefault="00505DC7" w:rsidP="00E401C4">
      <w:pPr>
        <w:pStyle w:val="TOC2"/>
        <w:rPr>
          <w:rFonts w:eastAsiaTheme="minorEastAsia" w:cstheme="minorBidi"/>
          <w:bCs w:val="0"/>
        </w:rPr>
      </w:pPr>
      <w:hyperlink w:anchor="_Toc486405950" w:history="1">
        <w:r w:rsidR="008D4799" w:rsidRPr="00E401C4">
          <w:rPr>
            <w:rStyle w:val="Hyperlink"/>
            <w:color w:val="auto"/>
          </w:rPr>
          <w:t>1.1 2016 NEPOOL Scenario Analysis Purpose and Metrics Analyzed</w:t>
        </w:r>
        <w:r w:rsidR="008D4799" w:rsidRPr="00E401C4">
          <w:rPr>
            <w:webHidden/>
          </w:rPr>
          <w:tab/>
        </w:r>
        <w:r w:rsidR="008D4799" w:rsidRPr="00E401C4">
          <w:rPr>
            <w:webHidden/>
          </w:rPr>
          <w:fldChar w:fldCharType="begin"/>
        </w:r>
        <w:r w:rsidR="008D4799" w:rsidRPr="00E401C4">
          <w:rPr>
            <w:webHidden/>
          </w:rPr>
          <w:instrText xml:space="preserve"> PAGEREF _Toc486405950 \h </w:instrText>
        </w:r>
        <w:r w:rsidR="008D4799" w:rsidRPr="00E401C4">
          <w:rPr>
            <w:webHidden/>
          </w:rPr>
        </w:r>
        <w:r w:rsidR="008D4799" w:rsidRPr="00E401C4">
          <w:rPr>
            <w:webHidden/>
          </w:rPr>
          <w:fldChar w:fldCharType="separate"/>
        </w:r>
        <w:r w:rsidR="00553160">
          <w:rPr>
            <w:webHidden/>
          </w:rPr>
          <w:t>1</w:t>
        </w:r>
        <w:r w:rsidR="008D4799" w:rsidRPr="00E401C4">
          <w:rPr>
            <w:webHidden/>
          </w:rPr>
          <w:fldChar w:fldCharType="end"/>
        </w:r>
      </w:hyperlink>
    </w:p>
    <w:p w:rsidR="008D4799" w:rsidRPr="00E401C4" w:rsidRDefault="00505DC7" w:rsidP="00E401C4">
      <w:pPr>
        <w:pStyle w:val="TOC2"/>
        <w:rPr>
          <w:rFonts w:eastAsiaTheme="minorEastAsia" w:cstheme="minorBidi"/>
          <w:bCs w:val="0"/>
        </w:rPr>
      </w:pPr>
      <w:hyperlink w:anchor="_Toc486405951" w:history="1">
        <w:r w:rsidR="008D4799" w:rsidRPr="00E401C4">
          <w:rPr>
            <w:rStyle w:val="Hyperlink"/>
            <w:color w:val="auto"/>
          </w:rPr>
          <w:t>1.2 Scenarios</w:t>
        </w:r>
        <w:r w:rsidR="008D4799" w:rsidRPr="00E401C4">
          <w:rPr>
            <w:webHidden/>
          </w:rPr>
          <w:tab/>
        </w:r>
        <w:r w:rsidR="008D4799" w:rsidRPr="00E401C4">
          <w:rPr>
            <w:webHidden/>
          </w:rPr>
          <w:fldChar w:fldCharType="begin"/>
        </w:r>
        <w:r w:rsidR="008D4799" w:rsidRPr="00E401C4">
          <w:rPr>
            <w:webHidden/>
          </w:rPr>
          <w:instrText xml:space="preserve"> PAGEREF _Toc486405951 \h </w:instrText>
        </w:r>
        <w:r w:rsidR="008D4799" w:rsidRPr="00E401C4">
          <w:rPr>
            <w:webHidden/>
          </w:rPr>
        </w:r>
        <w:r w:rsidR="008D4799" w:rsidRPr="00E401C4">
          <w:rPr>
            <w:webHidden/>
          </w:rPr>
          <w:fldChar w:fldCharType="separate"/>
        </w:r>
        <w:r w:rsidR="00553160">
          <w:rPr>
            <w:webHidden/>
          </w:rPr>
          <w:t>2</w:t>
        </w:r>
        <w:r w:rsidR="008D4799" w:rsidRPr="00E401C4">
          <w:rPr>
            <w:webHidden/>
          </w:rPr>
          <w:fldChar w:fldCharType="end"/>
        </w:r>
      </w:hyperlink>
    </w:p>
    <w:p w:rsidR="008D4799" w:rsidRPr="00E401C4" w:rsidRDefault="00505DC7" w:rsidP="00E401C4">
      <w:pPr>
        <w:pStyle w:val="TOC2"/>
        <w:rPr>
          <w:rFonts w:eastAsiaTheme="minorEastAsia" w:cstheme="minorBidi"/>
          <w:bCs w:val="0"/>
        </w:rPr>
      </w:pPr>
      <w:hyperlink w:anchor="_Toc486405952" w:history="1">
        <w:r w:rsidR="008D4799" w:rsidRPr="00E401C4">
          <w:rPr>
            <w:rStyle w:val="Hyperlink"/>
            <w:color w:val="auto"/>
          </w:rPr>
          <w:t>1.3 Methodology and Assumptions</w:t>
        </w:r>
        <w:r w:rsidR="008D4799" w:rsidRPr="00E401C4">
          <w:rPr>
            <w:webHidden/>
          </w:rPr>
          <w:tab/>
        </w:r>
        <w:r w:rsidR="008D4799" w:rsidRPr="00E401C4">
          <w:rPr>
            <w:webHidden/>
          </w:rPr>
          <w:fldChar w:fldCharType="begin"/>
        </w:r>
        <w:r w:rsidR="008D4799" w:rsidRPr="00E401C4">
          <w:rPr>
            <w:webHidden/>
          </w:rPr>
          <w:instrText xml:space="preserve"> PAGEREF _Toc486405952 \h </w:instrText>
        </w:r>
        <w:r w:rsidR="008D4799" w:rsidRPr="00E401C4">
          <w:rPr>
            <w:webHidden/>
          </w:rPr>
        </w:r>
        <w:r w:rsidR="008D4799" w:rsidRPr="00E401C4">
          <w:rPr>
            <w:webHidden/>
          </w:rPr>
          <w:fldChar w:fldCharType="separate"/>
        </w:r>
        <w:r w:rsidR="00553160">
          <w:rPr>
            <w:webHidden/>
          </w:rPr>
          <w:t>2</w:t>
        </w:r>
        <w:r w:rsidR="008D4799" w:rsidRPr="00E401C4">
          <w:rPr>
            <w:webHidden/>
          </w:rPr>
          <w:fldChar w:fldCharType="end"/>
        </w:r>
      </w:hyperlink>
    </w:p>
    <w:p w:rsidR="008D4799" w:rsidRPr="00E401C4" w:rsidRDefault="00505DC7" w:rsidP="00E401C4">
      <w:pPr>
        <w:pStyle w:val="TOC2"/>
        <w:rPr>
          <w:rFonts w:eastAsiaTheme="minorEastAsia" w:cstheme="minorBidi"/>
          <w:bCs w:val="0"/>
        </w:rPr>
      </w:pPr>
      <w:hyperlink w:anchor="_Toc486405953" w:history="1">
        <w:r w:rsidR="008D4799" w:rsidRPr="00E401C4">
          <w:rPr>
            <w:rStyle w:val="Hyperlink"/>
            <w:color w:val="auto"/>
          </w:rPr>
          <w:t>1.4 Key Observations</w:t>
        </w:r>
        <w:r w:rsidR="008D4799" w:rsidRPr="00E401C4">
          <w:rPr>
            <w:webHidden/>
          </w:rPr>
          <w:tab/>
        </w:r>
        <w:r w:rsidR="008D4799" w:rsidRPr="00E401C4">
          <w:rPr>
            <w:webHidden/>
          </w:rPr>
          <w:fldChar w:fldCharType="begin"/>
        </w:r>
        <w:r w:rsidR="008D4799" w:rsidRPr="00E401C4">
          <w:rPr>
            <w:webHidden/>
          </w:rPr>
          <w:instrText xml:space="preserve"> PAGEREF _Toc486405953 \h </w:instrText>
        </w:r>
        <w:r w:rsidR="008D4799" w:rsidRPr="00E401C4">
          <w:rPr>
            <w:webHidden/>
          </w:rPr>
        </w:r>
        <w:r w:rsidR="008D4799" w:rsidRPr="00E401C4">
          <w:rPr>
            <w:webHidden/>
          </w:rPr>
          <w:fldChar w:fldCharType="separate"/>
        </w:r>
        <w:r w:rsidR="00553160">
          <w:rPr>
            <w:webHidden/>
          </w:rPr>
          <w:t>5</w:t>
        </w:r>
        <w:r w:rsidR="008D4799" w:rsidRPr="00E401C4">
          <w:rPr>
            <w:webHidden/>
          </w:rPr>
          <w:fldChar w:fldCharType="end"/>
        </w:r>
      </w:hyperlink>
    </w:p>
    <w:p w:rsidR="008D4799" w:rsidRPr="00E401C4" w:rsidRDefault="00505DC7" w:rsidP="00E401C4">
      <w:pPr>
        <w:pStyle w:val="TOC3"/>
        <w:spacing w:after="120" w:line="240" w:lineRule="auto"/>
        <w:rPr>
          <w:rFonts w:asciiTheme="minorHAnsi" w:eastAsiaTheme="minorEastAsia" w:hAnsiTheme="minorHAnsi" w:cstheme="minorBidi"/>
          <w:noProof/>
        </w:rPr>
      </w:pPr>
      <w:hyperlink w:anchor="_Toc486405954" w:history="1">
        <w:r w:rsidR="008D4799" w:rsidRPr="00E401C4">
          <w:rPr>
            <w:rStyle w:val="Hyperlink"/>
            <w:rFonts w:asciiTheme="minorHAnsi" w:hAnsiTheme="minorHAnsi"/>
            <w:noProof/>
            <w:color w:val="auto"/>
          </w:rPr>
          <w:t>1.4.1 Major Results Overall</w:t>
        </w:r>
        <w:r w:rsidR="008D4799" w:rsidRPr="00E401C4">
          <w:rPr>
            <w:rFonts w:asciiTheme="minorHAnsi" w:hAnsiTheme="minorHAnsi"/>
            <w:noProof/>
            <w:webHidden/>
          </w:rPr>
          <w:tab/>
        </w:r>
        <w:r w:rsidR="008D4799" w:rsidRPr="00E401C4">
          <w:rPr>
            <w:rFonts w:asciiTheme="minorHAnsi" w:hAnsiTheme="minorHAnsi"/>
            <w:noProof/>
            <w:webHidden/>
          </w:rPr>
          <w:fldChar w:fldCharType="begin"/>
        </w:r>
        <w:r w:rsidR="008D4799" w:rsidRPr="00E401C4">
          <w:rPr>
            <w:rFonts w:asciiTheme="minorHAnsi" w:hAnsiTheme="minorHAnsi"/>
            <w:noProof/>
            <w:webHidden/>
          </w:rPr>
          <w:instrText xml:space="preserve"> PAGEREF _Toc486405954 \h </w:instrText>
        </w:r>
        <w:r w:rsidR="008D4799" w:rsidRPr="00E401C4">
          <w:rPr>
            <w:rFonts w:asciiTheme="minorHAnsi" w:hAnsiTheme="minorHAnsi"/>
            <w:noProof/>
            <w:webHidden/>
          </w:rPr>
        </w:r>
        <w:r w:rsidR="008D4799" w:rsidRPr="00E401C4">
          <w:rPr>
            <w:rFonts w:asciiTheme="minorHAnsi" w:hAnsiTheme="minorHAnsi"/>
            <w:noProof/>
            <w:webHidden/>
          </w:rPr>
          <w:fldChar w:fldCharType="separate"/>
        </w:r>
        <w:r w:rsidR="00553160">
          <w:rPr>
            <w:rFonts w:asciiTheme="minorHAnsi" w:hAnsiTheme="minorHAnsi"/>
            <w:noProof/>
            <w:webHidden/>
          </w:rPr>
          <w:t>5</w:t>
        </w:r>
        <w:r w:rsidR="008D4799" w:rsidRPr="00E401C4">
          <w:rPr>
            <w:rFonts w:asciiTheme="minorHAnsi" w:hAnsiTheme="minorHAnsi"/>
            <w:noProof/>
            <w:webHidden/>
          </w:rPr>
          <w:fldChar w:fldCharType="end"/>
        </w:r>
      </w:hyperlink>
    </w:p>
    <w:p w:rsidR="008D4799" w:rsidRPr="00E401C4" w:rsidRDefault="00505DC7" w:rsidP="00E401C4">
      <w:pPr>
        <w:pStyle w:val="TOC3"/>
        <w:spacing w:after="120" w:line="240" w:lineRule="auto"/>
        <w:rPr>
          <w:rFonts w:asciiTheme="minorHAnsi" w:eastAsiaTheme="minorEastAsia" w:hAnsiTheme="minorHAnsi" w:cstheme="minorBidi"/>
          <w:noProof/>
        </w:rPr>
      </w:pPr>
      <w:hyperlink w:anchor="_Toc486405955" w:history="1">
        <w:r w:rsidR="008D4799" w:rsidRPr="00E401C4">
          <w:rPr>
            <w:rStyle w:val="Hyperlink"/>
            <w:rFonts w:asciiTheme="minorHAnsi" w:hAnsiTheme="minorHAnsi"/>
            <w:noProof/>
            <w:color w:val="auto"/>
          </w:rPr>
          <w:t>1.4.2 Relative Annual Resource Costs</w:t>
        </w:r>
        <w:r w:rsidR="008D4799" w:rsidRPr="00E401C4">
          <w:rPr>
            <w:rFonts w:asciiTheme="minorHAnsi" w:hAnsiTheme="minorHAnsi"/>
            <w:noProof/>
            <w:webHidden/>
          </w:rPr>
          <w:tab/>
        </w:r>
        <w:r w:rsidR="008D4799" w:rsidRPr="00E401C4">
          <w:rPr>
            <w:rFonts w:asciiTheme="minorHAnsi" w:hAnsiTheme="minorHAnsi"/>
            <w:noProof/>
            <w:webHidden/>
          </w:rPr>
          <w:fldChar w:fldCharType="begin"/>
        </w:r>
        <w:r w:rsidR="008D4799" w:rsidRPr="00E401C4">
          <w:rPr>
            <w:rFonts w:asciiTheme="minorHAnsi" w:hAnsiTheme="minorHAnsi"/>
            <w:noProof/>
            <w:webHidden/>
          </w:rPr>
          <w:instrText xml:space="preserve"> PAGEREF _Toc486405955 \h </w:instrText>
        </w:r>
        <w:r w:rsidR="008D4799" w:rsidRPr="00E401C4">
          <w:rPr>
            <w:rFonts w:asciiTheme="minorHAnsi" w:hAnsiTheme="minorHAnsi"/>
            <w:noProof/>
            <w:webHidden/>
          </w:rPr>
        </w:r>
        <w:r w:rsidR="008D4799" w:rsidRPr="00E401C4">
          <w:rPr>
            <w:rFonts w:asciiTheme="minorHAnsi" w:hAnsiTheme="minorHAnsi"/>
            <w:noProof/>
            <w:webHidden/>
          </w:rPr>
          <w:fldChar w:fldCharType="separate"/>
        </w:r>
        <w:r w:rsidR="00553160">
          <w:rPr>
            <w:rFonts w:asciiTheme="minorHAnsi" w:hAnsiTheme="minorHAnsi"/>
            <w:noProof/>
            <w:webHidden/>
          </w:rPr>
          <w:t>7</w:t>
        </w:r>
        <w:r w:rsidR="008D4799" w:rsidRPr="00E401C4">
          <w:rPr>
            <w:rFonts w:asciiTheme="minorHAnsi" w:hAnsiTheme="minorHAnsi"/>
            <w:noProof/>
            <w:webHidden/>
          </w:rPr>
          <w:fldChar w:fldCharType="end"/>
        </w:r>
      </w:hyperlink>
    </w:p>
    <w:p w:rsidR="008D4799" w:rsidRPr="00E401C4" w:rsidRDefault="00505DC7" w:rsidP="00E401C4">
      <w:pPr>
        <w:pStyle w:val="TOC2"/>
        <w:rPr>
          <w:rFonts w:eastAsiaTheme="minorEastAsia" w:cstheme="minorBidi"/>
          <w:bCs w:val="0"/>
        </w:rPr>
      </w:pPr>
      <w:hyperlink w:anchor="_Toc486405956" w:history="1">
        <w:r w:rsidR="008D4799" w:rsidRPr="00E401C4">
          <w:rPr>
            <w:rStyle w:val="Hyperlink"/>
            <w:color w:val="auto"/>
          </w:rPr>
          <w:t>1.5 Conclusions and Next Steps</w:t>
        </w:r>
        <w:r w:rsidR="008D4799" w:rsidRPr="00E401C4">
          <w:rPr>
            <w:webHidden/>
          </w:rPr>
          <w:tab/>
        </w:r>
        <w:r w:rsidR="008D4799" w:rsidRPr="00E401C4">
          <w:rPr>
            <w:webHidden/>
          </w:rPr>
          <w:fldChar w:fldCharType="begin"/>
        </w:r>
        <w:r w:rsidR="008D4799" w:rsidRPr="00E401C4">
          <w:rPr>
            <w:webHidden/>
          </w:rPr>
          <w:instrText xml:space="preserve"> PAGEREF _Toc486405956 \h </w:instrText>
        </w:r>
        <w:r w:rsidR="008D4799" w:rsidRPr="00E401C4">
          <w:rPr>
            <w:webHidden/>
          </w:rPr>
        </w:r>
        <w:r w:rsidR="008D4799" w:rsidRPr="00E401C4">
          <w:rPr>
            <w:webHidden/>
          </w:rPr>
          <w:fldChar w:fldCharType="separate"/>
        </w:r>
        <w:r w:rsidR="00553160">
          <w:rPr>
            <w:webHidden/>
          </w:rPr>
          <w:t>11</w:t>
        </w:r>
        <w:r w:rsidR="008D4799" w:rsidRPr="00E401C4">
          <w:rPr>
            <w:webHidden/>
          </w:rPr>
          <w:fldChar w:fldCharType="end"/>
        </w:r>
      </w:hyperlink>
    </w:p>
    <w:p w:rsidR="008D4799" w:rsidRPr="00E401C4" w:rsidRDefault="00505DC7" w:rsidP="00E401C4">
      <w:pPr>
        <w:pStyle w:val="TOC1"/>
        <w:rPr>
          <w:rFonts w:eastAsiaTheme="minorEastAsia" w:cstheme="minorBidi"/>
        </w:rPr>
      </w:pPr>
      <w:hyperlink w:anchor="_Toc486405957" w:history="1">
        <w:r w:rsidR="008D4799" w:rsidRPr="00E401C4">
          <w:rPr>
            <w:rStyle w:val="Hyperlink"/>
            <w:color w:val="auto"/>
          </w:rPr>
          <w:t>Section 2</w:t>
        </w:r>
        <w:r w:rsidR="00E401C4">
          <w:rPr>
            <w:rStyle w:val="Hyperlink"/>
            <w:color w:val="auto"/>
          </w:rPr>
          <w:br/>
        </w:r>
        <w:r w:rsidR="008D4799" w:rsidRPr="00E401C4">
          <w:rPr>
            <w:rStyle w:val="Hyperlink"/>
            <w:color w:val="auto"/>
          </w:rPr>
          <w:t>Introduction</w:t>
        </w:r>
        <w:r w:rsidR="008D4799" w:rsidRPr="00E401C4">
          <w:rPr>
            <w:webHidden/>
          </w:rPr>
          <w:tab/>
        </w:r>
        <w:r w:rsidR="008D4799" w:rsidRPr="00E401C4">
          <w:rPr>
            <w:webHidden/>
          </w:rPr>
          <w:fldChar w:fldCharType="begin"/>
        </w:r>
        <w:r w:rsidR="008D4799" w:rsidRPr="00E401C4">
          <w:rPr>
            <w:webHidden/>
          </w:rPr>
          <w:instrText xml:space="preserve"> PAGEREF _Toc486405957 \h </w:instrText>
        </w:r>
        <w:r w:rsidR="008D4799" w:rsidRPr="00E401C4">
          <w:rPr>
            <w:webHidden/>
          </w:rPr>
        </w:r>
        <w:r w:rsidR="008D4799" w:rsidRPr="00E401C4">
          <w:rPr>
            <w:webHidden/>
          </w:rPr>
          <w:fldChar w:fldCharType="separate"/>
        </w:r>
        <w:r w:rsidR="00553160">
          <w:rPr>
            <w:webHidden/>
          </w:rPr>
          <w:t>13</w:t>
        </w:r>
        <w:r w:rsidR="008D4799" w:rsidRPr="00E401C4">
          <w:rPr>
            <w:webHidden/>
          </w:rPr>
          <w:fldChar w:fldCharType="end"/>
        </w:r>
      </w:hyperlink>
    </w:p>
    <w:p w:rsidR="008D4799" w:rsidRPr="00E401C4" w:rsidRDefault="00505DC7" w:rsidP="00E401C4">
      <w:pPr>
        <w:pStyle w:val="TOC2"/>
        <w:rPr>
          <w:rFonts w:eastAsiaTheme="minorEastAsia" w:cstheme="minorBidi"/>
          <w:bCs w:val="0"/>
        </w:rPr>
      </w:pPr>
      <w:hyperlink w:anchor="_Toc486405958" w:history="1">
        <w:r w:rsidR="008D4799" w:rsidRPr="00E401C4">
          <w:rPr>
            <w:rStyle w:val="Hyperlink"/>
            <w:color w:val="auto"/>
          </w:rPr>
          <w:t>2.1 Economic Study Process</w:t>
        </w:r>
        <w:r w:rsidR="008D4799" w:rsidRPr="00E401C4">
          <w:rPr>
            <w:webHidden/>
          </w:rPr>
          <w:tab/>
        </w:r>
        <w:r w:rsidR="008D4799" w:rsidRPr="00E401C4">
          <w:rPr>
            <w:webHidden/>
          </w:rPr>
          <w:fldChar w:fldCharType="begin"/>
        </w:r>
        <w:r w:rsidR="008D4799" w:rsidRPr="00E401C4">
          <w:rPr>
            <w:webHidden/>
          </w:rPr>
          <w:instrText xml:space="preserve"> PAGEREF _Toc486405958 \h </w:instrText>
        </w:r>
        <w:r w:rsidR="008D4799" w:rsidRPr="00E401C4">
          <w:rPr>
            <w:webHidden/>
          </w:rPr>
        </w:r>
        <w:r w:rsidR="008D4799" w:rsidRPr="00E401C4">
          <w:rPr>
            <w:webHidden/>
          </w:rPr>
          <w:fldChar w:fldCharType="separate"/>
        </w:r>
        <w:r w:rsidR="00553160">
          <w:rPr>
            <w:webHidden/>
          </w:rPr>
          <w:t>13</w:t>
        </w:r>
        <w:r w:rsidR="008D4799" w:rsidRPr="00E401C4">
          <w:rPr>
            <w:webHidden/>
          </w:rPr>
          <w:fldChar w:fldCharType="end"/>
        </w:r>
      </w:hyperlink>
    </w:p>
    <w:p w:rsidR="008D4799" w:rsidRPr="00E401C4" w:rsidRDefault="00505DC7" w:rsidP="00E401C4">
      <w:pPr>
        <w:pStyle w:val="TOC2"/>
        <w:rPr>
          <w:rFonts w:eastAsiaTheme="minorEastAsia" w:cstheme="minorBidi"/>
          <w:bCs w:val="0"/>
        </w:rPr>
      </w:pPr>
      <w:hyperlink w:anchor="_Toc486405959" w:history="1">
        <w:r w:rsidR="008D4799" w:rsidRPr="00E401C4">
          <w:rPr>
            <w:rStyle w:val="Hyperlink"/>
            <w:color w:val="auto"/>
          </w:rPr>
          <w:t>2.2 2016 NEPOOL Scenario Analysis Process and Goals</w:t>
        </w:r>
        <w:r w:rsidR="008D4799" w:rsidRPr="00E401C4">
          <w:rPr>
            <w:webHidden/>
          </w:rPr>
          <w:tab/>
        </w:r>
        <w:r w:rsidR="008D4799" w:rsidRPr="00E401C4">
          <w:rPr>
            <w:webHidden/>
          </w:rPr>
          <w:fldChar w:fldCharType="begin"/>
        </w:r>
        <w:r w:rsidR="008D4799" w:rsidRPr="00E401C4">
          <w:rPr>
            <w:webHidden/>
          </w:rPr>
          <w:instrText xml:space="preserve"> PAGEREF _Toc486405959 \h </w:instrText>
        </w:r>
        <w:r w:rsidR="008D4799" w:rsidRPr="00E401C4">
          <w:rPr>
            <w:webHidden/>
          </w:rPr>
        </w:r>
        <w:r w:rsidR="008D4799" w:rsidRPr="00E401C4">
          <w:rPr>
            <w:webHidden/>
          </w:rPr>
          <w:fldChar w:fldCharType="separate"/>
        </w:r>
        <w:r w:rsidR="00553160">
          <w:rPr>
            <w:webHidden/>
          </w:rPr>
          <w:t>14</w:t>
        </w:r>
        <w:r w:rsidR="008D4799" w:rsidRPr="00E401C4">
          <w:rPr>
            <w:webHidden/>
          </w:rPr>
          <w:fldChar w:fldCharType="end"/>
        </w:r>
      </w:hyperlink>
    </w:p>
    <w:p w:rsidR="008D4799" w:rsidRPr="00E401C4" w:rsidRDefault="00505DC7" w:rsidP="00E401C4">
      <w:pPr>
        <w:pStyle w:val="TOC2"/>
        <w:rPr>
          <w:rFonts w:eastAsiaTheme="minorEastAsia" w:cstheme="minorBidi"/>
          <w:bCs w:val="0"/>
        </w:rPr>
      </w:pPr>
      <w:hyperlink w:anchor="_Toc486405960" w:history="1">
        <w:r w:rsidR="008D4799" w:rsidRPr="00E401C4">
          <w:rPr>
            <w:rStyle w:val="Hyperlink"/>
            <w:color w:val="auto"/>
          </w:rPr>
          <w:t>2.3 Topics Addressed</w:t>
        </w:r>
        <w:r w:rsidR="008D4799" w:rsidRPr="00E401C4">
          <w:rPr>
            <w:webHidden/>
          </w:rPr>
          <w:tab/>
        </w:r>
        <w:r w:rsidR="008D4799" w:rsidRPr="00E401C4">
          <w:rPr>
            <w:webHidden/>
          </w:rPr>
          <w:fldChar w:fldCharType="begin"/>
        </w:r>
        <w:r w:rsidR="008D4799" w:rsidRPr="00E401C4">
          <w:rPr>
            <w:webHidden/>
          </w:rPr>
          <w:instrText xml:space="preserve"> PAGEREF _Toc486405960 \h </w:instrText>
        </w:r>
        <w:r w:rsidR="008D4799" w:rsidRPr="00E401C4">
          <w:rPr>
            <w:webHidden/>
          </w:rPr>
        </w:r>
        <w:r w:rsidR="008D4799" w:rsidRPr="00E401C4">
          <w:rPr>
            <w:webHidden/>
          </w:rPr>
          <w:fldChar w:fldCharType="separate"/>
        </w:r>
        <w:r w:rsidR="00553160">
          <w:rPr>
            <w:webHidden/>
          </w:rPr>
          <w:t>14</w:t>
        </w:r>
        <w:r w:rsidR="008D4799" w:rsidRPr="00E401C4">
          <w:rPr>
            <w:webHidden/>
          </w:rPr>
          <w:fldChar w:fldCharType="end"/>
        </w:r>
      </w:hyperlink>
    </w:p>
    <w:p w:rsidR="008D4799" w:rsidRPr="00E401C4" w:rsidRDefault="00505DC7" w:rsidP="00E401C4">
      <w:pPr>
        <w:pStyle w:val="TOC1"/>
        <w:rPr>
          <w:rFonts w:eastAsiaTheme="minorEastAsia" w:cstheme="minorBidi"/>
        </w:rPr>
      </w:pPr>
      <w:hyperlink w:anchor="_Toc486405961" w:history="1">
        <w:r w:rsidR="008D4799" w:rsidRPr="00E401C4">
          <w:rPr>
            <w:rStyle w:val="Hyperlink"/>
            <w:color w:val="auto"/>
          </w:rPr>
          <w:t>Section 3</w:t>
        </w:r>
        <w:r w:rsidR="00E401C4">
          <w:rPr>
            <w:rStyle w:val="Hyperlink"/>
            <w:color w:val="auto"/>
          </w:rPr>
          <w:br/>
        </w:r>
        <w:r w:rsidR="008D4799" w:rsidRPr="00E401C4">
          <w:rPr>
            <w:rStyle w:val="Hyperlink"/>
            <w:color w:val="auto"/>
          </w:rPr>
          <w:t>Description of the Scenarios</w:t>
        </w:r>
        <w:r w:rsidR="008D4799" w:rsidRPr="00E401C4">
          <w:rPr>
            <w:webHidden/>
          </w:rPr>
          <w:tab/>
        </w:r>
        <w:r w:rsidR="008D4799" w:rsidRPr="00E401C4">
          <w:rPr>
            <w:webHidden/>
          </w:rPr>
          <w:fldChar w:fldCharType="begin"/>
        </w:r>
        <w:r w:rsidR="008D4799" w:rsidRPr="00E401C4">
          <w:rPr>
            <w:webHidden/>
          </w:rPr>
          <w:instrText xml:space="preserve"> PAGEREF _Toc486405961 \h </w:instrText>
        </w:r>
        <w:r w:rsidR="008D4799" w:rsidRPr="00E401C4">
          <w:rPr>
            <w:webHidden/>
          </w:rPr>
        </w:r>
        <w:r w:rsidR="008D4799" w:rsidRPr="00E401C4">
          <w:rPr>
            <w:webHidden/>
          </w:rPr>
          <w:fldChar w:fldCharType="separate"/>
        </w:r>
        <w:r w:rsidR="00553160">
          <w:rPr>
            <w:webHidden/>
          </w:rPr>
          <w:t>15</w:t>
        </w:r>
        <w:r w:rsidR="008D4799" w:rsidRPr="00E401C4">
          <w:rPr>
            <w:webHidden/>
          </w:rPr>
          <w:fldChar w:fldCharType="end"/>
        </w:r>
      </w:hyperlink>
    </w:p>
    <w:p w:rsidR="008D4799" w:rsidRPr="00E401C4" w:rsidRDefault="00505DC7" w:rsidP="00E401C4">
      <w:pPr>
        <w:pStyle w:val="TOC2"/>
        <w:rPr>
          <w:rFonts w:eastAsiaTheme="minorEastAsia" w:cstheme="minorBidi"/>
          <w:bCs w:val="0"/>
        </w:rPr>
      </w:pPr>
      <w:hyperlink w:anchor="_Toc486405962" w:history="1">
        <w:r w:rsidR="008D4799" w:rsidRPr="00E401C4">
          <w:rPr>
            <w:rStyle w:val="Hyperlink"/>
            <w:color w:val="auto"/>
          </w:rPr>
          <w:t>3.1 Scenario 1—“RPSs + Gas”—Generation Fleet Meets Existing RPSs, and Natural Gas Combined-Cycle</w:t>
        </w:r>
        <w:r w:rsidR="00E401C4">
          <w:rPr>
            <w:rStyle w:val="Hyperlink"/>
            <w:color w:val="auto"/>
          </w:rPr>
          <w:br/>
        </w:r>
        <w:r w:rsidR="008D4799" w:rsidRPr="00E401C4">
          <w:rPr>
            <w:rStyle w:val="Hyperlink"/>
            <w:color w:val="auto"/>
          </w:rPr>
          <w:t>Units Replace Retired Units</w:t>
        </w:r>
        <w:r w:rsidR="008D4799" w:rsidRPr="00E401C4">
          <w:rPr>
            <w:webHidden/>
          </w:rPr>
          <w:tab/>
        </w:r>
        <w:r w:rsidR="008D4799" w:rsidRPr="00E401C4">
          <w:rPr>
            <w:webHidden/>
          </w:rPr>
          <w:fldChar w:fldCharType="begin"/>
        </w:r>
        <w:r w:rsidR="008D4799" w:rsidRPr="00E401C4">
          <w:rPr>
            <w:webHidden/>
          </w:rPr>
          <w:instrText xml:space="preserve"> PAGEREF _Toc486405962 \h </w:instrText>
        </w:r>
        <w:r w:rsidR="008D4799" w:rsidRPr="00E401C4">
          <w:rPr>
            <w:webHidden/>
          </w:rPr>
        </w:r>
        <w:r w:rsidR="008D4799" w:rsidRPr="00E401C4">
          <w:rPr>
            <w:webHidden/>
          </w:rPr>
          <w:fldChar w:fldCharType="separate"/>
        </w:r>
        <w:r w:rsidR="00553160">
          <w:rPr>
            <w:webHidden/>
          </w:rPr>
          <w:t>15</w:t>
        </w:r>
        <w:r w:rsidR="008D4799" w:rsidRPr="00E401C4">
          <w:rPr>
            <w:webHidden/>
          </w:rPr>
          <w:fldChar w:fldCharType="end"/>
        </w:r>
      </w:hyperlink>
    </w:p>
    <w:p w:rsidR="008D4799" w:rsidRPr="00E401C4" w:rsidRDefault="00505DC7" w:rsidP="00E401C4">
      <w:pPr>
        <w:pStyle w:val="TOC2"/>
        <w:rPr>
          <w:rFonts w:eastAsiaTheme="minorEastAsia" w:cstheme="minorBidi"/>
          <w:bCs w:val="0"/>
        </w:rPr>
      </w:pPr>
      <w:hyperlink w:anchor="_Toc486405963" w:history="1">
        <w:r w:rsidR="008D4799" w:rsidRPr="00E401C4">
          <w:rPr>
            <w:rStyle w:val="Hyperlink"/>
            <w:color w:val="auto"/>
          </w:rPr>
          <w:t>3.2 Scenario 2—“ISO Queue”—Generation Fleet Meets Existing RPSs, and New Renewable/</w:t>
        </w:r>
        <w:r w:rsidR="00E401C4">
          <w:rPr>
            <w:rStyle w:val="Hyperlink"/>
            <w:color w:val="auto"/>
          </w:rPr>
          <w:br/>
        </w:r>
        <w:r w:rsidR="008D4799" w:rsidRPr="00E401C4">
          <w:rPr>
            <w:rStyle w:val="Hyperlink"/>
            <w:color w:val="auto"/>
          </w:rPr>
          <w:t>lean Energy Resources Meet All Future Needs, Including the Replacement of Retired Units</w:t>
        </w:r>
        <w:r w:rsidR="008D4799" w:rsidRPr="00E401C4">
          <w:rPr>
            <w:webHidden/>
          </w:rPr>
          <w:tab/>
        </w:r>
        <w:r w:rsidR="008D4799" w:rsidRPr="00E401C4">
          <w:rPr>
            <w:webHidden/>
          </w:rPr>
          <w:fldChar w:fldCharType="begin"/>
        </w:r>
        <w:r w:rsidR="008D4799" w:rsidRPr="00E401C4">
          <w:rPr>
            <w:webHidden/>
          </w:rPr>
          <w:instrText xml:space="preserve"> PAGEREF _Toc486405963 \h </w:instrText>
        </w:r>
        <w:r w:rsidR="008D4799" w:rsidRPr="00E401C4">
          <w:rPr>
            <w:webHidden/>
          </w:rPr>
        </w:r>
        <w:r w:rsidR="008D4799" w:rsidRPr="00E401C4">
          <w:rPr>
            <w:webHidden/>
          </w:rPr>
          <w:fldChar w:fldCharType="separate"/>
        </w:r>
        <w:r w:rsidR="00553160">
          <w:rPr>
            <w:webHidden/>
          </w:rPr>
          <w:t>15</w:t>
        </w:r>
        <w:r w:rsidR="008D4799" w:rsidRPr="00E401C4">
          <w:rPr>
            <w:webHidden/>
          </w:rPr>
          <w:fldChar w:fldCharType="end"/>
        </w:r>
      </w:hyperlink>
    </w:p>
    <w:p w:rsidR="008D4799" w:rsidRPr="00E401C4" w:rsidRDefault="00505DC7" w:rsidP="00E401C4">
      <w:pPr>
        <w:pStyle w:val="TOC2"/>
        <w:rPr>
          <w:rFonts w:eastAsiaTheme="minorEastAsia" w:cstheme="minorBidi"/>
          <w:bCs w:val="0"/>
        </w:rPr>
      </w:pPr>
      <w:hyperlink w:anchor="_Toc486405964" w:history="1">
        <w:r w:rsidR="008D4799" w:rsidRPr="00E401C4">
          <w:rPr>
            <w:rStyle w:val="Hyperlink"/>
            <w:color w:val="auto"/>
          </w:rPr>
          <w:t>3.3 Scenario 3—“Renewables Plus”—Generation Fleet Meets Existing RPSs, and Additional Renewable/</w:t>
        </w:r>
        <w:r w:rsidR="00E401C4">
          <w:rPr>
            <w:rStyle w:val="Hyperlink"/>
            <w:color w:val="auto"/>
          </w:rPr>
          <w:br/>
        </w:r>
        <w:r w:rsidR="008D4799" w:rsidRPr="00E401C4">
          <w:rPr>
            <w:rStyle w:val="Hyperlink"/>
            <w:color w:val="auto"/>
          </w:rPr>
          <w:t>lean Energy Resources Are Used Above the Existing RPS Targets</w:t>
        </w:r>
        <w:r w:rsidR="008D4799" w:rsidRPr="00E401C4">
          <w:rPr>
            <w:webHidden/>
          </w:rPr>
          <w:tab/>
        </w:r>
        <w:r w:rsidR="008D4799" w:rsidRPr="00E401C4">
          <w:rPr>
            <w:webHidden/>
          </w:rPr>
          <w:fldChar w:fldCharType="begin"/>
        </w:r>
        <w:r w:rsidR="008D4799" w:rsidRPr="00E401C4">
          <w:rPr>
            <w:webHidden/>
          </w:rPr>
          <w:instrText xml:space="preserve"> PAGEREF _Toc486405964 \h </w:instrText>
        </w:r>
        <w:r w:rsidR="008D4799" w:rsidRPr="00E401C4">
          <w:rPr>
            <w:webHidden/>
          </w:rPr>
        </w:r>
        <w:r w:rsidR="008D4799" w:rsidRPr="00E401C4">
          <w:rPr>
            <w:webHidden/>
          </w:rPr>
          <w:fldChar w:fldCharType="separate"/>
        </w:r>
        <w:r w:rsidR="00553160">
          <w:rPr>
            <w:webHidden/>
          </w:rPr>
          <w:t>16</w:t>
        </w:r>
        <w:r w:rsidR="008D4799" w:rsidRPr="00E401C4">
          <w:rPr>
            <w:webHidden/>
          </w:rPr>
          <w:fldChar w:fldCharType="end"/>
        </w:r>
      </w:hyperlink>
    </w:p>
    <w:p w:rsidR="008D4799" w:rsidRPr="00E401C4" w:rsidRDefault="00505DC7" w:rsidP="00E401C4">
      <w:pPr>
        <w:pStyle w:val="TOC2"/>
        <w:rPr>
          <w:rFonts w:eastAsiaTheme="minorEastAsia" w:cstheme="minorBidi"/>
          <w:bCs w:val="0"/>
        </w:rPr>
      </w:pPr>
      <w:hyperlink w:anchor="_Toc486405965" w:history="1">
        <w:r w:rsidR="008D4799" w:rsidRPr="00E401C4">
          <w:rPr>
            <w:rStyle w:val="Hyperlink"/>
            <w:color w:val="auto"/>
          </w:rPr>
          <w:t>3.4 Scenario 4—“No Retirements beyond FCA #10”—Generation Fleet Meets Existing RPSs in Part</w:t>
        </w:r>
        <w:r w:rsidR="00E401C4">
          <w:rPr>
            <w:rStyle w:val="Hyperlink"/>
            <w:color w:val="auto"/>
          </w:rPr>
          <w:br/>
        </w:r>
        <w:r w:rsidR="008D4799" w:rsidRPr="00E401C4">
          <w:rPr>
            <w:rStyle w:val="Hyperlink"/>
            <w:color w:val="auto"/>
          </w:rPr>
          <w:t>with Alternative Compliance Payments, NGCC Units Are Added, and No Units Retire</w:t>
        </w:r>
        <w:r w:rsidR="008D4799" w:rsidRPr="00E401C4">
          <w:rPr>
            <w:webHidden/>
          </w:rPr>
          <w:tab/>
        </w:r>
        <w:r w:rsidR="008D4799" w:rsidRPr="00E401C4">
          <w:rPr>
            <w:webHidden/>
          </w:rPr>
          <w:fldChar w:fldCharType="begin"/>
        </w:r>
        <w:r w:rsidR="008D4799" w:rsidRPr="00E401C4">
          <w:rPr>
            <w:webHidden/>
          </w:rPr>
          <w:instrText xml:space="preserve"> PAGEREF _Toc486405965 \h </w:instrText>
        </w:r>
        <w:r w:rsidR="008D4799" w:rsidRPr="00E401C4">
          <w:rPr>
            <w:webHidden/>
          </w:rPr>
        </w:r>
        <w:r w:rsidR="008D4799" w:rsidRPr="00E401C4">
          <w:rPr>
            <w:webHidden/>
          </w:rPr>
          <w:fldChar w:fldCharType="separate"/>
        </w:r>
        <w:r w:rsidR="00553160">
          <w:rPr>
            <w:webHidden/>
          </w:rPr>
          <w:t>16</w:t>
        </w:r>
        <w:r w:rsidR="008D4799" w:rsidRPr="00E401C4">
          <w:rPr>
            <w:webHidden/>
          </w:rPr>
          <w:fldChar w:fldCharType="end"/>
        </w:r>
      </w:hyperlink>
    </w:p>
    <w:p w:rsidR="008D4799" w:rsidRPr="00E401C4" w:rsidRDefault="00505DC7" w:rsidP="00E401C4">
      <w:pPr>
        <w:pStyle w:val="TOC2"/>
        <w:rPr>
          <w:rFonts w:eastAsiaTheme="minorEastAsia" w:cstheme="minorBidi"/>
          <w:bCs w:val="0"/>
        </w:rPr>
      </w:pPr>
      <w:hyperlink w:anchor="_Toc486405966" w:history="1">
        <w:r w:rsidR="008D4799" w:rsidRPr="00E401C4">
          <w:rPr>
            <w:rStyle w:val="Hyperlink"/>
            <w:color w:val="auto"/>
          </w:rPr>
          <w:t>3.5 Scenario 5—“ACPs + Gas”—Existing Fleet Meets RPSs in Part with Alternative Compliance Payments,</w:t>
        </w:r>
        <w:r w:rsidR="00E401C4">
          <w:rPr>
            <w:rStyle w:val="Hyperlink"/>
            <w:color w:val="auto"/>
          </w:rPr>
          <w:br/>
        </w:r>
        <w:r w:rsidR="008D4799" w:rsidRPr="00E401C4">
          <w:rPr>
            <w:rStyle w:val="Hyperlink"/>
            <w:color w:val="auto"/>
          </w:rPr>
          <w:t>and NGCC Additions Replace Retired Units</w:t>
        </w:r>
        <w:r w:rsidR="008D4799" w:rsidRPr="00E401C4">
          <w:rPr>
            <w:webHidden/>
          </w:rPr>
          <w:tab/>
        </w:r>
        <w:r w:rsidR="008D4799" w:rsidRPr="00E401C4">
          <w:rPr>
            <w:webHidden/>
          </w:rPr>
          <w:fldChar w:fldCharType="begin"/>
        </w:r>
        <w:r w:rsidR="008D4799" w:rsidRPr="00E401C4">
          <w:rPr>
            <w:webHidden/>
          </w:rPr>
          <w:instrText xml:space="preserve"> PAGEREF _Toc486405966 \h </w:instrText>
        </w:r>
        <w:r w:rsidR="008D4799" w:rsidRPr="00E401C4">
          <w:rPr>
            <w:webHidden/>
          </w:rPr>
        </w:r>
        <w:r w:rsidR="008D4799" w:rsidRPr="00E401C4">
          <w:rPr>
            <w:webHidden/>
          </w:rPr>
          <w:fldChar w:fldCharType="separate"/>
        </w:r>
        <w:r w:rsidR="00553160">
          <w:rPr>
            <w:webHidden/>
          </w:rPr>
          <w:t>16</w:t>
        </w:r>
        <w:r w:rsidR="008D4799" w:rsidRPr="00E401C4">
          <w:rPr>
            <w:webHidden/>
          </w:rPr>
          <w:fldChar w:fldCharType="end"/>
        </w:r>
      </w:hyperlink>
    </w:p>
    <w:p w:rsidR="008D4799" w:rsidRPr="00E401C4" w:rsidRDefault="00505DC7" w:rsidP="00E401C4">
      <w:pPr>
        <w:pStyle w:val="TOC2"/>
        <w:rPr>
          <w:rFonts w:eastAsiaTheme="minorEastAsia" w:cstheme="minorBidi"/>
          <w:bCs w:val="0"/>
        </w:rPr>
      </w:pPr>
      <w:hyperlink w:anchor="_Toc486405967" w:history="1">
        <w:r w:rsidR="008D4799" w:rsidRPr="00E401C4">
          <w:rPr>
            <w:rStyle w:val="Hyperlink"/>
            <w:color w:val="auto"/>
          </w:rPr>
          <w:t>3.6 Scenario 6—“RPSs + Geodiverse Renewables”—Generation Fleet Meets Existing RPSs, and New Renewable/Clean Energy Resources around the Region Meet All Future Needs,</w:t>
        </w:r>
        <w:r w:rsidR="00E401C4">
          <w:rPr>
            <w:rStyle w:val="Hyperlink"/>
            <w:color w:val="auto"/>
          </w:rPr>
          <w:br/>
        </w:r>
        <w:r w:rsidR="008D4799" w:rsidRPr="00E401C4">
          <w:rPr>
            <w:rStyle w:val="Hyperlink"/>
            <w:color w:val="auto"/>
          </w:rPr>
          <w:t>Including the Replacement of Retired Units</w:t>
        </w:r>
        <w:r w:rsidR="008D4799" w:rsidRPr="00E401C4">
          <w:rPr>
            <w:webHidden/>
          </w:rPr>
          <w:tab/>
        </w:r>
        <w:r w:rsidR="008D4799" w:rsidRPr="00E401C4">
          <w:rPr>
            <w:webHidden/>
          </w:rPr>
          <w:fldChar w:fldCharType="begin"/>
        </w:r>
        <w:r w:rsidR="008D4799" w:rsidRPr="00E401C4">
          <w:rPr>
            <w:webHidden/>
          </w:rPr>
          <w:instrText xml:space="preserve"> PAGEREF _Toc486405967 \h </w:instrText>
        </w:r>
        <w:r w:rsidR="008D4799" w:rsidRPr="00E401C4">
          <w:rPr>
            <w:webHidden/>
          </w:rPr>
        </w:r>
        <w:r w:rsidR="008D4799" w:rsidRPr="00E401C4">
          <w:rPr>
            <w:webHidden/>
          </w:rPr>
          <w:fldChar w:fldCharType="separate"/>
        </w:r>
        <w:r w:rsidR="00553160">
          <w:rPr>
            <w:webHidden/>
          </w:rPr>
          <w:t>17</w:t>
        </w:r>
        <w:r w:rsidR="008D4799" w:rsidRPr="00E401C4">
          <w:rPr>
            <w:webHidden/>
          </w:rPr>
          <w:fldChar w:fldCharType="end"/>
        </w:r>
      </w:hyperlink>
    </w:p>
    <w:p w:rsidR="008D4799" w:rsidRPr="00E401C4" w:rsidRDefault="00505DC7" w:rsidP="00E401C4">
      <w:pPr>
        <w:pStyle w:val="TOC2"/>
        <w:rPr>
          <w:rFonts w:eastAsiaTheme="minorEastAsia" w:cstheme="minorBidi"/>
          <w:bCs w:val="0"/>
        </w:rPr>
      </w:pPr>
      <w:hyperlink w:anchor="_Toc486405968" w:history="1">
        <w:r w:rsidR="008D4799" w:rsidRPr="00E401C4">
          <w:rPr>
            <w:rStyle w:val="Hyperlink"/>
            <w:color w:val="auto"/>
          </w:rPr>
          <w:t>3.7 Overview of Scenario Parameters</w:t>
        </w:r>
        <w:r w:rsidR="008D4799" w:rsidRPr="00E401C4">
          <w:rPr>
            <w:webHidden/>
          </w:rPr>
          <w:tab/>
        </w:r>
        <w:r w:rsidR="008D4799" w:rsidRPr="00E401C4">
          <w:rPr>
            <w:webHidden/>
          </w:rPr>
          <w:fldChar w:fldCharType="begin"/>
        </w:r>
        <w:r w:rsidR="008D4799" w:rsidRPr="00E401C4">
          <w:rPr>
            <w:webHidden/>
          </w:rPr>
          <w:instrText xml:space="preserve"> PAGEREF _Toc486405968 \h </w:instrText>
        </w:r>
        <w:r w:rsidR="008D4799" w:rsidRPr="00E401C4">
          <w:rPr>
            <w:webHidden/>
          </w:rPr>
        </w:r>
        <w:r w:rsidR="008D4799" w:rsidRPr="00E401C4">
          <w:rPr>
            <w:webHidden/>
          </w:rPr>
          <w:fldChar w:fldCharType="separate"/>
        </w:r>
        <w:r w:rsidR="00553160">
          <w:rPr>
            <w:webHidden/>
          </w:rPr>
          <w:t>17</w:t>
        </w:r>
        <w:r w:rsidR="008D4799" w:rsidRPr="00E401C4">
          <w:rPr>
            <w:webHidden/>
          </w:rPr>
          <w:fldChar w:fldCharType="end"/>
        </w:r>
      </w:hyperlink>
    </w:p>
    <w:p w:rsidR="008D4799" w:rsidRPr="00E401C4" w:rsidRDefault="00505DC7" w:rsidP="00E401C4">
      <w:pPr>
        <w:pStyle w:val="TOC1"/>
        <w:rPr>
          <w:rFonts w:eastAsiaTheme="minorEastAsia" w:cstheme="minorBidi"/>
        </w:rPr>
      </w:pPr>
      <w:hyperlink w:anchor="_Toc486405969" w:history="1">
        <w:r w:rsidR="008D4799" w:rsidRPr="00E401C4">
          <w:rPr>
            <w:rStyle w:val="Hyperlink"/>
            <w:color w:val="auto"/>
          </w:rPr>
          <w:t>Section 4</w:t>
        </w:r>
        <w:r w:rsidR="00E401C4">
          <w:rPr>
            <w:rStyle w:val="Hyperlink"/>
            <w:color w:val="auto"/>
          </w:rPr>
          <w:br/>
        </w:r>
        <w:r w:rsidR="008D4799" w:rsidRPr="00E401C4">
          <w:rPr>
            <w:rStyle w:val="Hyperlink"/>
            <w:color w:val="auto"/>
          </w:rPr>
          <w:t>Methodology and Metrics</w:t>
        </w:r>
        <w:r w:rsidR="008D4799" w:rsidRPr="00E401C4">
          <w:rPr>
            <w:webHidden/>
          </w:rPr>
          <w:tab/>
        </w:r>
        <w:r w:rsidR="008D4799" w:rsidRPr="00E401C4">
          <w:rPr>
            <w:webHidden/>
          </w:rPr>
          <w:fldChar w:fldCharType="begin"/>
        </w:r>
        <w:r w:rsidR="008D4799" w:rsidRPr="00E401C4">
          <w:rPr>
            <w:webHidden/>
          </w:rPr>
          <w:instrText xml:space="preserve"> PAGEREF _Toc486405969 \h </w:instrText>
        </w:r>
        <w:r w:rsidR="008D4799" w:rsidRPr="00E401C4">
          <w:rPr>
            <w:webHidden/>
          </w:rPr>
        </w:r>
        <w:r w:rsidR="008D4799" w:rsidRPr="00E401C4">
          <w:rPr>
            <w:webHidden/>
          </w:rPr>
          <w:fldChar w:fldCharType="separate"/>
        </w:r>
        <w:r w:rsidR="00553160">
          <w:rPr>
            <w:webHidden/>
          </w:rPr>
          <w:t>19</w:t>
        </w:r>
        <w:r w:rsidR="008D4799" w:rsidRPr="00E401C4">
          <w:rPr>
            <w:webHidden/>
          </w:rPr>
          <w:fldChar w:fldCharType="end"/>
        </w:r>
      </w:hyperlink>
    </w:p>
    <w:p w:rsidR="008D4799" w:rsidRPr="00E401C4" w:rsidRDefault="00505DC7" w:rsidP="00E401C4">
      <w:pPr>
        <w:pStyle w:val="TOC2"/>
        <w:rPr>
          <w:rFonts w:eastAsiaTheme="minorEastAsia" w:cstheme="minorBidi"/>
          <w:bCs w:val="0"/>
        </w:rPr>
      </w:pPr>
      <w:hyperlink w:anchor="_Toc486405970" w:history="1">
        <w:r w:rsidR="008D4799" w:rsidRPr="00E401C4">
          <w:rPr>
            <w:rStyle w:val="Hyperlink"/>
            <w:color w:val="auto"/>
          </w:rPr>
          <w:t>4.1 Methodology</w:t>
        </w:r>
        <w:r w:rsidR="008D4799" w:rsidRPr="00E401C4">
          <w:rPr>
            <w:webHidden/>
          </w:rPr>
          <w:tab/>
        </w:r>
        <w:r w:rsidR="008D4799" w:rsidRPr="00E401C4">
          <w:rPr>
            <w:webHidden/>
          </w:rPr>
          <w:fldChar w:fldCharType="begin"/>
        </w:r>
        <w:r w:rsidR="008D4799" w:rsidRPr="00E401C4">
          <w:rPr>
            <w:webHidden/>
          </w:rPr>
          <w:instrText xml:space="preserve"> PAGEREF _Toc486405970 \h </w:instrText>
        </w:r>
        <w:r w:rsidR="008D4799" w:rsidRPr="00E401C4">
          <w:rPr>
            <w:webHidden/>
          </w:rPr>
        </w:r>
        <w:r w:rsidR="008D4799" w:rsidRPr="00E401C4">
          <w:rPr>
            <w:webHidden/>
          </w:rPr>
          <w:fldChar w:fldCharType="separate"/>
        </w:r>
        <w:r w:rsidR="00553160">
          <w:rPr>
            <w:webHidden/>
          </w:rPr>
          <w:t>19</w:t>
        </w:r>
        <w:r w:rsidR="008D4799" w:rsidRPr="00E401C4">
          <w:rPr>
            <w:webHidden/>
          </w:rPr>
          <w:fldChar w:fldCharType="end"/>
        </w:r>
      </w:hyperlink>
    </w:p>
    <w:p w:rsidR="008D4799" w:rsidRPr="00E401C4" w:rsidRDefault="00505DC7" w:rsidP="00E401C4">
      <w:pPr>
        <w:pStyle w:val="TOC2"/>
        <w:rPr>
          <w:rFonts w:eastAsiaTheme="minorEastAsia" w:cstheme="minorBidi"/>
          <w:bCs w:val="0"/>
        </w:rPr>
      </w:pPr>
      <w:hyperlink w:anchor="_Toc486405971" w:history="1">
        <w:r w:rsidR="008D4799" w:rsidRPr="00E401C4">
          <w:rPr>
            <w:rStyle w:val="Hyperlink"/>
            <w:color w:val="auto"/>
          </w:rPr>
          <w:t>4.2 Metrics Analyzed</w:t>
        </w:r>
        <w:r w:rsidR="008D4799" w:rsidRPr="00E401C4">
          <w:rPr>
            <w:webHidden/>
          </w:rPr>
          <w:tab/>
        </w:r>
        <w:r w:rsidR="008D4799" w:rsidRPr="00E401C4">
          <w:rPr>
            <w:webHidden/>
          </w:rPr>
          <w:fldChar w:fldCharType="begin"/>
        </w:r>
        <w:r w:rsidR="008D4799" w:rsidRPr="00E401C4">
          <w:rPr>
            <w:webHidden/>
          </w:rPr>
          <w:instrText xml:space="preserve"> PAGEREF _Toc486405971 \h </w:instrText>
        </w:r>
        <w:r w:rsidR="008D4799" w:rsidRPr="00E401C4">
          <w:rPr>
            <w:webHidden/>
          </w:rPr>
        </w:r>
        <w:r w:rsidR="008D4799" w:rsidRPr="00E401C4">
          <w:rPr>
            <w:webHidden/>
          </w:rPr>
          <w:fldChar w:fldCharType="separate"/>
        </w:r>
        <w:r w:rsidR="00553160">
          <w:rPr>
            <w:webHidden/>
          </w:rPr>
          <w:t>19</w:t>
        </w:r>
        <w:r w:rsidR="008D4799" w:rsidRPr="00E401C4">
          <w:rPr>
            <w:webHidden/>
          </w:rPr>
          <w:fldChar w:fldCharType="end"/>
        </w:r>
      </w:hyperlink>
    </w:p>
    <w:p w:rsidR="008D4799" w:rsidRPr="00E401C4" w:rsidRDefault="00505DC7" w:rsidP="00E401C4">
      <w:pPr>
        <w:pStyle w:val="TOC1"/>
        <w:rPr>
          <w:rFonts w:eastAsiaTheme="minorEastAsia" w:cstheme="minorBidi"/>
        </w:rPr>
      </w:pPr>
      <w:hyperlink w:anchor="_Toc486405972" w:history="1">
        <w:r w:rsidR="008D4799" w:rsidRPr="00E401C4">
          <w:rPr>
            <w:rStyle w:val="Hyperlink"/>
            <w:color w:val="auto"/>
          </w:rPr>
          <w:t>Section 5</w:t>
        </w:r>
        <w:r w:rsidR="00E401C4">
          <w:rPr>
            <w:rStyle w:val="Hyperlink"/>
            <w:color w:val="auto"/>
          </w:rPr>
          <w:br/>
        </w:r>
        <w:r w:rsidR="008D4799" w:rsidRPr="00E401C4">
          <w:rPr>
            <w:rStyle w:val="Hyperlink"/>
            <w:color w:val="auto"/>
          </w:rPr>
          <w:t>Assumptions</w:t>
        </w:r>
        <w:r w:rsidR="008D4799" w:rsidRPr="00E401C4">
          <w:rPr>
            <w:webHidden/>
          </w:rPr>
          <w:tab/>
        </w:r>
        <w:r w:rsidR="008D4799" w:rsidRPr="00E401C4">
          <w:rPr>
            <w:webHidden/>
          </w:rPr>
          <w:fldChar w:fldCharType="begin"/>
        </w:r>
        <w:r w:rsidR="008D4799" w:rsidRPr="00E401C4">
          <w:rPr>
            <w:webHidden/>
          </w:rPr>
          <w:instrText xml:space="preserve"> PAGEREF _Toc486405972 \h </w:instrText>
        </w:r>
        <w:r w:rsidR="008D4799" w:rsidRPr="00E401C4">
          <w:rPr>
            <w:webHidden/>
          </w:rPr>
        </w:r>
        <w:r w:rsidR="008D4799" w:rsidRPr="00E401C4">
          <w:rPr>
            <w:webHidden/>
          </w:rPr>
          <w:fldChar w:fldCharType="separate"/>
        </w:r>
        <w:r w:rsidR="00553160">
          <w:rPr>
            <w:webHidden/>
          </w:rPr>
          <w:t>21</w:t>
        </w:r>
        <w:r w:rsidR="008D4799" w:rsidRPr="00E401C4">
          <w:rPr>
            <w:webHidden/>
          </w:rPr>
          <w:fldChar w:fldCharType="end"/>
        </w:r>
      </w:hyperlink>
    </w:p>
    <w:p w:rsidR="008D4799" w:rsidRPr="00E401C4" w:rsidRDefault="00505DC7" w:rsidP="00E401C4">
      <w:pPr>
        <w:pStyle w:val="TOC2"/>
        <w:rPr>
          <w:rFonts w:eastAsiaTheme="minorEastAsia" w:cstheme="minorBidi"/>
          <w:bCs w:val="0"/>
        </w:rPr>
      </w:pPr>
      <w:hyperlink w:anchor="_Toc486405973" w:history="1">
        <w:r w:rsidR="008D4799" w:rsidRPr="00E401C4">
          <w:rPr>
            <w:rStyle w:val="Hyperlink"/>
            <w:color w:val="auto"/>
          </w:rPr>
          <w:t>5.1 Public Policies Assumed</w:t>
        </w:r>
        <w:r w:rsidR="008D4799" w:rsidRPr="00E401C4">
          <w:rPr>
            <w:webHidden/>
          </w:rPr>
          <w:tab/>
        </w:r>
        <w:r w:rsidR="008D4799" w:rsidRPr="00E401C4">
          <w:rPr>
            <w:webHidden/>
          </w:rPr>
          <w:fldChar w:fldCharType="begin"/>
        </w:r>
        <w:r w:rsidR="008D4799" w:rsidRPr="00E401C4">
          <w:rPr>
            <w:webHidden/>
          </w:rPr>
          <w:instrText xml:space="preserve"> PAGEREF _Toc486405973 \h </w:instrText>
        </w:r>
        <w:r w:rsidR="008D4799" w:rsidRPr="00E401C4">
          <w:rPr>
            <w:webHidden/>
          </w:rPr>
        </w:r>
        <w:r w:rsidR="008D4799" w:rsidRPr="00E401C4">
          <w:rPr>
            <w:webHidden/>
          </w:rPr>
          <w:fldChar w:fldCharType="separate"/>
        </w:r>
        <w:r w:rsidR="00553160">
          <w:rPr>
            <w:webHidden/>
          </w:rPr>
          <w:t>21</w:t>
        </w:r>
        <w:r w:rsidR="008D4799" w:rsidRPr="00E401C4">
          <w:rPr>
            <w:webHidden/>
          </w:rPr>
          <w:fldChar w:fldCharType="end"/>
        </w:r>
      </w:hyperlink>
    </w:p>
    <w:p w:rsidR="008D4799" w:rsidRPr="00E401C4" w:rsidRDefault="00505DC7" w:rsidP="00E401C4">
      <w:pPr>
        <w:pStyle w:val="TOC2"/>
        <w:rPr>
          <w:rFonts w:eastAsiaTheme="minorEastAsia" w:cstheme="minorBidi"/>
          <w:bCs w:val="0"/>
        </w:rPr>
      </w:pPr>
      <w:hyperlink w:anchor="_Toc486405974" w:history="1">
        <w:r w:rsidR="008D4799" w:rsidRPr="00E401C4">
          <w:rPr>
            <w:rStyle w:val="Hyperlink"/>
            <w:color w:val="auto"/>
          </w:rPr>
          <w:t xml:space="preserve">5.2 Peak </w:t>
        </w:r>
        <w:r w:rsidR="008D4799" w:rsidRPr="00E401C4">
          <w:rPr>
            <w:rStyle w:val="Hyperlink"/>
            <w:iCs/>
            <w:color w:val="auto"/>
          </w:rPr>
          <w:t>Demand,</w:t>
        </w:r>
        <w:r w:rsidR="008D4799" w:rsidRPr="00E401C4">
          <w:rPr>
            <w:rStyle w:val="Hyperlink"/>
            <w:color w:val="auto"/>
          </w:rPr>
          <w:t xml:space="preserve"> Annual Energy Use, and Demand Modifiers</w:t>
        </w:r>
        <w:r w:rsidR="008D4799" w:rsidRPr="00E401C4">
          <w:rPr>
            <w:webHidden/>
          </w:rPr>
          <w:tab/>
        </w:r>
        <w:r w:rsidR="008D4799" w:rsidRPr="00E401C4">
          <w:rPr>
            <w:webHidden/>
          </w:rPr>
          <w:fldChar w:fldCharType="begin"/>
        </w:r>
        <w:r w:rsidR="008D4799" w:rsidRPr="00E401C4">
          <w:rPr>
            <w:webHidden/>
          </w:rPr>
          <w:instrText xml:space="preserve"> PAGEREF _Toc486405974 \h </w:instrText>
        </w:r>
        <w:r w:rsidR="008D4799" w:rsidRPr="00E401C4">
          <w:rPr>
            <w:webHidden/>
          </w:rPr>
        </w:r>
        <w:r w:rsidR="008D4799" w:rsidRPr="00E401C4">
          <w:rPr>
            <w:webHidden/>
          </w:rPr>
          <w:fldChar w:fldCharType="separate"/>
        </w:r>
        <w:r w:rsidR="00553160">
          <w:rPr>
            <w:webHidden/>
          </w:rPr>
          <w:t>22</w:t>
        </w:r>
        <w:r w:rsidR="008D4799" w:rsidRPr="00E401C4">
          <w:rPr>
            <w:webHidden/>
          </w:rPr>
          <w:fldChar w:fldCharType="end"/>
        </w:r>
      </w:hyperlink>
    </w:p>
    <w:p w:rsidR="008D4799" w:rsidRPr="00E401C4" w:rsidRDefault="00505DC7" w:rsidP="00E401C4">
      <w:pPr>
        <w:pStyle w:val="TOC3"/>
        <w:spacing w:after="120" w:line="240" w:lineRule="auto"/>
        <w:rPr>
          <w:rFonts w:asciiTheme="minorHAnsi" w:eastAsiaTheme="minorEastAsia" w:hAnsiTheme="minorHAnsi" w:cstheme="minorBidi"/>
          <w:noProof/>
        </w:rPr>
      </w:pPr>
      <w:hyperlink w:anchor="_Toc486405975" w:history="1">
        <w:r w:rsidR="008D4799" w:rsidRPr="00E401C4">
          <w:rPr>
            <w:rStyle w:val="Hyperlink"/>
            <w:rFonts w:asciiTheme="minorHAnsi" w:hAnsiTheme="minorHAnsi"/>
            <w:noProof/>
            <w:color w:val="auto"/>
          </w:rPr>
          <w:t>5.2.1</w:t>
        </w:r>
        <w:r w:rsidR="008D4799" w:rsidRPr="00E401C4">
          <w:rPr>
            <w:rStyle w:val="Hyperlink"/>
            <w:rFonts w:asciiTheme="minorHAnsi" w:hAnsiTheme="minorHAnsi"/>
            <w:bCs/>
            <w:noProof/>
            <w:color w:val="auto"/>
          </w:rPr>
          <w:t xml:space="preserve"> Peak Demand</w:t>
        </w:r>
        <w:r w:rsidR="008D4799" w:rsidRPr="00E401C4">
          <w:rPr>
            <w:rStyle w:val="Hyperlink"/>
            <w:rFonts w:asciiTheme="minorHAnsi" w:hAnsiTheme="minorHAnsi"/>
            <w:noProof/>
            <w:color w:val="auto"/>
          </w:rPr>
          <w:t xml:space="preserve"> and Annual Energy Use</w:t>
        </w:r>
        <w:r w:rsidR="008D4799" w:rsidRPr="00E401C4">
          <w:rPr>
            <w:rFonts w:asciiTheme="minorHAnsi" w:hAnsiTheme="minorHAnsi"/>
            <w:noProof/>
            <w:webHidden/>
          </w:rPr>
          <w:tab/>
        </w:r>
        <w:r w:rsidR="008D4799" w:rsidRPr="00E401C4">
          <w:rPr>
            <w:rFonts w:asciiTheme="minorHAnsi" w:hAnsiTheme="minorHAnsi"/>
            <w:noProof/>
            <w:webHidden/>
          </w:rPr>
          <w:fldChar w:fldCharType="begin"/>
        </w:r>
        <w:r w:rsidR="008D4799" w:rsidRPr="00E401C4">
          <w:rPr>
            <w:rFonts w:asciiTheme="minorHAnsi" w:hAnsiTheme="minorHAnsi"/>
            <w:noProof/>
            <w:webHidden/>
          </w:rPr>
          <w:instrText xml:space="preserve"> PAGEREF _Toc486405975 \h </w:instrText>
        </w:r>
        <w:r w:rsidR="008D4799" w:rsidRPr="00E401C4">
          <w:rPr>
            <w:rFonts w:asciiTheme="minorHAnsi" w:hAnsiTheme="minorHAnsi"/>
            <w:noProof/>
            <w:webHidden/>
          </w:rPr>
        </w:r>
        <w:r w:rsidR="008D4799" w:rsidRPr="00E401C4">
          <w:rPr>
            <w:rFonts w:asciiTheme="minorHAnsi" w:hAnsiTheme="minorHAnsi"/>
            <w:noProof/>
            <w:webHidden/>
          </w:rPr>
          <w:fldChar w:fldCharType="separate"/>
        </w:r>
        <w:r w:rsidR="00553160">
          <w:rPr>
            <w:rFonts w:asciiTheme="minorHAnsi" w:hAnsiTheme="minorHAnsi"/>
            <w:noProof/>
            <w:webHidden/>
          </w:rPr>
          <w:t>22</w:t>
        </w:r>
        <w:r w:rsidR="008D4799" w:rsidRPr="00E401C4">
          <w:rPr>
            <w:rFonts w:asciiTheme="minorHAnsi" w:hAnsiTheme="minorHAnsi"/>
            <w:noProof/>
            <w:webHidden/>
          </w:rPr>
          <w:fldChar w:fldCharType="end"/>
        </w:r>
      </w:hyperlink>
    </w:p>
    <w:p w:rsidR="008D4799" w:rsidRPr="00E401C4" w:rsidRDefault="00505DC7" w:rsidP="00E401C4">
      <w:pPr>
        <w:pStyle w:val="TOC3"/>
        <w:spacing w:after="120" w:line="240" w:lineRule="auto"/>
        <w:rPr>
          <w:rFonts w:asciiTheme="minorHAnsi" w:eastAsiaTheme="minorEastAsia" w:hAnsiTheme="minorHAnsi" w:cstheme="minorBidi"/>
          <w:noProof/>
        </w:rPr>
      </w:pPr>
      <w:hyperlink w:anchor="_Toc486405976" w:history="1">
        <w:r w:rsidR="008D4799" w:rsidRPr="00E401C4">
          <w:rPr>
            <w:rStyle w:val="Hyperlink"/>
            <w:rFonts w:asciiTheme="minorHAnsi" w:hAnsiTheme="minorHAnsi"/>
            <w:noProof/>
            <w:color w:val="auto"/>
          </w:rPr>
          <w:t>5.2.2 Passive Demand and Behind-the Meter PV Resources</w:t>
        </w:r>
        <w:r w:rsidR="008D4799" w:rsidRPr="00E401C4">
          <w:rPr>
            <w:rFonts w:asciiTheme="minorHAnsi" w:hAnsiTheme="minorHAnsi"/>
            <w:noProof/>
            <w:webHidden/>
          </w:rPr>
          <w:tab/>
        </w:r>
        <w:r w:rsidR="008D4799" w:rsidRPr="00E401C4">
          <w:rPr>
            <w:rFonts w:asciiTheme="minorHAnsi" w:hAnsiTheme="minorHAnsi"/>
            <w:noProof/>
            <w:webHidden/>
          </w:rPr>
          <w:fldChar w:fldCharType="begin"/>
        </w:r>
        <w:r w:rsidR="008D4799" w:rsidRPr="00E401C4">
          <w:rPr>
            <w:rFonts w:asciiTheme="minorHAnsi" w:hAnsiTheme="minorHAnsi"/>
            <w:noProof/>
            <w:webHidden/>
          </w:rPr>
          <w:instrText xml:space="preserve"> PAGEREF _Toc486405976 \h </w:instrText>
        </w:r>
        <w:r w:rsidR="008D4799" w:rsidRPr="00E401C4">
          <w:rPr>
            <w:rFonts w:asciiTheme="minorHAnsi" w:hAnsiTheme="minorHAnsi"/>
            <w:noProof/>
            <w:webHidden/>
          </w:rPr>
        </w:r>
        <w:r w:rsidR="008D4799" w:rsidRPr="00E401C4">
          <w:rPr>
            <w:rFonts w:asciiTheme="minorHAnsi" w:hAnsiTheme="minorHAnsi"/>
            <w:noProof/>
            <w:webHidden/>
          </w:rPr>
          <w:fldChar w:fldCharType="separate"/>
        </w:r>
        <w:r w:rsidR="00553160">
          <w:rPr>
            <w:rFonts w:asciiTheme="minorHAnsi" w:hAnsiTheme="minorHAnsi"/>
            <w:noProof/>
            <w:webHidden/>
          </w:rPr>
          <w:t>23</w:t>
        </w:r>
        <w:r w:rsidR="008D4799" w:rsidRPr="00E401C4">
          <w:rPr>
            <w:rFonts w:asciiTheme="minorHAnsi" w:hAnsiTheme="minorHAnsi"/>
            <w:noProof/>
            <w:webHidden/>
          </w:rPr>
          <w:fldChar w:fldCharType="end"/>
        </w:r>
      </w:hyperlink>
    </w:p>
    <w:p w:rsidR="008D4799" w:rsidRPr="00E401C4" w:rsidRDefault="00505DC7" w:rsidP="00E401C4">
      <w:pPr>
        <w:pStyle w:val="TOC3"/>
        <w:spacing w:after="120" w:line="240" w:lineRule="auto"/>
        <w:rPr>
          <w:rFonts w:asciiTheme="minorHAnsi" w:eastAsiaTheme="minorEastAsia" w:hAnsiTheme="minorHAnsi" w:cstheme="minorBidi"/>
          <w:noProof/>
        </w:rPr>
      </w:pPr>
      <w:hyperlink w:anchor="_Toc486405977" w:history="1">
        <w:r w:rsidR="008D4799" w:rsidRPr="00E401C4">
          <w:rPr>
            <w:rStyle w:val="Hyperlink"/>
            <w:rFonts w:asciiTheme="minorHAnsi" w:hAnsiTheme="minorHAnsi"/>
            <w:noProof/>
            <w:color w:val="auto"/>
          </w:rPr>
          <w:t>5.2.3</w:t>
        </w:r>
        <w:r w:rsidR="008D4799" w:rsidRPr="00E401C4">
          <w:rPr>
            <w:rStyle w:val="Hyperlink"/>
            <w:rFonts w:asciiTheme="minorHAnsi" w:hAnsiTheme="minorHAnsi"/>
            <w:bCs/>
            <w:noProof/>
            <w:color w:val="auto"/>
          </w:rPr>
          <w:t xml:space="preserve"> Plug-In Hybrid</w:t>
        </w:r>
        <w:r w:rsidR="008D4799" w:rsidRPr="00E401C4">
          <w:rPr>
            <w:rStyle w:val="Hyperlink"/>
            <w:rFonts w:asciiTheme="minorHAnsi" w:hAnsiTheme="minorHAnsi"/>
            <w:noProof/>
            <w:color w:val="auto"/>
          </w:rPr>
          <w:t xml:space="preserve"> Electric Vehicles</w:t>
        </w:r>
        <w:r w:rsidR="008D4799" w:rsidRPr="00E401C4">
          <w:rPr>
            <w:rFonts w:asciiTheme="minorHAnsi" w:hAnsiTheme="minorHAnsi"/>
            <w:noProof/>
            <w:webHidden/>
          </w:rPr>
          <w:tab/>
        </w:r>
        <w:r w:rsidR="008D4799" w:rsidRPr="00E401C4">
          <w:rPr>
            <w:rFonts w:asciiTheme="minorHAnsi" w:hAnsiTheme="minorHAnsi"/>
            <w:noProof/>
            <w:webHidden/>
          </w:rPr>
          <w:fldChar w:fldCharType="begin"/>
        </w:r>
        <w:r w:rsidR="008D4799" w:rsidRPr="00E401C4">
          <w:rPr>
            <w:rFonts w:asciiTheme="minorHAnsi" w:hAnsiTheme="minorHAnsi"/>
            <w:noProof/>
            <w:webHidden/>
          </w:rPr>
          <w:instrText xml:space="preserve"> PAGEREF _Toc486405977 \h </w:instrText>
        </w:r>
        <w:r w:rsidR="008D4799" w:rsidRPr="00E401C4">
          <w:rPr>
            <w:rFonts w:asciiTheme="minorHAnsi" w:hAnsiTheme="minorHAnsi"/>
            <w:noProof/>
            <w:webHidden/>
          </w:rPr>
        </w:r>
        <w:r w:rsidR="008D4799" w:rsidRPr="00E401C4">
          <w:rPr>
            <w:rFonts w:asciiTheme="minorHAnsi" w:hAnsiTheme="minorHAnsi"/>
            <w:noProof/>
            <w:webHidden/>
          </w:rPr>
          <w:fldChar w:fldCharType="separate"/>
        </w:r>
        <w:r w:rsidR="00553160">
          <w:rPr>
            <w:rFonts w:asciiTheme="minorHAnsi" w:hAnsiTheme="minorHAnsi"/>
            <w:noProof/>
            <w:webHidden/>
          </w:rPr>
          <w:t>24</w:t>
        </w:r>
        <w:r w:rsidR="008D4799" w:rsidRPr="00E401C4">
          <w:rPr>
            <w:rFonts w:asciiTheme="minorHAnsi" w:hAnsiTheme="minorHAnsi"/>
            <w:noProof/>
            <w:webHidden/>
          </w:rPr>
          <w:fldChar w:fldCharType="end"/>
        </w:r>
      </w:hyperlink>
    </w:p>
    <w:p w:rsidR="008D4799" w:rsidRPr="00E401C4" w:rsidRDefault="00505DC7" w:rsidP="00E401C4">
      <w:pPr>
        <w:pStyle w:val="TOC2"/>
        <w:rPr>
          <w:rFonts w:eastAsiaTheme="minorEastAsia" w:cstheme="minorBidi"/>
          <w:bCs w:val="0"/>
        </w:rPr>
      </w:pPr>
      <w:hyperlink w:anchor="_Toc486405978" w:history="1">
        <w:r w:rsidR="008D4799" w:rsidRPr="00E401C4">
          <w:rPr>
            <w:rStyle w:val="Hyperlink"/>
            <w:color w:val="auto"/>
          </w:rPr>
          <w:t>5.3 Capacity Assumptions</w:t>
        </w:r>
        <w:r w:rsidR="008D4799" w:rsidRPr="00E401C4">
          <w:rPr>
            <w:webHidden/>
          </w:rPr>
          <w:tab/>
        </w:r>
        <w:r w:rsidR="008D4799" w:rsidRPr="00E401C4">
          <w:rPr>
            <w:webHidden/>
          </w:rPr>
          <w:fldChar w:fldCharType="begin"/>
        </w:r>
        <w:r w:rsidR="008D4799" w:rsidRPr="00E401C4">
          <w:rPr>
            <w:webHidden/>
          </w:rPr>
          <w:instrText xml:space="preserve"> PAGEREF _Toc486405978 \h </w:instrText>
        </w:r>
        <w:r w:rsidR="008D4799" w:rsidRPr="00E401C4">
          <w:rPr>
            <w:webHidden/>
          </w:rPr>
        </w:r>
        <w:r w:rsidR="008D4799" w:rsidRPr="00E401C4">
          <w:rPr>
            <w:webHidden/>
          </w:rPr>
          <w:fldChar w:fldCharType="separate"/>
        </w:r>
        <w:r w:rsidR="00553160">
          <w:rPr>
            <w:webHidden/>
          </w:rPr>
          <w:t>25</w:t>
        </w:r>
        <w:r w:rsidR="008D4799" w:rsidRPr="00E401C4">
          <w:rPr>
            <w:webHidden/>
          </w:rPr>
          <w:fldChar w:fldCharType="end"/>
        </w:r>
      </w:hyperlink>
    </w:p>
    <w:p w:rsidR="008D4799" w:rsidRPr="00E401C4" w:rsidRDefault="00505DC7" w:rsidP="00E401C4">
      <w:pPr>
        <w:pStyle w:val="TOC3"/>
        <w:spacing w:after="120" w:line="240" w:lineRule="auto"/>
        <w:rPr>
          <w:rFonts w:asciiTheme="minorHAnsi" w:eastAsiaTheme="minorEastAsia" w:hAnsiTheme="minorHAnsi" w:cstheme="minorBidi"/>
          <w:noProof/>
        </w:rPr>
      </w:pPr>
      <w:hyperlink w:anchor="_Toc486405979" w:history="1">
        <w:r w:rsidR="008D4799" w:rsidRPr="00E401C4">
          <w:rPr>
            <w:rStyle w:val="Hyperlink"/>
            <w:rFonts w:asciiTheme="minorHAnsi" w:hAnsiTheme="minorHAnsi"/>
            <w:noProof/>
            <w:color w:val="auto"/>
          </w:rPr>
          <w:t>5.3.1 Capacity Value Assumptions</w:t>
        </w:r>
        <w:r w:rsidR="008D4799" w:rsidRPr="00E401C4">
          <w:rPr>
            <w:rFonts w:asciiTheme="minorHAnsi" w:hAnsiTheme="minorHAnsi"/>
            <w:noProof/>
            <w:webHidden/>
          </w:rPr>
          <w:tab/>
        </w:r>
        <w:r w:rsidR="008D4799" w:rsidRPr="00E401C4">
          <w:rPr>
            <w:rFonts w:asciiTheme="minorHAnsi" w:hAnsiTheme="minorHAnsi"/>
            <w:noProof/>
            <w:webHidden/>
          </w:rPr>
          <w:fldChar w:fldCharType="begin"/>
        </w:r>
        <w:r w:rsidR="008D4799" w:rsidRPr="00E401C4">
          <w:rPr>
            <w:rFonts w:asciiTheme="minorHAnsi" w:hAnsiTheme="minorHAnsi"/>
            <w:noProof/>
            <w:webHidden/>
          </w:rPr>
          <w:instrText xml:space="preserve"> PAGEREF _Toc486405979 \h </w:instrText>
        </w:r>
        <w:r w:rsidR="008D4799" w:rsidRPr="00E401C4">
          <w:rPr>
            <w:rFonts w:asciiTheme="minorHAnsi" w:hAnsiTheme="minorHAnsi"/>
            <w:noProof/>
            <w:webHidden/>
          </w:rPr>
        </w:r>
        <w:r w:rsidR="008D4799" w:rsidRPr="00E401C4">
          <w:rPr>
            <w:rFonts w:asciiTheme="minorHAnsi" w:hAnsiTheme="minorHAnsi"/>
            <w:noProof/>
            <w:webHidden/>
          </w:rPr>
          <w:fldChar w:fldCharType="separate"/>
        </w:r>
        <w:r w:rsidR="00553160">
          <w:rPr>
            <w:rFonts w:asciiTheme="minorHAnsi" w:hAnsiTheme="minorHAnsi"/>
            <w:noProof/>
            <w:webHidden/>
          </w:rPr>
          <w:t>29</w:t>
        </w:r>
        <w:r w:rsidR="008D4799" w:rsidRPr="00E401C4">
          <w:rPr>
            <w:rFonts w:asciiTheme="minorHAnsi" w:hAnsiTheme="minorHAnsi"/>
            <w:noProof/>
            <w:webHidden/>
          </w:rPr>
          <w:fldChar w:fldCharType="end"/>
        </w:r>
      </w:hyperlink>
    </w:p>
    <w:p w:rsidR="008D4799" w:rsidRPr="00E401C4" w:rsidRDefault="00505DC7" w:rsidP="00E401C4">
      <w:pPr>
        <w:pStyle w:val="TOC3"/>
        <w:spacing w:after="120" w:line="240" w:lineRule="auto"/>
        <w:rPr>
          <w:rFonts w:asciiTheme="minorHAnsi" w:eastAsiaTheme="minorEastAsia" w:hAnsiTheme="minorHAnsi" w:cstheme="minorBidi"/>
          <w:noProof/>
        </w:rPr>
      </w:pPr>
      <w:hyperlink w:anchor="_Toc486405980" w:history="1">
        <w:r w:rsidR="008D4799" w:rsidRPr="00E401C4">
          <w:rPr>
            <w:rStyle w:val="Hyperlink"/>
            <w:rFonts w:asciiTheme="minorHAnsi" w:hAnsiTheme="minorHAnsi"/>
            <w:noProof/>
            <w:color w:val="auto"/>
          </w:rPr>
          <w:t>5.3.2 Wind Generation</w:t>
        </w:r>
        <w:r w:rsidR="008D4799" w:rsidRPr="00E401C4">
          <w:rPr>
            <w:rFonts w:asciiTheme="minorHAnsi" w:hAnsiTheme="minorHAnsi"/>
            <w:noProof/>
            <w:webHidden/>
          </w:rPr>
          <w:tab/>
        </w:r>
        <w:r w:rsidR="008D4799" w:rsidRPr="00E401C4">
          <w:rPr>
            <w:rFonts w:asciiTheme="minorHAnsi" w:hAnsiTheme="minorHAnsi"/>
            <w:noProof/>
            <w:webHidden/>
          </w:rPr>
          <w:fldChar w:fldCharType="begin"/>
        </w:r>
        <w:r w:rsidR="008D4799" w:rsidRPr="00E401C4">
          <w:rPr>
            <w:rFonts w:asciiTheme="minorHAnsi" w:hAnsiTheme="minorHAnsi"/>
            <w:noProof/>
            <w:webHidden/>
          </w:rPr>
          <w:instrText xml:space="preserve"> PAGEREF _Toc486405980 \h </w:instrText>
        </w:r>
        <w:r w:rsidR="008D4799" w:rsidRPr="00E401C4">
          <w:rPr>
            <w:rFonts w:asciiTheme="minorHAnsi" w:hAnsiTheme="minorHAnsi"/>
            <w:noProof/>
            <w:webHidden/>
          </w:rPr>
        </w:r>
        <w:r w:rsidR="008D4799" w:rsidRPr="00E401C4">
          <w:rPr>
            <w:rFonts w:asciiTheme="minorHAnsi" w:hAnsiTheme="minorHAnsi"/>
            <w:noProof/>
            <w:webHidden/>
          </w:rPr>
          <w:fldChar w:fldCharType="separate"/>
        </w:r>
        <w:r w:rsidR="00553160">
          <w:rPr>
            <w:rFonts w:asciiTheme="minorHAnsi" w:hAnsiTheme="minorHAnsi"/>
            <w:noProof/>
            <w:webHidden/>
          </w:rPr>
          <w:t>31</w:t>
        </w:r>
        <w:r w:rsidR="008D4799" w:rsidRPr="00E401C4">
          <w:rPr>
            <w:rFonts w:asciiTheme="minorHAnsi" w:hAnsiTheme="minorHAnsi"/>
            <w:noProof/>
            <w:webHidden/>
          </w:rPr>
          <w:fldChar w:fldCharType="end"/>
        </w:r>
      </w:hyperlink>
    </w:p>
    <w:p w:rsidR="008D4799" w:rsidRPr="00E401C4" w:rsidRDefault="00505DC7" w:rsidP="00E401C4">
      <w:pPr>
        <w:pStyle w:val="TOC3"/>
        <w:spacing w:after="120" w:line="240" w:lineRule="auto"/>
        <w:rPr>
          <w:rFonts w:asciiTheme="minorHAnsi" w:eastAsiaTheme="minorEastAsia" w:hAnsiTheme="minorHAnsi" w:cstheme="minorBidi"/>
          <w:noProof/>
        </w:rPr>
      </w:pPr>
      <w:hyperlink w:anchor="_Toc486405981" w:history="1">
        <w:r w:rsidR="008D4799" w:rsidRPr="00E401C4">
          <w:rPr>
            <w:rStyle w:val="Hyperlink"/>
            <w:rFonts w:asciiTheme="minorHAnsi" w:hAnsiTheme="minorHAnsi"/>
            <w:noProof/>
            <w:color w:val="auto"/>
          </w:rPr>
          <w:t>5.3.3 Resource Retirements</w:t>
        </w:r>
        <w:r w:rsidR="008D4799" w:rsidRPr="00E401C4">
          <w:rPr>
            <w:rFonts w:asciiTheme="minorHAnsi" w:hAnsiTheme="minorHAnsi"/>
            <w:noProof/>
            <w:webHidden/>
          </w:rPr>
          <w:tab/>
        </w:r>
        <w:r w:rsidR="008D4799" w:rsidRPr="00E401C4">
          <w:rPr>
            <w:rFonts w:asciiTheme="minorHAnsi" w:hAnsiTheme="minorHAnsi"/>
            <w:noProof/>
            <w:webHidden/>
          </w:rPr>
          <w:fldChar w:fldCharType="begin"/>
        </w:r>
        <w:r w:rsidR="008D4799" w:rsidRPr="00E401C4">
          <w:rPr>
            <w:rFonts w:asciiTheme="minorHAnsi" w:hAnsiTheme="minorHAnsi"/>
            <w:noProof/>
            <w:webHidden/>
          </w:rPr>
          <w:instrText xml:space="preserve"> PAGEREF _Toc486405981 \h </w:instrText>
        </w:r>
        <w:r w:rsidR="008D4799" w:rsidRPr="00E401C4">
          <w:rPr>
            <w:rFonts w:asciiTheme="minorHAnsi" w:hAnsiTheme="minorHAnsi"/>
            <w:noProof/>
            <w:webHidden/>
          </w:rPr>
        </w:r>
        <w:r w:rsidR="008D4799" w:rsidRPr="00E401C4">
          <w:rPr>
            <w:rFonts w:asciiTheme="minorHAnsi" w:hAnsiTheme="minorHAnsi"/>
            <w:noProof/>
            <w:webHidden/>
          </w:rPr>
          <w:fldChar w:fldCharType="separate"/>
        </w:r>
        <w:r w:rsidR="00553160">
          <w:rPr>
            <w:rFonts w:asciiTheme="minorHAnsi" w:hAnsiTheme="minorHAnsi"/>
            <w:noProof/>
            <w:webHidden/>
          </w:rPr>
          <w:t>34</w:t>
        </w:r>
        <w:r w:rsidR="008D4799" w:rsidRPr="00E401C4">
          <w:rPr>
            <w:rFonts w:asciiTheme="minorHAnsi" w:hAnsiTheme="minorHAnsi"/>
            <w:noProof/>
            <w:webHidden/>
          </w:rPr>
          <w:fldChar w:fldCharType="end"/>
        </w:r>
      </w:hyperlink>
    </w:p>
    <w:p w:rsidR="008D4799" w:rsidRPr="00E401C4" w:rsidRDefault="00505DC7" w:rsidP="00E401C4">
      <w:pPr>
        <w:pStyle w:val="TOC3"/>
        <w:spacing w:after="120" w:line="240" w:lineRule="auto"/>
        <w:rPr>
          <w:rFonts w:asciiTheme="minorHAnsi" w:eastAsiaTheme="minorEastAsia" w:hAnsiTheme="minorHAnsi" w:cstheme="minorBidi"/>
          <w:noProof/>
        </w:rPr>
      </w:pPr>
      <w:hyperlink w:anchor="_Toc486405982" w:history="1">
        <w:r w:rsidR="008D4799" w:rsidRPr="00E401C4">
          <w:rPr>
            <w:rStyle w:val="Hyperlink"/>
            <w:rFonts w:asciiTheme="minorHAnsi" w:hAnsiTheme="minorHAnsi"/>
            <w:noProof/>
            <w:color w:val="auto"/>
          </w:rPr>
          <w:t>5.3.4 Renewable Portfolio Standards</w:t>
        </w:r>
        <w:r w:rsidR="008D4799" w:rsidRPr="00E401C4">
          <w:rPr>
            <w:rFonts w:asciiTheme="minorHAnsi" w:hAnsiTheme="minorHAnsi"/>
            <w:noProof/>
            <w:webHidden/>
          </w:rPr>
          <w:tab/>
        </w:r>
        <w:r w:rsidR="008D4799" w:rsidRPr="00E401C4">
          <w:rPr>
            <w:rFonts w:asciiTheme="minorHAnsi" w:hAnsiTheme="minorHAnsi"/>
            <w:noProof/>
            <w:webHidden/>
          </w:rPr>
          <w:fldChar w:fldCharType="begin"/>
        </w:r>
        <w:r w:rsidR="008D4799" w:rsidRPr="00E401C4">
          <w:rPr>
            <w:rFonts w:asciiTheme="minorHAnsi" w:hAnsiTheme="minorHAnsi"/>
            <w:noProof/>
            <w:webHidden/>
          </w:rPr>
          <w:instrText xml:space="preserve"> PAGEREF _Toc486405982 \h </w:instrText>
        </w:r>
        <w:r w:rsidR="008D4799" w:rsidRPr="00E401C4">
          <w:rPr>
            <w:rFonts w:asciiTheme="minorHAnsi" w:hAnsiTheme="minorHAnsi"/>
            <w:noProof/>
            <w:webHidden/>
          </w:rPr>
        </w:r>
        <w:r w:rsidR="008D4799" w:rsidRPr="00E401C4">
          <w:rPr>
            <w:rFonts w:asciiTheme="minorHAnsi" w:hAnsiTheme="minorHAnsi"/>
            <w:noProof/>
            <w:webHidden/>
          </w:rPr>
          <w:fldChar w:fldCharType="separate"/>
        </w:r>
        <w:r w:rsidR="00553160">
          <w:rPr>
            <w:rFonts w:asciiTheme="minorHAnsi" w:hAnsiTheme="minorHAnsi"/>
            <w:noProof/>
            <w:webHidden/>
          </w:rPr>
          <w:t>35</w:t>
        </w:r>
        <w:r w:rsidR="008D4799" w:rsidRPr="00E401C4">
          <w:rPr>
            <w:rFonts w:asciiTheme="minorHAnsi" w:hAnsiTheme="minorHAnsi"/>
            <w:noProof/>
            <w:webHidden/>
          </w:rPr>
          <w:fldChar w:fldCharType="end"/>
        </w:r>
      </w:hyperlink>
    </w:p>
    <w:p w:rsidR="008D4799" w:rsidRPr="00E401C4" w:rsidRDefault="00505DC7" w:rsidP="00E401C4">
      <w:pPr>
        <w:pStyle w:val="TOC3"/>
        <w:spacing w:after="120" w:line="240" w:lineRule="auto"/>
        <w:rPr>
          <w:rFonts w:asciiTheme="minorHAnsi" w:eastAsiaTheme="minorEastAsia" w:hAnsiTheme="minorHAnsi" w:cstheme="minorBidi"/>
          <w:noProof/>
        </w:rPr>
      </w:pPr>
      <w:hyperlink w:anchor="_Toc486405983" w:history="1">
        <w:r w:rsidR="008D4799" w:rsidRPr="00E401C4">
          <w:rPr>
            <w:rStyle w:val="Hyperlink"/>
            <w:rFonts w:asciiTheme="minorHAnsi" w:hAnsiTheme="minorHAnsi"/>
            <w:noProof/>
            <w:color w:val="auto"/>
          </w:rPr>
          <w:t>5.3.5 Active Demand Resources</w:t>
        </w:r>
        <w:r w:rsidR="008D4799" w:rsidRPr="00E401C4">
          <w:rPr>
            <w:rFonts w:asciiTheme="minorHAnsi" w:hAnsiTheme="minorHAnsi"/>
            <w:noProof/>
            <w:webHidden/>
          </w:rPr>
          <w:tab/>
        </w:r>
        <w:r w:rsidR="008D4799" w:rsidRPr="00E401C4">
          <w:rPr>
            <w:rFonts w:asciiTheme="minorHAnsi" w:hAnsiTheme="minorHAnsi"/>
            <w:noProof/>
            <w:webHidden/>
          </w:rPr>
          <w:fldChar w:fldCharType="begin"/>
        </w:r>
        <w:r w:rsidR="008D4799" w:rsidRPr="00E401C4">
          <w:rPr>
            <w:rFonts w:asciiTheme="minorHAnsi" w:hAnsiTheme="minorHAnsi"/>
            <w:noProof/>
            <w:webHidden/>
          </w:rPr>
          <w:instrText xml:space="preserve"> PAGEREF _Toc486405983 \h </w:instrText>
        </w:r>
        <w:r w:rsidR="008D4799" w:rsidRPr="00E401C4">
          <w:rPr>
            <w:rFonts w:asciiTheme="minorHAnsi" w:hAnsiTheme="minorHAnsi"/>
            <w:noProof/>
            <w:webHidden/>
          </w:rPr>
        </w:r>
        <w:r w:rsidR="008D4799" w:rsidRPr="00E401C4">
          <w:rPr>
            <w:rFonts w:asciiTheme="minorHAnsi" w:hAnsiTheme="minorHAnsi"/>
            <w:noProof/>
            <w:webHidden/>
          </w:rPr>
          <w:fldChar w:fldCharType="separate"/>
        </w:r>
        <w:r w:rsidR="00553160">
          <w:rPr>
            <w:rFonts w:asciiTheme="minorHAnsi" w:hAnsiTheme="minorHAnsi"/>
            <w:noProof/>
            <w:webHidden/>
          </w:rPr>
          <w:t>36</w:t>
        </w:r>
        <w:r w:rsidR="008D4799" w:rsidRPr="00E401C4">
          <w:rPr>
            <w:rFonts w:asciiTheme="minorHAnsi" w:hAnsiTheme="minorHAnsi"/>
            <w:noProof/>
            <w:webHidden/>
          </w:rPr>
          <w:fldChar w:fldCharType="end"/>
        </w:r>
      </w:hyperlink>
    </w:p>
    <w:p w:rsidR="008D4799" w:rsidRPr="00E401C4" w:rsidRDefault="00505DC7" w:rsidP="00E401C4">
      <w:pPr>
        <w:pStyle w:val="TOC3"/>
        <w:spacing w:after="120" w:line="240" w:lineRule="auto"/>
        <w:rPr>
          <w:rFonts w:asciiTheme="minorHAnsi" w:eastAsiaTheme="minorEastAsia" w:hAnsiTheme="minorHAnsi" w:cstheme="minorBidi"/>
          <w:noProof/>
        </w:rPr>
      </w:pPr>
      <w:hyperlink w:anchor="_Toc486405984" w:history="1">
        <w:r w:rsidR="008D4799" w:rsidRPr="00E401C4">
          <w:rPr>
            <w:rStyle w:val="Hyperlink"/>
            <w:rFonts w:asciiTheme="minorHAnsi" w:hAnsiTheme="minorHAnsi"/>
            <w:noProof/>
            <w:color w:val="auto"/>
          </w:rPr>
          <w:t>5.3.6 New England Hydroelectric Generation</w:t>
        </w:r>
        <w:r w:rsidR="008D4799" w:rsidRPr="00E401C4">
          <w:rPr>
            <w:rFonts w:asciiTheme="minorHAnsi" w:hAnsiTheme="minorHAnsi"/>
            <w:noProof/>
            <w:webHidden/>
          </w:rPr>
          <w:tab/>
        </w:r>
        <w:r w:rsidR="008D4799" w:rsidRPr="00E401C4">
          <w:rPr>
            <w:rFonts w:asciiTheme="minorHAnsi" w:hAnsiTheme="minorHAnsi"/>
            <w:noProof/>
            <w:webHidden/>
          </w:rPr>
          <w:fldChar w:fldCharType="begin"/>
        </w:r>
        <w:r w:rsidR="008D4799" w:rsidRPr="00E401C4">
          <w:rPr>
            <w:rFonts w:asciiTheme="minorHAnsi" w:hAnsiTheme="minorHAnsi"/>
            <w:noProof/>
            <w:webHidden/>
          </w:rPr>
          <w:instrText xml:space="preserve"> PAGEREF _Toc486405984 \h </w:instrText>
        </w:r>
        <w:r w:rsidR="008D4799" w:rsidRPr="00E401C4">
          <w:rPr>
            <w:rFonts w:asciiTheme="minorHAnsi" w:hAnsiTheme="minorHAnsi"/>
            <w:noProof/>
            <w:webHidden/>
          </w:rPr>
        </w:r>
        <w:r w:rsidR="008D4799" w:rsidRPr="00E401C4">
          <w:rPr>
            <w:rFonts w:asciiTheme="minorHAnsi" w:hAnsiTheme="minorHAnsi"/>
            <w:noProof/>
            <w:webHidden/>
          </w:rPr>
          <w:fldChar w:fldCharType="separate"/>
        </w:r>
        <w:r w:rsidR="00553160">
          <w:rPr>
            <w:rFonts w:asciiTheme="minorHAnsi" w:hAnsiTheme="minorHAnsi"/>
            <w:noProof/>
            <w:webHidden/>
          </w:rPr>
          <w:t>37</w:t>
        </w:r>
        <w:r w:rsidR="008D4799" w:rsidRPr="00E401C4">
          <w:rPr>
            <w:rFonts w:asciiTheme="minorHAnsi" w:hAnsiTheme="minorHAnsi"/>
            <w:noProof/>
            <w:webHidden/>
          </w:rPr>
          <w:fldChar w:fldCharType="end"/>
        </w:r>
      </w:hyperlink>
    </w:p>
    <w:p w:rsidR="008D4799" w:rsidRPr="00E401C4" w:rsidRDefault="00505DC7" w:rsidP="00E401C4">
      <w:pPr>
        <w:pStyle w:val="TOC3"/>
        <w:spacing w:after="120" w:line="240" w:lineRule="auto"/>
        <w:rPr>
          <w:rFonts w:asciiTheme="minorHAnsi" w:eastAsiaTheme="minorEastAsia" w:hAnsiTheme="minorHAnsi" w:cstheme="minorBidi"/>
          <w:noProof/>
        </w:rPr>
      </w:pPr>
      <w:hyperlink w:anchor="_Toc486405985" w:history="1">
        <w:r w:rsidR="008D4799" w:rsidRPr="00E401C4">
          <w:rPr>
            <w:rStyle w:val="Hyperlink"/>
            <w:rFonts w:asciiTheme="minorHAnsi" w:hAnsiTheme="minorHAnsi"/>
            <w:noProof/>
            <w:color w:val="auto"/>
          </w:rPr>
          <w:t>5.3.7 Pumped Storage and Battery Storage</w:t>
        </w:r>
        <w:r w:rsidR="008D4799" w:rsidRPr="00E401C4">
          <w:rPr>
            <w:rFonts w:asciiTheme="minorHAnsi" w:hAnsiTheme="minorHAnsi"/>
            <w:noProof/>
            <w:webHidden/>
          </w:rPr>
          <w:tab/>
        </w:r>
        <w:r w:rsidR="008D4799" w:rsidRPr="00E401C4">
          <w:rPr>
            <w:rFonts w:asciiTheme="minorHAnsi" w:hAnsiTheme="minorHAnsi"/>
            <w:noProof/>
            <w:webHidden/>
          </w:rPr>
          <w:fldChar w:fldCharType="begin"/>
        </w:r>
        <w:r w:rsidR="008D4799" w:rsidRPr="00E401C4">
          <w:rPr>
            <w:rFonts w:asciiTheme="minorHAnsi" w:hAnsiTheme="minorHAnsi"/>
            <w:noProof/>
            <w:webHidden/>
          </w:rPr>
          <w:instrText xml:space="preserve"> PAGEREF _Toc486405985 \h </w:instrText>
        </w:r>
        <w:r w:rsidR="008D4799" w:rsidRPr="00E401C4">
          <w:rPr>
            <w:rFonts w:asciiTheme="minorHAnsi" w:hAnsiTheme="minorHAnsi"/>
            <w:noProof/>
            <w:webHidden/>
          </w:rPr>
        </w:r>
        <w:r w:rsidR="008D4799" w:rsidRPr="00E401C4">
          <w:rPr>
            <w:rFonts w:asciiTheme="minorHAnsi" w:hAnsiTheme="minorHAnsi"/>
            <w:noProof/>
            <w:webHidden/>
          </w:rPr>
          <w:fldChar w:fldCharType="separate"/>
        </w:r>
        <w:r w:rsidR="00553160">
          <w:rPr>
            <w:rFonts w:asciiTheme="minorHAnsi" w:hAnsiTheme="minorHAnsi"/>
            <w:noProof/>
            <w:webHidden/>
          </w:rPr>
          <w:t>37</w:t>
        </w:r>
        <w:r w:rsidR="008D4799" w:rsidRPr="00E401C4">
          <w:rPr>
            <w:rFonts w:asciiTheme="minorHAnsi" w:hAnsiTheme="minorHAnsi"/>
            <w:noProof/>
            <w:webHidden/>
          </w:rPr>
          <w:fldChar w:fldCharType="end"/>
        </w:r>
      </w:hyperlink>
    </w:p>
    <w:p w:rsidR="008D4799" w:rsidRPr="00E401C4" w:rsidRDefault="00505DC7" w:rsidP="00E401C4">
      <w:pPr>
        <w:pStyle w:val="TOC3"/>
        <w:spacing w:after="120" w:line="240" w:lineRule="auto"/>
        <w:rPr>
          <w:rFonts w:asciiTheme="minorHAnsi" w:eastAsiaTheme="minorEastAsia" w:hAnsiTheme="minorHAnsi" w:cstheme="minorBidi"/>
          <w:noProof/>
        </w:rPr>
      </w:pPr>
      <w:hyperlink w:anchor="_Toc486405986" w:history="1">
        <w:r w:rsidR="008D4799" w:rsidRPr="00E401C4">
          <w:rPr>
            <w:rStyle w:val="Hyperlink"/>
            <w:rFonts w:asciiTheme="minorHAnsi" w:hAnsiTheme="minorHAnsi"/>
            <w:noProof/>
            <w:color w:val="auto"/>
          </w:rPr>
          <w:t>5.3.8 Transmission Interface Limits and Interchanges with Neighboring Systems</w:t>
        </w:r>
        <w:r w:rsidR="008D4799" w:rsidRPr="00E401C4">
          <w:rPr>
            <w:rFonts w:asciiTheme="minorHAnsi" w:hAnsiTheme="minorHAnsi"/>
            <w:noProof/>
            <w:webHidden/>
          </w:rPr>
          <w:tab/>
        </w:r>
        <w:r w:rsidR="008D4799" w:rsidRPr="00E401C4">
          <w:rPr>
            <w:rFonts w:asciiTheme="minorHAnsi" w:hAnsiTheme="minorHAnsi"/>
            <w:noProof/>
            <w:webHidden/>
          </w:rPr>
          <w:fldChar w:fldCharType="begin"/>
        </w:r>
        <w:r w:rsidR="008D4799" w:rsidRPr="00E401C4">
          <w:rPr>
            <w:rFonts w:asciiTheme="minorHAnsi" w:hAnsiTheme="minorHAnsi"/>
            <w:noProof/>
            <w:webHidden/>
          </w:rPr>
          <w:instrText xml:space="preserve"> PAGEREF _Toc486405986 \h </w:instrText>
        </w:r>
        <w:r w:rsidR="008D4799" w:rsidRPr="00E401C4">
          <w:rPr>
            <w:rFonts w:asciiTheme="minorHAnsi" w:hAnsiTheme="minorHAnsi"/>
            <w:noProof/>
            <w:webHidden/>
          </w:rPr>
        </w:r>
        <w:r w:rsidR="008D4799" w:rsidRPr="00E401C4">
          <w:rPr>
            <w:rFonts w:asciiTheme="minorHAnsi" w:hAnsiTheme="minorHAnsi"/>
            <w:noProof/>
            <w:webHidden/>
          </w:rPr>
          <w:fldChar w:fldCharType="separate"/>
        </w:r>
        <w:r w:rsidR="00553160">
          <w:rPr>
            <w:rFonts w:asciiTheme="minorHAnsi" w:hAnsiTheme="minorHAnsi"/>
            <w:noProof/>
            <w:webHidden/>
          </w:rPr>
          <w:t>38</w:t>
        </w:r>
        <w:r w:rsidR="008D4799" w:rsidRPr="00E401C4">
          <w:rPr>
            <w:rFonts w:asciiTheme="minorHAnsi" w:hAnsiTheme="minorHAnsi"/>
            <w:noProof/>
            <w:webHidden/>
          </w:rPr>
          <w:fldChar w:fldCharType="end"/>
        </w:r>
      </w:hyperlink>
    </w:p>
    <w:p w:rsidR="008D4799" w:rsidRPr="00E401C4" w:rsidRDefault="00505DC7" w:rsidP="00E401C4">
      <w:pPr>
        <w:pStyle w:val="TOC2"/>
        <w:rPr>
          <w:rFonts w:eastAsiaTheme="minorEastAsia" w:cstheme="minorBidi"/>
          <w:bCs w:val="0"/>
        </w:rPr>
      </w:pPr>
      <w:hyperlink w:anchor="_Toc486405987" w:history="1">
        <w:r w:rsidR="008D4799" w:rsidRPr="00E401C4">
          <w:rPr>
            <w:rStyle w:val="Hyperlink"/>
            <w:color w:val="auto"/>
          </w:rPr>
          <w:t>5.4 Fuel Prices</w:t>
        </w:r>
        <w:r w:rsidR="008D4799" w:rsidRPr="00E401C4">
          <w:rPr>
            <w:webHidden/>
          </w:rPr>
          <w:tab/>
        </w:r>
        <w:r w:rsidR="008D4799" w:rsidRPr="00E401C4">
          <w:rPr>
            <w:webHidden/>
          </w:rPr>
          <w:fldChar w:fldCharType="begin"/>
        </w:r>
        <w:r w:rsidR="008D4799" w:rsidRPr="00E401C4">
          <w:rPr>
            <w:webHidden/>
          </w:rPr>
          <w:instrText xml:space="preserve"> PAGEREF _Toc486405987 \h </w:instrText>
        </w:r>
        <w:r w:rsidR="008D4799" w:rsidRPr="00E401C4">
          <w:rPr>
            <w:webHidden/>
          </w:rPr>
        </w:r>
        <w:r w:rsidR="008D4799" w:rsidRPr="00E401C4">
          <w:rPr>
            <w:webHidden/>
          </w:rPr>
          <w:fldChar w:fldCharType="separate"/>
        </w:r>
        <w:r w:rsidR="00553160">
          <w:rPr>
            <w:webHidden/>
          </w:rPr>
          <w:t>41</w:t>
        </w:r>
        <w:r w:rsidR="008D4799" w:rsidRPr="00E401C4">
          <w:rPr>
            <w:webHidden/>
          </w:rPr>
          <w:fldChar w:fldCharType="end"/>
        </w:r>
      </w:hyperlink>
    </w:p>
    <w:p w:rsidR="008D4799" w:rsidRPr="00E401C4" w:rsidRDefault="00505DC7" w:rsidP="00E401C4">
      <w:pPr>
        <w:pStyle w:val="TOC2"/>
        <w:rPr>
          <w:rFonts w:eastAsiaTheme="minorEastAsia" w:cstheme="minorBidi"/>
          <w:bCs w:val="0"/>
        </w:rPr>
      </w:pPr>
      <w:hyperlink w:anchor="_Toc486405988" w:history="1">
        <w:r w:rsidR="008D4799" w:rsidRPr="00E401C4">
          <w:rPr>
            <w:rStyle w:val="Hyperlink"/>
            <w:color w:val="auto"/>
          </w:rPr>
          <w:t>5.5 Threshold Prices</w:t>
        </w:r>
        <w:r w:rsidR="008D4799" w:rsidRPr="00E401C4">
          <w:rPr>
            <w:webHidden/>
          </w:rPr>
          <w:tab/>
        </w:r>
        <w:r w:rsidR="008D4799" w:rsidRPr="00E401C4">
          <w:rPr>
            <w:webHidden/>
          </w:rPr>
          <w:fldChar w:fldCharType="begin"/>
        </w:r>
        <w:r w:rsidR="008D4799" w:rsidRPr="00E401C4">
          <w:rPr>
            <w:webHidden/>
          </w:rPr>
          <w:instrText xml:space="preserve"> PAGEREF _Toc486405988 \h </w:instrText>
        </w:r>
        <w:r w:rsidR="008D4799" w:rsidRPr="00E401C4">
          <w:rPr>
            <w:webHidden/>
          </w:rPr>
        </w:r>
        <w:r w:rsidR="008D4799" w:rsidRPr="00E401C4">
          <w:rPr>
            <w:webHidden/>
          </w:rPr>
          <w:fldChar w:fldCharType="separate"/>
        </w:r>
        <w:r w:rsidR="00553160">
          <w:rPr>
            <w:webHidden/>
          </w:rPr>
          <w:t>43</w:t>
        </w:r>
        <w:r w:rsidR="008D4799" w:rsidRPr="00E401C4">
          <w:rPr>
            <w:webHidden/>
          </w:rPr>
          <w:fldChar w:fldCharType="end"/>
        </w:r>
      </w:hyperlink>
    </w:p>
    <w:p w:rsidR="008D4799" w:rsidRPr="00E401C4" w:rsidRDefault="00505DC7" w:rsidP="00E401C4">
      <w:pPr>
        <w:pStyle w:val="TOC2"/>
        <w:rPr>
          <w:rFonts w:eastAsiaTheme="minorEastAsia" w:cstheme="minorBidi"/>
          <w:bCs w:val="0"/>
        </w:rPr>
      </w:pPr>
      <w:hyperlink w:anchor="_Toc486405989" w:history="1">
        <w:r w:rsidR="008D4799" w:rsidRPr="00E401C4">
          <w:rPr>
            <w:rStyle w:val="Hyperlink"/>
            <w:color w:val="auto"/>
          </w:rPr>
          <w:t>5.6 Environmental Emissions Allowance Assumptions</w:t>
        </w:r>
        <w:r w:rsidR="008D4799" w:rsidRPr="00E401C4">
          <w:rPr>
            <w:webHidden/>
          </w:rPr>
          <w:tab/>
        </w:r>
        <w:r w:rsidR="008D4799" w:rsidRPr="00E401C4">
          <w:rPr>
            <w:webHidden/>
          </w:rPr>
          <w:fldChar w:fldCharType="begin"/>
        </w:r>
        <w:r w:rsidR="008D4799" w:rsidRPr="00E401C4">
          <w:rPr>
            <w:webHidden/>
          </w:rPr>
          <w:instrText xml:space="preserve"> PAGEREF _Toc486405989 \h </w:instrText>
        </w:r>
        <w:r w:rsidR="008D4799" w:rsidRPr="00E401C4">
          <w:rPr>
            <w:webHidden/>
          </w:rPr>
        </w:r>
        <w:r w:rsidR="008D4799" w:rsidRPr="00E401C4">
          <w:rPr>
            <w:webHidden/>
          </w:rPr>
          <w:fldChar w:fldCharType="separate"/>
        </w:r>
        <w:r w:rsidR="00553160">
          <w:rPr>
            <w:webHidden/>
          </w:rPr>
          <w:t>43</w:t>
        </w:r>
        <w:r w:rsidR="008D4799" w:rsidRPr="00E401C4">
          <w:rPr>
            <w:webHidden/>
          </w:rPr>
          <w:fldChar w:fldCharType="end"/>
        </w:r>
      </w:hyperlink>
    </w:p>
    <w:p w:rsidR="008D4799" w:rsidRPr="00E401C4" w:rsidRDefault="00505DC7" w:rsidP="00E401C4">
      <w:pPr>
        <w:pStyle w:val="TOC2"/>
        <w:rPr>
          <w:rFonts w:eastAsiaTheme="minorEastAsia" w:cstheme="minorBidi"/>
          <w:bCs w:val="0"/>
        </w:rPr>
      </w:pPr>
      <w:hyperlink w:anchor="_Toc486405990" w:history="1">
        <w:r w:rsidR="008D4799" w:rsidRPr="00E401C4">
          <w:rPr>
            <w:rStyle w:val="Hyperlink"/>
            <w:color w:val="auto"/>
          </w:rPr>
          <w:t>5.7 Annual Carrying Charges</w:t>
        </w:r>
        <w:r w:rsidR="008D4799" w:rsidRPr="00E401C4">
          <w:rPr>
            <w:webHidden/>
          </w:rPr>
          <w:tab/>
        </w:r>
        <w:r w:rsidR="008D4799" w:rsidRPr="00E401C4">
          <w:rPr>
            <w:webHidden/>
          </w:rPr>
          <w:fldChar w:fldCharType="begin"/>
        </w:r>
        <w:r w:rsidR="008D4799" w:rsidRPr="00E401C4">
          <w:rPr>
            <w:webHidden/>
          </w:rPr>
          <w:instrText xml:space="preserve"> PAGEREF _Toc486405990 \h </w:instrText>
        </w:r>
        <w:r w:rsidR="008D4799" w:rsidRPr="00E401C4">
          <w:rPr>
            <w:webHidden/>
          </w:rPr>
        </w:r>
        <w:r w:rsidR="008D4799" w:rsidRPr="00E401C4">
          <w:rPr>
            <w:webHidden/>
          </w:rPr>
          <w:fldChar w:fldCharType="separate"/>
        </w:r>
        <w:r w:rsidR="00553160">
          <w:rPr>
            <w:webHidden/>
          </w:rPr>
          <w:t>44</w:t>
        </w:r>
        <w:r w:rsidR="008D4799" w:rsidRPr="00E401C4">
          <w:rPr>
            <w:webHidden/>
          </w:rPr>
          <w:fldChar w:fldCharType="end"/>
        </w:r>
      </w:hyperlink>
    </w:p>
    <w:p w:rsidR="008D4799" w:rsidRPr="00E401C4" w:rsidRDefault="00505DC7" w:rsidP="00E401C4">
      <w:pPr>
        <w:pStyle w:val="TOC3"/>
        <w:spacing w:after="120" w:line="240" w:lineRule="auto"/>
        <w:rPr>
          <w:rFonts w:asciiTheme="minorHAnsi" w:eastAsiaTheme="minorEastAsia" w:hAnsiTheme="minorHAnsi" w:cstheme="minorBidi"/>
          <w:noProof/>
        </w:rPr>
      </w:pPr>
      <w:hyperlink w:anchor="_Toc486405991" w:history="1">
        <w:r w:rsidR="008D4799" w:rsidRPr="00E401C4">
          <w:rPr>
            <w:rStyle w:val="Hyperlink"/>
            <w:rFonts w:asciiTheme="minorHAnsi" w:hAnsiTheme="minorHAnsi"/>
            <w:noProof/>
            <w:color w:val="auto"/>
          </w:rPr>
          <w:t>5.7.1 Annual Carrying Charges for New Resources</w:t>
        </w:r>
        <w:r w:rsidR="008D4799" w:rsidRPr="00E401C4">
          <w:rPr>
            <w:rFonts w:asciiTheme="minorHAnsi" w:hAnsiTheme="minorHAnsi"/>
            <w:noProof/>
            <w:webHidden/>
          </w:rPr>
          <w:tab/>
        </w:r>
        <w:r w:rsidR="008D4799" w:rsidRPr="00E401C4">
          <w:rPr>
            <w:rFonts w:asciiTheme="minorHAnsi" w:hAnsiTheme="minorHAnsi"/>
            <w:noProof/>
            <w:webHidden/>
          </w:rPr>
          <w:fldChar w:fldCharType="begin"/>
        </w:r>
        <w:r w:rsidR="008D4799" w:rsidRPr="00E401C4">
          <w:rPr>
            <w:rFonts w:asciiTheme="minorHAnsi" w:hAnsiTheme="minorHAnsi"/>
            <w:noProof/>
            <w:webHidden/>
          </w:rPr>
          <w:instrText xml:space="preserve"> PAGEREF _Toc486405991 \h </w:instrText>
        </w:r>
        <w:r w:rsidR="008D4799" w:rsidRPr="00E401C4">
          <w:rPr>
            <w:rFonts w:asciiTheme="minorHAnsi" w:hAnsiTheme="minorHAnsi"/>
            <w:noProof/>
            <w:webHidden/>
          </w:rPr>
        </w:r>
        <w:r w:rsidR="008D4799" w:rsidRPr="00E401C4">
          <w:rPr>
            <w:rFonts w:asciiTheme="minorHAnsi" w:hAnsiTheme="minorHAnsi"/>
            <w:noProof/>
            <w:webHidden/>
          </w:rPr>
          <w:fldChar w:fldCharType="separate"/>
        </w:r>
        <w:r w:rsidR="00553160">
          <w:rPr>
            <w:rFonts w:asciiTheme="minorHAnsi" w:hAnsiTheme="minorHAnsi"/>
            <w:noProof/>
            <w:webHidden/>
          </w:rPr>
          <w:t>44</w:t>
        </w:r>
        <w:r w:rsidR="008D4799" w:rsidRPr="00E401C4">
          <w:rPr>
            <w:rFonts w:asciiTheme="minorHAnsi" w:hAnsiTheme="minorHAnsi"/>
            <w:noProof/>
            <w:webHidden/>
          </w:rPr>
          <w:fldChar w:fldCharType="end"/>
        </w:r>
      </w:hyperlink>
    </w:p>
    <w:p w:rsidR="008D4799" w:rsidRPr="00E401C4" w:rsidRDefault="00505DC7" w:rsidP="00E401C4">
      <w:pPr>
        <w:pStyle w:val="TOC3"/>
        <w:spacing w:after="120" w:line="240" w:lineRule="auto"/>
        <w:rPr>
          <w:rFonts w:asciiTheme="minorHAnsi" w:eastAsiaTheme="minorEastAsia" w:hAnsiTheme="minorHAnsi" w:cstheme="minorBidi"/>
          <w:noProof/>
        </w:rPr>
      </w:pPr>
      <w:hyperlink w:anchor="_Toc486405992" w:history="1">
        <w:r w:rsidR="008D4799" w:rsidRPr="00E401C4">
          <w:rPr>
            <w:rStyle w:val="Hyperlink"/>
            <w:rFonts w:asciiTheme="minorHAnsi" w:hAnsiTheme="minorHAnsi"/>
            <w:noProof/>
            <w:color w:val="auto"/>
          </w:rPr>
          <w:t>5.7.2 Transmission Development Costs</w:t>
        </w:r>
        <w:r w:rsidR="008D4799" w:rsidRPr="00E401C4">
          <w:rPr>
            <w:rFonts w:asciiTheme="minorHAnsi" w:hAnsiTheme="minorHAnsi"/>
            <w:noProof/>
            <w:webHidden/>
          </w:rPr>
          <w:tab/>
        </w:r>
        <w:r w:rsidR="008D4799" w:rsidRPr="00E401C4">
          <w:rPr>
            <w:rFonts w:asciiTheme="minorHAnsi" w:hAnsiTheme="minorHAnsi"/>
            <w:noProof/>
            <w:webHidden/>
          </w:rPr>
          <w:fldChar w:fldCharType="begin"/>
        </w:r>
        <w:r w:rsidR="008D4799" w:rsidRPr="00E401C4">
          <w:rPr>
            <w:rFonts w:asciiTheme="minorHAnsi" w:hAnsiTheme="minorHAnsi"/>
            <w:noProof/>
            <w:webHidden/>
          </w:rPr>
          <w:instrText xml:space="preserve"> PAGEREF _Toc486405992 \h </w:instrText>
        </w:r>
        <w:r w:rsidR="008D4799" w:rsidRPr="00E401C4">
          <w:rPr>
            <w:rFonts w:asciiTheme="minorHAnsi" w:hAnsiTheme="minorHAnsi"/>
            <w:noProof/>
            <w:webHidden/>
          </w:rPr>
        </w:r>
        <w:r w:rsidR="008D4799" w:rsidRPr="00E401C4">
          <w:rPr>
            <w:rFonts w:asciiTheme="minorHAnsi" w:hAnsiTheme="minorHAnsi"/>
            <w:noProof/>
            <w:webHidden/>
          </w:rPr>
          <w:fldChar w:fldCharType="separate"/>
        </w:r>
        <w:r w:rsidR="00553160">
          <w:rPr>
            <w:rFonts w:asciiTheme="minorHAnsi" w:hAnsiTheme="minorHAnsi"/>
            <w:noProof/>
            <w:webHidden/>
          </w:rPr>
          <w:t>45</w:t>
        </w:r>
        <w:r w:rsidR="008D4799" w:rsidRPr="00E401C4">
          <w:rPr>
            <w:rFonts w:asciiTheme="minorHAnsi" w:hAnsiTheme="minorHAnsi"/>
            <w:noProof/>
            <w:webHidden/>
          </w:rPr>
          <w:fldChar w:fldCharType="end"/>
        </w:r>
      </w:hyperlink>
    </w:p>
    <w:p w:rsidR="008D4799" w:rsidRPr="00E401C4" w:rsidRDefault="00505DC7" w:rsidP="00E401C4">
      <w:pPr>
        <w:pStyle w:val="TOC3"/>
        <w:spacing w:after="120" w:line="240" w:lineRule="auto"/>
        <w:rPr>
          <w:rFonts w:asciiTheme="minorHAnsi" w:eastAsiaTheme="minorEastAsia" w:hAnsiTheme="minorHAnsi" w:cstheme="minorBidi"/>
          <w:noProof/>
        </w:rPr>
      </w:pPr>
      <w:hyperlink w:anchor="_Toc486405993" w:history="1">
        <w:r w:rsidR="008D4799" w:rsidRPr="00E401C4">
          <w:rPr>
            <w:rStyle w:val="Hyperlink"/>
            <w:rFonts w:asciiTheme="minorHAnsi" w:hAnsiTheme="minorHAnsi"/>
            <w:noProof/>
            <w:color w:val="auto"/>
          </w:rPr>
          <w:t>5.7.3 High-Order-of-Magnitude Cost Estimates for Integrating Renewable Resources</w:t>
        </w:r>
        <w:r w:rsidR="008D4799" w:rsidRPr="00E401C4">
          <w:rPr>
            <w:rFonts w:asciiTheme="minorHAnsi" w:hAnsiTheme="minorHAnsi"/>
            <w:noProof/>
            <w:webHidden/>
          </w:rPr>
          <w:tab/>
        </w:r>
        <w:r w:rsidR="008D4799" w:rsidRPr="00E401C4">
          <w:rPr>
            <w:rFonts w:asciiTheme="minorHAnsi" w:hAnsiTheme="minorHAnsi"/>
            <w:noProof/>
            <w:webHidden/>
          </w:rPr>
          <w:fldChar w:fldCharType="begin"/>
        </w:r>
        <w:r w:rsidR="008D4799" w:rsidRPr="00E401C4">
          <w:rPr>
            <w:rFonts w:asciiTheme="minorHAnsi" w:hAnsiTheme="minorHAnsi"/>
            <w:noProof/>
            <w:webHidden/>
          </w:rPr>
          <w:instrText xml:space="preserve"> PAGEREF _Toc486405993 \h </w:instrText>
        </w:r>
        <w:r w:rsidR="008D4799" w:rsidRPr="00E401C4">
          <w:rPr>
            <w:rFonts w:asciiTheme="minorHAnsi" w:hAnsiTheme="minorHAnsi"/>
            <w:noProof/>
            <w:webHidden/>
          </w:rPr>
        </w:r>
        <w:r w:rsidR="008D4799" w:rsidRPr="00E401C4">
          <w:rPr>
            <w:rFonts w:asciiTheme="minorHAnsi" w:hAnsiTheme="minorHAnsi"/>
            <w:noProof/>
            <w:webHidden/>
          </w:rPr>
          <w:fldChar w:fldCharType="separate"/>
        </w:r>
        <w:r w:rsidR="00553160">
          <w:rPr>
            <w:rFonts w:asciiTheme="minorHAnsi" w:hAnsiTheme="minorHAnsi"/>
            <w:noProof/>
            <w:webHidden/>
          </w:rPr>
          <w:t>52</w:t>
        </w:r>
        <w:r w:rsidR="008D4799" w:rsidRPr="00E401C4">
          <w:rPr>
            <w:rFonts w:asciiTheme="minorHAnsi" w:hAnsiTheme="minorHAnsi"/>
            <w:noProof/>
            <w:webHidden/>
          </w:rPr>
          <w:fldChar w:fldCharType="end"/>
        </w:r>
      </w:hyperlink>
    </w:p>
    <w:p w:rsidR="008D4799" w:rsidRPr="00E401C4" w:rsidRDefault="00505DC7" w:rsidP="00E401C4">
      <w:pPr>
        <w:pStyle w:val="TOC1"/>
        <w:rPr>
          <w:rFonts w:eastAsiaTheme="minorEastAsia" w:cstheme="minorBidi"/>
        </w:rPr>
      </w:pPr>
      <w:hyperlink w:anchor="_Toc486405994" w:history="1">
        <w:r w:rsidR="008D4799" w:rsidRPr="00E401C4">
          <w:rPr>
            <w:rStyle w:val="Hyperlink"/>
            <w:color w:val="auto"/>
          </w:rPr>
          <w:t>Section 6</w:t>
        </w:r>
        <w:r w:rsidR="00E401C4">
          <w:rPr>
            <w:rStyle w:val="Hyperlink"/>
            <w:color w:val="auto"/>
          </w:rPr>
          <w:br/>
        </w:r>
        <w:r w:rsidR="008D4799" w:rsidRPr="00E401C4">
          <w:rPr>
            <w:rStyle w:val="Hyperlink"/>
            <w:color w:val="auto"/>
          </w:rPr>
          <w:t>Results and Observations</w:t>
        </w:r>
        <w:r w:rsidR="008D4799" w:rsidRPr="00E401C4">
          <w:rPr>
            <w:webHidden/>
          </w:rPr>
          <w:tab/>
        </w:r>
        <w:r w:rsidR="008D4799" w:rsidRPr="00E401C4">
          <w:rPr>
            <w:webHidden/>
          </w:rPr>
          <w:fldChar w:fldCharType="begin"/>
        </w:r>
        <w:r w:rsidR="008D4799" w:rsidRPr="00E401C4">
          <w:rPr>
            <w:webHidden/>
          </w:rPr>
          <w:instrText xml:space="preserve"> PAGEREF _Toc486405994 \h </w:instrText>
        </w:r>
        <w:r w:rsidR="008D4799" w:rsidRPr="00E401C4">
          <w:rPr>
            <w:webHidden/>
          </w:rPr>
        </w:r>
        <w:r w:rsidR="008D4799" w:rsidRPr="00E401C4">
          <w:rPr>
            <w:webHidden/>
          </w:rPr>
          <w:fldChar w:fldCharType="separate"/>
        </w:r>
        <w:r w:rsidR="00553160">
          <w:rPr>
            <w:webHidden/>
          </w:rPr>
          <w:t>54</w:t>
        </w:r>
        <w:r w:rsidR="008D4799" w:rsidRPr="00E401C4">
          <w:rPr>
            <w:webHidden/>
          </w:rPr>
          <w:fldChar w:fldCharType="end"/>
        </w:r>
      </w:hyperlink>
    </w:p>
    <w:p w:rsidR="008D4799" w:rsidRPr="00E401C4" w:rsidRDefault="00505DC7" w:rsidP="00E401C4">
      <w:pPr>
        <w:pStyle w:val="TOC2"/>
        <w:rPr>
          <w:rFonts w:eastAsiaTheme="minorEastAsia" w:cstheme="minorBidi"/>
          <w:bCs w:val="0"/>
        </w:rPr>
      </w:pPr>
      <w:hyperlink w:anchor="_Toc486405995" w:history="1">
        <w:r w:rsidR="008D4799" w:rsidRPr="00E401C4">
          <w:rPr>
            <w:rStyle w:val="Hyperlink"/>
            <w:color w:val="auto"/>
          </w:rPr>
          <w:t>6.1 Economic Results</w:t>
        </w:r>
        <w:r w:rsidR="008D4799" w:rsidRPr="00E401C4">
          <w:rPr>
            <w:webHidden/>
          </w:rPr>
          <w:tab/>
        </w:r>
        <w:r w:rsidR="008D4799" w:rsidRPr="00E401C4">
          <w:rPr>
            <w:webHidden/>
          </w:rPr>
          <w:fldChar w:fldCharType="begin"/>
        </w:r>
        <w:r w:rsidR="008D4799" w:rsidRPr="00E401C4">
          <w:rPr>
            <w:webHidden/>
          </w:rPr>
          <w:instrText xml:space="preserve"> PAGEREF _Toc486405995 \h </w:instrText>
        </w:r>
        <w:r w:rsidR="008D4799" w:rsidRPr="00E401C4">
          <w:rPr>
            <w:webHidden/>
          </w:rPr>
        </w:r>
        <w:r w:rsidR="008D4799" w:rsidRPr="00E401C4">
          <w:rPr>
            <w:webHidden/>
          </w:rPr>
          <w:fldChar w:fldCharType="separate"/>
        </w:r>
        <w:r w:rsidR="00553160">
          <w:rPr>
            <w:webHidden/>
          </w:rPr>
          <w:t>54</w:t>
        </w:r>
        <w:r w:rsidR="008D4799" w:rsidRPr="00E401C4">
          <w:rPr>
            <w:webHidden/>
          </w:rPr>
          <w:fldChar w:fldCharType="end"/>
        </w:r>
      </w:hyperlink>
    </w:p>
    <w:p w:rsidR="008D4799" w:rsidRPr="00E401C4" w:rsidRDefault="00505DC7" w:rsidP="00E401C4">
      <w:pPr>
        <w:pStyle w:val="TOC3"/>
        <w:spacing w:after="120" w:line="240" w:lineRule="auto"/>
        <w:rPr>
          <w:rFonts w:asciiTheme="minorHAnsi" w:eastAsiaTheme="minorEastAsia" w:hAnsiTheme="minorHAnsi" w:cstheme="minorBidi"/>
          <w:noProof/>
        </w:rPr>
      </w:pPr>
      <w:hyperlink w:anchor="_Toc486405996" w:history="1">
        <w:r w:rsidR="008D4799" w:rsidRPr="00E401C4">
          <w:rPr>
            <w:rStyle w:val="Hyperlink"/>
            <w:rFonts w:asciiTheme="minorHAnsi" w:hAnsiTheme="minorHAnsi"/>
            <w:noProof/>
            <w:color w:val="auto"/>
          </w:rPr>
          <w:t>6.1.1 Total Energy Production by Resource (Fuel) Type, Including Imports</w:t>
        </w:r>
        <w:r w:rsidR="008D4799" w:rsidRPr="00E401C4">
          <w:rPr>
            <w:rFonts w:asciiTheme="minorHAnsi" w:hAnsiTheme="minorHAnsi"/>
            <w:noProof/>
            <w:webHidden/>
          </w:rPr>
          <w:tab/>
        </w:r>
        <w:r w:rsidR="008D4799" w:rsidRPr="00E401C4">
          <w:rPr>
            <w:rFonts w:asciiTheme="minorHAnsi" w:hAnsiTheme="minorHAnsi"/>
            <w:noProof/>
            <w:webHidden/>
          </w:rPr>
          <w:fldChar w:fldCharType="begin"/>
        </w:r>
        <w:r w:rsidR="008D4799" w:rsidRPr="00E401C4">
          <w:rPr>
            <w:rFonts w:asciiTheme="minorHAnsi" w:hAnsiTheme="minorHAnsi"/>
            <w:noProof/>
            <w:webHidden/>
          </w:rPr>
          <w:instrText xml:space="preserve"> PAGEREF _Toc486405996 \h </w:instrText>
        </w:r>
        <w:r w:rsidR="008D4799" w:rsidRPr="00E401C4">
          <w:rPr>
            <w:rFonts w:asciiTheme="minorHAnsi" w:hAnsiTheme="minorHAnsi"/>
            <w:noProof/>
            <w:webHidden/>
          </w:rPr>
        </w:r>
        <w:r w:rsidR="008D4799" w:rsidRPr="00E401C4">
          <w:rPr>
            <w:rFonts w:asciiTheme="minorHAnsi" w:hAnsiTheme="minorHAnsi"/>
            <w:noProof/>
            <w:webHidden/>
          </w:rPr>
          <w:fldChar w:fldCharType="separate"/>
        </w:r>
        <w:r w:rsidR="00553160">
          <w:rPr>
            <w:rFonts w:asciiTheme="minorHAnsi" w:hAnsiTheme="minorHAnsi"/>
            <w:noProof/>
            <w:webHidden/>
          </w:rPr>
          <w:t>54</w:t>
        </w:r>
        <w:r w:rsidR="008D4799" w:rsidRPr="00E401C4">
          <w:rPr>
            <w:rFonts w:asciiTheme="minorHAnsi" w:hAnsiTheme="minorHAnsi"/>
            <w:noProof/>
            <w:webHidden/>
          </w:rPr>
          <w:fldChar w:fldCharType="end"/>
        </w:r>
      </w:hyperlink>
    </w:p>
    <w:p w:rsidR="008D4799" w:rsidRPr="00E401C4" w:rsidRDefault="00505DC7" w:rsidP="00E401C4">
      <w:pPr>
        <w:pStyle w:val="TOC3"/>
        <w:spacing w:after="120" w:line="240" w:lineRule="auto"/>
        <w:rPr>
          <w:rFonts w:asciiTheme="minorHAnsi" w:eastAsiaTheme="minorEastAsia" w:hAnsiTheme="minorHAnsi" w:cstheme="minorBidi"/>
          <w:noProof/>
        </w:rPr>
      </w:pPr>
      <w:hyperlink w:anchor="_Toc486405997" w:history="1">
        <w:r w:rsidR="008D4799" w:rsidRPr="00E401C4">
          <w:rPr>
            <w:rStyle w:val="Hyperlink"/>
            <w:rFonts w:asciiTheme="minorHAnsi" w:hAnsiTheme="minorHAnsi"/>
            <w:noProof/>
            <w:color w:val="auto"/>
          </w:rPr>
          <w:t>6.1.2 Systemwide Production Costs for Unconstrained and Constrained Transmission</w:t>
        </w:r>
        <w:r w:rsidR="003536FD">
          <w:rPr>
            <w:rStyle w:val="Hyperlink"/>
            <w:rFonts w:asciiTheme="minorHAnsi" w:hAnsiTheme="minorHAnsi"/>
            <w:noProof/>
            <w:color w:val="auto"/>
          </w:rPr>
          <w:br/>
        </w:r>
        <w:r w:rsidR="008D4799" w:rsidRPr="00E401C4">
          <w:rPr>
            <w:rStyle w:val="Hyperlink"/>
            <w:rFonts w:asciiTheme="minorHAnsi" w:hAnsiTheme="minorHAnsi"/>
            <w:noProof/>
            <w:color w:val="auto"/>
          </w:rPr>
          <w:t>and Congestion Costs</w:t>
        </w:r>
        <w:r w:rsidR="008D4799" w:rsidRPr="00E401C4">
          <w:rPr>
            <w:rFonts w:asciiTheme="minorHAnsi" w:hAnsiTheme="minorHAnsi"/>
            <w:noProof/>
            <w:webHidden/>
          </w:rPr>
          <w:tab/>
        </w:r>
        <w:r w:rsidR="008D4799" w:rsidRPr="00E401C4">
          <w:rPr>
            <w:rFonts w:asciiTheme="minorHAnsi" w:hAnsiTheme="minorHAnsi"/>
            <w:noProof/>
            <w:webHidden/>
          </w:rPr>
          <w:fldChar w:fldCharType="begin"/>
        </w:r>
        <w:r w:rsidR="008D4799" w:rsidRPr="00E401C4">
          <w:rPr>
            <w:rFonts w:asciiTheme="minorHAnsi" w:hAnsiTheme="minorHAnsi"/>
            <w:noProof/>
            <w:webHidden/>
          </w:rPr>
          <w:instrText xml:space="preserve"> PAGEREF _Toc486405997 \h </w:instrText>
        </w:r>
        <w:r w:rsidR="008D4799" w:rsidRPr="00E401C4">
          <w:rPr>
            <w:rFonts w:asciiTheme="minorHAnsi" w:hAnsiTheme="minorHAnsi"/>
            <w:noProof/>
            <w:webHidden/>
          </w:rPr>
        </w:r>
        <w:r w:rsidR="008D4799" w:rsidRPr="00E401C4">
          <w:rPr>
            <w:rFonts w:asciiTheme="minorHAnsi" w:hAnsiTheme="minorHAnsi"/>
            <w:noProof/>
            <w:webHidden/>
          </w:rPr>
          <w:fldChar w:fldCharType="separate"/>
        </w:r>
        <w:r w:rsidR="00553160">
          <w:rPr>
            <w:rFonts w:asciiTheme="minorHAnsi" w:hAnsiTheme="minorHAnsi"/>
            <w:noProof/>
            <w:webHidden/>
          </w:rPr>
          <w:t>61</w:t>
        </w:r>
        <w:r w:rsidR="008D4799" w:rsidRPr="00E401C4">
          <w:rPr>
            <w:rFonts w:asciiTheme="minorHAnsi" w:hAnsiTheme="minorHAnsi"/>
            <w:noProof/>
            <w:webHidden/>
          </w:rPr>
          <w:fldChar w:fldCharType="end"/>
        </w:r>
      </w:hyperlink>
    </w:p>
    <w:p w:rsidR="008D4799" w:rsidRPr="00E401C4" w:rsidRDefault="00505DC7" w:rsidP="00E401C4">
      <w:pPr>
        <w:pStyle w:val="TOC3"/>
        <w:spacing w:after="120" w:line="240" w:lineRule="auto"/>
        <w:rPr>
          <w:rFonts w:asciiTheme="minorHAnsi" w:eastAsiaTheme="minorEastAsia" w:hAnsiTheme="minorHAnsi" w:cstheme="minorBidi"/>
          <w:noProof/>
        </w:rPr>
      </w:pPr>
      <w:hyperlink w:anchor="_Toc486405998" w:history="1">
        <w:r w:rsidR="008D4799" w:rsidRPr="00E401C4">
          <w:rPr>
            <w:rStyle w:val="Hyperlink"/>
            <w:rFonts w:asciiTheme="minorHAnsi" w:hAnsiTheme="minorHAnsi"/>
            <w:noProof/>
            <w:color w:val="auto"/>
          </w:rPr>
          <w:t>6.1.3 Average Locational Marginal Prices</w:t>
        </w:r>
        <w:r w:rsidR="008D4799" w:rsidRPr="00E401C4">
          <w:rPr>
            <w:rFonts w:asciiTheme="minorHAnsi" w:hAnsiTheme="minorHAnsi"/>
            <w:noProof/>
            <w:webHidden/>
          </w:rPr>
          <w:tab/>
        </w:r>
        <w:r w:rsidR="008D4799" w:rsidRPr="00E401C4">
          <w:rPr>
            <w:rFonts w:asciiTheme="minorHAnsi" w:hAnsiTheme="minorHAnsi"/>
            <w:noProof/>
            <w:webHidden/>
          </w:rPr>
          <w:fldChar w:fldCharType="begin"/>
        </w:r>
        <w:r w:rsidR="008D4799" w:rsidRPr="00E401C4">
          <w:rPr>
            <w:rFonts w:asciiTheme="minorHAnsi" w:hAnsiTheme="minorHAnsi"/>
            <w:noProof/>
            <w:webHidden/>
          </w:rPr>
          <w:instrText xml:space="preserve"> PAGEREF _Toc486405998 \h </w:instrText>
        </w:r>
        <w:r w:rsidR="008D4799" w:rsidRPr="00E401C4">
          <w:rPr>
            <w:rFonts w:asciiTheme="minorHAnsi" w:hAnsiTheme="minorHAnsi"/>
            <w:noProof/>
            <w:webHidden/>
          </w:rPr>
        </w:r>
        <w:r w:rsidR="008D4799" w:rsidRPr="00E401C4">
          <w:rPr>
            <w:rFonts w:asciiTheme="minorHAnsi" w:hAnsiTheme="minorHAnsi"/>
            <w:noProof/>
            <w:webHidden/>
          </w:rPr>
          <w:fldChar w:fldCharType="separate"/>
        </w:r>
        <w:r w:rsidR="00553160">
          <w:rPr>
            <w:rFonts w:asciiTheme="minorHAnsi" w:hAnsiTheme="minorHAnsi"/>
            <w:noProof/>
            <w:webHidden/>
          </w:rPr>
          <w:t>63</w:t>
        </w:r>
        <w:r w:rsidR="008D4799" w:rsidRPr="00E401C4">
          <w:rPr>
            <w:rFonts w:asciiTheme="minorHAnsi" w:hAnsiTheme="minorHAnsi"/>
            <w:noProof/>
            <w:webHidden/>
          </w:rPr>
          <w:fldChar w:fldCharType="end"/>
        </w:r>
      </w:hyperlink>
    </w:p>
    <w:p w:rsidR="008D4799" w:rsidRPr="00E401C4" w:rsidRDefault="00505DC7" w:rsidP="00E401C4">
      <w:pPr>
        <w:pStyle w:val="TOC3"/>
        <w:spacing w:after="120" w:line="240" w:lineRule="auto"/>
        <w:rPr>
          <w:rFonts w:asciiTheme="minorHAnsi" w:eastAsiaTheme="minorEastAsia" w:hAnsiTheme="minorHAnsi" w:cstheme="minorBidi"/>
          <w:noProof/>
        </w:rPr>
      </w:pPr>
      <w:hyperlink w:anchor="_Toc486405999" w:history="1">
        <w:r w:rsidR="008D4799" w:rsidRPr="00E401C4">
          <w:rPr>
            <w:rStyle w:val="Hyperlink"/>
            <w:rFonts w:asciiTheme="minorHAnsi" w:hAnsiTheme="minorHAnsi"/>
            <w:noProof/>
            <w:color w:val="auto"/>
          </w:rPr>
          <w:t>6.1.4 Load-Serving Entity Energy Expenses and Congestion</w:t>
        </w:r>
        <w:r w:rsidR="008D4799" w:rsidRPr="00E401C4">
          <w:rPr>
            <w:rFonts w:asciiTheme="minorHAnsi" w:hAnsiTheme="minorHAnsi"/>
            <w:noProof/>
            <w:webHidden/>
          </w:rPr>
          <w:tab/>
        </w:r>
        <w:r w:rsidR="008D4799" w:rsidRPr="00E401C4">
          <w:rPr>
            <w:rFonts w:asciiTheme="minorHAnsi" w:hAnsiTheme="minorHAnsi"/>
            <w:noProof/>
            <w:webHidden/>
          </w:rPr>
          <w:fldChar w:fldCharType="begin"/>
        </w:r>
        <w:r w:rsidR="008D4799" w:rsidRPr="00E401C4">
          <w:rPr>
            <w:rFonts w:asciiTheme="minorHAnsi" w:hAnsiTheme="minorHAnsi"/>
            <w:noProof/>
            <w:webHidden/>
          </w:rPr>
          <w:instrText xml:space="preserve"> PAGEREF _Toc486405999 \h </w:instrText>
        </w:r>
        <w:r w:rsidR="008D4799" w:rsidRPr="00E401C4">
          <w:rPr>
            <w:rFonts w:asciiTheme="minorHAnsi" w:hAnsiTheme="minorHAnsi"/>
            <w:noProof/>
            <w:webHidden/>
          </w:rPr>
        </w:r>
        <w:r w:rsidR="008D4799" w:rsidRPr="00E401C4">
          <w:rPr>
            <w:rFonts w:asciiTheme="minorHAnsi" w:hAnsiTheme="minorHAnsi"/>
            <w:noProof/>
            <w:webHidden/>
          </w:rPr>
          <w:fldChar w:fldCharType="separate"/>
        </w:r>
        <w:r w:rsidR="00553160">
          <w:rPr>
            <w:rFonts w:asciiTheme="minorHAnsi" w:hAnsiTheme="minorHAnsi"/>
            <w:noProof/>
            <w:webHidden/>
          </w:rPr>
          <w:t>66</w:t>
        </w:r>
        <w:r w:rsidR="008D4799" w:rsidRPr="00E401C4">
          <w:rPr>
            <w:rFonts w:asciiTheme="minorHAnsi" w:hAnsiTheme="minorHAnsi"/>
            <w:noProof/>
            <w:webHidden/>
          </w:rPr>
          <w:fldChar w:fldCharType="end"/>
        </w:r>
      </w:hyperlink>
    </w:p>
    <w:p w:rsidR="008D4799" w:rsidRPr="00E401C4" w:rsidRDefault="00505DC7" w:rsidP="00E401C4">
      <w:pPr>
        <w:pStyle w:val="TOC3"/>
        <w:spacing w:after="120" w:line="240" w:lineRule="auto"/>
        <w:rPr>
          <w:rFonts w:asciiTheme="minorHAnsi" w:eastAsiaTheme="minorEastAsia" w:hAnsiTheme="minorHAnsi" w:cstheme="minorBidi"/>
          <w:noProof/>
        </w:rPr>
      </w:pPr>
      <w:hyperlink w:anchor="_Toc486406000" w:history="1">
        <w:r w:rsidR="008D4799" w:rsidRPr="00E401C4">
          <w:rPr>
            <w:rStyle w:val="Hyperlink"/>
            <w:rFonts w:asciiTheme="minorHAnsi" w:hAnsiTheme="minorHAnsi"/>
            <w:noProof/>
            <w:color w:val="auto"/>
          </w:rPr>
          <w:t>6.1.5 Wholesale Energy Market Revenues and Contributions to Fixed Costs</w:t>
        </w:r>
        <w:r w:rsidR="008D4799" w:rsidRPr="00E401C4">
          <w:rPr>
            <w:rFonts w:asciiTheme="minorHAnsi" w:hAnsiTheme="minorHAnsi"/>
            <w:noProof/>
            <w:webHidden/>
          </w:rPr>
          <w:tab/>
        </w:r>
        <w:r w:rsidR="008D4799" w:rsidRPr="00E401C4">
          <w:rPr>
            <w:rFonts w:asciiTheme="minorHAnsi" w:hAnsiTheme="minorHAnsi"/>
            <w:noProof/>
            <w:webHidden/>
          </w:rPr>
          <w:fldChar w:fldCharType="begin"/>
        </w:r>
        <w:r w:rsidR="008D4799" w:rsidRPr="00E401C4">
          <w:rPr>
            <w:rFonts w:asciiTheme="minorHAnsi" w:hAnsiTheme="minorHAnsi"/>
            <w:noProof/>
            <w:webHidden/>
          </w:rPr>
          <w:instrText xml:space="preserve"> PAGEREF _Toc486406000 \h </w:instrText>
        </w:r>
        <w:r w:rsidR="008D4799" w:rsidRPr="00E401C4">
          <w:rPr>
            <w:rFonts w:asciiTheme="minorHAnsi" w:hAnsiTheme="minorHAnsi"/>
            <w:noProof/>
            <w:webHidden/>
          </w:rPr>
        </w:r>
        <w:r w:rsidR="008D4799" w:rsidRPr="00E401C4">
          <w:rPr>
            <w:rFonts w:asciiTheme="minorHAnsi" w:hAnsiTheme="minorHAnsi"/>
            <w:noProof/>
            <w:webHidden/>
          </w:rPr>
          <w:fldChar w:fldCharType="separate"/>
        </w:r>
        <w:r w:rsidR="00553160">
          <w:rPr>
            <w:rFonts w:asciiTheme="minorHAnsi" w:hAnsiTheme="minorHAnsi"/>
            <w:noProof/>
            <w:webHidden/>
          </w:rPr>
          <w:t>70</w:t>
        </w:r>
        <w:r w:rsidR="008D4799" w:rsidRPr="00E401C4">
          <w:rPr>
            <w:rFonts w:asciiTheme="minorHAnsi" w:hAnsiTheme="minorHAnsi"/>
            <w:noProof/>
            <w:webHidden/>
          </w:rPr>
          <w:fldChar w:fldCharType="end"/>
        </w:r>
      </w:hyperlink>
    </w:p>
    <w:p w:rsidR="008D4799" w:rsidRPr="00E401C4" w:rsidRDefault="00505DC7" w:rsidP="00E401C4">
      <w:pPr>
        <w:pStyle w:val="TOC2"/>
        <w:rPr>
          <w:rFonts w:eastAsiaTheme="minorEastAsia" w:cstheme="minorBidi"/>
          <w:bCs w:val="0"/>
        </w:rPr>
      </w:pPr>
      <w:hyperlink w:anchor="_Toc486406001" w:history="1">
        <w:r w:rsidR="008D4799" w:rsidRPr="00E401C4">
          <w:rPr>
            <w:rStyle w:val="Hyperlink"/>
            <w:color w:val="auto"/>
          </w:rPr>
          <w:t>6.2 Transmission System Challenges for High Levels of Inverter-Based Resources</w:t>
        </w:r>
        <w:r w:rsidR="008D4799" w:rsidRPr="00E401C4">
          <w:rPr>
            <w:webHidden/>
          </w:rPr>
          <w:tab/>
        </w:r>
        <w:r w:rsidR="008D4799" w:rsidRPr="00E401C4">
          <w:rPr>
            <w:webHidden/>
          </w:rPr>
          <w:fldChar w:fldCharType="begin"/>
        </w:r>
        <w:r w:rsidR="008D4799" w:rsidRPr="00E401C4">
          <w:rPr>
            <w:webHidden/>
          </w:rPr>
          <w:instrText xml:space="preserve"> PAGEREF _Toc486406001 \h </w:instrText>
        </w:r>
        <w:r w:rsidR="008D4799" w:rsidRPr="00E401C4">
          <w:rPr>
            <w:webHidden/>
          </w:rPr>
        </w:r>
        <w:r w:rsidR="008D4799" w:rsidRPr="00E401C4">
          <w:rPr>
            <w:webHidden/>
          </w:rPr>
          <w:fldChar w:fldCharType="separate"/>
        </w:r>
        <w:r w:rsidR="00553160">
          <w:rPr>
            <w:webHidden/>
          </w:rPr>
          <w:t>75</w:t>
        </w:r>
        <w:r w:rsidR="008D4799" w:rsidRPr="00E401C4">
          <w:rPr>
            <w:webHidden/>
          </w:rPr>
          <w:fldChar w:fldCharType="end"/>
        </w:r>
      </w:hyperlink>
    </w:p>
    <w:p w:rsidR="008D4799" w:rsidRPr="00E401C4" w:rsidRDefault="00505DC7" w:rsidP="00E401C4">
      <w:pPr>
        <w:pStyle w:val="TOC2"/>
        <w:rPr>
          <w:rFonts w:eastAsiaTheme="minorEastAsia" w:cstheme="minorBidi"/>
          <w:bCs w:val="0"/>
        </w:rPr>
      </w:pPr>
      <w:hyperlink w:anchor="_Toc486406002" w:history="1">
        <w:r w:rsidR="008D4799" w:rsidRPr="00E401C4">
          <w:rPr>
            <w:rStyle w:val="Hyperlink"/>
            <w:color w:val="auto"/>
          </w:rPr>
          <w:t xml:space="preserve">6.3 </w:t>
        </w:r>
        <w:r w:rsidR="00E6590E" w:rsidRPr="00E6590E">
          <w:rPr>
            <w:rStyle w:val="Hyperlink"/>
            <w:color w:val="auto"/>
          </w:rPr>
          <w:t>Maine Interface Flow Statistics, High-Order-of-Magnitude Cost Estimates for Transmission</w:t>
        </w:r>
        <w:r w:rsidR="00E6590E">
          <w:rPr>
            <w:rStyle w:val="Hyperlink"/>
            <w:color w:val="auto"/>
          </w:rPr>
          <w:br/>
        </w:r>
        <w:r w:rsidR="00E6590E" w:rsidRPr="00E6590E">
          <w:rPr>
            <w:rStyle w:val="Hyperlink"/>
            <w:color w:val="auto"/>
          </w:rPr>
          <w:t>Development, and Implied Capital Investment</w:t>
        </w:r>
        <w:r w:rsidR="008D4799" w:rsidRPr="00E401C4">
          <w:rPr>
            <w:webHidden/>
          </w:rPr>
          <w:tab/>
        </w:r>
        <w:r w:rsidR="008D4799" w:rsidRPr="00E401C4">
          <w:rPr>
            <w:webHidden/>
          </w:rPr>
          <w:fldChar w:fldCharType="begin"/>
        </w:r>
        <w:r w:rsidR="008D4799" w:rsidRPr="00E401C4">
          <w:rPr>
            <w:webHidden/>
          </w:rPr>
          <w:instrText xml:space="preserve"> PAGEREF _Toc486406002 \h </w:instrText>
        </w:r>
        <w:r w:rsidR="008D4799" w:rsidRPr="00E401C4">
          <w:rPr>
            <w:webHidden/>
          </w:rPr>
        </w:r>
        <w:r w:rsidR="008D4799" w:rsidRPr="00E401C4">
          <w:rPr>
            <w:webHidden/>
          </w:rPr>
          <w:fldChar w:fldCharType="separate"/>
        </w:r>
        <w:r w:rsidR="00553160">
          <w:rPr>
            <w:webHidden/>
          </w:rPr>
          <w:t>77</w:t>
        </w:r>
        <w:r w:rsidR="008D4799" w:rsidRPr="00E401C4">
          <w:rPr>
            <w:webHidden/>
          </w:rPr>
          <w:fldChar w:fldCharType="end"/>
        </w:r>
      </w:hyperlink>
    </w:p>
    <w:p w:rsidR="008D4799" w:rsidRPr="00E401C4" w:rsidRDefault="00505DC7" w:rsidP="00E401C4">
      <w:pPr>
        <w:pStyle w:val="TOC2"/>
        <w:rPr>
          <w:rFonts w:eastAsiaTheme="minorEastAsia" w:cstheme="minorBidi"/>
          <w:bCs w:val="0"/>
        </w:rPr>
      </w:pPr>
      <w:hyperlink w:anchor="_Toc486406004" w:history="1">
        <w:r w:rsidR="008D4799" w:rsidRPr="00E401C4">
          <w:rPr>
            <w:rStyle w:val="Hyperlink"/>
            <w:color w:val="auto"/>
          </w:rPr>
          <w:t>6.4 Relative Annual Resource Costs</w:t>
        </w:r>
        <w:r w:rsidR="008D4799" w:rsidRPr="00E401C4">
          <w:rPr>
            <w:webHidden/>
          </w:rPr>
          <w:tab/>
        </w:r>
        <w:r w:rsidR="008D4799" w:rsidRPr="00E401C4">
          <w:rPr>
            <w:webHidden/>
          </w:rPr>
          <w:fldChar w:fldCharType="begin"/>
        </w:r>
        <w:r w:rsidR="008D4799" w:rsidRPr="00E401C4">
          <w:rPr>
            <w:webHidden/>
          </w:rPr>
          <w:instrText xml:space="preserve"> PAGEREF _Toc486406004 \h </w:instrText>
        </w:r>
        <w:r w:rsidR="008D4799" w:rsidRPr="00E401C4">
          <w:rPr>
            <w:webHidden/>
          </w:rPr>
        </w:r>
        <w:r w:rsidR="008D4799" w:rsidRPr="00E401C4">
          <w:rPr>
            <w:webHidden/>
          </w:rPr>
          <w:fldChar w:fldCharType="separate"/>
        </w:r>
        <w:r w:rsidR="00553160">
          <w:rPr>
            <w:webHidden/>
          </w:rPr>
          <w:t>80</w:t>
        </w:r>
        <w:r w:rsidR="008D4799" w:rsidRPr="00E401C4">
          <w:rPr>
            <w:webHidden/>
          </w:rPr>
          <w:fldChar w:fldCharType="end"/>
        </w:r>
      </w:hyperlink>
    </w:p>
    <w:p w:rsidR="008D4799" w:rsidRPr="00E401C4" w:rsidRDefault="00505DC7" w:rsidP="00E401C4">
      <w:pPr>
        <w:pStyle w:val="TOC2"/>
        <w:rPr>
          <w:rFonts w:eastAsiaTheme="minorEastAsia" w:cstheme="minorBidi"/>
          <w:bCs w:val="0"/>
        </w:rPr>
      </w:pPr>
      <w:hyperlink w:anchor="_Toc486406005" w:history="1">
        <w:r w:rsidR="008D4799" w:rsidRPr="00E401C4">
          <w:rPr>
            <w:rStyle w:val="Hyperlink"/>
            <w:color w:val="auto"/>
          </w:rPr>
          <w:t>6.5 Environmental Results</w:t>
        </w:r>
        <w:r w:rsidR="008D4799" w:rsidRPr="00E401C4">
          <w:rPr>
            <w:webHidden/>
          </w:rPr>
          <w:tab/>
        </w:r>
        <w:r w:rsidR="008D4799" w:rsidRPr="00E401C4">
          <w:rPr>
            <w:webHidden/>
          </w:rPr>
          <w:fldChar w:fldCharType="begin"/>
        </w:r>
        <w:r w:rsidR="008D4799" w:rsidRPr="00E401C4">
          <w:rPr>
            <w:webHidden/>
          </w:rPr>
          <w:instrText xml:space="preserve"> PAGEREF _Toc486406005 \h </w:instrText>
        </w:r>
        <w:r w:rsidR="008D4799" w:rsidRPr="00E401C4">
          <w:rPr>
            <w:webHidden/>
          </w:rPr>
        </w:r>
        <w:r w:rsidR="008D4799" w:rsidRPr="00E401C4">
          <w:rPr>
            <w:webHidden/>
          </w:rPr>
          <w:fldChar w:fldCharType="separate"/>
        </w:r>
        <w:r w:rsidR="00553160">
          <w:rPr>
            <w:webHidden/>
          </w:rPr>
          <w:t>86</w:t>
        </w:r>
        <w:r w:rsidR="008D4799" w:rsidRPr="00E401C4">
          <w:rPr>
            <w:webHidden/>
          </w:rPr>
          <w:fldChar w:fldCharType="end"/>
        </w:r>
      </w:hyperlink>
    </w:p>
    <w:p w:rsidR="008D4799" w:rsidRPr="00E401C4" w:rsidRDefault="00505DC7" w:rsidP="00E401C4">
      <w:pPr>
        <w:pStyle w:val="TOC3"/>
        <w:spacing w:after="120" w:line="240" w:lineRule="auto"/>
        <w:rPr>
          <w:rFonts w:asciiTheme="minorHAnsi" w:eastAsiaTheme="minorEastAsia" w:hAnsiTheme="minorHAnsi" w:cstheme="minorBidi"/>
          <w:noProof/>
        </w:rPr>
      </w:pPr>
      <w:hyperlink w:anchor="_Toc486406006" w:history="1">
        <w:r w:rsidR="008D4799" w:rsidRPr="00E401C4">
          <w:rPr>
            <w:rStyle w:val="Hyperlink"/>
            <w:rFonts w:asciiTheme="minorHAnsi" w:hAnsiTheme="minorHAnsi"/>
            <w:noProof/>
            <w:color w:val="auto"/>
          </w:rPr>
          <w:t>6.5.1 Ability of the System to Meet Renewable Portfolio Standards</w:t>
        </w:r>
        <w:r w:rsidR="008D4799" w:rsidRPr="00E401C4">
          <w:rPr>
            <w:rFonts w:asciiTheme="minorHAnsi" w:hAnsiTheme="minorHAnsi"/>
            <w:noProof/>
            <w:webHidden/>
          </w:rPr>
          <w:tab/>
        </w:r>
        <w:r w:rsidR="008D4799" w:rsidRPr="00E401C4">
          <w:rPr>
            <w:rFonts w:asciiTheme="minorHAnsi" w:hAnsiTheme="minorHAnsi"/>
            <w:noProof/>
            <w:webHidden/>
          </w:rPr>
          <w:fldChar w:fldCharType="begin"/>
        </w:r>
        <w:r w:rsidR="008D4799" w:rsidRPr="00E401C4">
          <w:rPr>
            <w:rFonts w:asciiTheme="minorHAnsi" w:hAnsiTheme="minorHAnsi"/>
            <w:noProof/>
            <w:webHidden/>
          </w:rPr>
          <w:instrText xml:space="preserve"> PAGEREF _Toc486406006 \h </w:instrText>
        </w:r>
        <w:r w:rsidR="008D4799" w:rsidRPr="00E401C4">
          <w:rPr>
            <w:rFonts w:asciiTheme="minorHAnsi" w:hAnsiTheme="minorHAnsi"/>
            <w:noProof/>
            <w:webHidden/>
          </w:rPr>
        </w:r>
        <w:r w:rsidR="008D4799" w:rsidRPr="00E401C4">
          <w:rPr>
            <w:rFonts w:asciiTheme="minorHAnsi" w:hAnsiTheme="minorHAnsi"/>
            <w:noProof/>
            <w:webHidden/>
          </w:rPr>
          <w:fldChar w:fldCharType="separate"/>
        </w:r>
        <w:r w:rsidR="00553160">
          <w:rPr>
            <w:rFonts w:asciiTheme="minorHAnsi" w:hAnsiTheme="minorHAnsi"/>
            <w:noProof/>
            <w:webHidden/>
          </w:rPr>
          <w:t>87</w:t>
        </w:r>
        <w:r w:rsidR="008D4799" w:rsidRPr="00E401C4">
          <w:rPr>
            <w:rFonts w:asciiTheme="minorHAnsi" w:hAnsiTheme="minorHAnsi"/>
            <w:noProof/>
            <w:webHidden/>
          </w:rPr>
          <w:fldChar w:fldCharType="end"/>
        </w:r>
      </w:hyperlink>
    </w:p>
    <w:p w:rsidR="008D4799" w:rsidRPr="00E401C4" w:rsidRDefault="00505DC7" w:rsidP="00E401C4">
      <w:pPr>
        <w:pStyle w:val="TOC3"/>
        <w:spacing w:after="120" w:line="240" w:lineRule="auto"/>
        <w:rPr>
          <w:rFonts w:asciiTheme="minorHAnsi" w:eastAsiaTheme="minorEastAsia" w:hAnsiTheme="minorHAnsi" w:cstheme="minorBidi"/>
          <w:noProof/>
        </w:rPr>
      </w:pPr>
      <w:hyperlink w:anchor="_Toc486406007" w:history="1">
        <w:r w:rsidR="008D4799" w:rsidRPr="00E401C4">
          <w:rPr>
            <w:rStyle w:val="Hyperlink"/>
            <w:rFonts w:asciiTheme="minorHAnsi" w:hAnsiTheme="minorHAnsi"/>
            <w:noProof/>
            <w:color w:val="auto"/>
          </w:rPr>
          <w:t>6.5.2 Carbon Dioxide Emissions and RGGI Goals</w:t>
        </w:r>
        <w:r w:rsidR="008D4799" w:rsidRPr="00E401C4">
          <w:rPr>
            <w:rFonts w:asciiTheme="minorHAnsi" w:hAnsiTheme="minorHAnsi"/>
            <w:noProof/>
            <w:webHidden/>
          </w:rPr>
          <w:tab/>
        </w:r>
        <w:r w:rsidR="008D4799" w:rsidRPr="00E401C4">
          <w:rPr>
            <w:rFonts w:asciiTheme="minorHAnsi" w:hAnsiTheme="minorHAnsi"/>
            <w:noProof/>
            <w:webHidden/>
          </w:rPr>
          <w:fldChar w:fldCharType="begin"/>
        </w:r>
        <w:r w:rsidR="008D4799" w:rsidRPr="00E401C4">
          <w:rPr>
            <w:rFonts w:asciiTheme="minorHAnsi" w:hAnsiTheme="minorHAnsi"/>
            <w:noProof/>
            <w:webHidden/>
          </w:rPr>
          <w:instrText xml:space="preserve"> PAGEREF _Toc486406007 \h </w:instrText>
        </w:r>
        <w:r w:rsidR="008D4799" w:rsidRPr="00E401C4">
          <w:rPr>
            <w:rFonts w:asciiTheme="minorHAnsi" w:hAnsiTheme="minorHAnsi"/>
            <w:noProof/>
            <w:webHidden/>
          </w:rPr>
        </w:r>
        <w:r w:rsidR="008D4799" w:rsidRPr="00E401C4">
          <w:rPr>
            <w:rFonts w:asciiTheme="minorHAnsi" w:hAnsiTheme="minorHAnsi"/>
            <w:noProof/>
            <w:webHidden/>
          </w:rPr>
          <w:fldChar w:fldCharType="separate"/>
        </w:r>
        <w:r w:rsidR="00553160">
          <w:rPr>
            <w:rFonts w:asciiTheme="minorHAnsi" w:hAnsiTheme="minorHAnsi"/>
            <w:noProof/>
            <w:webHidden/>
          </w:rPr>
          <w:t>89</w:t>
        </w:r>
        <w:r w:rsidR="008D4799" w:rsidRPr="00E401C4">
          <w:rPr>
            <w:rFonts w:asciiTheme="minorHAnsi" w:hAnsiTheme="minorHAnsi"/>
            <w:noProof/>
            <w:webHidden/>
          </w:rPr>
          <w:fldChar w:fldCharType="end"/>
        </w:r>
      </w:hyperlink>
    </w:p>
    <w:p w:rsidR="008D4799" w:rsidRPr="00E401C4" w:rsidRDefault="00505DC7" w:rsidP="00E401C4">
      <w:pPr>
        <w:pStyle w:val="TOC3"/>
        <w:spacing w:after="120" w:line="240" w:lineRule="auto"/>
        <w:rPr>
          <w:rFonts w:asciiTheme="minorHAnsi" w:eastAsiaTheme="minorEastAsia" w:hAnsiTheme="minorHAnsi" w:cstheme="minorBidi"/>
          <w:noProof/>
        </w:rPr>
      </w:pPr>
      <w:hyperlink w:anchor="_Toc486406008" w:history="1">
        <w:r w:rsidR="008D4799" w:rsidRPr="00E401C4">
          <w:rPr>
            <w:rStyle w:val="Hyperlink"/>
            <w:rFonts w:asciiTheme="minorHAnsi" w:hAnsiTheme="minorHAnsi"/>
            <w:noProof/>
            <w:color w:val="auto"/>
          </w:rPr>
          <w:t>6.5.3 Other Emissions</w:t>
        </w:r>
        <w:r w:rsidR="008D4799" w:rsidRPr="00E401C4">
          <w:rPr>
            <w:rFonts w:asciiTheme="minorHAnsi" w:hAnsiTheme="minorHAnsi"/>
            <w:noProof/>
            <w:webHidden/>
          </w:rPr>
          <w:tab/>
        </w:r>
        <w:r w:rsidR="008D4799" w:rsidRPr="00E401C4">
          <w:rPr>
            <w:rFonts w:asciiTheme="minorHAnsi" w:hAnsiTheme="minorHAnsi"/>
            <w:noProof/>
            <w:webHidden/>
          </w:rPr>
          <w:fldChar w:fldCharType="begin"/>
        </w:r>
        <w:r w:rsidR="008D4799" w:rsidRPr="00E401C4">
          <w:rPr>
            <w:rFonts w:asciiTheme="minorHAnsi" w:hAnsiTheme="minorHAnsi"/>
            <w:noProof/>
            <w:webHidden/>
          </w:rPr>
          <w:instrText xml:space="preserve"> PAGEREF _Toc486406008 \h </w:instrText>
        </w:r>
        <w:r w:rsidR="008D4799" w:rsidRPr="00E401C4">
          <w:rPr>
            <w:rFonts w:asciiTheme="minorHAnsi" w:hAnsiTheme="minorHAnsi"/>
            <w:noProof/>
            <w:webHidden/>
          </w:rPr>
        </w:r>
        <w:r w:rsidR="008D4799" w:rsidRPr="00E401C4">
          <w:rPr>
            <w:rFonts w:asciiTheme="minorHAnsi" w:hAnsiTheme="minorHAnsi"/>
            <w:noProof/>
            <w:webHidden/>
          </w:rPr>
          <w:fldChar w:fldCharType="separate"/>
        </w:r>
        <w:r w:rsidR="00553160">
          <w:rPr>
            <w:rFonts w:asciiTheme="minorHAnsi" w:hAnsiTheme="minorHAnsi"/>
            <w:noProof/>
            <w:webHidden/>
          </w:rPr>
          <w:t>93</w:t>
        </w:r>
        <w:r w:rsidR="008D4799" w:rsidRPr="00E401C4">
          <w:rPr>
            <w:rFonts w:asciiTheme="minorHAnsi" w:hAnsiTheme="minorHAnsi"/>
            <w:noProof/>
            <w:webHidden/>
          </w:rPr>
          <w:fldChar w:fldCharType="end"/>
        </w:r>
      </w:hyperlink>
    </w:p>
    <w:p w:rsidR="008D4799" w:rsidRPr="00E401C4" w:rsidRDefault="00505DC7" w:rsidP="00E401C4">
      <w:pPr>
        <w:pStyle w:val="TOC3"/>
        <w:spacing w:after="120" w:line="240" w:lineRule="auto"/>
        <w:rPr>
          <w:rFonts w:asciiTheme="minorHAnsi" w:eastAsiaTheme="minorEastAsia" w:hAnsiTheme="minorHAnsi" w:cstheme="minorBidi"/>
          <w:noProof/>
        </w:rPr>
      </w:pPr>
      <w:hyperlink w:anchor="_Toc486406009" w:history="1">
        <w:r w:rsidR="008D4799" w:rsidRPr="00E401C4">
          <w:rPr>
            <w:rStyle w:val="Hyperlink"/>
            <w:rFonts w:asciiTheme="minorHAnsi" w:hAnsiTheme="minorHAnsi"/>
            <w:noProof/>
            <w:color w:val="auto"/>
          </w:rPr>
          <w:t>6.5.4 Spilled Renewable Resource Energy</w:t>
        </w:r>
        <w:r w:rsidR="008D4799" w:rsidRPr="00E401C4">
          <w:rPr>
            <w:rFonts w:asciiTheme="minorHAnsi" w:hAnsiTheme="minorHAnsi"/>
            <w:noProof/>
            <w:webHidden/>
          </w:rPr>
          <w:tab/>
        </w:r>
        <w:r w:rsidR="008D4799" w:rsidRPr="00E401C4">
          <w:rPr>
            <w:rFonts w:asciiTheme="minorHAnsi" w:hAnsiTheme="minorHAnsi"/>
            <w:noProof/>
            <w:webHidden/>
          </w:rPr>
          <w:fldChar w:fldCharType="begin"/>
        </w:r>
        <w:r w:rsidR="008D4799" w:rsidRPr="00E401C4">
          <w:rPr>
            <w:rFonts w:asciiTheme="minorHAnsi" w:hAnsiTheme="minorHAnsi"/>
            <w:noProof/>
            <w:webHidden/>
          </w:rPr>
          <w:instrText xml:space="preserve"> PAGEREF _Toc486406009 \h </w:instrText>
        </w:r>
        <w:r w:rsidR="008D4799" w:rsidRPr="00E401C4">
          <w:rPr>
            <w:rFonts w:asciiTheme="minorHAnsi" w:hAnsiTheme="minorHAnsi"/>
            <w:noProof/>
            <w:webHidden/>
          </w:rPr>
        </w:r>
        <w:r w:rsidR="008D4799" w:rsidRPr="00E401C4">
          <w:rPr>
            <w:rFonts w:asciiTheme="minorHAnsi" w:hAnsiTheme="minorHAnsi"/>
            <w:noProof/>
            <w:webHidden/>
          </w:rPr>
          <w:fldChar w:fldCharType="separate"/>
        </w:r>
        <w:r w:rsidR="00553160">
          <w:rPr>
            <w:rFonts w:asciiTheme="minorHAnsi" w:hAnsiTheme="minorHAnsi"/>
            <w:noProof/>
            <w:webHidden/>
          </w:rPr>
          <w:t>93</w:t>
        </w:r>
        <w:r w:rsidR="008D4799" w:rsidRPr="00E401C4">
          <w:rPr>
            <w:rFonts w:asciiTheme="minorHAnsi" w:hAnsiTheme="minorHAnsi"/>
            <w:noProof/>
            <w:webHidden/>
          </w:rPr>
          <w:fldChar w:fldCharType="end"/>
        </w:r>
      </w:hyperlink>
    </w:p>
    <w:p w:rsidR="008D4799" w:rsidRPr="00E401C4" w:rsidRDefault="00505DC7" w:rsidP="00E401C4">
      <w:pPr>
        <w:pStyle w:val="TOC1"/>
        <w:rPr>
          <w:rFonts w:eastAsiaTheme="minorEastAsia" w:cstheme="minorBidi"/>
        </w:rPr>
      </w:pPr>
      <w:hyperlink w:anchor="_Toc486406010" w:history="1">
        <w:r w:rsidR="008D4799" w:rsidRPr="00E401C4">
          <w:rPr>
            <w:rStyle w:val="Hyperlink"/>
            <w:color w:val="auto"/>
          </w:rPr>
          <w:t>Section 7</w:t>
        </w:r>
        <w:r w:rsidR="00E401C4">
          <w:rPr>
            <w:rStyle w:val="Hyperlink"/>
            <w:color w:val="auto"/>
          </w:rPr>
          <w:br/>
        </w:r>
        <w:r w:rsidR="008D4799" w:rsidRPr="00E401C4">
          <w:rPr>
            <w:rStyle w:val="Hyperlink"/>
            <w:color w:val="auto"/>
          </w:rPr>
          <w:t>Summary, Conclusions, and Next Steps</w:t>
        </w:r>
        <w:r w:rsidR="008D4799" w:rsidRPr="00E401C4">
          <w:rPr>
            <w:webHidden/>
          </w:rPr>
          <w:tab/>
        </w:r>
        <w:r w:rsidR="008D4799" w:rsidRPr="00E401C4">
          <w:rPr>
            <w:webHidden/>
          </w:rPr>
          <w:fldChar w:fldCharType="begin"/>
        </w:r>
        <w:r w:rsidR="008D4799" w:rsidRPr="00E401C4">
          <w:rPr>
            <w:webHidden/>
          </w:rPr>
          <w:instrText xml:space="preserve"> PAGEREF _Toc486406010 \h </w:instrText>
        </w:r>
        <w:r w:rsidR="008D4799" w:rsidRPr="00E401C4">
          <w:rPr>
            <w:webHidden/>
          </w:rPr>
        </w:r>
        <w:r w:rsidR="008D4799" w:rsidRPr="00E401C4">
          <w:rPr>
            <w:webHidden/>
          </w:rPr>
          <w:fldChar w:fldCharType="separate"/>
        </w:r>
        <w:r w:rsidR="00553160">
          <w:rPr>
            <w:webHidden/>
          </w:rPr>
          <w:t>95</w:t>
        </w:r>
        <w:r w:rsidR="008D4799" w:rsidRPr="00E401C4">
          <w:rPr>
            <w:webHidden/>
          </w:rPr>
          <w:fldChar w:fldCharType="end"/>
        </w:r>
      </w:hyperlink>
    </w:p>
    <w:p w:rsidR="008D4799" w:rsidRPr="00E401C4" w:rsidRDefault="00505DC7" w:rsidP="00E401C4">
      <w:pPr>
        <w:pStyle w:val="TOC2"/>
        <w:rPr>
          <w:rFonts w:eastAsiaTheme="minorEastAsia" w:cstheme="minorBidi"/>
          <w:bCs w:val="0"/>
        </w:rPr>
      </w:pPr>
      <w:hyperlink w:anchor="_Toc486406011" w:history="1">
        <w:r w:rsidR="008D4799" w:rsidRPr="00E401C4">
          <w:rPr>
            <w:rStyle w:val="Hyperlink"/>
            <w:color w:val="auto"/>
          </w:rPr>
          <w:t>7.1 Key Observations</w:t>
        </w:r>
        <w:r w:rsidR="008D4799" w:rsidRPr="00E401C4">
          <w:rPr>
            <w:webHidden/>
          </w:rPr>
          <w:tab/>
        </w:r>
        <w:r w:rsidR="008D4799" w:rsidRPr="00E401C4">
          <w:rPr>
            <w:webHidden/>
          </w:rPr>
          <w:fldChar w:fldCharType="begin"/>
        </w:r>
        <w:r w:rsidR="008D4799" w:rsidRPr="00E401C4">
          <w:rPr>
            <w:webHidden/>
          </w:rPr>
          <w:instrText xml:space="preserve"> PAGEREF _Toc486406011 \h </w:instrText>
        </w:r>
        <w:r w:rsidR="008D4799" w:rsidRPr="00E401C4">
          <w:rPr>
            <w:webHidden/>
          </w:rPr>
        </w:r>
        <w:r w:rsidR="008D4799" w:rsidRPr="00E401C4">
          <w:rPr>
            <w:webHidden/>
          </w:rPr>
          <w:fldChar w:fldCharType="separate"/>
        </w:r>
        <w:r w:rsidR="00553160">
          <w:rPr>
            <w:webHidden/>
          </w:rPr>
          <w:t>95</w:t>
        </w:r>
        <w:r w:rsidR="008D4799" w:rsidRPr="00E401C4">
          <w:rPr>
            <w:webHidden/>
          </w:rPr>
          <w:fldChar w:fldCharType="end"/>
        </w:r>
      </w:hyperlink>
    </w:p>
    <w:p w:rsidR="008D4799" w:rsidRPr="00E401C4" w:rsidRDefault="00505DC7" w:rsidP="00E401C4">
      <w:pPr>
        <w:pStyle w:val="TOC2"/>
        <w:rPr>
          <w:rFonts w:eastAsiaTheme="minorEastAsia" w:cstheme="minorBidi"/>
          <w:bCs w:val="0"/>
        </w:rPr>
      </w:pPr>
      <w:hyperlink w:anchor="_Toc486406012" w:history="1">
        <w:r w:rsidR="008D4799" w:rsidRPr="00E401C4">
          <w:rPr>
            <w:rStyle w:val="Hyperlink"/>
            <w:color w:val="auto"/>
          </w:rPr>
          <w:t>7.2 Next Steps</w:t>
        </w:r>
        <w:r w:rsidR="008D4799" w:rsidRPr="00E401C4">
          <w:rPr>
            <w:webHidden/>
          </w:rPr>
          <w:tab/>
        </w:r>
        <w:r w:rsidR="008D4799" w:rsidRPr="00E401C4">
          <w:rPr>
            <w:webHidden/>
          </w:rPr>
          <w:fldChar w:fldCharType="begin"/>
        </w:r>
        <w:r w:rsidR="008D4799" w:rsidRPr="00E401C4">
          <w:rPr>
            <w:webHidden/>
          </w:rPr>
          <w:instrText xml:space="preserve"> PAGEREF _Toc486406012 \h </w:instrText>
        </w:r>
        <w:r w:rsidR="008D4799" w:rsidRPr="00E401C4">
          <w:rPr>
            <w:webHidden/>
          </w:rPr>
        </w:r>
        <w:r w:rsidR="008D4799" w:rsidRPr="00E401C4">
          <w:rPr>
            <w:webHidden/>
          </w:rPr>
          <w:fldChar w:fldCharType="separate"/>
        </w:r>
        <w:r w:rsidR="00553160">
          <w:rPr>
            <w:webHidden/>
          </w:rPr>
          <w:t>96</w:t>
        </w:r>
        <w:r w:rsidR="008D4799" w:rsidRPr="00E401C4">
          <w:rPr>
            <w:webHidden/>
          </w:rPr>
          <w:fldChar w:fldCharType="end"/>
        </w:r>
      </w:hyperlink>
    </w:p>
    <w:p w:rsidR="00F565D2" w:rsidRPr="00CD7DBD" w:rsidRDefault="00CD7DBD" w:rsidP="00E401C4">
      <w:pPr>
        <w:spacing w:after="120" w:line="240" w:lineRule="auto"/>
        <w:rPr>
          <w:rFonts w:ascii="Calibri" w:hAnsi="Calibri"/>
          <w:szCs w:val="20"/>
        </w:rPr>
        <w:sectPr w:rsidR="00F565D2" w:rsidRPr="00CD7DBD" w:rsidSect="004C3378">
          <w:footerReference w:type="default" r:id="rId18"/>
          <w:pgSz w:w="12240" w:h="15840" w:code="1"/>
          <w:pgMar w:top="1440" w:right="1440" w:bottom="1440" w:left="1440" w:header="720" w:footer="720" w:gutter="0"/>
          <w:pgNumType w:fmt="lowerRoman"/>
          <w:cols w:space="720"/>
          <w:docGrid w:linePitch="360"/>
        </w:sectPr>
      </w:pPr>
      <w:r w:rsidRPr="00E401C4">
        <w:rPr>
          <w:rFonts w:asciiTheme="minorHAnsi" w:hAnsiTheme="minorHAnsi"/>
          <w:szCs w:val="20"/>
        </w:rPr>
        <w:fldChar w:fldCharType="end"/>
      </w:r>
    </w:p>
    <w:p w:rsidR="00F565D2" w:rsidRPr="00E401C4" w:rsidRDefault="00F565D2" w:rsidP="00E401C4">
      <w:pPr>
        <w:adjustRightInd/>
        <w:spacing w:line="240" w:lineRule="auto"/>
        <w:textAlignment w:val="auto"/>
        <w:outlineLvl w:val="0"/>
        <w:rPr>
          <w:rFonts w:ascii="Calibri" w:hAnsi="Calibri" w:cs="Arial"/>
          <w:b/>
          <w:bCs/>
          <w:color w:val="0C95D2"/>
          <w:sz w:val="36"/>
          <w:szCs w:val="36"/>
        </w:rPr>
      </w:pPr>
      <w:bookmarkStart w:id="4" w:name="_Toc173682257"/>
      <w:bookmarkStart w:id="5" w:name="_Toc486405946"/>
      <w:r w:rsidRPr="00027DE4">
        <w:rPr>
          <w:rFonts w:ascii="Calibri" w:hAnsi="Calibri" w:cs="Arial"/>
          <w:b/>
          <w:bCs/>
          <w:color w:val="0C95D2"/>
          <w:sz w:val="36"/>
          <w:szCs w:val="36"/>
        </w:rPr>
        <w:lastRenderedPageBreak/>
        <w:t>Figures</w:t>
      </w:r>
      <w:bookmarkEnd w:id="4"/>
      <w:bookmarkEnd w:id="5"/>
    </w:p>
    <w:p w:rsidR="008D4799" w:rsidRDefault="00CD7DBD" w:rsidP="00E401C4">
      <w:pPr>
        <w:pStyle w:val="TableofFigures"/>
        <w:ind w:left="1267" w:hanging="1267"/>
        <w:rPr>
          <w:rFonts w:asciiTheme="minorHAnsi" w:eastAsiaTheme="minorEastAsia" w:hAnsiTheme="minorHAnsi" w:cstheme="minorBidi"/>
          <w:sz w:val="22"/>
          <w:szCs w:val="22"/>
        </w:rPr>
      </w:pPr>
      <w:r w:rsidRPr="00005201">
        <w:rPr>
          <w:rFonts w:asciiTheme="minorHAnsi" w:hAnsiTheme="minorHAnsi"/>
        </w:rPr>
        <w:fldChar w:fldCharType="begin"/>
      </w:r>
      <w:r w:rsidRPr="00005201">
        <w:rPr>
          <w:rFonts w:asciiTheme="minorHAnsi" w:hAnsiTheme="minorHAnsi"/>
        </w:rPr>
        <w:instrText xml:space="preserve"> TOC \h \z \c "Figure" </w:instrText>
      </w:r>
      <w:r w:rsidRPr="00005201">
        <w:rPr>
          <w:rFonts w:asciiTheme="minorHAnsi" w:hAnsiTheme="minorHAnsi"/>
        </w:rPr>
        <w:fldChar w:fldCharType="separate"/>
      </w:r>
      <w:hyperlink w:anchor="_Toc486406057" w:history="1">
        <w:r w:rsidR="008D4799" w:rsidRPr="00732077">
          <w:rPr>
            <w:rStyle w:val="Hyperlink"/>
          </w:rPr>
          <w:t>Figure 1</w:t>
        </w:r>
        <w:r w:rsidR="008D4799" w:rsidRPr="00732077">
          <w:rPr>
            <w:rStyle w:val="Hyperlink"/>
          </w:rPr>
          <w:noBreakHyphen/>
          <w:t xml:space="preserve">1: </w:t>
        </w:r>
        <w:r w:rsidR="00E401C4">
          <w:rPr>
            <w:rStyle w:val="Hyperlink"/>
          </w:rPr>
          <w:tab/>
        </w:r>
        <w:r w:rsidR="008D4799" w:rsidRPr="00732077">
          <w:rPr>
            <w:rStyle w:val="Hyperlink"/>
          </w:rPr>
          <w:t>Total relative annual resource costs, 2025 (constrained and unconstrained),</w:t>
        </w:r>
        <w:r w:rsidR="003536FD">
          <w:rPr>
            <w:rStyle w:val="Hyperlink"/>
          </w:rPr>
          <w:br/>
        </w:r>
        <w:r w:rsidR="008D4799" w:rsidRPr="00732077">
          <w:rPr>
            <w:rStyle w:val="Hyperlink"/>
          </w:rPr>
          <w:t>showing changes compared with 2025 Scenario 4 (constrained) ($ billions)</w:t>
        </w:r>
        <w:r w:rsidR="008D4799">
          <w:rPr>
            <w:webHidden/>
          </w:rPr>
          <w:tab/>
        </w:r>
        <w:r w:rsidR="008D4799">
          <w:rPr>
            <w:webHidden/>
          </w:rPr>
          <w:fldChar w:fldCharType="begin"/>
        </w:r>
        <w:r w:rsidR="008D4799">
          <w:rPr>
            <w:webHidden/>
          </w:rPr>
          <w:instrText xml:space="preserve"> PAGEREF _Toc486406057 \h </w:instrText>
        </w:r>
        <w:r w:rsidR="008D4799">
          <w:rPr>
            <w:webHidden/>
          </w:rPr>
        </w:r>
        <w:r w:rsidR="008D4799">
          <w:rPr>
            <w:webHidden/>
          </w:rPr>
          <w:fldChar w:fldCharType="separate"/>
        </w:r>
        <w:r w:rsidR="00553160">
          <w:rPr>
            <w:webHidden/>
          </w:rPr>
          <w:t>8</w:t>
        </w:r>
        <w:r w:rsidR="008D4799">
          <w:rPr>
            <w:webHidden/>
          </w:rPr>
          <w:fldChar w:fldCharType="end"/>
        </w:r>
      </w:hyperlink>
    </w:p>
    <w:p w:rsidR="008D4799" w:rsidRDefault="00505DC7" w:rsidP="00E401C4">
      <w:pPr>
        <w:pStyle w:val="TableofFigures"/>
        <w:ind w:left="1267" w:hanging="1267"/>
        <w:rPr>
          <w:rFonts w:asciiTheme="minorHAnsi" w:eastAsiaTheme="minorEastAsia" w:hAnsiTheme="minorHAnsi" w:cstheme="minorBidi"/>
          <w:sz w:val="22"/>
          <w:szCs w:val="22"/>
        </w:rPr>
      </w:pPr>
      <w:hyperlink w:anchor="_Toc486406058" w:history="1">
        <w:r w:rsidR="008D4799" w:rsidRPr="00732077">
          <w:rPr>
            <w:rStyle w:val="Hyperlink"/>
          </w:rPr>
          <w:t>Figure 1</w:t>
        </w:r>
        <w:r w:rsidR="008D4799" w:rsidRPr="00732077">
          <w:rPr>
            <w:rStyle w:val="Hyperlink"/>
          </w:rPr>
          <w:noBreakHyphen/>
          <w:t xml:space="preserve">2: </w:t>
        </w:r>
        <w:r w:rsidR="00E401C4">
          <w:rPr>
            <w:rStyle w:val="Hyperlink"/>
          </w:rPr>
          <w:tab/>
        </w:r>
        <w:r w:rsidR="008D4799" w:rsidRPr="00732077">
          <w:rPr>
            <w:rStyle w:val="Hyperlink"/>
          </w:rPr>
          <w:t>Total relative annual resource costs, 2025 (constrained and unconstrained),</w:t>
        </w:r>
        <w:r w:rsidR="003536FD">
          <w:rPr>
            <w:rStyle w:val="Hyperlink"/>
          </w:rPr>
          <w:br/>
        </w:r>
        <w:r w:rsidR="008D4799" w:rsidRPr="00732077">
          <w:rPr>
            <w:rStyle w:val="Hyperlink"/>
          </w:rPr>
          <w:t>showing changes compared with 2025 Scenario 4 (constrained) (¢/kWh).</w:t>
        </w:r>
        <w:r w:rsidR="008D4799">
          <w:rPr>
            <w:webHidden/>
          </w:rPr>
          <w:tab/>
        </w:r>
        <w:r w:rsidR="008D4799">
          <w:rPr>
            <w:webHidden/>
          </w:rPr>
          <w:fldChar w:fldCharType="begin"/>
        </w:r>
        <w:r w:rsidR="008D4799">
          <w:rPr>
            <w:webHidden/>
          </w:rPr>
          <w:instrText xml:space="preserve"> PAGEREF _Toc486406058 \h </w:instrText>
        </w:r>
        <w:r w:rsidR="008D4799">
          <w:rPr>
            <w:webHidden/>
          </w:rPr>
        </w:r>
        <w:r w:rsidR="008D4799">
          <w:rPr>
            <w:webHidden/>
          </w:rPr>
          <w:fldChar w:fldCharType="separate"/>
        </w:r>
        <w:r w:rsidR="00553160">
          <w:rPr>
            <w:webHidden/>
          </w:rPr>
          <w:t>9</w:t>
        </w:r>
        <w:r w:rsidR="008D4799">
          <w:rPr>
            <w:webHidden/>
          </w:rPr>
          <w:fldChar w:fldCharType="end"/>
        </w:r>
      </w:hyperlink>
    </w:p>
    <w:p w:rsidR="008D4799" w:rsidRDefault="00505DC7" w:rsidP="00E401C4">
      <w:pPr>
        <w:pStyle w:val="TableofFigures"/>
        <w:ind w:left="1267" w:hanging="1267"/>
        <w:rPr>
          <w:rFonts w:asciiTheme="minorHAnsi" w:eastAsiaTheme="minorEastAsia" w:hAnsiTheme="minorHAnsi" w:cstheme="minorBidi"/>
          <w:sz w:val="22"/>
          <w:szCs w:val="22"/>
        </w:rPr>
      </w:pPr>
      <w:hyperlink w:anchor="_Toc486406059" w:history="1">
        <w:r w:rsidR="008D4799" w:rsidRPr="00732077">
          <w:rPr>
            <w:rStyle w:val="Hyperlink"/>
          </w:rPr>
          <w:t>Figure 1</w:t>
        </w:r>
        <w:r w:rsidR="008D4799" w:rsidRPr="00732077">
          <w:rPr>
            <w:rStyle w:val="Hyperlink"/>
          </w:rPr>
          <w:noBreakHyphen/>
          <w:t xml:space="preserve">3: </w:t>
        </w:r>
        <w:r w:rsidR="00E401C4">
          <w:rPr>
            <w:rStyle w:val="Hyperlink"/>
          </w:rPr>
          <w:tab/>
        </w:r>
        <w:r w:rsidR="008D4799" w:rsidRPr="00732077">
          <w:rPr>
            <w:rStyle w:val="Hyperlink"/>
          </w:rPr>
          <w:t>Total relative annual resource costs, 2030 (constrained and unconstrained),</w:t>
        </w:r>
        <w:r w:rsidR="003536FD">
          <w:rPr>
            <w:rStyle w:val="Hyperlink"/>
          </w:rPr>
          <w:br/>
        </w:r>
        <w:r w:rsidR="008D4799" w:rsidRPr="00732077">
          <w:rPr>
            <w:rStyle w:val="Hyperlink"/>
          </w:rPr>
          <w:t>showing changes compared with 2030 Scenario 4 (constrained) ($ billions).</w:t>
        </w:r>
        <w:r w:rsidR="008D4799">
          <w:rPr>
            <w:webHidden/>
          </w:rPr>
          <w:tab/>
        </w:r>
        <w:r w:rsidR="008D4799">
          <w:rPr>
            <w:webHidden/>
          </w:rPr>
          <w:fldChar w:fldCharType="begin"/>
        </w:r>
        <w:r w:rsidR="008D4799">
          <w:rPr>
            <w:webHidden/>
          </w:rPr>
          <w:instrText xml:space="preserve"> PAGEREF _Toc486406059 \h </w:instrText>
        </w:r>
        <w:r w:rsidR="008D4799">
          <w:rPr>
            <w:webHidden/>
          </w:rPr>
        </w:r>
        <w:r w:rsidR="008D4799">
          <w:rPr>
            <w:webHidden/>
          </w:rPr>
          <w:fldChar w:fldCharType="separate"/>
        </w:r>
        <w:r w:rsidR="00553160">
          <w:rPr>
            <w:webHidden/>
          </w:rPr>
          <w:t>10</w:t>
        </w:r>
        <w:r w:rsidR="008D4799">
          <w:rPr>
            <w:webHidden/>
          </w:rPr>
          <w:fldChar w:fldCharType="end"/>
        </w:r>
      </w:hyperlink>
    </w:p>
    <w:p w:rsidR="008D4799" w:rsidRDefault="00505DC7" w:rsidP="00E401C4">
      <w:pPr>
        <w:pStyle w:val="TableofFigures"/>
        <w:ind w:left="1267" w:hanging="1267"/>
        <w:rPr>
          <w:rFonts w:asciiTheme="minorHAnsi" w:eastAsiaTheme="minorEastAsia" w:hAnsiTheme="minorHAnsi" w:cstheme="minorBidi"/>
          <w:sz w:val="22"/>
          <w:szCs w:val="22"/>
        </w:rPr>
      </w:pPr>
      <w:hyperlink w:anchor="_Toc486406060" w:history="1">
        <w:r w:rsidR="008D4799" w:rsidRPr="00732077">
          <w:rPr>
            <w:rStyle w:val="Hyperlink"/>
          </w:rPr>
          <w:t>Figure 1</w:t>
        </w:r>
        <w:r w:rsidR="008D4799" w:rsidRPr="00732077">
          <w:rPr>
            <w:rStyle w:val="Hyperlink"/>
          </w:rPr>
          <w:noBreakHyphen/>
          <w:t xml:space="preserve">4: </w:t>
        </w:r>
        <w:r w:rsidR="00E401C4">
          <w:rPr>
            <w:rStyle w:val="Hyperlink"/>
          </w:rPr>
          <w:tab/>
        </w:r>
        <w:r w:rsidR="008D4799" w:rsidRPr="00732077">
          <w:rPr>
            <w:rStyle w:val="Hyperlink"/>
          </w:rPr>
          <w:t>Total relative annual resource costs, 2030 (constrained and unconstrained),</w:t>
        </w:r>
        <w:r w:rsidR="003536FD">
          <w:rPr>
            <w:rStyle w:val="Hyperlink"/>
          </w:rPr>
          <w:br/>
        </w:r>
        <w:r w:rsidR="008D4799" w:rsidRPr="00732077">
          <w:rPr>
            <w:rStyle w:val="Hyperlink"/>
          </w:rPr>
          <w:t>showing changes compared with 2030 Scenario 4 (constrained) (¢/kWh).</w:t>
        </w:r>
        <w:r w:rsidR="008D4799">
          <w:rPr>
            <w:webHidden/>
          </w:rPr>
          <w:tab/>
        </w:r>
        <w:r w:rsidR="008D4799">
          <w:rPr>
            <w:webHidden/>
          </w:rPr>
          <w:fldChar w:fldCharType="begin"/>
        </w:r>
        <w:r w:rsidR="008D4799">
          <w:rPr>
            <w:webHidden/>
          </w:rPr>
          <w:instrText xml:space="preserve"> PAGEREF _Toc486406060 \h </w:instrText>
        </w:r>
        <w:r w:rsidR="008D4799">
          <w:rPr>
            <w:webHidden/>
          </w:rPr>
        </w:r>
        <w:r w:rsidR="008D4799">
          <w:rPr>
            <w:webHidden/>
          </w:rPr>
          <w:fldChar w:fldCharType="separate"/>
        </w:r>
        <w:r w:rsidR="00553160">
          <w:rPr>
            <w:webHidden/>
          </w:rPr>
          <w:t>11</w:t>
        </w:r>
        <w:r w:rsidR="008D4799">
          <w:rPr>
            <w:webHidden/>
          </w:rPr>
          <w:fldChar w:fldCharType="end"/>
        </w:r>
      </w:hyperlink>
    </w:p>
    <w:p w:rsidR="008D4799" w:rsidRDefault="00505DC7" w:rsidP="00E401C4">
      <w:pPr>
        <w:pStyle w:val="TableofFigures"/>
        <w:ind w:left="1267" w:hanging="1267"/>
        <w:rPr>
          <w:rFonts w:asciiTheme="minorHAnsi" w:eastAsiaTheme="minorEastAsia" w:hAnsiTheme="minorHAnsi" w:cstheme="minorBidi"/>
          <w:sz w:val="22"/>
          <w:szCs w:val="22"/>
        </w:rPr>
      </w:pPr>
      <w:hyperlink w:anchor="_Toc486406061" w:history="1">
        <w:r w:rsidR="008D4799" w:rsidRPr="00732077">
          <w:rPr>
            <w:rStyle w:val="Hyperlink"/>
          </w:rPr>
          <w:t>Figure 5</w:t>
        </w:r>
        <w:r w:rsidR="008D4799" w:rsidRPr="00732077">
          <w:rPr>
            <w:rStyle w:val="Hyperlink"/>
          </w:rPr>
          <w:noBreakHyphen/>
          <w:t xml:space="preserve">1: </w:t>
        </w:r>
        <w:r w:rsidR="00E401C4">
          <w:rPr>
            <w:rStyle w:val="Hyperlink"/>
          </w:rPr>
          <w:tab/>
        </w:r>
        <w:r w:rsidR="008D4799" w:rsidRPr="00732077">
          <w:rPr>
            <w:rStyle w:val="Hyperlink"/>
          </w:rPr>
          <w:t>Daily PHEV charging profile for Scenario 3 for 2.5 million vehicles (2025)</w:t>
        </w:r>
        <w:r w:rsidR="003536FD">
          <w:rPr>
            <w:rStyle w:val="Hyperlink"/>
          </w:rPr>
          <w:br/>
        </w:r>
        <w:r w:rsidR="008D4799" w:rsidRPr="00732077">
          <w:rPr>
            <w:rStyle w:val="Hyperlink"/>
          </w:rPr>
          <w:t>and 4.2 million vehicles (2030) (MW).</w:t>
        </w:r>
        <w:r w:rsidR="008D4799">
          <w:rPr>
            <w:webHidden/>
          </w:rPr>
          <w:tab/>
        </w:r>
        <w:r w:rsidR="008D4799">
          <w:rPr>
            <w:webHidden/>
          </w:rPr>
          <w:fldChar w:fldCharType="begin"/>
        </w:r>
        <w:r w:rsidR="008D4799">
          <w:rPr>
            <w:webHidden/>
          </w:rPr>
          <w:instrText xml:space="preserve"> PAGEREF _Toc486406061 \h </w:instrText>
        </w:r>
        <w:r w:rsidR="008D4799">
          <w:rPr>
            <w:webHidden/>
          </w:rPr>
        </w:r>
        <w:r w:rsidR="008D4799">
          <w:rPr>
            <w:webHidden/>
          </w:rPr>
          <w:fldChar w:fldCharType="separate"/>
        </w:r>
        <w:r w:rsidR="00553160">
          <w:rPr>
            <w:webHidden/>
          </w:rPr>
          <w:t>25</w:t>
        </w:r>
        <w:r w:rsidR="008D4799">
          <w:rPr>
            <w:webHidden/>
          </w:rPr>
          <w:fldChar w:fldCharType="end"/>
        </w:r>
      </w:hyperlink>
    </w:p>
    <w:p w:rsidR="008D4799" w:rsidRDefault="00505DC7" w:rsidP="00E401C4">
      <w:pPr>
        <w:pStyle w:val="TableofFigures"/>
        <w:ind w:left="1267" w:hanging="1267"/>
        <w:rPr>
          <w:rFonts w:asciiTheme="minorHAnsi" w:eastAsiaTheme="minorEastAsia" w:hAnsiTheme="minorHAnsi" w:cstheme="minorBidi"/>
          <w:sz w:val="22"/>
          <w:szCs w:val="22"/>
        </w:rPr>
      </w:pPr>
      <w:hyperlink w:anchor="_Toc486406062" w:history="1">
        <w:r w:rsidR="008D4799" w:rsidRPr="00732077">
          <w:rPr>
            <w:rStyle w:val="Hyperlink"/>
          </w:rPr>
          <w:t>Figure 5</w:t>
        </w:r>
        <w:r w:rsidR="008D4799" w:rsidRPr="00732077">
          <w:rPr>
            <w:rStyle w:val="Hyperlink"/>
          </w:rPr>
          <w:noBreakHyphen/>
          <w:t xml:space="preserve">2: </w:t>
        </w:r>
        <w:r w:rsidR="00E401C4">
          <w:rPr>
            <w:rStyle w:val="Hyperlink"/>
          </w:rPr>
          <w:tab/>
        </w:r>
        <w:r w:rsidR="008D4799" w:rsidRPr="00732077">
          <w:rPr>
            <w:rStyle w:val="Hyperlink"/>
          </w:rPr>
          <w:t>2025 Capacity value assumptions by resource type (MW).</w:t>
        </w:r>
        <w:r w:rsidR="008D4799">
          <w:rPr>
            <w:webHidden/>
          </w:rPr>
          <w:tab/>
        </w:r>
        <w:r w:rsidR="008D4799">
          <w:rPr>
            <w:webHidden/>
          </w:rPr>
          <w:fldChar w:fldCharType="begin"/>
        </w:r>
        <w:r w:rsidR="008D4799">
          <w:rPr>
            <w:webHidden/>
          </w:rPr>
          <w:instrText xml:space="preserve"> PAGEREF _Toc486406062 \h </w:instrText>
        </w:r>
        <w:r w:rsidR="008D4799">
          <w:rPr>
            <w:webHidden/>
          </w:rPr>
        </w:r>
        <w:r w:rsidR="008D4799">
          <w:rPr>
            <w:webHidden/>
          </w:rPr>
          <w:fldChar w:fldCharType="separate"/>
        </w:r>
        <w:r w:rsidR="00553160">
          <w:rPr>
            <w:webHidden/>
          </w:rPr>
          <w:t>29</w:t>
        </w:r>
        <w:r w:rsidR="008D4799">
          <w:rPr>
            <w:webHidden/>
          </w:rPr>
          <w:fldChar w:fldCharType="end"/>
        </w:r>
      </w:hyperlink>
    </w:p>
    <w:p w:rsidR="008D4799" w:rsidRDefault="00505DC7" w:rsidP="00E401C4">
      <w:pPr>
        <w:pStyle w:val="TableofFigures"/>
        <w:ind w:left="1267" w:hanging="1267"/>
        <w:rPr>
          <w:rFonts w:asciiTheme="minorHAnsi" w:eastAsiaTheme="minorEastAsia" w:hAnsiTheme="minorHAnsi" w:cstheme="minorBidi"/>
          <w:sz w:val="22"/>
          <w:szCs w:val="22"/>
        </w:rPr>
      </w:pPr>
      <w:hyperlink w:anchor="_Toc486406063" w:history="1">
        <w:r w:rsidR="008D4799" w:rsidRPr="00732077">
          <w:rPr>
            <w:rStyle w:val="Hyperlink"/>
          </w:rPr>
          <w:t>Figure 5</w:t>
        </w:r>
        <w:r w:rsidR="008D4799" w:rsidRPr="00732077">
          <w:rPr>
            <w:rStyle w:val="Hyperlink"/>
          </w:rPr>
          <w:noBreakHyphen/>
          <w:t xml:space="preserve">3: </w:t>
        </w:r>
        <w:r w:rsidR="00E401C4">
          <w:rPr>
            <w:rStyle w:val="Hyperlink"/>
          </w:rPr>
          <w:tab/>
        </w:r>
        <w:r w:rsidR="008D4799" w:rsidRPr="00732077">
          <w:rPr>
            <w:rStyle w:val="Hyperlink"/>
          </w:rPr>
          <w:t>2030 capacity value assumptions by resource type (MW).</w:t>
        </w:r>
        <w:r w:rsidR="008D4799">
          <w:rPr>
            <w:webHidden/>
          </w:rPr>
          <w:tab/>
        </w:r>
        <w:r w:rsidR="008D4799">
          <w:rPr>
            <w:webHidden/>
          </w:rPr>
          <w:fldChar w:fldCharType="begin"/>
        </w:r>
        <w:r w:rsidR="008D4799">
          <w:rPr>
            <w:webHidden/>
          </w:rPr>
          <w:instrText xml:space="preserve"> PAGEREF _Toc486406063 \h </w:instrText>
        </w:r>
        <w:r w:rsidR="008D4799">
          <w:rPr>
            <w:webHidden/>
          </w:rPr>
        </w:r>
        <w:r w:rsidR="008D4799">
          <w:rPr>
            <w:webHidden/>
          </w:rPr>
          <w:fldChar w:fldCharType="separate"/>
        </w:r>
        <w:r w:rsidR="00553160">
          <w:rPr>
            <w:webHidden/>
          </w:rPr>
          <w:t>30</w:t>
        </w:r>
        <w:r w:rsidR="008D4799">
          <w:rPr>
            <w:webHidden/>
          </w:rPr>
          <w:fldChar w:fldCharType="end"/>
        </w:r>
      </w:hyperlink>
    </w:p>
    <w:p w:rsidR="008D4799" w:rsidRDefault="00505DC7" w:rsidP="00E401C4">
      <w:pPr>
        <w:pStyle w:val="TableofFigures"/>
        <w:ind w:left="1267" w:hanging="1267"/>
        <w:rPr>
          <w:rFonts w:asciiTheme="minorHAnsi" w:eastAsiaTheme="minorEastAsia" w:hAnsiTheme="minorHAnsi" w:cstheme="minorBidi"/>
          <w:sz w:val="22"/>
          <w:szCs w:val="22"/>
        </w:rPr>
      </w:pPr>
      <w:hyperlink w:anchor="_Toc486406064" w:history="1">
        <w:r w:rsidR="008D4799" w:rsidRPr="00732077">
          <w:rPr>
            <w:rStyle w:val="Hyperlink"/>
          </w:rPr>
          <w:t>Figure 5</w:t>
        </w:r>
        <w:r w:rsidR="008D4799" w:rsidRPr="00732077">
          <w:rPr>
            <w:rStyle w:val="Hyperlink"/>
          </w:rPr>
          <w:noBreakHyphen/>
          <w:t xml:space="preserve">4: </w:t>
        </w:r>
        <w:r w:rsidR="00E401C4">
          <w:rPr>
            <w:rStyle w:val="Hyperlink"/>
          </w:rPr>
          <w:tab/>
        </w:r>
        <w:r w:rsidR="008D4799" w:rsidRPr="00732077">
          <w:rPr>
            <w:rStyle w:val="Hyperlink"/>
          </w:rPr>
          <w:t>Wind nameplate capacities assumed for the wind resource additions,</w:t>
        </w:r>
        <w:r w:rsidR="003536FD">
          <w:rPr>
            <w:rStyle w:val="Hyperlink"/>
          </w:rPr>
          <w:br/>
        </w:r>
        <w:r w:rsidR="008D4799" w:rsidRPr="00732077">
          <w:rPr>
            <w:rStyle w:val="Hyperlink"/>
          </w:rPr>
          <w:t>2025 and 2030 (MW).</w:t>
        </w:r>
        <w:r w:rsidR="008D4799">
          <w:rPr>
            <w:webHidden/>
          </w:rPr>
          <w:tab/>
        </w:r>
        <w:r w:rsidR="008D4799">
          <w:rPr>
            <w:webHidden/>
          </w:rPr>
          <w:fldChar w:fldCharType="begin"/>
        </w:r>
        <w:r w:rsidR="008D4799">
          <w:rPr>
            <w:webHidden/>
          </w:rPr>
          <w:instrText xml:space="preserve"> PAGEREF _Toc486406064 \h </w:instrText>
        </w:r>
        <w:r w:rsidR="008D4799">
          <w:rPr>
            <w:webHidden/>
          </w:rPr>
        </w:r>
        <w:r w:rsidR="008D4799">
          <w:rPr>
            <w:webHidden/>
          </w:rPr>
          <w:fldChar w:fldCharType="separate"/>
        </w:r>
        <w:r w:rsidR="00553160">
          <w:rPr>
            <w:webHidden/>
          </w:rPr>
          <w:t>31</w:t>
        </w:r>
        <w:r w:rsidR="008D4799">
          <w:rPr>
            <w:webHidden/>
          </w:rPr>
          <w:fldChar w:fldCharType="end"/>
        </w:r>
      </w:hyperlink>
    </w:p>
    <w:p w:rsidR="008D4799" w:rsidRDefault="00505DC7" w:rsidP="00E401C4">
      <w:pPr>
        <w:pStyle w:val="TableofFigures"/>
        <w:ind w:left="1267" w:hanging="1267"/>
        <w:rPr>
          <w:rFonts w:asciiTheme="minorHAnsi" w:eastAsiaTheme="minorEastAsia" w:hAnsiTheme="minorHAnsi" w:cstheme="minorBidi"/>
          <w:sz w:val="22"/>
          <w:szCs w:val="22"/>
        </w:rPr>
      </w:pPr>
      <w:hyperlink w:anchor="_Toc486406065" w:history="1">
        <w:r w:rsidR="008D4799" w:rsidRPr="00732077">
          <w:rPr>
            <w:rStyle w:val="Hyperlink"/>
          </w:rPr>
          <w:t>Figure 5</w:t>
        </w:r>
        <w:r w:rsidR="008D4799" w:rsidRPr="00732077">
          <w:rPr>
            <w:rStyle w:val="Hyperlink"/>
          </w:rPr>
          <w:noBreakHyphen/>
          <w:t xml:space="preserve">5: </w:t>
        </w:r>
        <w:r w:rsidR="00E401C4">
          <w:rPr>
            <w:rStyle w:val="Hyperlink"/>
          </w:rPr>
          <w:tab/>
        </w:r>
        <w:r w:rsidR="008D4799" w:rsidRPr="00732077">
          <w:rPr>
            <w:rStyle w:val="Hyperlink"/>
          </w:rPr>
          <w:t>Retired and new NGCC capacity assumed for 2025 and 2030 (MW).</w:t>
        </w:r>
        <w:r w:rsidR="008D4799">
          <w:rPr>
            <w:webHidden/>
          </w:rPr>
          <w:tab/>
        </w:r>
        <w:r w:rsidR="008D4799">
          <w:rPr>
            <w:webHidden/>
          </w:rPr>
          <w:fldChar w:fldCharType="begin"/>
        </w:r>
        <w:r w:rsidR="008D4799">
          <w:rPr>
            <w:webHidden/>
          </w:rPr>
          <w:instrText xml:space="preserve"> PAGEREF _Toc486406065 \h </w:instrText>
        </w:r>
        <w:r w:rsidR="008D4799">
          <w:rPr>
            <w:webHidden/>
          </w:rPr>
        </w:r>
        <w:r w:rsidR="008D4799">
          <w:rPr>
            <w:webHidden/>
          </w:rPr>
          <w:fldChar w:fldCharType="separate"/>
        </w:r>
        <w:r w:rsidR="00553160">
          <w:rPr>
            <w:webHidden/>
          </w:rPr>
          <w:t>34</w:t>
        </w:r>
        <w:r w:rsidR="008D4799">
          <w:rPr>
            <w:webHidden/>
          </w:rPr>
          <w:fldChar w:fldCharType="end"/>
        </w:r>
      </w:hyperlink>
    </w:p>
    <w:p w:rsidR="008D4799" w:rsidRDefault="00505DC7" w:rsidP="00E401C4">
      <w:pPr>
        <w:pStyle w:val="TableofFigures"/>
        <w:ind w:left="1267" w:hanging="1267"/>
        <w:rPr>
          <w:rFonts w:asciiTheme="minorHAnsi" w:eastAsiaTheme="minorEastAsia" w:hAnsiTheme="minorHAnsi" w:cstheme="minorBidi"/>
          <w:sz w:val="22"/>
          <w:szCs w:val="22"/>
        </w:rPr>
      </w:pPr>
      <w:hyperlink w:anchor="_Toc486406066" w:history="1">
        <w:r w:rsidR="008D4799" w:rsidRPr="00732077">
          <w:rPr>
            <w:rStyle w:val="Hyperlink"/>
          </w:rPr>
          <w:t>Figure 5</w:t>
        </w:r>
        <w:r w:rsidR="008D4799" w:rsidRPr="00732077">
          <w:rPr>
            <w:rStyle w:val="Hyperlink"/>
          </w:rPr>
          <w:noBreakHyphen/>
          <w:t xml:space="preserve">6: </w:t>
        </w:r>
        <w:r w:rsidR="00E401C4">
          <w:rPr>
            <w:rStyle w:val="Hyperlink"/>
          </w:rPr>
          <w:tab/>
        </w:r>
        <w:r w:rsidR="008D4799" w:rsidRPr="00732077">
          <w:rPr>
            <w:rStyle w:val="Hyperlink"/>
          </w:rPr>
          <w:t>Pipe and bubble representations of transmission interfaces in New England</w:t>
        </w:r>
        <w:r w:rsidR="003536FD">
          <w:rPr>
            <w:rStyle w:val="Hyperlink"/>
          </w:rPr>
          <w:br/>
        </w:r>
        <w:r w:rsidR="008D4799" w:rsidRPr="00732077">
          <w:rPr>
            <w:rStyle w:val="Hyperlink"/>
          </w:rPr>
          <w:t>for 2025 and 2030 (MW).</w:t>
        </w:r>
        <w:r w:rsidR="008D4799">
          <w:rPr>
            <w:webHidden/>
          </w:rPr>
          <w:tab/>
        </w:r>
        <w:r w:rsidR="008D4799">
          <w:rPr>
            <w:webHidden/>
          </w:rPr>
          <w:fldChar w:fldCharType="begin"/>
        </w:r>
        <w:r w:rsidR="008D4799">
          <w:rPr>
            <w:webHidden/>
          </w:rPr>
          <w:instrText xml:space="preserve"> PAGEREF _Toc486406066 \h </w:instrText>
        </w:r>
        <w:r w:rsidR="008D4799">
          <w:rPr>
            <w:webHidden/>
          </w:rPr>
        </w:r>
        <w:r w:rsidR="008D4799">
          <w:rPr>
            <w:webHidden/>
          </w:rPr>
          <w:fldChar w:fldCharType="separate"/>
        </w:r>
        <w:r w:rsidR="00553160">
          <w:rPr>
            <w:webHidden/>
          </w:rPr>
          <w:t>39</w:t>
        </w:r>
        <w:r w:rsidR="008D4799">
          <w:rPr>
            <w:webHidden/>
          </w:rPr>
          <w:fldChar w:fldCharType="end"/>
        </w:r>
      </w:hyperlink>
    </w:p>
    <w:p w:rsidR="008D4799" w:rsidRDefault="00505DC7" w:rsidP="00E401C4">
      <w:pPr>
        <w:pStyle w:val="TableofFigures"/>
        <w:ind w:left="1267" w:hanging="1267"/>
        <w:rPr>
          <w:rFonts w:asciiTheme="minorHAnsi" w:eastAsiaTheme="minorEastAsia" w:hAnsiTheme="minorHAnsi" w:cstheme="minorBidi"/>
          <w:sz w:val="22"/>
          <w:szCs w:val="22"/>
        </w:rPr>
      </w:pPr>
      <w:hyperlink w:anchor="_Toc486406067" w:history="1">
        <w:r w:rsidR="008D4799" w:rsidRPr="00732077">
          <w:rPr>
            <w:rStyle w:val="Hyperlink"/>
          </w:rPr>
          <w:t>Figure 5</w:t>
        </w:r>
        <w:r w:rsidR="008D4799" w:rsidRPr="00732077">
          <w:rPr>
            <w:rStyle w:val="Hyperlink"/>
          </w:rPr>
          <w:noBreakHyphen/>
          <w:t xml:space="preserve">7: </w:t>
        </w:r>
        <w:r w:rsidR="00E401C4">
          <w:rPr>
            <w:rStyle w:val="Hyperlink"/>
          </w:rPr>
          <w:tab/>
        </w:r>
        <w:r w:rsidR="008D4799" w:rsidRPr="00732077">
          <w:rPr>
            <w:rStyle w:val="Hyperlink"/>
          </w:rPr>
          <w:t>Reference fuel-price forecasts for New England, 2025 and 2030</w:t>
        </w:r>
        <w:r w:rsidR="003536FD">
          <w:rPr>
            <w:rStyle w:val="Hyperlink"/>
          </w:rPr>
          <w:br/>
        </w:r>
        <w:r w:rsidR="008D4799" w:rsidRPr="00732077">
          <w:rPr>
            <w:rStyle w:val="Hyperlink"/>
          </w:rPr>
          <w:t>($/million British thermal units; MBtu).</w:t>
        </w:r>
        <w:r w:rsidR="008D4799">
          <w:rPr>
            <w:webHidden/>
          </w:rPr>
          <w:tab/>
        </w:r>
        <w:r w:rsidR="008D4799">
          <w:rPr>
            <w:webHidden/>
          </w:rPr>
          <w:fldChar w:fldCharType="begin"/>
        </w:r>
        <w:r w:rsidR="008D4799">
          <w:rPr>
            <w:webHidden/>
          </w:rPr>
          <w:instrText xml:space="preserve"> PAGEREF _Toc486406067 \h </w:instrText>
        </w:r>
        <w:r w:rsidR="008D4799">
          <w:rPr>
            <w:webHidden/>
          </w:rPr>
        </w:r>
        <w:r w:rsidR="008D4799">
          <w:rPr>
            <w:webHidden/>
          </w:rPr>
          <w:fldChar w:fldCharType="separate"/>
        </w:r>
        <w:r w:rsidR="00553160">
          <w:rPr>
            <w:webHidden/>
          </w:rPr>
          <w:t>42</w:t>
        </w:r>
        <w:r w:rsidR="008D4799">
          <w:rPr>
            <w:webHidden/>
          </w:rPr>
          <w:fldChar w:fldCharType="end"/>
        </w:r>
      </w:hyperlink>
    </w:p>
    <w:p w:rsidR="008D4799" w:rsidRDefault="00505DC7" w:rsidP="00E401C4">
      <w:pPr>
        <w:pStyle w:val="TableofFigures"/>
        <w:ind w:left="1267" w:hanging="1267"/>
        <w:rPr>
          <w:rFonts w:asciiTheme="minorHAnsi" w:eastAsiaTheme="minorEastAsia" w:hAnsiTheme="minorHAnsi" w:cstheme="minorBidi"/>
          <w:sz w:val="22"/>
          <w:szCs w:val="22"/>
        </w:rPr>
      </w:pPr>
      <w:hyperlink w:anchor="_Toc486406068" w:history="1">
        <w:r w:rsidR="008D4799" w:rsidRPr="00732077">
          <w:rPr>
            <w:rStyle w:val="Hyperlink"/>
          </w:rPr>
          <w:t>Figure 5</w:t>
        </w:r>
        <w:r w:rsidR="008D4799" w:rsidRPr="00732077">
          <w:rPr>
            <w:rStyle w:val="Hyperlink"/>
          </w:rPr>
          <w:noBreakHyphen/>
          <w:t xml:space="preserve">8: </w:t>
        </w:r>
        <w:r w:rsidR="00E401C4">
          <w:rPr>
            <w:rStyle w:val="Hyperlink"/>
          </w:rPr>
          <w:tab/>
        </w:r>
        <w:r w:rsidR="008D4799" w:rsidRPr="00732077">
          <w:rPr>
            <w:rStyle w:val="Hyperlink"/>
          </w:rPr>
          <w:t>Per-unit multiplier for monthly natural gas price forecast assumptions</w:t>
        </w:r>
        <w:r w:rsidR="003536FD">
          <w:rPr>
            <w:rStyle w:val="Hyperlink"/>
          </w:rPr>
          <w:br/>
        </w:r>
        <w:r w:rsidR="008D4799" w:rsidRPr="00732077">
          <w:rPr>
            <w:rStyle w:val="Hyperlink"/>
          </w:rPr>
          <w:t>for 2025 and 2030.</w:t>
        </w:r>
        <w:r w:rsidR="008D4799">
          <w:rPr>
            <w:webHidden/>
          </w:rPr>
          <w:tab/>
        </w:r>
        <w:r w:rsidR="008D4799">
          <w:rPr>
            <w:webHidden/>
          </w:rPr>
          <w:fldChar w:fldCharType="begin"/>
        </w:r>
        <w:r w:rsidR="008D4799">
          <w:rPr>
            <w:webHidden/>
          </w:rPr>
          <w:instrText xml:space="preserve"> PAGEREF _Toc486406068 \h </w:instrText>
        </w:r>
        <w:r w:rsidR="008D4799">
          <w:rPr>
            <w:webHidden/>
          </w:rPr>
        </w:r>
        <w:r w:rsidR="008D4799">
          <w:rPr>
            <w:webHidden/>
          </w:rPr>
          <w:fldChar w:fldCharType="separate"/>
        </w:r>
        <w:r w:rsidR="00553160">
          <w:rPr>
            <w:webHidden/>
          </w:rPr>
          <w:t>42</w:t>
        </w:r>
        <w:r w:rsidR="008D4799">
          <w:rPr>
            <w:webHidden/>
          </w:rPr>
          <w:fldChar w:fldCharType="end"/>
        </w:r>
      </w:hyperlink>
    </w:p>
    <w:p w:rsidR="008D4799" w:rsidRDefault="00505DC7" w:rsidP="00E401C4">
      <w:pPr>
        <w:pStyle w:val="TableofFigures"/>
        <w:ind w:left="1267" w:hanging="1267"/>
        <w:rPr>
          <w:rFonts w:asciiTheme="minorHAnsi" w:eastAsiaTheme="minorEastAsia" w:hAnsiTheme="minorHAnsi" w:cstheme="minorBidi"/>
          <w:sz w:val="22"/>
          <w:szCs w:val="22"/>
        </w:rPr>
      </w:pPr>
      <w:hyperlink w:anchor="_Toc486406069" w:history="1">
        <w:r w:rsidR="008D4799" w:rsidRPr="00732077">
          <w:rPr>
            <w:rStyle w:val="Hyperlink"/>
          </w:rPr>
          <w:t>Figure 5</w:t>
        </w:r>
        <w:r w:rsidR="008D4799" w:rsidRPr="00732077">
          <w:rPr>
            <w:rStyle w:val="Hyperlink"/>
          </w:rPr>
          <w:noBreakHyphen/>
          <w:t xml:space="preserve">9 </w:t>
        </w:r>
        <w:r w:rsidR="00E401C4">
          <w:rPr>
            <w:rStyle w:val="Hyperlink"/>
          </w:rPr>
          <w:tab/>
        </w:r>
        <w:r w:rsidR="008D4799" w:rsidRPr="00732077">
          <w:rPr>
            <w:rStyle w:val="Hyperlink"/>
          </w:rPr>
          <w:t>(A and B): The first two components of transmission upgrades potentially needed</w:t>
        </w:r>
        <w:r w:rsidR="00E401C4">
          <w:rPr>
            <w:rStyle w:val="Hyperlink"/>
          </w:rPr>
          <w:br/>
        </w:r>
        <w:r w:rsidR="008D4799" w:rsidRPr="00732077">
          <w:rPr>
            <w:rStyle w:val="Hyperlink"/>
          </w:rPr>
          <w:t>to integrate renewable resources.</w:t>
        </w:r>
        <w:r w:rsidR="008D4799">
          <w:rPr>
            <w:webHidden/>
          </w:rPr>
          <w:tab/>
        </w:r>
        <w:r w:rsidR="008D4799">
          <w:rPr>
            <w:webHidden/>
          </w:rPr>
          <w:fldChar w:fldCharType="begin"/>
        </w:r>
        <w:r w:rsidR="008D4799">
          <w:rPr>
            <w:webHidden/>
          </w:rPr>
          <w:instrText xml:space="preserve"> PAGEREF _Toc486406069 \h </w:instrText>
        </w:r>
        <w:r w:rsidR="008D4799">
          <w:rPr>
            <w:webHidden/>
          </w:rPr>
        </w:r>
        <w:r w:rsidR="008D4799">
          <w:rPr>
            <w:webHidden/>
          </w:rPr>
          <w:fldChar w:fldCharType="separate"/>
        </w:r>
        <w:r w:rsidR="00553160">
          <w:rPr>
            <w:webHidden/>
          </w:rPr>
          <w:t>46</w:t>
        </w:r>
        <w:r w:rsidR="008D4799">
          <w:rPr>
            <w:webHidden/>
          </w:rPr>
          <w:fldChar w:fldCharType="end"/>
        </w:r>
      </w:hyperlink>
    </w:p>
    <w:p w:rsidR="008D4799" w:rsidRDefault="00505DC7" w:rsidP="00E401C4">
      <w:pPr>
        <w:pStyle w:val="TableofFigures"/>
        <w:ind w:left="1267" w:hanging="1267"/>
        <w:rPr>
          <w:rFonts w:asciiTheme="minorHAnsi" w:eastAsiaTheme="minorEastAsia" w:hAnsiTheme="minorHAnsi" w:cstheme="minorBidi"/>
          <w:sz w:val="22"/>
          <w:szCs w:val="22"/>
        </w:rPr>
      </w:pPr>
      <w:hyperlink w:anchor="_Toc486406070" w:history="1">
        <w:r w:rsidR="008D4799" w:rsidRPr="00732077">
          <w:rPr>
            <w:rStyle w:val="Hyperlink"/>
          </w:rPr>
          <w:t>Figure 5</w:t>
        </w:r>
        <w:r w:rsidR="008D4799" w:rsidRPr="00732077">
          <w:rPr>
            <w:rStyle w:val="Hyperlink"/>
          </w:rPr>
          <w:noBreakHyphen/>
          <w:t xml:space="preserve">10: </w:t>
        </w:r>
        <w:r w:rsidR="00E401C4">
          <w:rPr>
            <w:rStyle w:val="Hyperlink"/>
          </w:rPr>
          <w:tab/>
        </w:r>
        <w:r w:rsidR="008D4799" w:rsidRPr="00732077">
          <w:rPr>
            <w:rStyle w:val="Hyperlink"/>
          </w:rPr>
          <w:t>The congestion-relief system.</w:t>
        </w:r>
        <w:r w:rsidR="008D4799">
          <w:rPr>
            <w:webHidden/>
          </w:rPr>
          <w:tab/>
        </w:r>
        <w:r w:rsidR="008D4799">
          <w:rPr>
            <w:webHidden/>
          </w:rPr>
          <w:fldChar w:fldCharType="begin"/>
        </w:r>
        <w:r w:rsidR="008D4799">
          <w:rPr>
            <w:webHidden/>
          </w:rPr>
          <w:instrText xml:space="preserve"> PAGEREF _Toc486406070 \h </w:instrText>
        </w:r>
        <w:r w:rsidR="008D4799">
          <w:rPr>
            <w:webHidden/>
          </w:rPr>
        </w:r>
        <w:r w:rsidR="008D4799">
          <w:rPr>
            <w:webHidden/>
          </w:rPr>
          <w:fldChar w:fldCharType="separate"/>
        </w:r>
        <w:r w:rsidR="00553160">
          <w:rPr>
            <w:webHidden/>
          </w:rPr>
          <w:t>48</w:t>
        </w:r>
        <w:r w:rsidR="008D4799">
          <w:rPr>
            <w:webHidden/>
          </w:rPr>
          <w:fldChar w:fldCharType="end"/>
        </w:r>
      </w:hyperlink>
    </w:p>
    <w:p w:rsidR="008D4799" w:rsidRDefault="00505DC7" w:rsidP="00E401C4">
      <w:pPr>
        <w:pStyle w:val="TableofFigures"/>
        <w:ind w:left="1267" w:hanging="1267"/>
        <w:rPr>
          <w:rFonts w:asciiTheme="minorHAnsi" w:eastAsiaTheme="minorEastAsia" w:hAnsiTheme="minorHAnsi" w:cstheme="minorBidi"/>
          <w:sz w:val="22"/>
          <w:szCs w:val="22"/>
        </w:rPr>
      </w:pPr>
      <w:hyperlink w:anchor="_Toc486406071" w:history="1">
        <w:r w:rsidR="008D4799" w:rsidRPr="00732077">
          <w:rPr>
            <w:rStyle w:val="Hyperlink"/>
          </w:rPr>
          <w:t>Figure 6</w:t>
        </w:r>
        <w:r w:rsidR="008D4799" w:rsidRPr="00732077">
          <w:rPr>
            <w:rStyle w:val="Hyperlink"/>
          </w:rPr>
          <w:noBreakHyphen/>
          <w:t xml:space="preserve">1: </w:t>
        </w:r>
        <w:r w:rsidR="00E401C4">
          <w:rPr>
            <w:rStyle w:val="Hyperlink"/>
          </w:rPr>
          <w:tab/>
        </w:r>
        <w:r w:rsidR="008D4799" w:rsidRPr="00732077">
          <w:rPr>
            <w:rStyle w:val="Hyperlink"/>
          </w:rPr>
          <w:t>Total systemwide generation by fuel type for each scenario, 2025 (TWh).</w:t>
        </w:r>
        <w:r w:rsidR="008D4799">
          <w:rPr>
            <w:webHidden/>
          </w:rPr>
          <w:tab/>
        </w:r>
        <w:r w:rsidR="008D4799">
          <w:rPr>
            <w:webHidden/>
          </w:rPr>
          <w:fldChar w:fldCharType="begin"/>
        </w:r>
        <w:r w:rsidR="008D4799">
          <w:rPr>
            <w:webHidden/>
          </w:rPr>
          <w:instrText xml:space="preserve"> PAGEREF _Toc486406071 \h </w:instrText>
        </w:r>
        <w:r w:rsidR="008D4799">
          <w:rPr>
            <w:webHidden/>
          </w:rPr>
        </w:r>
        <w:r w:rsidR="008D4799">
          <w:rPr>
            <w:webHidden/>
          </w:rPr>
          <w:fldChar w:fldCharType="separate"/>
        </w:r>
        <w:r w:rsidR="00553160">
          <w:rPr>
            <w:webHidden/>
          </w:rPr>
          <w:t>55</w:t>
        </w:r>
        <w:r w:rsidR="008D4799">
          <w:rPr>
            <w:webHidden/>
          </w:rPr>
          <w:fldChar w:fldCharType="end"/>
        </w:r>
      </w:hyperlink>
    </w:p>
    <w:p w:rsidR="008D4799" w:rsidRDefault="00505DC7" w:rsidP="00E401C4">
      <w:pPr>
        <w:pStyle w:val="TableofFigures"/>
        <w:ind w:left="1267" w:hanging="1267"/>
        <w:rPr>
          <w:rFonts w:asciiTheme="minorHAnsi" w:eastAsiaTheme="minorEastAsia" w:hAnsiTheme="minorHAnsi" w:cstheme="minorBidi"/>
          <w:sz w:val="22"/>
          <w:szCs w:val="22"/>
        </w:rPr>
      </w:pPr>
      <w:hyperlink w:anchor="_Toc486406072" w:history="1">
        <w:r w:rsidR="008D4799" w:rsidRPr="00732077">
          <w:rPr>
            <w:rStyle w:val="Hyperlink"/>
          </w:rPr>
          <w:t>Figure 6</w:t>
        </w:r>
        <w:r w:rsidR="008D4799" w:rsidRPr="00732077">
          <w:rPr>
            <w:rStyle w:val="Hyperlink"/>
          </w:rPr>
          <w:noBreakHyphen/>
          <w:t xml:space="preserve">2: </w:t>
        </w:r>
        <w:r w:rsidR="00E401C4">
          <w:rPr>
            <w:rStyle w:val="Hyperlink"/>
          </w:rPr>
          <w:tab/>
        </w:r>
        <w:r w:rsidR="008D4799" w:rsidRPr="00732077">
          <w:rPr>
            <w:rStyle w:val="Hyperlink"/>
          </w:rPr>
          <w:t>Total systemwide generation by fuel type for each scenario, 2030 (TWh).</w:t>
        </w:r>
        <w:r w:rsidR="008D4799">
          <w:rPr>
            <w:webHidden/>
          </w:rPr>
          <w:tab/>
        </w:r>
        <w:r w:rsidR="008D4799">
          <w:rPr>
            <w:webHidden/>
          </w:rPr>
          <w:fldChar w:fldCharType="begin"/>
        </w:r>
        <w:r w:rsidR="008D4799">
          <w:rPr>
            <w:webHidden/>
          </w:rPr>
          <w:instrText xml:space="preserve"> PAGEREF _Toc486406072 \h </w:instrText>
        </w:r>
        <w:r w:rsidR="008D4799">
          <w:rPr>
            <w:webHidden/>
          </w:rPr>
        </w:r>
        <w:r w:rsidR="008D4799">
          <w:rPr>
            <w:webHidden/>
          </w:rPr>
          <w:fldChar w:fldCharType="separate"/>
        </w:r>
        <w:r w:rsidR="00553160">
          <w:rPr>
            <w:webHidden/>
          </w:rPr>
          <w:t>55</w:t>
        </w:r>
        <w:r w:rsidR="008D4799">
          <w:rPr>
            <w:webHidden/>
          </w:rPr>
          <w:fldChar w:fldCharType="end"/>
        </w:r>
      </w:hyperlink>
    </w:p>
    <w:p w:rsidR="008D4799" w:rsidRDefault="00505DC7" w:rsidP="00E401C4">
      <w:pPr>
        <w:pStyle w:val="TableofFigures"/>
        <w:ind w:left="1267" w:hanging="1267"/>
        <w:rPr>
          <w:rFonts w:asciiTheme="minorHAnsi" w:eastAsiaTheme="minorEastAsia" w:hAnsiTheme="minorHAnsi" w:cstheme="minorBidi"/>
          <w:sz w:val="22"/>
          <w:szCs w:val="22"/>
        </w:rPr>
      </w:pPr>
      <w:hyperlink w:anchor="_Toc486406073" w:history="1">
        <w:r w:rsidR="008D4799" w:rsidRPr="00732077">
          <w:rPr>
            <w:rStyle w:val="Hyperlink"/>
          </w:rPr>
          <w:t>Figure 6</w:t>
        </w:r>
        <w:r w:rsidR="008D4799" w:rsidRPr="00732077">
          <w:rPr>
            <w:rStyle w:val="Hyperlink"/>
          </w:rPr>
          <w:noBreakHyphen/>
          <w:t xml:space="preserve">3: </w:t>
        </w:r>
        <w:r w:rsidR="00E401C4">
          <w:rPr>
            <w:rStyle w:val="Hyperlink"/>
          </w:rPr>
          <w:tab/>
        </w:r>
        <w:r w:rsidR="008D4799" w:rsidRPr="00732077">
          <w:rPr>
            <w:rStyle w:val="Hyperlink"/>
          </w:rPr>
          <w:t>Production costs, 2025 ($ millions).</w:t>
        </w:r>
        <w:r w:rsidR="008D4799">
          <w:rPr>
            <w:webHidden/>
          </w:rPr>
          <w:tab/>
        </w:r>
        <w:r w:rsidR="008D4799">
          <w:rPr>
            <w:webHidden/>
          </w:rPr>
          <w:fldChar w:fldCharType="begin"/>
        </w:r>
        <w:r w:rsidR="008D4799">
          <w:rPr>
            <w:webHidden/>
          </w:rPr>
          <w:instrText xml:space="preserve"> PAGEREF _Toc486406073 \h </w:instrText>
        </w:r>
        <w:r w:rsidR="008D4799">
          <w:rPr>
            <w:webHidden/>
          </w:rPr>
        </w:r>
        <w:r w:rsidR="008D4799">
          <w:rPr>
            <w:webHidden/>
          </w:rPr>
          <w:fldChar w:fldCharType="separate"/>
        </w:r>
        <w:r w:rsidR="00553160">
          <w:rPr>
            <w:webHidden/>
          </w:rPr>
          <w:t>61</w:t>
        </w:r>
        <w:r w:rsidR="008D4799">
          <w:rPr>
            <w:webHidden/>
          </w:rPr>
          <w:fldChar w:fldCharType="end"/>
        </w:r>
      </w:hyperlink>
    </w:p>
    <w:p w:rsidR="008D4799" w:rsidRDefault="00505DC7" w:rsidP="00E401C4">
      <w:pPr>
        <w:pStyle w:val="TableofFigures"/>
        <w:ind w:left="1267" w:hanging="1267"/>
        <w:rPr>
          <w:rFonts w:asciiTheme="minorHAnsi" w:eastAsiaTheme="minorEastAsia" w:hAnsiTheme="minorHAnsi" w:cstheme="minorBidi"/>
          <w:sz w:val="22"/>
          <w:szCs w:val="22"/>
        </w:rPr>
      </w:pPr>
      <w:hyperlink w:anchor="_Toc486406074" w:history="1">
        <w:r w:rsidR="008D4799" w:rsidRPr="00732077">
          <w:rPr>
            <w:rStyle w:val="Hyperlink"/>
          </w:rPr>
          <w:t>Figure 6</w:t>
        </w:r>
        <w:r w:rsidR="008D4799" w:rsidRPr="00732077">
          <w:rPr>
            <w:rStyle w:val="Hyperlink"/>
          </w:rPr>
          <w:noBreakHyphen/>
          <w:t xml:space="preserve">4: </w:t>
        </w:r>
        <w:r w:rsidR="00E401C4">
          <w:rPr>
            <w:rStyle w:val="Hyperlink"/>
          </w:rPr>
          <w:tab/>
        </w:r>
        <w:r w:rsidR="008D4799" w:rsidRPr="00732077">
          <w:rPr>
            <w:rStyle w:val="Hyperlink"/>
          </w:rPr>
          <w:t>Production costs, 2030 ($ millions).</w:t>
        </w:r>
        <w:r w:rsidR="008D4799">
          <w:rPr>
            <w:webHidden/>
          </w:rPr>
          <w:tab/>
        </w:r>
        <w:r w:rsidR="008D4799">
          <w:rPr>
            <w:webHidden/>
          </w:rPr>
          <w:fldChar w:fldCharType="begin"/>
        </w:r>
        <w:r w:rsidR="008D4799">
          <w:rPr>
            <w:webHidden/>
          </w:rPr>
          <w:instrText xml:space="preserve"> PAGEREF _Toc486406074 \h </w:instrText>
        </w:r>
        <w:r w:rsidR="008D4799">
          <w:rPr>
            <w:webHidden/>
          </w:rPr>
        </w:r>
        <w:r w:rsidR="008D4799">
          <w:rPr>
            <w:webHidden/>
          </w:rPr>
          <w:fldChar w:fldCharType="separate"/>
        </w:r>
        <w:r w:rsidR="00553160">
          <w:rPr>
            <w:webHidden/>
          </w:rPr>
          <w:t>61</w:t>
        </w:r>
        <w:r w:rsidR="008D4799">
          <w:rPr>
            <w:webHidden/>
          </w:rPr>
          <w:fldChar w:fldCharType="end"/>
        </w:r>
      </w:hyperlink>
    </w:p>
    <w:p w:rsidR="008D4799" w:rsidRDefault="00505DC7" w:rsidP="00E401C4">
      <w:pPr>
        <w:pStyle w:val="TableofFigures"/>
        <w:ind w:left="1267" w:hanging="1267"/>
        <w:rPr>
          <w:rFonts w:asciiTheme="minorHAnsi" w:eastAsiaTheme="minorEastAsia" w:hAnsiTheme="minorHAnsi" w:cstheme="minorBidi"/>
          <w:sz w:val="22"/>
          <w:szCs w:val="22"/>
        </w:rPr>
      </w:pPr>
      <w:hyperlink w:anchor="_Toc486406075" w:history="1">
        <w:r w:rsidR="008D4799" w:rsidRPr="00732077">
          <w:rPr>
            <w:rStyle w:val="Hyperlink"/>
          </w:rPr>
          <w:t>Figure 6</w:t>
        </w:r>
        <w:r w:rsidR="008D4799" w:rsidRPr="00732077">
          <w:rPr>
            <w:rStyle w:val="Hyperlink"/>
          </w:rPr>
          <w:noBreakHyphen/>
          <w:t xml:space="preserve">5: </w:t>
        </w:r>
        <w:r w:rsidR="00E401C4">
          <w:rPr>
            <w:rStyle w:val="Hyperlink"/>
          </w:rPr>
          <w:tab/>
        </w:r>
        <w:r w:rsidR="008D4799" w:rsidRPr="00732077">
          <w:rPr>
            <w:rStyle w:val="Hyperlink"/>
          </w:rPr>
          <w:t>Annual average LMPs by RSP area, 2025 ($/MWh)</w:t>
        </w:r>
        <w:r w:rsidR="008D4799">
          <w:rPr>
            <w:webHidden/>
          </w:rPr>
          <w:tab/>
        </w:r>
        <w:r w:rsidR="008D4799">
          <w:rPr>
            <w:webHidden/>
          </w:rPr>
          <w:fldChar w:fldCharType="begin"/>
        </w:r>
        <w:r w:rsidR="008D4799">
          <w:rPr>
            <w:webHidden/>
          </w:rPr>
          <w:instrText xml:space="preserve"> PAGEREF _Toc486406075 \h </w:instrText>
        </w:r>
        <w:r w:rsidR="008D4799">
          <w:rPr>
            <w:webHidden/>
          </w:rPr>
        </w:r>
        <w:r w:rsidR="008D4799">
          <w:rPr>
            <w:webHidden/>
          </w:rPr>
          <w:fldChar w:fldCharType="separate"/>
        </w:r>
        <w:r w:rsidR="00553160">
          <w:rPr>
            <w:webHidden/>
          </w:rPr>
          <w:t>64</w:t>
        </w:r>
        <w:r w:rsidR="008D4799">
          <w:rPr>
            <w:webHidden/>
          </w:rPr>
          <w:fldChar w:fldCharType="end"/>
        </w:r>
      </w:hyperlink>
    </w:p>
    <w:p w:rsidR="008D4799" w:rsidRDefault="00505DC7" w:rsidP="00E401C4">
      <w:pPr>
        <w:pStyle w:val="TableofFigures"/>
        <w:ind w:left="1267" w:hanging="1267"/>
        <w:rPr>
          <w:rFonts w:asciiTheme="minorHAnsi" w:eastAsiaTheme="minorEastAsia" w:hAnsiTheme="minorHAnsi" w:cstheme="minorBidi"/>
          <w:sz w:val="22"/>
          <w:szCs w:val="22"/>
        </w:rPr>
      </w:pPr>
      <w:hyperlink w:anchor="_Toc486406076" w:history="1">
        <w:r w:rsidR="008D4799" w:rsidRPr="00732077">
          <w:rPr>
            <w:rStyle w:val="Hyperlink"/>
          </w:rPr>
          <w:t>Figure 6</w:t>
        </w:r>
        <w:r w:rsidR="008D4799" w:rsidRPr="00732077">
          <w:rPr>
            <w:rStyle w:val="Hyperlink"/>
          </w:rPr>
          <w:noBreakHyphen/>
          <w:t xml:space="preserve">6: </w:t>
        </w:r>
        <w:r w:rsidR="00E401C4">
          <w:rPr>
            <w:rStyle w:val="Hyperlink"/>
          </w:rPr>
          <w:tab/>
        </w:r>
        <w:r w:rsidR="008D4799" w:rsidRPr="00732077">
          <w:rPr>
            <w:rStyle w:val="Hyperlink"/>
          </w:rPr>
          <w:t>Annual average LMPs by RSP area, 2030 ($/MWh).</w:t>
        </w:r>
        <w:r w:rsidR="008D4799">
          <w:rPr>
            <w:webHidden/>
          </w:rPr>
          <w:tab/>
        </w:r>
        <w:r w:rsidR="008D4799">
          <w:rPr>
            <w:webHidden/>
          </w:rPr>
          <w:fldChar w:fldCharType="begin"/>
        </w:r>
        <w:r w:rsidR="008D4799">
          <w:rPr>
            <w:webHidden/>
          </w:rPr>
          <w:instrText xml:space="preserve"> PAGEREF _Toc486406076 \h </w:instrText>
        </w:r>
        <w:r w:rsidR="008D4799">
          <w:rPr>
            <w:webHidden/>
          </w:rPr>
        </w:r>
        <w:r w:rsidR="008D4799">
          <w:rPr>
            <w:webHidden/>
          </w:rPr>
          <w:fldChar w:fldCharType="separate"/>
        </w:r>
        <w:r w:rsidR="00553160">
          <w:rPr>
            <w:webHidden/>
          </w:rPr>
          <w:t>64</w:t>
        </w:r>
        <w:r w:rsidR="008D4799">
          <w:rPr>
            <w:webHidden/>
          </w:rPr>
          <w:fldChar w:fldCharType="end"/>
        </w:r>
      </w:hyperlink>
    </w:p>
    <w:p w:rsidR="008D4799" w:rsidRDefault="00505DC7" w:rsidP="00E401C4">
      <w:pPr>
        <w:pStyle w:val="TableofFigures"/>
        <w:ind w:left="1267" w:hanging="1267"/>
        <w:rPr>
          <w:rFonts w:asciiTheme="minorHAnsi" w:eastAsiaTheme="minorEastAsia" w:hAnsiTheme="minorHAnsi" w:cstheme="minorBidi"/>
          <w:sz w:val="22"/>
          <w:szCs w:val="22"/>
        </w:rPr>
      </w:pPr>
      <w:hyperlink w:anchor="_Toc486406077" w:history="1">
        <w:r w:rsidR="008D4799" w:rsidRPr="00732077">
          <w:rPr>
            <w:rStyle w:val="Hyperlink"/>
          </w:rPr>
          <w:t>Figure 6</w:t>
        </w:r>
        <w:r w:rsidR="008D4799" w:rsidRPr="00732077">
          <w:rPr>
            <w:rStyle w:val="Hyperlink"/>
          </w:rPr>
          <w:noBreakHyphen/>
          <w:t xml:space="preserve">7: </w:t>
        </w:r>
        <w:r w:rsidR="00E401C4">
          <w:rPr>
            <w:rStyle w:val="Hyperlink"/>
          </w:rPr>
          <w:tab/>
        </w:r>
        <w:r w:rsidR="008D4799" w:rsidRPr="00732077">
          <w:rPr>
            <w:rStyle w:val="Hyperlink"/>
          </w:rPr>
          <w:t>LSE energy expense and uplift, 2025 ($ millions).</w:t>
        </w:r>
        <w:r w:rsidR="008D4799">
          <w:rPr>
            <w:webHidden/>
          </w:rPr>
          <w:tab/>
        </w:r>
        <w:r w:rsidR="008D4799">
          <w:rPr>
            <w:webHidden/>
          </w:rPr>
          <w:fldChar w:fldCharType="begin"/>
        </w:r>
        <w:r w:rsidR="008D4799">
          <w:rPr>
            <w:webHidden/>
          </w:rPr>
          <w:instrText xml:space="preserve"> PAGEREF _Toc486406077 \h </w:instrText>
        </w:r>
        <w:r w:rsidR="008D4799">
          <w:rPr>
            <w:webHidden/>
          </w:rPr>
        </w:r>
        <w:r w:rsidR="008D4799">
          <w:rPr>
            <w:webHidden/>
          </w:rPr>
          <w:fldChar w:fldCharType="separate"/>
        </w:r>
        <w:r w:rsidR="00553160">
          <w:rPr>
            <w:webHidden/>
          </w:rPr>
          <w:t>67</w:t>
        </w:r>
        <w:r w:rsidR="008D4799">
          <w:rPr>
            <w:webHidden/>
          </w:rPr>
          <w:fldChar w:fldCharType="end"/>
        </w:r>
      </w:hyperlink>
    </w:p>
    <w:p w:rsidR="008D4799" w:rsidRDefault="00505DC7" w:rsidP="00E401C4">
      <w:pPr>
        <w:pStyle w:val="TableofFigures"/>
        <w:ind w:left="1267" w:hanging="1267"/>
        <w:rPr>
          <w:rFonts w:asciiTheme="minorHAnsi" w:eastAsiaTheme="minorEastAsia" w:hAnsiTheme="minorHAnsi" w:cstheme="minorBidi"/>
          <w:sz w:val="22"/>
          <w:szCs w:val="22"/>
        </w:rPr>
      </w:pPr>
      <w:hyperlink w:anchor="_Toc486406078" w:history="1">
        <w:r w:rsidR="008D4799" w:rsidRPr="00732077">
          <w:rPr>
            <w:rStyle w:val="Hyperlink"/>
          </w:rPr>
          <w:t>Figure 6</w:t>
        </w:r>
        <w:r w:rsidR="008D4799" w:rsidRPr="00732077">
          <w:rPr>
            <w:rStyle w:val="Hyperlink"/>
          </w:rPr>
          <w:noBreakHyphen/>
          <w:t xml:space="preserve">8: </w:t>
        </w:r>
        <w:r w:rsidR="00E401C4">
          <w:rPr>
            <w:rStyle w:val="Hyperlink"/>
          </w:rPr>
          <w:tab/>
        </w:r>
        <w:r w:rsidR="008D4799" w:rsidRPr="00732077">
          <w:rPr>
            <w:rStyle w:val="Hyperlink"/>
          </w:rPr>
          <w:t>LSE energy expense and uplift, 2030 ($ millions).</w:t>
        </w:r>
        <w:r w:rsidR="008D4799">
          <w:rPr>
            <w:webHidden/>
          </w:rPr>
          <w:tab/>
        </w:r>
        <w:r w:rsidR="008D4799">
          <w:rPr>
            <w:webHidden/>
          </w:rPr>
          <w:fldChar w:fldCharType="begin"/>
        </w:r>
        <w:r w:rsidR="008D4799">
          <w:rPr>
            <w:webHidden/>
          </w:rPr>
          <w:instrText xml:space="preserve"> PAGEREF _Toc486406078 \h </w:instrText>
        </w:r>
        <w:r w:rsidR="008D4799">
          <w:rPr>
            <w:webHidden/>
          </w:rPr>
        </w:r>
        <w:r w:rsidR="008D4799">
          <w:rPr>
            <w:webHidden/>
          </w:rPr>
          <w:fldChar w:fldCharType="separate"/>
        </w:r>
        <w:r w:rsidR="00553160">
          <w:rPr>
            <w:webHidden/>
          </w:rPr>
          <w:t>67</w:t>
        </w:r>
        <w:r w:rsidR="008D4799">
          <w:rPr>
            <w:webHidden/>
          </w:rPr>
          <w:fldChar w:fldCharType="end"/>
        </w:r>
      </w:hyperlink>
    </w:p>
    <w:p w:rsidR="008D4799" w:rsidRDefault="00505DC7" w:rsidP="00E401C4">
      <w:pPr>
        <w:pStyle w:val="TableofFigures"/>
        <w:ind w:left="1267" w:hanging="1267"/>
        <w:rPr>
          <w:rFonts w:asciiTheme="minorHAnsi" w:eastAsiaTheme="minorEastAsia" w:hAnsiTheme="minorHAnsi" w:cstheme="minorBidi"/>
          <w:sz w:val="22"/>
          <w:szCs w:val="22"/>
        </w:rPr>
      </w:pPr>
      <w:hyperlink w:anchor="_Toc486406079" w:history="1">
        <w:r w:rsidR="008D4799" w:rsidRPr="00732077">
          <w:rPr>
            <w:rStyle w:val="Hyperlink"/>
          </w:rPr>
          <w:t>Figure 6</w:t>
        </w:r>
        <w:r w:rsidR="008D4799" w:rsidRPr="00732077">
          <w:rPr>
            <w:rStyle w:val="Hyperlink"/>
          </w:rPr>
          <w:noBreakHyphen/>
          <w:t xml:space="preserve">9: </w:t>
        </w:r>
        <w:r w:rsidR="00E401C4">
          <w:rPr>
            <w:rStyle w:val="Hyperlink"/>
          </w:rPr>
          <w:tab/>
        </w:r>
        <w:r w:rsidR="008D4799" w:rsidRPr="00732077">
          <w:rPr>
            <w:rStyle w:val="Hyperlink"/>
          </w:rPr>
          <w:t>GridView congestion metric by interface, 2025 ($ millions).</w:t>
        </w:r>
        <w:r w:rsidR="008D4799">
          <w:rPr>
            <w:webHidden/>
          </w:rPr>
          <w:tab/>
        </w:r>
        <w:r w:rsidR="008D4799">
          <w:rPr>
            <w:webHidden/>
          </w:rPr>
          <w:fldChar w:fldCharType="begin"/>
        </w:r>
        <w:r w:rsidR="008D4799">
          <w:rPr>
            <w:webHidden/>
          </w:rPr>
          <w:instrText xml:space="preserve"> PAGEREF _Toc486406079 \h </w:instrText>
        </w:r>
        <w:r w:rsidR="008D4799">
          <w:rPr>
            <w:webHidden/>
          </w:rPr>
        </w:r>
        <w:r w:rsidR="008D4799">
          <w:rPr>
            <w:webHidden/>
          </w:rPr>
          <w:fldChar w:fldCharType="separate"/>
        </w:r>
        <w:r w:rsidR="00553160">
          <w:rPr>
            <w:webHidden/>
          </w:rPr>
          <w:t>69</w:t>
        </w:r>
        <w:r w:rsidR="008D4799">
          <w:rPr>
            <w:webHidden/>
          </w:rPr>
          <w:fldChar w:fldCharType="end"/>
        </w:r>
      </w:hyperlink>
    </w:p>
    <w:p w:rsidR="008D4799" w:rsidRDefault="00505DC7" w:rsidP="00E401C4">
      <w:pPr>
        <w:pStyle w:val="TableofFigures"/>
        <w:ind w:left="1267" w:hanging="1267"/>
        <w:rPr>
          <w:rFonts w:asciiTheme="minorHAnsi" w:eastAsiaTheme="minorEastAsia" w:hAnsiTheme="minorHAnsi" w:cstheme="minorBidi"/>
          <w:sz w:val="22"/>
          <w:szCs w:val="22"/>
        </w:rPr>
      </w:pPr>
      <w:hyperlink w:anchor="_Toc486406080" w:history="1">
        <w:r w:rsidR="008D4799" w:rsidRPr="00732077">
          <w:rPr>
            <w:rStyle w:val="Hyperlink"/>
          </w:rPr>
          <w:t>Figure 6</w:t>
        </w:r>
        <w:r w:rsidR="008D4799" w:rsidRPr="00732077">
          <w:rPr>
            <w:rStyle w:val="Hyperlink"/>
          </w:rPr>
          <w:noBreakHyphen/>
          <w:t xml:space="preserve">10: </w:t>
        </w:r>
        <w:r w:rsidR="00E401C4">
          <w:rPr>
            <w:rStyle w:val="Hyperlink"/>
          </w:rPr>
          <w:tab/>
        </w:r>
        <w:r w:rsidR="008D4799" w:rsidRPr="00732077">
          <w:rPr>
            <w:rStyle w:val="Hyperlink"/>
          </w:rPr>
          <w:t>GridView congestion metric by interface, 2030 ($ millions).</w:t>
        </w:r>
        <w:r w:rsidR="008D4799">
          <w:rPr>
            <w:webHidden/>
          </w:rPr>
          <w:tab/>
        </w:r>
        <w:r w:rsidR="008D4799">
          <w:rPr>
            <w:webHidden/>
          </w:rPr>
          <w:fldChar w:fldCharType="begin"/>
        </w:r>
        <w:r w:rsidR="008D4799">
          <w:rPr>
            <w:webHidden/>
          </w:rPr>
          <w:instrText xml:space="preserve"> PAGEREF _Toc486406080 \h </w:instrText>
        </w:r>
        <w:r w:rsidR="008D4799">
          <w:rPr>
            <w:webHidden/>
          </w:rPr>
        </w:r>
        <w:r w:rsidR="008D4799">
          <w:rPr>
            <w:webHidden/>
          </w:rPr>
          <w:fldChar w:fldCharType="separate"/>
        </w:r>
        <w:r w:rsidR="00553160">
          <w:rPr>
            <w:webHidden/>
          </w:rPr>
          <w:t>69</w:t>
        </w:r>
        <w:r w:rsidR="008D4799">
          <w:rPr>
            <w:webHidden/>
          </w:rPr>
          <w:fldChar w:fldCharType="end"/>
        </w:r>
      </w:hyperlink>
    </w:p>
    <w:p w:rsidR="008D4799" w:rsidRDefault="00505DC7" w:rsidP="00E401C4">
      <w:pPr>
        <w:pStyle w:val="TableofFigures"/>
        <w:ind w:left="1267" w:hanging="1267"/>
        <w:rPr>
          <w:rFonts w:asciiTheme="minorHAnsi" w:eastAsiaTheme="minorEastAsia" w:hAnsiTheme="minorHAnsi" w:cstheme="minorBidi"/>
          <w:sz w:val="22"/>
          <w:szCs w:val="22"/>
        </w:rPr>
      </w:pPr>
      <w:hyperlink w:anchor="_Toc486406081" w:history="1">
        <w:r w:rsidR="008D4799" w:rsidRPr="00732077">
          <w:rPr>
            <w:rStyle w:val="Hyperlink"/>
          </w:rPr>
          <w:t>Figure 6</w:t>
        </w:r>
        <w:r w:rsidR="008D4799" w:rsidRPr="00732077">
          <w:rPr>
            <w:rStyle w:val="Hyperlink"/>
          </w:rPr>
          <w:noBreakHyphen/>
          <w:t xml:space="preserve">11: </w:t>
        </w:r>
        <w:r w:rsidR="00E401C4">
          <w:rPr>
            <w:rStyle w:val="Hyperlink"/>
          </w:rPr>
          <w:tab/>
        </w:r>
        <w:r w:rsidR="008D4799" w:rsidRPr="00732077">
          <w:rPr>
            <w:rStyle w:val="Hyperlink"/>
          </w:rPr>
          <w:t>Comparison of annual energy market net revenues for various technology types with</w:t>
        </w:r>
        <w:r w:rsidR="00E401C4">
          <w:rPr>
            <w:rStyle w:val="Hyperlink"/>
          </w:rPr>
          <w:br/>
        </w:r>
        <w:r w:rsidR="008D4799" w:rsidRPr="00732077">
          <w:rPr>
            <w:rStyle w:val="Hyperlink"/>
          </w:rPr>
          <w:t>annual carrying charges, 2025, unconstrained ($/kW-year).</w:t>
        </w:r>
        <w:r w:rsidR="008D4799">
          <w:rPr>
            <w:webHidden/>
          </w:rPr>
          <w:tab/>
        </w:r>
        <w:r w:rsidR="008D4799">
          <w:rPr>
            <w:webHidden/>
          </w:rPr>
          <w:fldChar w:fldCharType="begin"/>
        </w:r>
        <w:r w:rsidR="008D4799">
          <w:rPr>
            <w:webHidden/>
          </w:rPr>
          <w:instrText xml:space="preserve"> PAGEREF _Toc486406081 \h </w:instrText>
        </w:r>
        <w:r w:rsidR="008D4799">
          <w:rPr>
            <w:webHidden/>
          </w:rPr>
        </w:r>
        <w:r w:rsidR="008D4799">
          <w:rPr>
            <w:webHidden/>
          </w:rPr>
          <w:fldChar w:fldCharType="separate"/>
        </w:r>
        <w:r w:rsidR="00553160">
          <w:rPr>
            <w:webHidden/>
          </w:rPr>
          <w:t>71</w:t>
        </w:r>
        <w:r w:rsidR="008D4799">
          <w:rPr>
            <w:webHidden/>
          </w:rPr>
          <w:fldChar w:fldCharType="end"/>
        </w:r>
      </w:hyperlink>
    </w:p>
    <w:p w:rsidR="008D4799" w:rsidRDefault="00505DC7" w:rsidP="00E401C4">
      <w:pPr>
        <w:pStyle w:val="TableofFigures"/>
        <w:ind w:left="1267" w:hanging="1267"/>
        <w:rPr>
          <w:rFonts w:asciiTheme="minorHAnsi" w:eastAsiaTheme="minorEastAsia" w:hAnsiTheme="minorHAnsi" w:cstheme="minorBidi"/>
          <w:sz w:val="22"/>
          <w:szCs w:val="22"/>
        </w:rPr>
      </w:pPr>
      <w:hyperlink w:anchor="_Toc486406082" w:history="1">
        <w:r w:rsidR="008D4799" w:rsidRPr="00732077">
          <w:rPr>
            <w:rStyle w:val="Hyperlink"/>
          </w:rPr>
          <w:t>Figure 6</w:t>
        </w:r>
        <w:r w:rsidR="008D4799" w:rsidRPr="00732077">
          <w:rPr>
            <w:rStyle w:val="Hyperlink"/>
          </w:rPr>
          <w:noBreakHyphen/>
          <w:t xml:space="preserve">12: </w:t>
        </w:r>
        <w:r w:rsidR="00E401C4">
          <w:rPr>
            <w:rStyle w:val="Hyperlink"/>
          </w:rPr>
          <w:tab/>
        </w:r>
        <w:r w:rsidR="008D4799" w:rsidRPr="00732077">
          <w:rPr>
            <w:rStyle w:val="Hyperlink"/>
          </w:rPr>
          <w:t>Comparison of annual net energy market revenues for various technology types</w:t>
        </w:r>
        <w:r w:rsidR="00E401C4">
          <w:rPr>
            <w:rStyle w:val="Hyperlink"/>
          </w:rPr>
          <w:br/>
        </w:r>
        <w:r w:rsidR="008D4799" w:rsidRPr="00732077">
          <w:rPr>
            <w:rStyle w:val="Hyperlink"/>
          </w:rPr>
          <w:t>with annual carrying charges, 2030, unconstrained ($/kW-year).</w:t>
        </w:r>
        <w:r w:rsidR="008D4799">
          <w:rPr>
            <w:webHidden/>
          </w:rPr>
          <w:tab/>
        </w:r>
        <w:r w:rsidR="008D4799">
          <w:rPr>
            <w:webHidden/>
          </w:rPr>
          <w:fldChar w:fldCharType="begin"/>
        </w:r>
        <w:r w:rsidR="008D4799">
          <w:rPr>
            <w:webHidden/>
          </w:rPr>
          <w:instrText xml:space="preserve"> PAGEREF _Toc486406082 \h </w:instrText>
        </w:r>
        <w:r w:rsidR="008D4799">
          <w:rPr>
            <w:webHidden/>
          </w:rPr>
        </w:r>
        <w:r w:rsidR="008D4799">
          <w:rPr>
            <w:webHidden/>
          </w:rPr>
          <w:fldChar w:fldCharType="separate"/>
        </w:r>
        <w:r w:rsidR="00553160">
          <w:rPr>
            <w:webHidden/>
          </w:rPr>
          <w:t>71</w:t>
        </w:r>
        <w:r w:rsidR="008D4799">
          <w:rPr>
            <w:webHidden/>
          </w:rPr>
          <w:fldChar w:fldCharType="end"/>
        </w:r>
      </w:hyperlink>
    </w:p>
    <w:p w:rsidR="008D4799" w:rsidRDefault="00505DC7" w:rsidP="00E401C4">
      <w:pPr>
        <w:pStyle w:val="TableofFigures"/>
        <w:ind w:left="1267" w:hanging="1267"/>
        <w:rPr>
          <w:rFonts w:asciiTheme="minorHAnsi" w:eastAsiaTheme="minorEastAsia" w:hAnsiTheme="minorHAnsi" w:cstheme="minorBidi"/>
          <w:sz w:val="22"/>
          <w:szCs w:val="22"/>
        </w:rPr>
      </w:pPr>
      <w:hyperlink w:anchor="_Toc486406083" w:history="1">
        <w:r w:rsidR="008D4799" w:rsidRPr="00732077">
          <w:rPr>
            <w:rStyle w:val="Hyperlink"/>
          </w:rPr>
          <w:t>Figure 6</w:t>
        </w:r>
        <w:r w:rsidR="008D4799" w:rsidRPr="00732077">
          <w:rPr>
            <w:rStyle w:val="Hyperlink"/>
          </w:rPr>
          <w:noBreakHyphen/>
          <w:t xml:space="preserve">13: </w:t>
        </w:r>
        <w:r w:rsidR="00E401C4">
          <w:rPr>
            <w:rStyle w:val="Hyperlink"/>
          </w:rPr>
          <w:tab/>
        </w:r>
        <w:r w:rsidR="008D4799" w:rsidRPr="00732077">
          <w:rPr>
            <w:rStyle w:val="Hyperlink"/>
          </w:rPr>
          <w:t>Percentage of annual net energy market revenue contributions to fixed costs</w:t>
        </w:r>
        <w:r w:rsidR="00E401C4">
          <w:rPr>
            <w:rStyle w:val="Hyperlink"/>
          </w:rPr>
          <w:br/>
        </w:r>
        <w:r w:rsidR="008D4799" w:rsidRPr="00732077">
          <w:rPr>
            <w:rStyle w:val="Hyperlink"/>
          </w:rPr>
          <w:t>(plus uplift) for various technology types, 2025, unconstrained</w:t>
        </w:r>
        <w:r w:rsidR="003536FD">
          <w:rPr>
            <w:rStyle w:val="Hyperlink"/>
          </w:rPr>
          <w:br/>
        </w:r>
        <w:r w:rsidR="008D4799" w:rsidRPr="00732077">
          <w:rPr>
            <w:rStyle w:val="Hyperlink"/>
          </w:rPr>
          <w:t>(% of revenue</w:t>
        </w:r>
        <w:r w:rsidR="003536FD">
          <w:rPr>
            <w:rStyle w:val="Hyperlink"/>
          </w:rPr>
          <w:t xml:space="preserve"> </w:t>
        </w:r>
        <w:r w:rsidR="008D4799" w:rsidRPr="00732077">
          <w:rPr>
            <w:rStyle w:val="Hyperlink"/>
          </w:rPr>
          <w:t>requirements).</w:t>
        </w:r>
        <w:r w:rsidR="008D4799">
          <w:rPr>
            <w:webHidden/>
          </w:rPr>
          <w:tab/>
        </w:r>
        <w:r w:rsidR="008D4799">
          <w:rPr>
            <w:webHidden/>
          </w:rPr>
          <w:fldChar w:fldCharType="begin"/>
        </w:r>
        <w:r w:rsidR="008D4799">
          <w:rPr>
            <w:webHidden/>
          </w:rPr>
          <w:instrText xml:space="preserve"> PAGEREF _Toc486406083 \h </w:instrText>
        </w:r>
        <w:r w:rsidR="008D4799">
          <w:rPr>
            <w:webHidden/>
          </w:rPr>
        </w:r>
        <w:r w:rsidR="008D4799">
          <w:rPr>
            <w:webHidden/>
          </w:rPr>
          <w:fldChar w:fldCharType="separate"/>
        </w:r>
        <w:r w:rsidR="00553160">
          <w:rPr>
            <w:webHidden/>
          </w:rPr>
          <w:t>72</w:t>
        </w:r>
        <w:r w:rsidR="008D4799">
          <w:rPr>
            <w:webHidden/>
          </w:rPr>
          <w:fldChar w:fldCharType="end"/>
        </w:r>
      </w:hyperlink>
    </w:p>
    <w:p w:rsidR="008D4799" w:rsidRDefault="00505DC7" w:rsidP="00E401C4">
      <w:pPr>
        <w:pStyle w:val="TableofFigures"/>
        <w:ind w:left="1267" w:hanging="1267"/>
        <w:rPr>
          <w:rFonts w:asciiTheme="minorHAnsi" w:eastAsiaTheme="minorEastAsia" w:hAnsiTheme="minorHAnsi" w:cstheme="minorBidi"/>
          <w:sz w:val="22"/>
          <w:szCs w:val="22"/>
        </w:rPr>
      </w:pPr>
      <w:hyperlink w:anchor="_Toc486406084" w:history="1">
        <w:r w:rsidR="008D4799" w:rsidRPr="00732077">
          <w:rPr>
            <w:rStyle w:val="Hyperlink"/>
          </w:rPr>
          <w:t>Figure 6</w:t>
        </w:r>
        <w:r w:rsidR="008D4799" w:rsidRPr="00732077">
          <w:rPr>
            <w:rStyle w:val="Hyperlink"/>
          </w:rPr>
          <w:noBreakHyphen/>
          <w:t xml:space="preserve">14: </w:t>
        </w:r>
        <w:r w:rsidR="00E401C4">
          <w:rPr>
            <w:rStyle w:val="Hyperlink"/>
          </w:rPr>
          <w:tab/>
        </w:r>
        <w:r w:rsidR="008D4799" w:rsidRPr="00732077">
          <w:rPr>
            <w:rStyle w:val="Hyperlink"/>
          </w:rPr>
          <w:t>Percentage of annual net energy market revenue contributions to fixed costs</w:t>
        </w:r>
        <w:r w:rsidR="00E401C4">
          <w:rPr>
            <w:rStyle w:val="Hyperlink"/>
          </w:rPr>
          <w:br/>
        </w:r>
        <w:r w:rsidR="008D4799" w:rsidRPr="00732077">
          <w:rPr>
            <w:rStyle w:val="Hyperlink"/>
          </w:rPr>
          <w:t>(plus uplift) for various technology types, 2030, unconstrained</w:t>
        </w:r>
        <w:r w:rsidR="003536FD">
          <w:rPr>
            <w:rStyle w:val="Hyperlink"/>
          </w:rPr>
          <w:br/>
        </w:r>
        <w:r w:rsidR="008D4799" w:rsidRPr="00732077">
          <w:rPr>
            <w:rStyle w:val="Hyperlink"/>
          </w:rPr>
          <w:t>(% of revenuerequirements).</w:t>
        </w:r>
        <w:r w:rsidR="008D4799">
          <w:rPr>
            <w:webHidden/>
          </w:rPr>
          <w:tab/>
        </w:r>
        <w:r w:rsidR="008D4799">
          <w:rPr>
            <w:webHidden/>
          </w:rPr>
          <w:fldChar w:fldCharType="begin"/>
        </w:r>
        <w:r w:rsidR="008D4799">
          <w:rPr>
            <w:webHidden/>
          </w:rPr>
          <w:instrText xml:space="preserve"> PAGEREF _Toc486406084 \h </w:instrText>
        </w:r>
        <w:r w:rsidR="008D4799">
          <w:rPr>
            <w:webHidden/>
          </w:rPr>
        </w:r>
        <w:r w:rsidR="008D4799">
          <w:rPr>
            <w:webHidden/>
          </w:rPr>
          <w:fldChar w:fldCharType="separate"/>
        </w:r>
        <w:r w:rsidR="00553160">
          <w:rPr>
            <w:webHidden/>
          </w:rPr>
          <w:t>72</w:t>
        </w:r>
        <w:r w:rsidR="008D4799">
          <w:rPr>
            <w:webHidden/>
          </w:rPr>
          <w:fldChar w:fldCharType="end"/>
        </w:r>
      </w:hyperlink>
    </w:p>
    <w:p w:rsidR="008D4799" w:rsidRDefault="00505DC7" w:rsidP="00E401C4">
      <w:pPr>
        <w:pStyle w:val="TableofFigures"/>
        <w:ind w:left="1267" w:hanging="1267"/>
        <w:rPr>
          <w:rFonts w:asciiTheme="minorHAnsi" w:eastAsiaTheme="minorEastAsia" w:hAnsiTheme="minorHAnsi" w:cstheme="minorBidi"/>
          <w:sz w:val="22"/>
          <w:szCs w:val="22"/>
        </w:rPr>
      </w:pPr>
      <w:hyperlink w:anchor="_Toc486406085" w:history="1">
        <w:r w:rsidR="008D4799" w:rsidRPr="00732077">
          <w:rPr>
            <w:rStyle w:val="Hyperlink"/>
          </w:rPr>
          <w:t>Figure 6</w:t>
        </w:r>
        <w:r w:rsidR="008D4799" w:rsidRPr="00732077">
          <w:rPr>
            <w:rStyle w:val="Hyperlink"/>
          </w:rPr>
          <w:noBreakHyphen/>
          <w:t xml:space="preserve">15: </w:t>
        </w:r>
        <w:r w:rsidR="00E401C4">
          <w:rPr>
            <w:rStyle w:val="Hyperlink"/>
          </w:rPr>
          <w:tab/>
        </w:r>
        <w:r w:rsidR="008D4799" w:rsidRPr="00732077">
          <w:rPr>
            <w:rStyle w:val="Hyperlink"/>
          </w:rPr>
          <w:t>Example of a daily system load in real time with and without solar power</w:t>
        </w:r>
        <w:r w:rsidR="00E401C4">
          <w:rPr>
            <w:rStyle w:val="Hyperlink"/>
          </w:rPr>
          <w:br/>
        </w:r>
        <w:r w:rsidR="008D4799" w:rsidRPr="00732077">
          <w:rPr>
            <w:rStyle w:val="Hyperlink"/>
          </w:rPr>
          <w:t>(May 23, 2015) (MW).</w:t>
        </w:r>
        <w:r w:rsidR="008D4799">
          <w:rPr>
            <w:webHidden/>
          </w:rPr>
          <w:tab/>
        </w:r>
        <w:r w:rsidR="008D4799">
          <w:rPr>
            <w:webHidden/>
          </w:rPr>
          <w:fldChar w:fldCharType="begin"/>
        </w:r>
        <w:r w:rsidR="008D4799">
          <w:rPr>
            <w:webHidden/>
          </w:rPr>
          <w:instrText xml:space="preserve"> PAGEREF _Toc486406085 \h </w:instrText>
        </w:r>
        <w:r w:rsidR="008D4799">
          <w:rPr>
            <w:webHidden/>
          </w:rPr>
        </w:r>
        <w:r w:rsidR="008D4799">
          <w:rPr>
            <w:webHidden/>
          </w:rPr>
          <w:fldChar w:fldCharType="separate"/>
        </w:r>
        <w:r w:rsidR="00553160">
          <w:rPr>
            <w:webHidden/>
          </w:rPr>
          <w:t>76</w:t>
        </w:r>
        <w:r w:rsidR="008D4799">
          <w:rPr>
            <w:webHidden/>
          </w:rPr>
          <w:fldChar w:fldCharType="end"/>
        </w:r>
      </w:hyperlink>
    </w:p>
    <w:p w:rsidR="008D4799" w:rsidRDefault="00505DC7" w:rsidP="00E401C4">
      <w:pPr>
        <w:pStyle w:val="TableofFigures"/>
        <w:ind w:left="1267" w:hanging="1267"/>
        <w:rPr>
          <w:rFonts w:asciiTheme="minorHAnsi" w:eastAsiaTheme="minorEastAsia" w:hAnsiTheme="minorHAnsi" w:cstheme="minorBidi"/>
          <w:sz w:val="22"/>
          <w:szCs w:val="22"/>
        </w:rPr>
      </w:pPr>
      <w:hyperlink w:anchor="_Toc486406086" w:history="1">
        <w:r w:rsidR="008D4799" w:rsidRPr="00732077">
          <w:rPr>
            <w:rStyle w:val="Hyperlink"/>
          </w:rPr>
          <w:t>Figure 6</w:t>
        </w:r>
        <w:r w:rsidR="008D4799" w:rsidRPr="00732077">
          <w:rPr>
            <w:rStyle w:val="Hyperlink"/>
          </w:rPr>
          <w:noBreakHyphen/>
          <w:t xml:space="preserve">16: </w:t>
        </w:r>
        <w:r w:rsidR="00E401C4">
          <w:rPr>
            <w:rStyle w:val="Hyperlink"/>
          </w:rPr>
          <w:tab/>
        </w:r>
        <w:r w:rsidR="008D4799" w:rsidRPr="00732077">
          <w:rPr>
            <w:rStyle w:val="Hyperlink"/>
          </w:rPr>
          <w:t xml:space="preserve">Energy by </w:t>
        </w:r>
        <w:r w:rsidR="003536FD">
          <w:rPr>
            <w:rStyle w:val="Hyperlink"/>
          </w:rPr>
          <w:t>s</w:t>
        </w:r>
        <w:r w:rsidR="008D4799" w:rsidRPr="00732077">
          <w:rPr>
            <w:rStyle w:val="Hyperlink"/>
          </w:rPr>
          <w:t xml:space="preserve">ource for Scenario 3 (Renewables Plus), May 7, 2030, </w:t>
        </w:r>
        <w:r w:rsidR="003536FD">
          <w:rPr>
            <w:rStyle w:val="Hyperlink"/>
          </w:rPr>
          <w:t>u</w:t>
        </w:r>
        <w:r w:rsidR="008D4799" w:rsidRPr="00732077">
          <w:rPr>
            <w:rStyle w:val="Hyperlink"/>
          </w:rPr>
          <w:t>nconstrained (MW).</w:t>
        </w:r>
        <w:r w:rsidR="008D4799">
          <w:rPr>
            <w:webHidden/>
          </w:rPr>
          <w:tab/>
        </w:r>
        <w:r w:rsidR="008D4799">
          <w:rPr>
            <w:webHidden/>
          </w:rPr>
          <w:fldChar w:fldCharType="begin"/>
        </w:r>
        <w:r w:rsidR="008D4799">
          <w:rPr>
            <w:webHidden/>
          </w:rPr>
          <w:instrText xml:space="preserve"> PAGEREF _Toc486406086 \h </w:instrText>
        </w:r>
        <w:r w:rsidR="008D4799">
          <w:rPr>
            <w:webHidden/>
          </w:rPr>
        </w:r>
        <w:r w:rsidR="008D4799">
          <w:rPr>
            <w:webHidden/>
          </w:rPr>
          <w:fldChar w:fldCharType="separate"/>
        </w:r>
        <w:r w:rsidR="00553160">
          <w:rPr>
            <w:webHidden/>
          </w:rPr>
          <w:t>76</w:t>
        </w:r>
        <w:r w:rsidR="008D4799">
          <w:rPr>
            <w:webHidden/>
          </w:rPr>
          <w:fldChar w:fldCharType="end"/>
        </w:r>
      </w:hyperlink>
    </w:p>
    <w:p w:rsidR="008D4799" w:rsidRDefault="00505DC7" w:rsidP="00E401C4">
      <w:pPr>
        <w:pStyle w:val="TableofFigures"/>
        <w:ind w:left="1267" w:hanging="1267"/>
        <w:rPr>
          <w:rFonts w:asciiTheme="minorHAnsi" w:eastAsiaTheme="minorEastAsia" w:hAnsiTheme="minorHAnsi" w:cstheme="minorBidi"/>
          <w:sz w:val="22"/>
          <w:szCs w:val="22"/>
        </w:rPr>
      </w:pPr>
      <w:hyperlink w:anchor="_Toc486406087" w:history="1">
        <w:r w:rsidR="008D4799" w:rsidRPr="00732077">
          <w:rPr>
            <w:rStyle w:val="Hyperlink"/>
          </w:rPr>
          <w:t>Figure 6</w:t>
        </w:r>
        <w:r w:rsidR="008D4799" w:rsidRPr="00732077">
          <w:rPr>
            <w:rStyle w:val="Hyperlink"/>
          </w:rPr>
          <w:noBreakHyphen/>
          <w:t xml:space="preserve">17: </w:t>
        </w:r>
        <w:r w:rsidR="00E401C4">
          <w:rPr>
            <w:rStyle w:val="Hyperlink"/>
          </w:rPr>
          <w:tab/>
        </w:r>
        <w:r w:rsidR="008D4799" w:rsidRPr="00732077">
          <w:rPr>
            <w:rStyle w:val="Hyperlink"/>
          </w:rPr>
          <w:t>Relative annual resource costs, 2025, compared with 2025 Scenario 4 (constrained)</w:t>
        </w:r>
        <w:r w:rsidR="00E401C4">
          <w:rPr>
            <w:rStyle w:val="Hyperlink"/>
          </w:rPr>
          <w:br/>
        </w:r>
        <w:r w:rsidR="008D4799" w:rsidRPr="00732077">
          <w:rPr>
            <w:rStyle w:val="Hyperlink"/>
          </w:rPr>
          <w:t>($ billions).</w:t>
        </w:r>
        <w:r w:rsidR="008D4799">
          <w:rPr>
            <w:webHidden/>
          </w:rPr>
          <w:tab/>
        </w:r>
        <w:r w:rsidR="008D4799">
          <w:rPr>
            <w:webHidden/>
          </w:rPr>
          <w:fldChar w:fldCharType="begin"/>
        </w:r>
        <w:r w:rsidR="008D4799">
          <w:rPr>
            <w:webHidden/>
          </w:rPr>
          <w:instrText xml:space="preserve"> PAGEREF _Toc486406087 \h </w:instrText>
        </w:r>
        <w:r w:rsidR="008D4799">
          <w:rPr>
            <w:webHidden/>
          </w:rPr>
        </w:r>
        <w:r w:rsidR="008D4799">
          <w:rPr>
            <w:webHidden/>
          </w:rPr>
          <w:fldChar w:fldCharType="separate"/>
        </w:r>
        <w:r w:rsidR="00553160">
          <w:rPr>
            <w:webHidden/>
          </w:rPr>
          <w:t>81</w:t>
        </w:r>
        <w:r w:rsidR="008D4799">
          <w:rPr>
            <w:webHidden/>
          </w:rPr>
          <w:fldChar w:fldCharType="end"/>
        </w:r>
      </w:hyperlink>
    </w:p>
    <w:p w:rsidR="008D4799" w:rsidRDefault="00505DC7" w:rsidP="00E401C4">
      <w:pPr>
        <w:pStyle w:val="TableofFigures"/>
        <w:ind w:left="1267" w:hanging="1267"/>
        <w:rPr>
          <w:rFonts w:asciiTheme="minorHAnsi" w:eastAsiaTheme="minorEastAsia" w:hAnsiTheme="minorHAnsi" w:cstheme="minorBidi"/>
          <w:sz w:val="22"/>
          <w:szCs w:val="22"/>
        </w:rPr>
      </w:pPr>
      <w:hyperlink w:anchor="_Toc486406088" w:history="1">
        <w:r w:rsidR="008D4799" w:rsidRPr="00732077">
          <w:rPr>
            <w:rStyle w:val="Hyperlink"/>
          </w:rPr>
          <w:t>Figure 6</w:t>
        </w:r>
        <w:r w:rsidR="008D4799" w:rsidRPr="00732077">
          <w:rPr>
            <w:rStyle w:val="Hyperlink"/>
          </w:rPr>
          <w:noBreakHyphen/>
          <w:t xml:space="preserve">18: </w:t>
        </w:r>
        <w:r w:rsidR="00E401C4">
          <w:rPr>
            <w:rStyle w:val="Hyperlink"/>
          </w:rPr>
          <w:tab/>
        </w:r>
        <w:r w:rsidR="008D4799" w:rsidRPr="00732077">
          <w:rPr>
            <w:rStyle w:val="Hyperlink"/>
          </w:rPr>
          <w:t>Relative annual resource costs, 2025, compared with 2025 Scenario 4 (constrained)</w:t>
        </w:r>
        <w:r w:rsidR="00E401C4">
          <w:rPr>
            <w:rStyle w:val="Hyperlink"/>
          </w:rPr>
          <w:br/>
        </w:r>
        <w:r w:rsidR="008D4799" w:rsidRPr="00732077">
          <w:rPr>
            <w:rStyle w:val="Hyperlink"/>
          </w:rPr>
          <w:t>(¢/kWh).</w:t>
        </w:r>
        <w:r w:rsidR="008D4799">
          <w:rPr>
            <w:webHidden/>
          </w:rPr>
          <w:tab/>
        </w:r>
        <w:r w:rsidR="008D4799">
          <w:rPr>
            <w:webHidden/>
          </w:rPr>
          <w:fldChar w:fldCharType="begin"/>
        </w:r>
        <w:r w:rsidR="008D4799">
          <w:rPr>
            <w:webHidden/>
          </w:rPr>
          <w:instrText xml:space="preserve"> PAGEREF _Toc486406088 \h </w:instrText>
        </w:r>
        <w:r w:rsidR="008D4799">
          <w:rPr>
            <w:webHidden/>
          </w:rPr>
        </w:r>
        <w:r w:rsidR="008D4799">
          <w:rPr>
            <w:webHidden/>
          </w:rPr>
          <w:fldChar w:fldCharType="separate"/>
        </w:r>
        <w:r w:rsidR="00553160">
          <w:rPr>
            <w:webHidden/>
          </w:rPr>
          <w:t>82</w:t>
        </w:r>
        <w:r w:rsidR="008D4799">
          <w:rPr>
            <w:webHidden/>
          </w:rPr>
          <w:fldChar w:fldCharType="end"/>
        </w:r>
      </w:hyperlink>
    </w:p>
    <w:p w:rsidR="008D4799" w:rsidRDefault="00505DC7" w:rsidP="00E401C4">
      <w:pPr>
        <w:pStyle w:val="TableofFigures"/>
        <w:ind w:left="1267" w:hanging="1267"/>
        <w:rPr>
          <w:rFonts w:asciiTheme="minorHAnsi" w:eastAsiaTheme="minorEastAsia" w:hAnsiTheme="minorHAnsi" w:cstheme="minorBidi"/>
          <w:sz w:val="22"/>
          <w:szCs w:val="22"/>
        </w:rPr>
      </w:pPr>
      <w:hyperlink w:anchor="_Toc486406089" w:history="1">
        <w:r w:rsidR="008D4799" w:rsidRPr="00732077">
          <w:rPr>
            <w:rStyle w:val="Hyperlink"/>
          </w:rPr>
          <w:t>Figure 6</w:t>
        </w:r>
        <w:r w:rsidR="008D4799" w:rsidRPr="00732077">
          <w:rPr>
            <w:rStyle w:val="Hyperlink"/>
          </w:rPr>
          <w:noBreakHyphen/>
          <w:t xml:space="preserve">19: </w:t>
        </w:r>
        <w:r w:rsidR="00E401C4">
          <w:rPr>
            <w:rStyle w:val="Hyperlink"/>
          </w:rPr>
          <w:tab/>
        </w:r>
        <w:r w:rsidR="008D4799" w:rsidRPr="00732077">
          <w:rPr>
            <w:rStyle w:val="Hyperlink"/>
          </w:rPr>
          <w:t>Relative annual resource costs, 2030, compared with 2030 Scenario 4 (constrained)</w:t>
        </w:r>
        <w:r w:rsidR="00E401C4">
          <w:rPr>
            <w:rStyle w:val="Hyperlink"/>
          </w:rPr>
          <w:br/>
        </w:r>
        <w:r w:rsidR="008D4799" w:rsidRPr="00732077">
          <w:rPr>
            <w:rStyle w:val="Hyperlink"/>
          </w:rPr>
          <w:t>($ billions).</w:t>
        </w:r>
        <w:r w:rsidR="008D4799">
          <w:rPr>
            <w:webHidden/>
          </w:rPr>
          <w:tab/>
        </w:r>
        <w:r w:rsidR="008D4799">
          <w:rPr>
            <w:webHidden/>
          </w:rPr>
          <w:fldChar w:fldCharType="begin"/>
        </w:r>
        <w:r w:rsidR="008D4799">
          <w:rPr>
            <w:webHidden/>
          </w:rPr>
          <w:instrText xml:space="preserve"> PAGEREF _Toc486406089 \h </w:instrText>
        </w:r>
        <w:r w:rsidR="008D4799">
          <w:rPr>
            <w:webHidden/>
          </w:rPr>
        </w:r>
        <w:r w:rsidR="008D4799">
          <w:rPr>
            <w:webHidden/>
          </w:rPr>
          <w:fldChar w:fldCharType="separate"/>
        </w:r>
        <w:r w:rsidR="00553160">
          <w:rPr>
            <w:webHidden/>
          </w:rPr>
          <w:t>83</w:t>
        </w:r>
        <w:r w:rsidR="008D4799">
          <w:rPr>
            <w:webHidden/>
          </w:rPr>
          <w:fldChar w:fldCharType="end"/>
        </w:r>
      </w:hyperlink>
    </w:p>
    <w:p w:rsidR="008D4799" w:rsidRDefault="00505DC7" w:rsidP="00E401C4">
      <w:pPr>
        <w:pStyle w:val="TableofFigures"/>
        <w:ind w:left="1267" w:hanging="1267"/>
        <w:rPr>
          <w:rFonts w:asciiTheme="minorHAnsi" w:eastAsiaTheme="minorEastAsia" w:hAnsiTheme="minorHAnsi" w:cstheme="minorBidi"/>
          <w:sz w:val="22"/>
          <w:szCs w:val="22"/>
        </w:rPr>
      </w:pPr>
      <w:hyperlink w:anchor="_Toc486406090" w:history="1">
        <w:r w:rsidR="008D4799" w:rsidRPr="00732077">
          <w:rPr>
            <w:rStyle w:val="Hyperlink"/>
          </w:rPr>
          <w:t>Figure 6</w:t>
        </w:r>
        <w:r w:rsidR="008D4799" w:rsidRPr="00732077">
          <w:rPr>
            <w:rStyle w:val="Hyperlink"/>
          </w:rPr>
          <w:noBreakHyphen/>
          <w:t xml:space="preserve">20: </w:t>
        </w:r>
        <w:r w:rsidR="00E401C4">
          <w:rPr>
            <w:rStyle w:val="Hyperlink"/>
          </w:rPr>
          <w:tab/>
        </w:r>
        <w:r w:rsidR="008D4799" w:rsidRPr="00732077">
          <w:rPr>
            <w:rStyle w:val="Hyperlink"/>
          </w:rPr>
          <w:t>Relative annual resource costs, 2030, compared with 2030 Scenario 4 (constrained)</w:t>
        </w:r>
        <w:r w:rsidR="00E401C4">
          <w:rPr>
            <w:rStyle w:val="Hyperlink"/>
          </w:rPr>
          <w:br/>
        </w:r>
        <w:r w:rsidR="008D4799" w:rsidRPr="00732077">
          <w:rPr>
            <w:rStyle w:val="Hyperlink"/>
          </w:rPr>
          <w:t>(¢/kWh).</w:t>
        </w:r>
        <w:r w:rsidR="008D4799">
          <w:rPr>
            <w:webHidden/>
          </w:rPr>
          <w:tab/>
        </w:r>
        <w:r w:rsidR="008D4799">
          <w:rPr>
            <w:webHidden/>
          </w:rPr>
          <w:fldChar w:fldCharType="begin"/>
        </w:r>
        <w:r w:rsidR="008D4799">
          <w:rPr>
            <w:webHidden/>
          </w:rPr>
          <w:instrText xml:space="preserve"> PAGEREF _Toc486406090 \h </w:instrText>
        </w:r>
        <w:r w:rsidR="008D4799">
          <w:rPr>
            <w:webHidden/>
          </w:rPr>
        </w:r>
        <w:r w:rsidR="008D4799">
          <w:rPr>
            <w:webHidden/>
          </w:rPr>
          <w:fldChar w:fldCharType="separate"/>
        </w:r>
        <w:r w:rsidR="00553160">
          <w:rPr>
            <w:webHidden/>
          </w:rPr>
          <w:t>84</w:t>
        </w:r>
        <w:r w:rsidR="008D4799">
          <w:rPr>
            <w:webHidden/>
          </w:rPr>
          <w:fldChar w:fldCharType="end"/>
        </w:r>
      </w:hyperlink>
    </w:p>
    <w:p w:rsidR="008D4799" w:rsidRDefault="00505DC7" w:rsidP="00E401C4">
      <w:pPr>
        <w:pStyle w:val="TableofFigures"/>
        <w:ind w:left="1267" w:hanging="1267"/>
        <w:rPr>
          <w:rFonts w:asciiTheme="minorHAnsi" w:eastAsiaTheme="minorEastAsia" w:hAnsiTheme="minorHAnsi" w:cstheme="minorBidi"/>
          <w:sz w:val="22"/>
          <w:szCs w:val="22"/>
        </w:rPr>
      </w:pPr>
      <w:hyperlink w:anchor="_Toc486406091" w:history="1">
        <w:r w:rsidR="008D4799" w:rsidRPr="00732077">
          <w:rPr>
            <w:rStyle w:val="Hyperlink"/>
          </w:rPr>
          <w:t>Figure 6</w:t>
        </w:r>
        <w:r w:rsidR="008D4799" w:rsidRPr="00732077">
          <w:rPr>
            <w:rStyle w:val="Hyperlink"/>
          </w:rPr>
          <w:noBreakHyphen/>
          <w:t xml:space="preserve">21: </w:t>
        </w:r>
        <w:r w:rsidR="00E401C4">
          <w:rPr>
            <w:rStyle w:val="Hyperlink"/>
          </w:rPr>
          <w:tab/>
        </w:r>
        <w:r w:rsidR="008D4799" w:rsidRPr="00732077">
          <w:rPr>
            <w:rStyle w:val="Hyperlink"/>
          </w:rPr>
          <w:t>The scenarios’ renewable energy production, 2025 (unconstrained and constrained cases)</w:t>
        </w:r>
        <w:r w:rsidR="00E401C4">
          <w:rPr>
            <w:rStyle w:val="Hyperlink"/>
          </w:rPr>
          <w:br/>
        </w:r>
        <w:r w:rsidR="008D4799" w:rsidRPr="00732077">
          <w:rPr>
            <w:rStyle w:val="Hyperlink"/>
          </w:rPr>
          <w:t>(GWh).</w:t>
        </w:r>
        <w:r w:rsidR="008D4799">
          <w:rPr>
            <w:webHidden/>
          </w:rPr>
          <w:tab/>
        </w:r>
        <w:r w:rsidR="008D4799">
          <w:rPr>
            <w:webHidden/>
          </w:rPr>
          <w:fldChar w:fldCharType="begin"/>
        </w:r>
        <w:r w:rsidR="008D4799">
          <w:rPr>
            <w:webHidden/>
          </w:rPr>
          <w:instrText xml:space="preserve"> PAGEREF _Toc486406091 \h </w:instrText>
        </w:r>
        <w:r w:rsidR="008D4799">
          <w:rPr>
            <w:webHidden/>
          </w:rPr>
        </w:r>
        <w:r w:rsidR="008D4799">
          <w:rPr>
            <w:webHidden/>
          </w:rPr>
          <w:fldChar w:fldCharType="separate"/>
        </w:r>
        <w:r w:rsidR="00553160">
          <w:rPr>
            <w:webHidden/>
          </w:rPr>
          <w:t>87</w:t>
        </w:r>
        <w:r w:rsidR="008D4799">
          <w:rPr>
            <w:webHidden/>
          </w:rPr>
          <w:fldChar w:fldCharType="end"/>
        </w:r>
      </w:hyperlink>
    </w:p>
    <w:p w:rsidR="008D4799" w:rsidRDefault="00505DC7" w:rsidP="00E401C4">
      <w:pPr>
        <w:pStyle w:val="TableofFigures"/>
        <w:ind w:left="1267" w:hanging="1267"/>
        <w:rPr>
          <w:rFonts w:asciiTheme="minorHAnsi" w:eastAsiaTheme="minorEastAsia" w:hAnsiTheme="minorHAnsi" w:cstheme="minorBidi"/>
          <w:sz w:val="22"/>
          <w:szCs w:val="22"/>
        </w:rPr>
      </w:pPr>
      <w:hyperlink w:anchor="_Toc486406092" w:history="1">
        <w:r w:rsidR="008D4799" w:rsidRPr="00732077">
          <w:rPr>
            <w:rStyle w:val="Hyperlink"/>
          </w:rPr>
          <w:t>Figure 6</w:t>
        </w:r>
        <w:r w:rsidR="008D4799" w:rsidRPr="00732077">
          <w:rPr>
            <w:rStyle w:val="Hyperlink"/>
          </w:rPr>
          <w:noBreakHyphen/>
          <w:t xml:space="preserve">22: </w:t>
        </w:r>
        <w:r w:rsidR="00E401C4">
          <w:rPr>
            <w:rStyle w:val="Hyperlink"/>
          </w:rPr>
          <w:tab/>
        </w:r>
        <w:r w:rsidR="008D4799" w:rsidRPr="00732077">
          <w:rPr>
            <w:rStyle w:val="Hyperlink"/>
          </w:rPr>
          <w:t>The scenarios’ renewable energy production, 2030 (unconstrained and constrained cases)</w:t>
        </w:r>
        <w:r w:rsidR="00E401C4">
          <w:rPr>
            <w:rStyle w:val="Hyperlink"/>
          </w:rPr>
          <w:br/>
        </w:r>
        <w:r w:rsidR="008D4799" w:rsidRPr="00732077">
          <w:rPr>
            <w:rStyle w:val="Hyperlink"/>
          </w:rPr>
          <w:t>(GWh).</w:t>
        </w:r>
        <w:r w:rsidR="008D4799">
          <w:rPr>
            <w:webHidden/>
          </w:rPr>
          <w:tab/>
        </w:r>
        <w:r w:rsidR="008D4799">
          <w:rPr>
            <w:webHidden/>
          </w:rPr>
          <w:fldChar w:fldCharType="begin"/>
        </w:r>
        <w:r w:rsidR="008D4799">
          <w:rPr>
            <w:webHidden/>
          </w:rPr>
          <w:instrText xml:space="preserve"> PAGEREF _Toc486406092 \h </w:instrText>
        </w:r>
        <w:r w:rsidR="008D4799">
          <w:rPr>
            <w:webHidden/>
          </w:rPr>
        </w:r>
        <w:r w:rsidR="008D4799">
          <w:rPr>
            <w:webHidden/>
          </w:rPr>
          <w:fldChar w:fldCharType="separate"/>
        </w:r>
        <w:r w:rsidR="00553160">
          <w:rPr>
            <w:webHidden/>
          </w:rPr>
          <w:t>88</w:t>
        </w:r>
        <w:r w:rsidR="008D4799">
          <w:rPr>
            <w:webHidden/>
          </w:rPr>
          <w:fldChar w:fldCharType="end"/>
        </w:r>
      </w:hyperlink>
    </w:p>
    <w:p w:rsidR="008D4799" w:rsidRDefault="00505DC7" w:rsidP="00E401C4">
      <w:pPr>
        <w:pStyle w:val="TableofFigures"/>
        <w:ind w:left="1267" w:hanging="1267"/>
        <w:rPr>
          <w:rFonts w:asciiTheme="minorHAnsi" w:eastAsiaTheme="minorEastAsia" w:hAnsiTheme="minorHAnsi" w:cstheme="minorBidi"/>
          <w:sz w:val="22"/>
          <w:szCs w:val="22"/>
        </w:rPr>
      </w:pPr>
      <w:hyperlink w:anchor="_Toc486406093" w:history="1">
        <w:r w:rsidR="008D4799" w:rsidRPr="00732077">
          <w:rPr>
            <w:rStyle w:val="Hyperlink"/>
          </w:rPr>
          <w:t>Figure 6</w:t>
        </w:r>
        <w:r w:rsidR="008D4799" w:rsidRPr="00732077">
          <w:rPr>
            <w:rStyle w:val="Hyperlink"/>
          </w:rPr>
          <w:noBreakHyphen/>
          <w:t xml:space="preserve">23: </w:t>
        </w:r>
        <w:r w:rsidR="00E401C4">
          <w:rPr>
            <w:rStyle w:val="Hyperlink"/>
          </w:rPr>
          <w:tab/>
        </w:r>
        <w:r w:rsidR="008D4799" w:rsidRPr="00732077">
          <w:rPr>
            <w:rStyle w:val="Hyperlink"/>
          </w:rPr>
          <w:t>CO</w:t>
        </w:r>
        <w:r w:rsidR="008D4799" w:rsidRPr="00732077">
          <w:rPr>
            <w:rStyle w:val="Hyperlink"/>
            <w:vertAlign w:val="subscript"/>
          </w:rPr>
          <w:t>2</w:t>
        </w:r>
        <w:r w:rsidR="008D4799" w:rsidRPr="00732077">
          <w:rPr>
            <w:rStyle w:val="Hyperlink"/>
          </w:rPr>
          <w:t xml:space="preserve"> emissions, 2025 (millions of short tons, %).</w:t>
        </w:r>
        <w:r w:rsidR="008D4799">
          <w:rPr>
            <w:webHidden/>
          </w:rPr>
          <w:tab/>
        </w:r>
        <w:r w:rsidR="008D4799">
          <w:rPr>
            <w:webHidden/>
          </w:rPr>
          <w:fldChar w:fldCharType="begin"/>
        </w:r>
        <w:r w:rsidR="008D4799">
          <w:rPr>
            <w:webHidden/>
          </w:rPr>
          <w:instrText xml:space="preserve"> PAGEREF _Toc486406093 \h </w:instrText>
        </w:r>
        <w:r w:rsidR="008D4799">
          <w:rPr>
            <w:webHidden/>
          </w:rPr>
        </w:r>
        <w:r w:rsidR="008D4799">
          <w:rPr>
            <w:webHidden/>
          </w:rPr>
          <w:fldChar w:fldCharType="separate"/>
        </w:r>
        <w:r w:rsidR="00553160">
          <w:rPr>
            <w:webHidden/>
          </w:rPr>
          <w:t>90</w:t>
        </w:r>
        <w:r w:rsidR="008D4799">
          <w:rPr>
            <w:webHidden/>
          </w:rPr>
          <w:fldChar w:fldCharType="end"/>
        </w:r>
      </w:hyperlink>
    </w:p>
    <w:p w:rsidR="008D4799" w:rsidRDefault="00505DC7" w:rsidP="00E401C4">
      <w:pPr>
        <w:pStyle w:val="TableofFigures"/>
        <w:ind w:left="1267" w:hanging="1267"/>
        <w:rPr>
          <w:rFonts w:asciiTheme="minorHAnsi" w:eastAsiaTheme="minorEastAsia" w:hAnsiTheme="minorHAnsi" w:cstheme="minorBidi"/>
          <w:sz w:val="22"/>
          <w:szCs w:val="22"/>
        </w:rPr>
      </w:pPr>
      <w:hyperlink w:anchor="_Toc486406094" w:history="1">
        <w:r w:rsidR="008D4799" w:rsidRPr="00732077">
          <w:rPr>
            <w:rStyle w:val="Hyperlink"/>
          </w:rPr>
          <w:t>Figure 6</w:t>
        </w:r>
        <w:r w:rsidR="008D4799" w:rsidRPr="00732077">
          <w:rPr>
            <w:rStyle w:val="Hyperlink"/>
          </w:rPr>
          <w:noBreakHyphen/>
          <w:t xml:space="preserve">24: </w:t>
        </w:r>
        <w:r w:rsidR="00E401C4">
          <w:rPr>
            <w:rStyle w:val="Hyperlink"/>
          </w:rPr>
          <w:tab/>
        </w:r>
        <w:r w:rsidR="008D4799" w:rsidRPr="00732077">
          <w:rPr>
            <w:rStyle w:val="Hyperlink"/>
          </w:rPr>
          <w:t>CO</w:t>
        </w:r>
        <w:r w:rsidR="008D4799" w:rsidRPr="00732077">
          <w:rPr>
            <w:rStyle w:val="Hyperlink"/>
            <w:vertAlign w:val="subscript"/>
          </w:rPr>
          <w:t>2</w:t>
        </w:r>
        <w:r w:rsidR="008D4799" w:rsidRPr="00732077">
          <w:rPr>
            <w:rStyle w:val="Hyperlink"/>
          </w:rPr>
          <w:t xml:space="preserve"> emissions, 2030 (millions of short tons, %).</w:t>
        </w:r>
        <w:r w:rsidR="008D4799">
          <w:rPr>
            <w:webHidden/>
          </w:rPr>
          <w:tab/>
        </w:r>
        <w:r w:rsidR="008D4799">
          <w:rPr>
            <w:webHidden/>
          </w:rPr>
          <w:fldChar w:fldCharType="begin"/>
        </w:r>
        <w:r w:rsidR="008D4799">
          <w:rPr>
            <w:webHidden/>
          </w:rPr>
          <w:instrText xml:space="preserve"> PAGEREF _Toc486406094 \h </w:instrText>
        </w:r>
        <w:r w:rsidR="008D4799">
          <w:rPr>
            <w:webHidden/>
          </w:rPr>
        </w:r>
        <w:r w:rsidR="008D4799">
          <w:rPr>
            <w:webHidden/>
          </w:rPr>
          <w:fldChar w:fldCharType="separate"/>
        </w:r>
        <w:r w:rsidR="00553160">
          <w:rPr>
            <w:webHidden/>
          </w:rPr>
          <w:t>90</w:t>
        </w:r>
        <w:r w:rsidR="008D4799">
          <w:rPr>
            <w:webHidden/>
          </w:rPr>
          <w:fldChar w:fldCharType="end"/>
        </w:r>
      </w:hyperlink>
    </w:p>
    <w:p w:rsidR="00F565D2" w:rsidRDefault="00CD7DBD" w:rsidP="00005201">
      <w:pPr>
        <w:spacing w:after="120" w:line="240" w:lineRule="auto"/>
      </w:pPr>
      <w:r w:rsidRPr="00005201">
        <w:rPr>
          <w:rFonts w:asciiTheme="minorHAnsi" w:hAnsiTheme="minorHAnsi"/>
          <w:szCs w:val="20"/>
        </w:rPr>
        <w:fldChar w:fldCharType="end"/>
      </w:r>
    </w:p>
    <w:p w:rsidR="003745BD" w:rsidRDefault="003745BD" w:rsidP="007A2BF4">
      <w:pPr>
        <w:pStyle w:val="TableofFigures"/>
        <w:sectPr w:rsidR="003745BD" w:rsidSect="00532809">
          <w:pgSz w:w="12240" w:h="15840" w:code="1"/>
          <w:pgMar w:top="1440" w:right="1440" w:bottom="1440" w:left="1440" w:header="720" w:footer="720" w:gutter="0"/>
          <w:pgNumType w:fmt="lowerRoman"/>
          <w:cols w:space="720"/>
          <w:docGrid w:linePitch="360"/>
        </w:sectPr>
      </w:pPr>
    </w:p>
    <w:p w:rsidR="00F565D2" w:rsidRPr="00E401C4" w:rsidRDefault="00F565D2" w:rsidP="0091124D">
      <w:pPr>
        <w:adjustRightInd/>
        <w:spacing w:line="240" w:lineRule="auto"/>
        <w:textAlignment w:val="auto"/>
        <w:outlineLvl w:val="0"/>
        <w:rPr>
          <w:rFonts w:ascii="Calibri" w:hAnsi="Calibri" w:cs="Arial"/>
          <w:b/>
          <w:bCs/>
          <w:color w:val="0C95D2"/>
          <w:sz w:val="36"/>
          <w:szCs w:val="36"/>
        </w:rPr>
      </w:pPr>
      <w:bookmarkStart w:id="6" w:name="_Toc486405947"/>
      <w:r w:rsidRPr="00027DE4">
        <w:rPr>
          <w:rFonts w:ascii="Calibri" w:hAnsi="Calibri" w:cs="Arial"/>
          <w:b/>
          <w:bCs/>
          <w:color w:val="0C95D2"/>
          <w:sz w:val="36"/>
          <w:szCs w:val="36"/>
        </w:rPr>
        <w:lastRenderedPageBreak/>
        <w:t>Tables</w:t>
      </w:r>
      <w:bookmarkEnd w:id="6"/>
    </w:p>
    <w:p w:rsidR="008D4799" w:rsidRDefault="00CD7DBD">
      <w:pPr>
        <w:pStyle w:val="TableofFigures"/>
        <w:rPr>
          <w:rFonts w:asciiTheme="minorHAnsi" w:eastAsiaTheme="minorEastAsia" w:hAnsiTheme="minorHAnsi" w:cstheme="minorBidi"/>
          <w:sz w:val="22"/>
          <w:szCs w:val="22"/>
        </w:rPr>
      </w:pPr>
      <w:r w:rsidRPr="000A40A4">
        <w:rPr>
          <w:rFonts w:asciiTheme="minorHAnsi" w:hAnsiTheme="minorHAnsi"/>
        </w:rPr>
        <w:fldChar w:fldCharType="begin"/>
      </w:r>
      <w:r w:rsidRPr="000A40A4">
        <w:rPr>
          <w:rFonts w:asciiTheme="minorHAnsi" w:hAnsiTheme="minorHAnsi"/>
        </w:rPr>
        <w:instrText xml:space="preserve"> TOC \h \z \c "Table" </w:instrText>
      </w:r>
      <w:r w:rsidRPr="000A40A4">
        <w:rPr>
          <w:rFonts w:asciiTheme="minorHAnsi" w:hAnsiTheme="minorHAnsi"/>
        </w:rPr>
        <w:fldChar w:fldCharType="separate"/>
      </w:r>
      <w:hyperlink w:anchor="_Toc486406013" w:history="1">
        <w:r w:rsidR="008D4799" w:rsidRPr="0068585C">
          <w:rPr>
            <w:rStyle w:val="Hyperlink"/>
          </w:rPr>
          <w:t>Table 3</w:t>
        </w:r>
        <w:r w:rsidR="008D4799" w:rsidRPr="0068585C">
          <w:rPr>
            <w:rStyle w:val="Hyperlink"/>
          </w:rPr>
          <w:noBreakHyphen/>
          <w:t xml:space="preserve">1 </w:t>
        </w:r>
        <w:r w:rsidR="00E401C4">
          <w:rPr>
            <w:rStyle w:val="Hyperlink"/>
          </w:rPr>
          <w:tab/>
        </w:r>
        <w:r w:rsidR="008D4799" w:rsidRPr="0068585C">
          <w:rPr>
            <w:rStyle w:val="Hyperlink"/>
          </w:rPr>
          <w:t>Overview of Scenarios’ Main Parameters</w:t>
        </w:r>
        <w:r w:rsidR="008D4799">
          <w:rPr>
            <w:webHidden/>
          </w:rPr>
          <w:tab/>
        </w:r>
        <w:r w:rsidR="008D4799">
          <w:rPr>
            <w:webHidden/>
          </w:rPr>
          <w:fldChar w:fldCharType="begin"/>
        </w:r>
        <w:r w:rsidR="008D4799">
          <w:rPr>
            <w:webHidden/>
          </w:rPr>
          <w:instrText xml:space="preserve"> PAGEREF _Toc486406013 \h </w:instrText>
        </w:r>
        <w:r w:rsidR="008D4799">
          <w:rPr>
            <w:webHidden/>
          </w:rPr>
        </w:r>
        <w:r w:rsidR="008D4799">
          <w:rPr>
            <w:webHidden/>
          </w:rPr>
          <w:fldChar w:fldCharType="separate"/>
        </w:r>
        <w:r w:rsidR="00553160">
          <w:rPr>
            <w:webHidden/>
          </w:rPr>
          <w:t>18</w:t>
        </w:r>
        <w:r w:rsidR="008D4799">
          <w:rPr>
            <w:webHidden/>
          </w:rPr>
          <w:fldChar w:fldCharType="end"/>
        </w:r>
      </w:hyperlink>
    </w:p>
    <w:p w:rsidR="008D4799" w:rsidRDefault="00505DC7">
      <w:pPr>
        <w:pStyle w:val="TableofFigures"/>
        <w:rPr>
          <w:rFonts w:asciiTheme="minorHAnsi" w:eastAsiaTheme="minorEastAsia" w:hAnsiTheme="minorHAnsi" w:cstheme="minorBidi"/>
          <w:sz w:val="22"/>
          <w:szCs w:val="22"/>
        </w:rPr>
      </w:pPr>
      <w:hyperlink w:anchor="_Toc486406014" w:history="1">
        <w:r w:rsidR="008D4799" w:rsidRPr="0068585C">
          <w:rPr>
            <w:rStyle w:val="Hyperlink"/>
          </w:rPr>
          <w:t>Table 4</w:t>
        </w:r>
        <w:r w:rsidR="008D4799" w:rsidRPr="0068585C">
          <w:rPr>
            <w:rStyle w:val="Hyperlink"/>
          </w:rPr>
          <w:noBreakHyphen/>
          <w:t xml:space="preserve">1 </w:t>
        </w:r>
        <w:r w:rsidR="00E401C4">
          <w:rPr>
            <w:rStyle w:val="Hyperlink"/>
          </w:rPr>
          <w:tab/>
        </w:r>
        <w:r w:rsidR="008D4799" w:rsidRPr="0068585C">
          <w:rPr>
            <w:rStyle w:val="Hyperlink"/>
          </w:rPr>
          <w:t>Metrics Analyzed in the 2016 NEPOOL Scenario Analysis</w:t>
        </w:r>
        <w:r w:rsidR="008D4799">
          <w:rPr>
            <w:webHidden/>
          </w:rPr>
          <w:tab/>
        </w:r>
        <w:r w:rsidR="008D4799">
          <w:rPr>
            <w:webHidden/>
          </w:rPr>
          <w:fldChar w:fldCharType="begin"/>
        </w:r>
        <w:r w:rsidR="008D4799">
          <w:rPr>
            <w:webHidden/>
          </w:rPr>
          <w:instrText xml:space="preserve"> PAGEREF _Toc486406014 \h </w:instrText>
        </w:r>
        <w:r w:rsidR="008D4799">
          <w:rPr>
            <w:webHidden/>
          </w:rPr>
        </w:r>
        <w:r w:rsidR="008D4799">
          <w:rPr>
            <w:webHidden/>
          </w:rPr>
          <w:fldChar w:fldCharType="separate"/>
        </w:r>
        <w:r w:rsidR="00553160">
          <w:rPr>
            <w:webHidden/>
          </w:rPr>
          <w:t>20</w:t>
        </w:r>
        <w:r w:rsidR="008D4799">
          <w:rPr>
            <w:webHidden/>
          </w:rPr>
          <w:fldChar w:fldCharType="end"/>
        </w:r>
      </w:hyperlink>
    </w:p>
    <w:p w:rsidR="008D4799" w:rsidRDefault="00505DC7">
      <w:pPr>
        <w:pStyle w:val="TableofFigures"/>
        <w:rPr>
          <w:rFonts w:asciiTheme="minorHAnsi" w:eastAsiaTheme="minorEastAsia" w:hAnsiTheme="minorHAnsi" w:cstheme="minorBidi"/>
          <w:sz w:val="22"/>
          <w:szCs w:val="22"/>
        </w:rPr>
      </w:pPr>
      <w:hyperlink w:anchor="_Toc486406015" w:history="1">
        <w:r w:rsidR="008D4799" w:rsidRPr="0068585C">
          <w:rPr>
            <w:rStyle w:val="Hyperlink"/>
          </w:rPr>
          <w:t>Table 5</w:t>
        </w:r>
        <w:r w:rsidR="008D4799" w:rsidRPr="0068585C">
          <w:rPr>
            <w:rStyle w:val="Hyperlink"/>
          </w:rPr>
          <w:noBreakHyphen/>
          <w:t xml:space="preserve">1 </w:t>
        </w:r>
        <w:r w:rsidR="00E401C4">
          <w:rPr>
            <w:rStyle w:val="Hyperlink"/>
          </w:rPr>
          <w:tab/>
        </w:r>
        <w:r w:rsidR="008D4799" w:rsidRPr="0068585C">
          <w:rPr>
            <w:rStyle w:val="Hyperlink"/>
          </w:rPr>
          <w:t>Gross New England 50/50 Peak Demand and Annual Energy Use for All Scenarios</w:t>
        </w:r>
        <w:r w:rsidR="008D4799">
          <w:rPr>
            <w:webHidden/>
          </w:rPr>
          <w:tab/>
        </w:r>
        <w:r w:rsidR="008D4799">
          <w:rPr>
            <w:webHidden/>
          </w:rPr>
          <w:fldChar w:fldCharType="begin"/>
        </w:r>
        <w:r w:rsidR="008D4799">
          <w:rPr>
            <w:webHidden/>
          </w:rPr>
          <w:instrText xml:space="preserve"> PAGEREF _Toc486406015 \h </w:instrText>
        </w:r>
        <w:r w:rsidR="008D4799">
          <w:rPr>
            <w:webHidden/>
          </w:rPr>
        </w:r>
        <w:r w:rsidR="008D4799">
          <w:rPr>
            <w:webHidden/>
          </w:rPr>
          <w:fldChar w:fldCharType="separate"/>
        </w:r>
        <w:r w:rsidR="00553160">
          <w:rPr>
            <w:webHidden/>
          </w:rPr>
          <w:t>23</w:t>
        </w:r>
        <w:r w:rsidR="008D4799">
          <w:rPr>
            <w:webHidden/>
          </w:rPr>
          <w:fldChar w:fldCharType="end"/>
        </w:r>
      </w:hyperlink>
    </w:p>
    <w:p w:rsidR="008D4799" w:rsidRDefault="00505DC7">
      <w:pPr>
        <w:pStyle w:val="TableofFigures"/>
        <w:rPr>
          <w:rFonts w:asciiTheme="minorHAnsi" w:eastAsiaTheme="minorEastAsia" w:hAnsiTheme="minorHAnsi" w:cstheme="minorBidi"/>
          <w:sz w:val="22"/>
          <w:szCs w:val="22"/>
        </w:rPr>
      </w:pPr>
      <w:hyperlink w:anchor="_Toc486406016" w:history="1">
        <w:r w:rsidR="008D4799" w:rsidRPr="0068585C">
          <w:rPr>
            <w:rStyle w:val="Hyperlink"/>
          </w:rPr>
          <w:t>Table 5</w:t>
        </w:r>
        <w:r w:rsidR="008D4799" w:rsidRPr="0068585C">
          <w:rPr>
            <w:rStyle w:val="Hyperlink"/>
          </w:rPr>
          <w:noBreakHyphen/>
          <w:t xml:space="preserve">2 </w:t>
        </w:r>
        <w:r w:rsidR="00E401C4">
          <w:rPr>
            <w:rStyle w:val="Hyperlink"/>
          </w:rPr>
          <w:tab/>
        </w:r>
        <w:r w:rsidR="008D4799" w:rsidRPr="0068585C">
          <w:rPr>
            <w:rStyle w:val="Hyperlink"/>
          </w:rPr>
          <w:t>Capacity and Energy Assumptions for Passive Demand and BTM PV Resources,</w:t>
        </w:r>
        <w:r w:rsidR="00E401C4">
          <w:rPr>
            <w:rStyle w:val="Hyperlink"/>
          </w:rPr>
          <w:br/>
        </w:r>
        <w:r w:rsidR="008D4799" w:rsidRPr="0068585C">
          <w:rPr>
            <w:rStyle w:val="Hyperlink"/>
          </w:rPr>
          <w:t>2025 and 2030</w:t>
        </w:r>
        <w:r w:rsidR="008D4799">
          <w:rPr>
            <w:webHidden/>
          </w:rPr>
          <w:tab/>
        </w:r>
        <w:r w:rsidR="008D4799">
          <w:rPr>
            <w:webHidden/>
          </w:rPr>
          <w:fldChar w:fldCharType="begin"/>
        </w:r>
        <w:r w:rsidR="008D4799">
          <w:rPr>
            <w:webHidden/>
          </w:rPr>
          <w:instrText xml:space="preserve"> PAGEREF _Toc486406016 \h </w:instrText>
        </w:r>
        <w:r w:rsidR="008D4799">
          <w:rPr>
            <w:webHidden/>
          </w:rPr>
        </w:r>
        <w:r w:rsidR="008D4799">
          <w:rPr>
            <w:webHidden/>
          </w:rPr>
          <w:fldChar w:fldCharType="separate"/>
        </w:r>
        <w:r w:rsidR="00553160">
          <w:rPr>
            <w:webHidden/>
          </w:rPr>
          <w:t>24</w:t>
        </w:r>
        <w:r w:rsidR="008D4799">
          <w:rPr>
            <w:webHidden/>
          </w:rPr>
          <w:fldChar w:fldCharType="end"/>
        </w:r>
      </w:hyperlink>
    </w:p>
    <w:p w:rsidR="008D4799" w:rsidRDefault="00505DC7">
      <w:pPr>
        <w:pStyle w:val="TableofFigures"/>
        <w:rPr>
          <w:rFonts w:asciiTheme="minorHAnsi" w:eastAsiaTheme="minorEastAsia" w:hAnsiTheme="minorHAnsi" w:cstheme="minorBidi"/>
          <w:sz w:val="22"/>
          <w:szCs w:val="22"/>
        </w:rPr>
      </w:pPr>
      <w:hyperlink w:anchor="_Toc486406017" w:history="1">
        <w:r w:rsidR="008D4799" w:rsidRPr="0068585C">
          <w:rPr>
            <w:rStyle w:val="Hyperlink"/>
          </w:rPr>
          <w:t>Table 5</w:t>
        </w:r>
        <w:r w:rsidR="008D4799" w:rsidRPr="0068585C">
          <w:rPr>
            <w:rStyle w:val="Hyperlink"/>
          </w:rPr>
          <w:noBreakHyphen/>
          <w:t xml:space="preserve">3 </w:t>
        </w:r>
        <w:r w:rsidR="00E401C4">
          <w:rPr>
            <w:rStyle w:val="Hyperlink"/>
          </w:rPr>
          <w:tab/>
        </w:r>
        <w:r w:rsidR="008D4799" w:rsidRPr="0068585C">
          <w:rPr>
            <w:rStyle w:val="Hyperlink"/>
          </w:rPr>
          <w:t>Assumed Distribution of PHEVs by State for 2025 and 2030 for Scenario 3</w:t>
        </w:r>
        <w:r w:rsidR="008D4799">
          <w:rPr>
            <w:webHidden/>
          </w:rPr>
          <w:tab/>
        </w:r>
        <w:r w:rsidR="008D4799">
          <w:rPr>
            <w:webHidden/>
          </w:rPr>
          <w:fldChar w:fldCharType="begin"/>
        </w:r>
        <w:r w:rsidR="008D4799">
          <w:rPr>
            <w:webHidden/>
          </w:rPr>
          <w:instrText xml:space="preserve"> PAGEREF _Toc486406017 \h </w:instrText>
        </w:r>
        <w:r w:rsidR="008D4799">
          <w:rPr>
            <w:webHidden/>
          </w:rPr>
        </w:r>
        <w:r w:rsidR="008D4799">
          <w:rPr>
            <w:webHidden/>
          </w:rPr>
          <w:fldChar w:fldCharType="separate"/>
        </w:r>
        <w:r w:rsidR="00553160">
          <w:rPr>
            <w:webHidden/>
          </w:rPr>
          <w:t>24</w:t>
        </w:r>
        <w:r w:rsidR="008D4799">
          <w:rPr>
            <w:webHidden/>
          </w:rPr>
          <w:fldChar w:fldCharType="end"/>
        </w:r>
      </w:hyperlink>
    </w:p>
    <w:p w:rsidR="008D4799" w:rsidRDefault="00505DC7">
      <w:pPr>
        <w:pStyle w:val="TableofFigures"/>
        <w:rPr>
          <w:rFonts w:asciiTheme="minorHAnsi" w:eastAsiaTheme="minorEastAsia" w:hAnsiTheme="minorHAnsi" w:cstheme="minorBidi"/>
          <w:sz w:val="22"/>
          <w:szCs w:val="22"/>
        </w:rPr>
      </w:pPr>
      <w:hyperlink w:anchor="_Toc486406018" w:history="1">
        <w:r w:rsidR="008D4799" w:rsidRPr="0068585C">
          <w:rPr>
            <w:rStyle w:val="Hyperlink"/>
          </w:rPr>
          <w:t>Table 5</w:t>
        </w:r>
        <w:r w:rsidR="008D4799" w:rsidRPr="0068585C">
          <w:rPr>
            <w:rStyle w:val="Hyperlink"/>
          </w:rPr>
          <w:noBreakHyphen/>
          <w:t xml:space="preserve">4 </w:t>
        </w:r>
        <w:r w:rsidR="00E401C4">
          <w:rPr>
            <w:rStyle w:val="Hyperlink"/>
          </w:rPr>
          <w:tab/>
        </w:r>
        <w:r w:rsidR="008D4799" w:rsidRPr="0068585C">
          <w:rPr>
            <w:rStyle w:val="Hyperlink"/>
          </w:rPr>
          <w:t>PHEV Characteristics for Scenario 3 for 2025 and 2030</w:t>
        </w:r>
        <w:r w:rsidR="008D4799">
          <w:rPr>
            <w:webHidden/>
          </w:rPr>
          <w:tab/>
        </w:r>
        <w:r w:rsidR="008D4799">
          <w:rPr>
            <w:webHidden/>
          </w:rPr>
          <w:fldChar w:fldCharType="begin"/>
        </w:r>
        <w:r w:rsidR="008D4799">
          <w:rPr>
            <w:webHidden/>
          </w:rPr>
          <w:instrText xml:space="preserve"> PAGEREF _Toc486406018 \h </w:instrText>
        </w:r>
        <w:r w:rsidR="008D4799">
          <w:rPr>
            <w:webHidden/>
          </w:rPr>
        </w:r>
        <w:r w:rsidR="008D4799">
          <w:rPr>
            <w:webHidden/>
          </w:rPr>
          <w:fldChar w:fldCharType="separate"/>
        </w:r>
        <w:r w:rsidR="00553160">
          <w:rPr>
            <w:webHidden/>
          </w:rPr>
          <w:t>24</w:t>
        </w:r>
        <w:r w:rsidR="008D4799">
          <w:rPr>
            <w:webHidden/>
          </w:rPr>
          <w:fldChar w:fldCharType="end"/>
        </w:r>
      </w:hyperlink>
    </w:p>
    <w:p w:rsidR="008D4799" w:rsidRDefault="00505DC7">
      <w:pPr>
        <w:pStyle w:val="TableofFigures"/>
        <w:rPr>
          <w:rFonts w:asciiTheme="minorHAnsi" w:eastAsiaTheme="minorEastAsia" w:hAnsiTheme="minorHAnsi" w:cstheme="minorBidi"/>
          <w:sz w:val="22"/>
          <w:szCs w:val="22"/>
        </w:rPr>
      </w:pPr>
      <w:hyperlink w:anchor="_Toc486406019" w:history="1">
        <w:r w:rsidR="008D4799" w:rsidRPr="0068585C">
          <w:rPr>
            <w:rStyle w:val="Hyperlink"/>
          </w:rPr>
          <w:t>Table 5</w:t>
        </w:r>
        <w:r w:rsidR="008D4799" w:rsidRPr="0068585C">
          <w:rPr>
            <w:rStyle w:val="Hyperlink"/>
          </w:rPr>
          <w:noBreakHyphen/>
          <w:t xml:space="preserve">5 </w:t>
        </w:r>
        <w:r w:rsidR="00E401C4">
          <w:rPr>
            <w:rStyle w:val="Hyperlink"/>
          </w:rPr>
          <w:tab/>
        </w:r>
        <w:r w:rsidR="008D4799" w:rsidRPr="0068585C">
          <w:rPr>
            <w:rStyle w:val="Hyperlink"/>
          </w:rPr>
          <w:t>Summary of Capacity Assumptions Used in the Scenarios, 2025 and 2030 (MW)</w:t>
        </w:r>
        <w:r w:rsidR="008D4799">
          <w:rPr>
            <w:webHidden/>
          </w:rPr>
          <w:tab/>
        </w:r>
        <w:r w:rsidR="008D4799">
          <w:rPr>
            <w:webHidden/>
          </w:rPr>
          <w:fldChar w:fldCharType="begin"/>
        </w:r>
        <w:r w:rsidR="008D4799">
          <w:rPr>
            <w:webHidden/>
          </w:rPr>
          <w:instrText xml:space="preserve"> PAGEREF _Toc486406019 \h </w:instrText>
        </w:r>
        <w:r w:rsidR="008D4799">
          <w:rPr>
            <w:webHidden/>
          </w:rPr>
        </w:r>
        <w:r w:rsidR="008D4799">
          <w:rPr>
            <w:webHidden/>
          </w:rPr>
          <w:fldChar w:fldCharType="separate"/>
        </w:r>
        <w:r w:rsidR="00553160">
          <w:rPr>
            <w:webHidden/>
          </w:rPr>
          <w:t>27</w:t>
        </w:r>
        <w:r w:rsidR="008D4799">
          <w:rPr>
            <w:webHidden/>
          </w:rPr>
          <w:fldChar w:fldCharType="end"/>
        </w:r>
      </w:hyperlink>
    </w:p>
    <w:p w:rsidR="008D4799" w:rsidRDefault="00505DC7">
      <w:pPr>
        <w:pStyle w:val="TableofFigures"/>
        <w:rPr>
          <w:rFonts w:asciiTheme="minorHAnsi" w:eastAsiaTheme="minorEastAsia" w:hAnsiTheme="minorHAnsi" w:cstheme="minorBidi"/>
          <w:sz w:val="22"/>
          <w:szCs w:val="22"/>
        </w:rPr>
      </w:pPr>
      <w:hyperlink w:anchor="_Toc486406020" w:history="1">
        <w:r w:rsidR="008D4799" w:rsidRPr="0068585C">
          <w:rPr>
            <w:rStyle w:val="Hyperlink"/>
          </w:rPr>
          <w:t>Table 5</w:t>
        </w:r>
        <w:r w:rsidR="008D4799" w:rsidRPr="0068585C">
          <w:rPr>
            <w:rStyle w:val="Hyperlink"/>
          </w:rPr>
          <w:noBreakHyphen/>
          <w:t xml:space="preserve">6 </w:t>
        </w:r>
        <w:r w:rsidR="00E401C4">
          <w:rPr>
            <w:rStyle w:val="Hyperlink"/>
          </w:rPr>
          <w:tab/>
        </w:r>
        <w:r w:rsidR="008D4799" w:rsidRPr="0068585C">
          <w:rPr>
            <w:rStyle w:val="Hyperlink"/>
          </w:rPr>
          <w:t>Capacity Value Assumptions for Various Resources, 2025 (MW)</w:t>
        </w:r>
        <w:r w:rsidR="008D4799">
          <w:rPr>
            <w:webHidden/>
          </w:rPr>
          <w:tab/>
        </w:r>
        <w:r w:rsidR="008D4799">
          <w:rPr>
            <w:webHidden/>
          </w:rPr>
          <w:fldChar w:fldCharType="begin"/>
        </w:r>
        <w:r w:rsidR="008D4799">
          <w:rPr>
            <w:webHidden/>
          </w:rPr>
          <w:instrText xml:space="preserve"> PAGEREF _Toc486406020 \h </w:instrText>
        </w:r>
        <w:r w:rsidR="008D4799">
          <w:rPr>
            <w:webHidden/>
          </w:rPr>
        </w:r>
        <w:r w:rsidR="008D4799">
          <w:rPr>
            <w:webHidden/>
          </w:rPr>
          <w:fldChar w:fldCharType="separate"/>
        </w:r>
        <w:r w:rsidR="00553160">
          <w:rPr>
            <w:webHidden/>
          </w:rPr>
          <w:t>29</w:t>
        </w:r>
        <w:r w:rsidR="008D4799">
          <w:rPr>
            <w:webHidden/>
          </w:rPr>
          <w:fldChar w:fldCharType="end"/>
        </w:r>
      </w:hyperlink>
    </w:p>
    <w:p w:rsidR="008D4799" w:rsidRDefault="00505DC7">
      <w:pPr>
        <w:pStyle w:val="TableofFigures"/>
        <w:rPr>
          <w:rFonts w:asciiTheme="minorHAnsi" w:eastAsiaTheme="minorEastAsia" w:hAnsiTheme="minorHAnsi" w:cstheme="minorBidi"/>
          <w:sz w:val="22"/>
          <w:szCs w:val="22"/>
        </w:rPr>
      </w:pPr>
      <w:hyperlink w:anchor="_Toc486406021" w:history="1">
        <w:r w:rsidR="008D4799" w:rsidRPr="0068585C">
          <w:rPr>
            <w:rStyle w:val="Hyperlink"/>
          </w:rPr>
          <w:t>Table 5</w:t>
        </w:r>
        <w:r w:rsidR="008D4799" w:rsidRPr="0068585C">
          <w:rPr>
            <w:rStyle w:val="Hyperlink"/>
          </w:rPr>
          <w:noBreakHyphen/>
          <w:t xml:space="preserve">7 </w:t>
        </w:r>
        <w:r w:rsidR="00E401C4">
          <w:rPr>
            <w:rStyle w:val="Hyperlink"/>
          </w:rPr>
          <w:tab/>
        </w:r>
        <w:r w:rsidR="008D4799" w:rsidRPr="0068585C">
          <w:rPr>
            <w:rStyle w:val="Hyperlink"/>
          </w:rPr>
          <w:t>Capacity Value Assumptions for Various Resources, 2030 (MW)</w:t>
        </w:r>
        <w:r w:rsidR="008D4799">
          <w:rPr>
            <w:webHidden/>
          </w:rPr>
          <w:tab/>
        </w:r>
        <w:r w:rsidR="008D4799">
          <w:rPr>
            <w:webHidden/>
          </w:rPr>
          <w:fldChar w:fldCharType="begin"/>
        </w:r>
        <w:r w:rsidR="008D4799">
          <w:rPr>
            <w:webHidden/>
          </w:rPr>
          <w:instrText xml:space="preserve"> PAGEREF _Toc486406021 \h </w:instrText>
        </w:r>
        <w:r w:rsidR="008D4799">
          <w:rPr>
            <w:webHidden/>
          </w:rPr>
        </w:r>
        <w:r w:rsidR="008D4799">
          <w:rPr>
            <w:webHidden/>
          </w:rPr>
          <w:fldChar w:fldCharType="separate"/>
        </w:r>
        <w:r w:rsidR="00553160">
          <w:rPr>
            <w:webHidden/>
          </w:rPr>
          <w:t>30</w:t>
        </w:r>
        <w:r w:rsidR="008D4799">
          <w:rPr>
            <w:webHidden/>
          </w:rPr>
          <w:fldChar w:fldCharType="end"/>
        </w:r>
      </w:hyperlink>
    </w:p>
    <w:p w:rsidR="008D4799" w:rsidRDefault="00505DC7">
      <w:pPr>
        <w:pStyle w:val="TableofFigures"/>
        <w:rPr>
          <w:rFonts w:asciiTheme="minorHAnsi" w:eastAsiaTheme="minorEastAsia" w:hAnsiTheme="minorHAnsi" w:cstheme="minorBidi"/>
          <w:sz w:val="22"/>
          <w:szCs w:val="22"/>
        </w:rPr>
      </w:pPr>
      <w:hyperlink w:anchor="_Toc486406022" w:history="1">
        <w:r w:rsidR="008D4799" w:rsidRPr="0068585C">
          <w:rPr>
            <w:rStyle w:val="Hyperlink"/>
          </w:rPr>
          <w:t>Table 5-5</w:t>
        </w:r>
        <w:r w:rsidR="008D4799" w:rsidRPr="0068585C">
          <w:rPr>
            <w:rStyle w:val="Hyperlink"/>
          </w:rPr>
          <w:noBreakHyphen/>
          <w:t xml:space="preserve">8  </w:t>
        </w:r>
        <w:r w:rsidR="00E401C4">
          <w:rPr>
            <w:rStyle w:val="Hyperlink"/>
          </w:rPr>
          <w:tab/>
        </w:r>
        <w:r w:rsidR="008D4799" w:rsidRPr="0068585C">
          <w:rPr>
            <w:rStyle w:val="Hyperlink"/>
          </w:rPr>
          <w:t>Wind Nameplate Capacities Assumed for the Wind Resource Additions,</w:t>
        </w:r>
        <w:r w:rsidR="00E401C4">
          <w:rPr>
            <w:rStyle w:val="Hyperlink"/>
          </w:rPr>
          <w:br/>
        </w:r>
        <w:r w:rsidR="008D4799" w:rsidRPr="0068585C">
          <w:rPr>
            <w:rStyle w:val="Hyperlink"/>
          </w:rPr>
          <w:t>2025 and 2030 (MW)</w:t>
        </w:r>
        <w:r w:rsidR="008D4799">
          <w:rPr>
            <w:webHidden/>
          </w:rPr>
          <w:tab/>
        </w:r>
        <w:r w:rsidR="008D4799">
          <w:rPr>
            <w:webHidden/>
          </w:rPr>
          <w:fldChar w:fldCharType="begin"/>
        </w:r>
        <w:r w:rsidR="008D4799">
          <w:rPr>
            <w:webHidden/>
          </w:rPr>
          <w:instrText xml:space="preserve"> PAGEREF _Toc486406022 \h </w:instrText>
        </w:r>
        <w:r w:rsidR="008D4799">
          <w:rPr>
            <w:webHidden/>
          </w:rPr>
        </w:r>
        <w:r w:rsidR="008D4799">
          <w:rPr>
            <w:webHidden/>
          </w:rPr>
          <w:fldChar w:fldCharType="separate"/>
        </w:r>
        <w:r w:rsidR="00553160">
          <w:rPr>
            <w:webHidden/>
          </w:rPr>
          <w:t>33</w:t>
        </w:r>
        <w:r w:rsidR="008D4799">
          <w:rPr>
            <w:webHidden/>
          </w:rPr>
          <w:fldChar w:fldCharType="end"/>
        </w:r>
      </w:hyperlink>
    </w:p>
    <w:p w:rsidR="008D4799" w:rsidRDefault="00505DC7">
      <w:pPr>
        <w:pStyle w:val="TableofFigures"/>
        <w:rPr>
          <w:rFonts w:asciiTheme="minorHAnsi" w:eastAsiaTheme="minorEastAsia" w:hAnsiTheme="minorHAnsi" w:cstheme="minorBidi"/>
          <w:sz w:val="22"/>
          <w:szCs w:val="22"/>
        </w:rPr>
      </w:pPr>
      <w:hyperlink w:anchor="_Toc486406023" w:history="1">
        <w:r w:rsidR="008D4799" w:rsidRPr="0068585C">
          <w:rPr>
            <w:rStyle w:val="Hyperlink"/>
          </w:rPr>
          <w:t>Table 5</w:t>
        </w:r>
        <w:r w:rsidR="008D4799" w:rsidRPr="0068585C">
          <w:rPr>
            <w:rStyle w:val="Hyperlink"/>
          </w:rPr>
          <w:noBreakHyphen/>
          <w:t xml:space="preserve">9 </w:t>
        </w:r>
        <w:r w:rsidR="00E401C4">
          <w:rPr>
            <w:rStyle w:val="Hyperlink"/>
          </w:rPr>
          <w:tab/>
        </w:r>
        <w:r w:rsidR="008D4799" w:rsidRPr="0068585C">
          <w:rPr>
            <w:rStyle w:val="Hyperlink"/>
          </w:rPr>
          <w:t>Assumed Generating Unit Retirements</w:t>
        </w:r>
        <w:r w:rsidR="008D4799">
          <w:rPr>
            <w:webHidden/>
          </w:rPr>
          <w:tab/>
        </w:r>
        <w:r w:rsidR="008D4799">
          <w:rPr>
            <w:webHidden/>
          </w:rPr>
          <w:fldChar w:fldCharType="begin"/>
        </w:r>
        <w:r w:rsidR="008D4799">
          <w:rPr>
            <w:webHidden/>
          </w:rPr>
          <w:instrText xml:space="preserve"> PAGEREF _Toc486406023 \h </w:instrText>
        </w:r>
        <w:r w:rsidR="008D4799">
          <w:rPr>
            <w:webHidden/>
          </w:rPr>
        </w:r>
        <w:r w:rsidR="008D4799">
          <w:rPr>
            <w:webHidden/>
          </w:rPr>
          <w:fldChar w:fldCharType="separate"/>
        </w:r>
        <w:r w:rsidR="00553160">
          <w:rPr>
            <w:webHidden/>
          </w:rPr>
          <w:t>35</w:t>
        </w:r>
        <w:r w:rsidR="008D4799">
          <w:rPr>
            <w:webHidden/>
          </w:rPr>
          <w:fldChar w:fldCharType="end"/>
        </w:r>
      </w:hyperlink>
    </w:p>
    <w:p w:rsidR="008D4799" w:rsidRDefault="00505DC7">
      <w:pPr>
        <w:pStyle w:val="TableofFigures"/>
        <w:rPr>
          <w:rFonts w:asciiTheme="minorHAnsi" w:eastAsiaTheme="minorEastAsia" w:hAnsiTheme="minorHAnsi" w:cstheme="minorBidi"/>
          <w:sz w:val="22"/>
          <w:szCs w:val="22"/>
        </w:rPr>
      </w:pPr>
      <w:hyperlink w:anchor="_Toc486406024" w:history="1">
        <w:r w:rsidR="008D4799" w:rsidRPr="0068585C">
          <w:rPr>
            <w:rStyle w:val="Hyperlink"/>
          </w:rPr>
          <w:t>Table 5</w:t>
        </w:r>
        <w:r w:rsidR="008D4799" w:rsidRPr="0068585C">
          <w:rPr>
            <w:rStyle w:val="Hyperlink"/>
          </w:rPr>
          <w:noBreakHyphen/>
          <w:t xml:space="preserve">10 </w:t>
        </w:r>
        <w:r w:rsidR="00E401C4">
          <w:rPr>
            <w:rStyle w:val="Hyperlink"/>
          </w:rPr>
          <w:tab/>
        </w:r>
        <w:r w:rsidR="008D4799" w:rsidRPr="0068585C">
          <w:rPr>
            <w:rStyle w:val="Hyperlink"/>
          </w:rPr>
          <w:t>Active Demand Resource Assumptions for Capacity and Energy</w:t>
        </w:r>
        <w:r w:rsidR="008D4799">
          <w:rPr>
            <w:webHidden/>
          </w:rPr>
          <w:tab/>
        </w:r>
        <w:r w:rsidR="008D4799">
          <w:rPr>
            <w:webHidden/>
          </w:rPr>
          <w:fldChar w:fldCharType="begin"/>
        </w:r>
        <w:r w:rsidR="008D4799">
          <w:rPr>
            <w:webHidden/>
          </w:rPr>
          <w:instrText xml:space="preserve"> PAGEREF _Toc486406024 \h </w:instrText>
        </w:r>
        <w:r w:rsidR="008D4799">
          <w:rPr>
            <w:webHidden/>
          </w:rPr>
        </w:r>
        <w:r w:rsidR="008D4799">
          <w:rPr>
            <w:webHidden/>
          </w:rPr>
          <w:fldChar w:fldCharType="separate"/>
        </w:r>
        <w:r w:rsidR="00553160">
          <w:rPr>
            <w:webHidden/>
          </w:rPr>
          <w:t>37</w:t>
        </w:r>
        <w:r w:rsidR="008D4799">
          <w:rPr>
            <w:webHidden/>
          </w:rPr>
          <w:fldChar w:fldCharType="end"/>
        </w:r>
      </w:hyperlink>
    </w:p>
    <w:p w:rsidR="008D4799" w:rsidRDefault="00505DC7">
      <w:pPr>
        <w:pStyle w:val="TableofFigures"/>
        <w:rPr>
          <w:rFonts w:asciiTheme="minorHAnsi" w:eastAsiaTheme="minorEastAsia" w:hAnsiTheme="minorHAnsi" w:cstheme="minorBidi"/>
          <w:sz w:val="22"/>
          <w:szCs w:val="22"/>
        </w:rPr>
      </w:pPr>
      <w:hyperlink w:anchor="_Toc486406025" w:history="1">
        <w:r w:rsidR="008D4799" w:rsidRPr="0068585C">
          <w:rPr>
            <w:rStyle w:val="Hyperlink"/>
          </w:rPr>
          <w:t>Table 5</w:t>
        </w:r>
        <w:r w:rsidR="008D4799" w:rsidRPr="0068585C">
          <w:rPr>
            <w:rStyle w:val="Hyperlink"/>
          </w:rPr>
          <w:noBreakHyphen/>
          <w:t xml:space="preserve">11 </w:t>
        </w:r>
        <w:r w:rsidR="00E401C4">
          <w:rPr>
            <w:rStyle w:val="Hyperlink"/>
          </w:rPr>
          <w:tab/>
        </w:r>
        <w:r w:rsidR="008D4799" w:rsidRPr="0068585C">
          <w:rPr>
            <w:rStyle w:val="Hyperlink"/>
          </w:rPr>
          <w:t>Scenario 3 Battery Storage Assumptions for 2025 and 2030</w:t>
        </w:r>
        <w:r w:rsidR="008D4799">
          <w:rPr>
            <w:webHidden/>
          </w:rPr>
          <w:tab/>
        </w:r>
        <w:r w:rsidR="008D4799">
          <w:rPr>
            <w:webHidden/>
          </w:rPr>
          <w:fldChar w:fldCharType="begin"/>
        </w:r>
        <w:r w:rsidR="008D4799">
          <w:rPr>
            <w:webHidden/>
          </w:rPr>
          <w:instrText xml:space="preserve"> PAGEREF _Toc486406025 \h </w:instrText>
        </w:r>
        <w:r w:rsidR="008D4799">
          <w:rPr>
            <w:webHidden/>
          </w:rPr>
        </w:r>
        <w:r w:rsidR="008D4799">
          <w:rPr>
            <w:webHidden/>
          </w:rPr>
          <w:fldChar w:fldCharType="separate"/>
        </w:r>
        <w:r w:rsidR="00553160">
          <w:rPr>
            <w:webHidden/>
          </w:rPr>
          <w:t>37</w:t>
        </w:r>
        <w:r w:rsidR="008D4799">
          <w:rPr>
            <w:webHidden/>
          </w:rPr>
          <w:fldChar w:fldCharType="end"/>
        </w:r>
      </w:hyperlink>
    </w:p>
    <w:p w:rsidR="008D4799" w:rsidRDefault="00505DC7">
      <w:pPr>
        <w:pStyle w:val="TableofFigures"/>
        <w:rPr>
          <w:rFonts w:asciiTheme="minorHAnsi" w:eastAsiaTheme="minorEastAsia" w:hAnsiTheme="minorHAnsi" w:cstheme="minorBidi"/>
          <w:sz w:val="22"/>
          <w:szCs w:val="22"/>
        </w:rPr>
      </w:pPr>
      <w:hyperlink w:anchor="_Toc486406026" w:history="1">
        <w:r w:rsidR="008D4799" w:rsidRPr="0068585C">
          <w:rPr>
            <w:rStyle w:val="Hyperlink"/>
          </w:rPr>
          <w:t>Table 5</w:t>
        </w:r>
        <w:r w:rsidR="008D4799" w:rsidRPr="0068585C">
          <w:rPr>
            <w:rStyle w:val="Hyperlink"/>
          </w:rPr>
          <w:noBreakHyphen/>
          <w:t>12</w:t>
        </w:r>
        <w:r w:rsidR="00E401C4">
          <w:rPr>
            <w:rStyle w:val="Hyperlink"/>
          </w:rPr>
          <w:tab/>
        </w:r>
        <w:r w:rsidR="008D4799" w:rsidRPr="0068585C">
          <w:rPr>
            <w:rStyle w:val="Hyperlink"/>
          </w:rPr>
          <w:t xml:space="preserve"> Single-Value Internal Transmission-Interface Limits for Use in RSP Subarea Models,</w:t>
        </w:r>
        <w:r w:rsidR="00E401C4">
          <w:rPr>
            <w:rStyle w:val="Hyperlink"/>
          </w:rPr>
          <w:br/>
        </w:r>
        <w:r w:rsidR="008D4799" w:rsidRPr="0068585C">
          <w:rPr>
            <w:rStyle w:val="Hyperlink"/>
          </w:rPr>
          <w:t>for 2025 and 2030 (MW)</w:t>
        </w:r>
        <w:r w:rsidR="008D4799">
          <w:rPr>
            <w:webHidden/>
          </w:rPr>
          <w:tab/>
        </w:r>
        <w:r w:rsidR="008D4799">
          <w:rPr>
            <w:webHidden/>
          </w:rPr>
          <w:fldChar w:fldCharType="begin"/>
        </w:r>
        <w:r w:rsidR="008D4799">
          <w:rPr>
            <w:webHidden/>
          </w:rPr>
          <w:instrText xml:space="preserve"> PAGEREF _Toc486406026 \h </w:instrText>
        </w:r>
        <w:r w:rsidR="008D4799">
          <w:rPr>
            <w:webHidden/>
          </w:rPr>
        </w:r>
        <w:r w:rsidR="008D4799">
          <w:rPr>
            <w:webHidden/>
          </w:rPr>
          <w:fldChar w:fldCharType="separate"/>
        </w:r>
        <w:r w:rsidR="00553160">
          <w:rPr>
            <w:webHidden/>
          </w:rPr>
          <w:t>38</w:t>
        </w:r>
        <w:r w:rsidR="008D4799">
          <w:rPr>
            <w:webHidden/>
          </w:rPr>
          <w:fldChar w:fldCharType="end"/>
        </w:r>
      </w:hyperlink>
    </w:p>
    <w:p w:rsidR="008D4799" w:rsidRDefault="00505DC7">
      <w:pPr>
        <w:pStyle w:val="TableofFigures"/>
        <w:rPr>
          <w:rFonts w:asciiTheme="minorHAnsi" w:eastAsiaTheme="minorEastAsia" w:hAnsiTheme="minorHAnsi" w:cstheme="minorBidi"/>
          <w:sz w:val="22"/>
          <w:szCs w:val="22"/>
        </w:rPr>
      </w:pPr>
      <w:hyperlink w:anchor="_Toc486406027" w:history="1">
        <w:r w:rsidR="008D4799" w:rsidRPr="0068585C">
          <w:rPr>
            <w:rStyle w:val="Hyperlink"/>
          </w:rPr>
          <w:t>Table 5</w:t>
        </w:r>
        <w:r w:rsidR="008D4799" w:rsidRPr="0068585C">
          <w:rPr>
            <w:rStyle w:val="Hyperlink"/>
          </w:rPr>
          <w:noBreakHyphen/>
          <w:t xml:space="preserve">13 </w:t>
        </w:r>
        <w:r w:rsidR="00E401C4">
          <w:rPr>
            <w:rStyle w:val="Hyperlink"/>
          </w:rPr>
          <w:tab/>
        </w:r>
        <w:r w:rsidR="008D4799" w:rsidRPr="0068585C">
          <w:rPr>
            <w:rStyle w:val="Hyperlink"/>
          </w:rPr>
          <w:t>Assumed Interconnections with Neighboring Systems, Import Capabilities,</w:t>
        </w:r>
        <w:r w:rsidR="00E401C4">
          <w:rPr>
            <w:rStyle w:val="Hyperlink"/>
          </w:rPr>
          <w:br/>
        </w:r>
        <w:r w:rsidR="008D4799" w:rsidRPr="0068585C">
          <w:rPr>
            <w:rStyle w:val="Hyperlink"/>
          </w:rPr>
          <w:t>and Capacity Imports for 2025  and 2030 (MW)</w:t>
        </w:r>
        <w:r w:rsidR="008D4799">
          <w:rPr>
            <w:webHidden/>
          </w:rPr>
          <w:tab/>
        </w:r>
        <w:r w:rsidR="008D4799">
          <w:rPr>
            <w:webHidden/>
          </w:rPr>
          <w:fldChar w:fldCharType="begin"/>
        </w:r>
        <w:r w:rsidR="008D4799">
          <w:rPr>
            <w:webHidden/>
          </w:rPr>
          <w:instrText xml:space="preserve"> PAGEREF _Toc486406027 \h </w:instrText>
        </w:r>
        <w:r w:rsidR="008D4799">
          <w:rPr>
            <w:webHidden/>
          </w:rPr>
        </w:r>
        <w:r w:rsidR="008D4799">
          <w:rPr>
            <w:webHidden/>
          </w:rPr>
          <w:fldChar w:fldCharType="separate"/>
        </w:r>
        <w:r w:rsidR="00553160">
          <w:rPr>
            <w:webHidden/>
          </w:rPr>
          <w:t>41</w:t>
        </w:r>
        <w:r w:rsidR="008D4799">
          <w:rPr>
            <w:webHidden/>
          </w:rPr>
          <w:fldChar w:fldCharType="end"/>
        </w:r>
      </w:hyperlink>
    </w:p>
    <w:p w:rsidR="008D4799" w:rsidRDefault="00505DC7">
      <w:pPr>
        <w:pStyle w:val="TableofFigures"/>
        <w:rPr>
          <w:rFonts w:asciiTheme="minorHAnsi" w:eastAsiaTheme="minorEastAsia" w:hAnsiTheme="minorHAnsi" w:cstheme="minorBidi"/>
          <w:sz w:val="22"/>
          <w:szCs w:val="22"/>
        </w:rPr>
      </w:pPr>
      <w:hyperlink w:anchor="_Toc486406028" w:history="1">
        <w:r w:rsidR="008D4799" w:rsidRPr="0068585C">
          <w:rPr>
            <w:rStyle w:val="Hyperlink"/>
          </w:rPr>
          <w:t>Table 5</w:t>
        </w:r>
        <w:r w:rsidR="008D4799" w:rsidRPr="0068585C">
          <w:rPr>
            <w:rStyle w:val="Hyperlink"/>
          </w:rPr>
          <w:noBreakHyphen/>
          <w:t xml:space="preserve">14 </w:t>
        </w:r>
        <w:r w:rsidR="00E401C4">
          <w:rPr>
            <w:rStyle w:val="Hyperlink"/>
          </w:rPr>
          <w:tab/>
        </w:r>
        <w:r w:rsidR="008D4799" w:rsidRPr="0068585C">
          <w:rPr>
            <w:rStyle w:val="Hyperlink"/>
          </w:rPr>
          <w:t>Nominal Fuel Price Forecast for New England, 2025 and 2030 ($/MMBtu)</w:t>
        </w:r>
        <w:r w:rsidR="008D4799">
          <w:rPr>
            <w:webHidden/>
          </w:rPr>
          <w:tab/>
        </w:r>
        <w:r w:rsidR="008D4799">
          <w:rPr>
            <w:webHidden/>
          </w:rPr>
          <w:fldChar w:fldCharType="begin"/>
        </w:r>
        <w:r w:rsidR="008D4799">
          <w:rPr>
            <w:webHidden/>
          </w:rPr>
          <w:instrText xml:space="preserve"> PAGEREF _Toc486406028 \h </w:instrText>
        </w:r>
        <w:r w:rsidR="008D4799">
          <w:rPr>
            <w:webHidden/>
          </w:rPr>
        </w:r>
        <w:r w:rsidR="008D4799">
          <w:rPr>
            <w:webHidden/>
          </w:rPr>
          <w:fldChar w:fldCharType="separate"/>
        </w:r>
        <w:r w:rsidR="00553160">
          <w:rPr>
            <w:webHidden/>
          </w:rPr>
          <w:t>43</w:t>
        </w:r>
        <w:r w:rsidR="008D4799">
          <w:rPr>
            <w:webHidden/>
          </w:rPr>
          <w:fldChar w:fldCharType="end"/>
        </w:r>
      </w:hyperlink>
    </w:p>
    <w:p w:rsidR="008D4799" w:rsidRDefault="00505DC7">
      <w:pPr>
        <w:pStyle w:val="TableofFigures"/>
        <w:rPr>
          <w:rFonts w:asciiTheme="minorHAnsi" w:eastAsiaTheme="minorEastAsia" w:hAnsiTheme="minorHAnsi" w:cstheme="minorBidi"/>
          <w:sz w:val="22"/>
          <w:szCs w:val="22"/>
        </w:rPr>
      </w:pPr>
      <w:hyperlink w:anchor="_Toc486406029" w:history="1">
        <w:r w:rsidR="008D4799" w:rsidRPr="0068585C">
          <w:rPr>
            <w:rStyle w:val="Hyperlink"/>
          </w:rPr>
          <w:t>Table 5</w:t>
        </w:r>
        <w:r w:rsidR="008D4799" w:rsidRPr="0068585C">
          <w:rPr>
            <w:rStyle w:val="Hyperlink"/>
          </w:rPr>
          <w:noBreakHyphen/>
          <w:t xml:space="preserve">15 </w:t>
        </w:r>
        <w:r w:rsidR="00E401C4">
          <w:rPr>
            <w:rStyle w:val="Hyperlink"/>
          </w:rPr>
          <w:tab/>
        </w:r>
        <w:r w:rsidR="008D4799" w:rsidRPr="0068585C">
          <w:rPr>
            <w:rStyle w:val="Hyperlink"/>
          </w:rPr>
          <w:t>Assumed Threshold Prices for Price-Taking Resources</w:t>
        </w:r>
        <w:r w:rsidR="008D4799">
          <w:rPr>
            <w:webHidden/>
          </w:rPr>
          <w:tab/>
        </w:r>
        <w:r w:rsidR="008D4799">
          <w:rPr>
            <w:webHidden/>
          </w:rPr>
          <w:fldChar w:fldCharType="begin"/>
        </w:r>
        <w:r w:rsidR="008D4799">
          <w:rPr>
            <w:webHidden/>
          </w:rPr>
          <w:instrText xml:space="preserve"> PAGEREF _Toc486406029 \h </w:instrText>
        </w:r>
        <w:r w:rsidR="008D4799">
          <w:rPr>
            <w:webHidden/>
          </w:rPr>
        </w:r>
        <w:r w:rsidR="008D4799">
          <w:rPr>
            <w:webHidden/>
          </w:rPr>
          <w:fldChar w:fldCharType="separate"/>
        </w:r>
        <w:r w:rsidR="00553160">
          <w:rPr>
            <w:webHidden/>
          </w:rPr>
          <w:t>43</w:t>
        </w:r>
        <w:r w:rsidR="008D4799">
          <w:rPr>
            <w:webHidden/>
          </w:rPr>
          <w:fldChar w:fldCharType="end"/>
        </w:r>
      </w:hyperlink>
    </w:p>
    <w:p w:rsidR="008D4799" w:rsidRDefault="00505DC7">
      <w:pPr>
        <w:pStyle w:val="TableofFigures"/>
        <w:rPr>
          <w:rFonts w:asciiTheme="minorHAnsi" w:eastAsiaTheme="minorEastAsia" w:hAnsiTheme="minorHAnsi" w:cstheme="minorBidi"/>
          <w:sz w:val="22"/>
          <w:szCs w:val="22"/>
        </w:rPr>
      </w:pPr>
      <w:hyperlink w:anchor="_Toc486406030" w:history="1">
        <w:r w:rsidR="008D4799" w:rsidRPr="0068585C">
          <w:rPr>
            <w:rStyle w:val="Hyperlink"/>
          </w:rPr>
          <w:t>Table 5</w:t>
        </w:r>
        <w:r w:rsidR="008D4799" w:rsidRPr="0068585C">
          <w:rPr>
            <w:rStyle w:val="Hyperlink"/>
          </w:rPr>
          <w:noBreakHyphen/>
          <w:t xml:space="preserve">16 </w:t>
        </w:r>
        <w:r w:rsidR="00E401C4">
          <w:rPr>
            <w:rStyle w:val="Hyperlink"/>
          </w:rPr>
          <w:tab/>
        </w:r>
        <w:r w:rsidR="008D4799" w:rsidRPr="0068585C">
          <w:rPr>
            <w:rStyle w:val="Hyperlink"/>
          </w:rPr>
          <w:t>Air Emission Allowance Prices for 2025 and 2030 ($/short ton)</w:t>
        </w:r>
        <w:r w:rsidR="008D4799">
          <w:rPr>
            <w:webHidden/>
          </w:rPr>
          <w:tab/>
        </w:r>
        <w:r w:rsidR="008D4799">
          <w:rPr>
            <w:webHidden/>
          </w:rPr>
          <w:fldChar w:fldCharType="begin"/>
        </w:r>
        <w:r w:rsidR="008D4799">
          <w:rPr>
            <w:webHidden/>
          </w:rPr>
          <w:instrText xml:space="preserve"> PAGEREF _Toc486406030 \h </w:instrText>
        </w:r>
        <w:r w:rsidR="008D4799">
          <w:rPr>
            <w:webHidden/>
          </w:rPr>
        </w:r>
        <w:r w:rsidR="008D4799">
          <w:rPr>
            <w:webHidden/>
          </w:rPr>
          <w:fldChar w:fldCharType="separate"/>
        </w:r>
        <w:r w:rsidR="00553160">
          <w:rPr>
            <w:webHidden/>
          </w:rPr>
          <w:t>44</w:t>
        </w:r>
        <w:r w:rsidR="008D4799">
          <w:rPr>
            <w:webHidden/>
          </w:rPr>
          <w:fldChar w:fldCharType="end"/>
        </w:r>
      </w:hyperlink>
    </w:p>
    <w:p w:rsidR="008D4799" w:rsidRDefault="00505DC7">
      <w:pPr>
        <w:pStyle w:val="TableofFigures"/>
        <w:rPr>
          <w:rFonts w:asciiTheme="minorHAnsi" w:eastAsiaTheme="minorEastAsia" w:hAnsiTheme="minorHAnsi" w:cstheme="minorBidi"/>
          <w:sz w:val="22"/>
          <w:szCs w:val="22"/>
        </w:rPr>
      </w:pPr>
      <w:hyperlink w:anchor="_Toc486406031" w:history="1">
        <w:r w:rsidR="008D4799" w:rsidRPr="0068585C">
          <w:rPr>
            <w:rStyle w:val="Hyperlink"/>
          </w:rPr>
          <w:t>Table 5</w:t>
        </w:r>
        <w:r w:rsidR="008D4799" w:rsidRPr="0068585C">
          <w:rPr>
            <w:rStyle w:val="Hyperlink"/>
          </w:rPr>
          <w:noBreakHyphen/>
          <w:t xml:space="preserve">17 </w:t>
        </w:r>
        <w:r w:rsidR="00E401C4">
          <w:rPr>
            <w:rStyle w:val="Hyperlink"/>
          </w:rPr>
          <w:tab/>
        </w:r>
        <w:r w:rsidR="008D4799" w:rsidRPr="0068585C">
          <w:rPr>
            <w:rStyle w:val="Hyperlink"/>
          </w:rPr>
          <w:t>Assumed Total Overnight Generator Costs and Typical Annual Carrying Charges</w:t>
        </w:r>
        <w:r w:rsidR="00E401C4">
          <w:rPr>
            <w:rStyle w:val="Hyperlink"/>
          </w:rPr>
          <w:br/>
        </w:r>
        <w:r w:rsidR="008D4799" w:rsidRPr="0068585C">
          <w:rPr>
            <w:rStyle w:val="Hyperlink"/>
          </w:rPr>
          <w:t>for New Resources (MW, $/kW)</w:t>
        </w:r>
        <w:r w:rsidR="008D4799">
          <w:rPr>
            <w:webHidden/>
          </w:rPr>
          <w:tab/>
        </w:r>
        <w:r w:rsidR="008D4799">
          <w:rPr>
            <w:webHidden/>
          </w:rPr>
          <w:fldChar w:fldCharType="begin"/>
        </w:r>
        <w:r w:rsidR="008D4799">
          <w:rPr>
            <w:webHidden/>
          </w:rPr>
          <w:instrText xml:space="preserve"> PAGEREF _Toc486406031 \h </w:instrText>
        </w:r>
        <w:r w:rsidR="008D4799">
          <w:rPr>
            <w:webHidden/>
          </w:rPr>
        </w:r>
        <w:r w:rsidR="008D4799">
          <w:rPr>
            <w:webHidden/>
          </w:rPr>
          <w:fldChar w:fldCharType="separate"/>
        </w:r>
        <w:r w:rsidR="00553160">
          <w:rPr>
            <w:webHidden/>
          </w:rPr>
          <w:t>45</w:t>
        </w:r>
        <w:r w:rsidR="008D4799">
          <w:rPr>
            <w:webHidden/>
          </w:rPr>
          <w:fldChar w:fldCharType="end"/>
        </w:r>
      </w:hyperlink>
    </w:p>
    <w:p w:rsidR="008D4799" w:rsidRDefault="00505DC7">
      <w:pPr>
        <w:pStyle w:val="TableofFigures"/>
        <w:rPr>
          <w:rFonts w:asciiTheme="minorHAnsi" w:eastAsiaTheme="minorEastAsia" w:hAnsiTheme="minorHAnsi" w:cstheme="minorBidi"/>
          <w:sz w:val="22"/>
          <w:szCs w:val="22"/>
        </w:rPr>
      </w:pPr>
      <w:hyperlink w:anchor="_Toc486406032" w:history="1">
        <w:r w:rsidR="008D4799" w:rsidRPr="0068585C">
          <w:rPr>
            <w:rStyle w:val="Hyperlink"/>
          </w:rPr>
          <w:t>Table 5</w:t>
        </w:r>
        <w:r w:rsidR="008D4799" w:rsidRPr="0068585C">
          <w:rPr>
            <w:rStyle w:val="Hyperlink"/>
          </w:rPr>
          <w:noBreakHyphen/>
          <w:t xml:space="preserve">18  </w:t>
        </w:r>
        <w:r w:rsidR="00E401C4">
          <w:rPr>
            <w:rStyle w:val="Hyperlink"/>
          </w:rPr>
          <w:tab/>
        </w:r>
        <w:r w:rsidR="008D4799" w:rsidRPr="0068585C">
          <w:rPr>
            <w:rStyle w:val="Hyperlink"/>
          </w:rPr>
          <w:t>Integrator System Assumptions</w:t>
        </w:r>
        <w:r w:rsidR="008D4799">
          <w:rPr>
            <w:webHidden/>
          </w:rPr>
          <w:tab/>
        </w:r>
        <w:r w:rsidR="008D4799">
          <w:rPr>
            <w:webHidden/>
          </w:rPr>
          <w:fldChar w:fldCharType="begin"/>
        </w:r>
        <w:r w:rsidR="008D4799">
          <w:rPr>
            <w:webHidden/>
          </w:rPr>
          <w:instrText xml:space="preserve"> PAGEREF _Toc486406032 \h </w:instrText>
        </w:r>
        <w:r w:rsidR="008D4799">
          <w:rPr>
            <w:webHidden/>
          </w:rPr>
        </w:r>
        <w:r w:rsidR="008D4799">
          <w:rPr>
            <w:webHidden/>
          </w:rPr>
          <w:fldChar w:fldCharType="separate"/>
        </w:r>
        <w:r w:rsidR="00553160">
          <w:rPr>
            <w:webHidden/>
          </w:rPr>
          <w:t>47</w:t>
        </w:r>
        <w:r w:rsidR="008D4799">
          <w:rPr>
            <w:webHidden/>
          </w:rPr>
          <w:fldChar w:fldCharType="end"/>
        </w:r>
      </w:hyperlink>
    </w:p>
    <w:p w:rsidR="008D4799" w:rsidRDefault="00505DC7">
      <w:pPr>
        <w:pStyle w:val="TableofFigures"/>
        <w:rPr>
          <w:rFonts w:asciiTheme="minorHAnsi" w:eastAsiaTheme="minorEastAsia" w:hAnsiTheme="minorHAnsi" w:cstheme="minorBidi"/>
          <w:sz w:val="22"/>
          <w:szCs w:val="22"/>
        </w:rPr>
      </w:pPr>
      <w:hyperlink w:anchor="_Toc486406033" w:history="1">
        <w:r w:rsidR="008D4799" w:rsidRPr="0068585C">
          <w:rPr>
            <w:rStyle w:val="Hyperlink"/>
          </w:rPr>
          <w:t>Table 5</w:t>
        </w:r>
        <w:r w:rsidR="008D4799" w:rsidRPr="0068585C">
          <w:rPr>
            <w:rStyle w:val="Hyperlink"/>
          </w:rPr>
          <w:noBreakHyphen/>
          <w:t xml:space="preserve">19 </w:t>
        </w:r>
        <w:r w:rsidR="00E401C4">
          <w:rPr>
            <w:rStyle w:val="Hyperlink"/>
          </w:rPr>
          <w:tab/>
        </w:r>
        <w:r w:rsidR="008D4799" w:rsidRPr="0068585C">
          <w:rPr>
            <w:rStyle w:val="Hyperlink"/>
          </w:rPr>
          <w:t>Congestion Relief Assumed for the Scenarios (MW) {Wayne to check and round}</w:t>
        </w:r>
        <w:r w:rsidR="008D4799">
          <w:rPr>
            <w:webHidden/>
          </w:rPr>
          <w:tab/>
        </w:r>
        <w:r w:rsidR="008D4799">
          <w:rPr>
            <w:webHidden/>
          </w:rPr>
          <w:fldChar w:fldCharType="begin"/>
        </w:r>
        <w:r w:rsidR="008D4799">
          <w:rPr>
            <w:webHidden/>
          </w:rPr>
          <w:instrText xml:space="preserve"> PAGEREF _Toc486406033 \h </w:instrText>
        </w:r>
        <w:r w:rsidR="008D4799">
          <w:rPr>
            <w:webHidden/>
          </w:rPr>
        </w:r>
        <w:r w:rsidR="008D4799">
          <w:rPr>
            <w:webHidden/>
          </w:rPr>
          <w:fldChar w:fldCharType="separate"/>
        </w:r>
        <w:r w:rsidR="00553160">
          <w:rPr>
            <w:webHidden/>
          </w:rPr>
          <w:t>48</w:t>
        </w:r>
        <w:r w:rsidR="008D4799">
          <w:rPr>
            <w:webHidden/>
          </w:rPr>
          <w:fldChar w:fldCharType="end"/>
        </w:r>
      </w:hyperlink>
    </w:p>
    <w:p w:rsidR="008D4799" w:rsidRDefault="00505DC7">
      <w:pPr>
        <w:pStyle w:val="TableofFigures"/>
        <w:rPr>
          <w:rFonts w:asciiTheme="minorHAnsi" w:eastAsiaTheme="minorEastAsia" w:hAnsiTheme="minorHAnsi" w:cstheme="minorBidi"/>
          <w:sz w:val="22"/>
          <w:szCs w:val="22"/>
        </w:rPr>
      </w:pPr>
      <w:hyperlink w:anchor="_Toc486406034" w:history="1">
        <w:r w:rsidR="008D4799" w:rsidRPr="0068585C">
          <w:rPr>
            <w:rStyle w:val="Hyperlink"/>
          </w:rPr>
          <w:t>Table 5</w:t>
        </w:r>
        <w:r w:rsidR="008D4799" w:rsidRPr="0068585C">
          <w:rPr>
            <w:rStyle w:val="Hyperlink"/>
          </w:rPr>
          <w:noBreakHyphen/>
          <w:t>20 Detailed Congestion-Relief System Components and Their Assumed Costs</w:t>
        </w:r>
        <w:r w:rsidR="00E401C4">
          <w:rPr>
            <w:rStyle w:val="Hyperlink"/>
          </w:rPr>
          <w:br/>
        </w:r>
        <w:r w:rsidR="008D4799" w:rsidRPr="0068585C">
          <w:rPr>
            <w:rStyle w:val="Hyperlink"/>
          </w:rPr>
          <w:t>for Scenarios 1, 2, 3, and 6</w:t>
        </w:r>
        <w:r w:rsidR="008D4799">
          <w:rPr>
            <w:webHidden/>
          </w:rPr>
          <w:tab/>
        </w:r>
        <w:r w:rsidR="008D4799">
          <w:rPr>
            <w:webHidden/>
          </w:rPr>
          <w:fldChar w:fldCharType="begin"/>
        </w:r>
        <w:r w:rsidR="008D4799">
          <w:rPr>
            <w:webHidden/>
          </w:rPr>
          <w:instrText xml:space="preserve"> PAGEREF _Toc486406034 \h </w:instrText>
        </w:r>
        <w:r w:rsidR="008D4799">
          <w:rPr>
            <w:webHidden/>
          </w:rPr>
        </w:r>
        <w:r w:rsidR="008D4799">
          <w:rPr>
            <w:webHidden/>
          </w:rPr>
          <w:fldChar w:fldCharType="separate"/>
        </w:r>
        <w:r w:rsidR="00553160">
          <w:rPr>
            <w:webHidden/>
          </w:rPr>
          <w:t>50</w:t>
        </w:r>
        <w:r w:rsidR="008D4799">
          <w:rPr>
            <w:webHidden/>
          </w:rPr>
          <w:fldChar w:fldCharType="end"/>
        </w:r>
      </w:hyperlink>
    </w:p>
    <w:p w:rsidR="008D4799" w:rsidRDefault="00505DC7">
      <w:pPr>
        <w:pStyle w:val="TableofFigures"/>
        <w:rPr>
          <w:rFonts w:asciiTheme="minorHAnsi" w:eastAsiaTheme="minorEastAsia" w:hAnsiTheme="minorHAnsi" w:cstheme="minorBidi"/>
          <w:sz w:val="22"/>
          <w:szCs w:val="22"/>
        </w:rPr>
      </w:pPr>
      <w:hyperlink w:anchor="_Toc486406035" w:history="1">
        <w:r w:rsidR="008D4799" w:rsidRPr="0068585C">
          <w:rPr>
            <w:rStyle w:val="Hyperlink"/>
          </w:rPr>
          <w:t>Table 5</w:t>
        </w:r>
        <w:r w:rsidR="008D4799" w:rsidRPr="0068585C">
          <w:rPr>
            <w:rStyle w:val="Hyperlink"/>
          </w:rPr>
          <w:noBreakHyphen/>
          <w:t xml:space="preserve">21 </w:t>
        </w:r>
        <w:r w:rsidR="00E401C4">
          <w:rPr>
            <w:rStyle w:val="Hyperlink"/>
          </w:rPr>
          <w:tab/>
        </w:r>
        <w:r w:rsidR="008D4799" w:rsidRPr="0068585C">
          <w:rPr>
            <w:rStyle w:val="Hyperlink"/>
          </w:rPr>
          <w:t>Summary of High-Order-of-Magnitude Costs to Integrate Renewable Resources</w:t>
        </w:r>
        <w:r w:rsidR="00E401C4">
          <w:rPr>
            <w:rStyle w:val="Hyperlink"/>
          </w:rPr>
          <w:br/>
        </w:r>
        <w:r w:rsidR="008D4799" w:rsidRPr="0068585C">
          <w:rPr>
            <w:rStyle w:val="Hyperlink"/>
          </w:rPr>
          <w:t>under All Scenarios</w:t>
        </w:r>
        <w:r w:rsidR="008D4799">
          <w:rPr>
            <w:webHidden/>
          </w:rPr>
          <w:tab/>
        </w:r>
        <w:r w:rsidR="008D4799">
          <w:rPr>
            <w:webHidden/>
          </w:rPr>
          <w:fldChar w:fldCharType="begin"/>
        </w:r>
        <w:r w:rsidR="008D4799">
          <w:rPr>
            <w:webHidden/>
          </w:rPr>
          <w:instrText xml:space="preserve"> PAGEREF _Toc486406035 \h </w:instrText>
        </w:r>
        <w:r w:rsidR="008D4799">
          <w:rPr>
            <w:webHidden/>
          </w:rPr>
        </w:r>
        <w:r w:rsidR="008D4799">
          <w:rPr>
            <w:webHidden/>
          </w:rPr>
          <w:fldChar w:fldCharType="separate"/>
        </w:r>
        <w:r w:rsidR="00553160">
          <w:rPr>
            <w:webHidden/>
          </w:rPr>
          <w:t>53</w:t>
        </w:r>
        <w:r w:rsidR="008D4799">
          <w:rPr>
            <w:webHidden/>
          </w:rPr>
          <w:fldChar w:fldCharType="end"/>
        </w:r>
      </w:hyperlink>
    </w:p>
    <w:p w:rsidR="008D4799" w:rsidRDefault="00505DC7">
      <w:pPr>
        <w:pStyle w:val="TableofFigures"/>
        <w:rPr>
          <w:rFonts w:asciiTheme="minorHAnsi" w:eastAsiaTheme="minorEastAsia" w:hAnsiTheme="minorHAnsi" w:cstheme="minorBidi"/>
          <w:sz w:val="22"/>
          <w:szCs w:val="22"/>
        </w:rPr>
      </w:pPr>
      <w:hyperlink w:anchor="_Toc486406036" w:history="1">
        <w:r w:rsidR="008D4799" w:rsidRPr="0068585C">
          <w:rPr>
            <w:rStyle w:val="Hyperlink"/>
          </w:rPr>
          <w:t>Table 6</w:t>
        </w:r>
        <w:r w:rsidR="008D4799" w:rsidRPr="0068585C">
          <w:rPr>
            <w:rStyle w:val="Hyperlink"/>
          </w:rPr>
          <w:noBreakHyphen/>
          <w:t xml:space="preserve">1 </w:t>
        </w:r>
        <w:r w:rsidR="00E401C4">
          <w:rPr>
            <w:rStyle w:val="Hyperlink"/>
          </w:rPr>
          <w:tab/>
        </w:r>
        <w:r w:rsidR="008D4799" w:rsidRPr="0068585C">
          <w:rPr>
            <w:rStyle w:val="Hyperlink"/>
          </w:rPr>
          <w:t>Total Systemwide Generation by Fuel Type for Each Scenario, 2025 (TWh)</w:t>
        </w:r>
        <w:r w:rsidR="008D4799">
          <w:rPr>
            <w:webHidden/>
          </w:rPr>
          <w:tab/>
        </w:r>
        <w:r w:rsidR="008D4799">
          <w:rPr>
            <w:webHidden/>
          </w:rPr>
          <w:fldChar w:fldCharType="begin"/>
        </w:r>
        <w:r w:rsidR="008D4799">
          <w:rPr>
            <w:webHidden/>
          </w:rPr>
          <w:instrText xml:space="preserve"> PAGEREF _Toc486406036 \h </w:instrText>
        </w:r>
        <w:r w:rsidR="008D4799">
          <w:rPr>
            <w:webHidden/>
          </w:rPr>
        </w:r>
        <w:r w:rsidR="008D4799">
          <w:rPr>
            <w:webHidden/>
          </w:rPr>
          <w:fldChar w:fldCharType="separate"/>
        </w:r>
        <w:r w:rsidR="00553160">
          <w:rPr>
            <w:webHidden/>
          </w:rPr>
          <w:t>56</w:t>
        </w:r>
        <w:r w:rsidR="008D4799">
          <w:rPr>
            <w:webHidden/>
          </w:rPr>
          <w:fldChar w:fldCharType="end"/>
        </w:r>
      </w:hyperlink>
    </w:p>
    <w:p w:rsidR="008D4799" w:rsidRDefault="00505DC7">
      <w:pPr>
        <w:pStyle w:val="TableofFigures"/>
        <w:rPr>
          <w:rFonts w:asciiTheme="minorHAnsi" w:eastAsiaTheme="minorEastAsia" w:hAnsiTheme="minorHAnsi" w:cstheme="minorBidi"/>
          <w:sz w:val="22"/>
          <w:szCs w:val="22"/>
        </w:rPr>
      </w:pPr>
      <w:hyperlink w:anchor="_Toc486406037" w:history="1">
        <w:r w:rsidR="008D4799" w:rsidRPr="0068585C">
          <w:rPr>
            <w:rStyle w:val="Hyperlink"/>
          </w:rPr>
          <w:t>Table 6</w:t>
        </w:r>
        <w:r w:rsidR="008D4799" w:rsidRPr="0068585C">
          <w:rPr>
            <w:rStyle w:val="Hyperlink"/>
          </w:rPr>
          <w:noBreakHyphen/>
          <w:t xml:space="preserve">2 </w:t>
        </w:r>
        <w:r w:rsidR="00E401C4">
          <w:rPr>
            <w:rStyle w:val="Hyperlink"/>
          </w:rPr>
          <w:tab/>
        </w:r>
        <w:r w:rsidR="008D4799" w:rsidRPr="0068585C">
          <w:rPr>
            <w:rStyle w:val="Hyperlink"/>
          </w:rPr>
          <w:t>Annual Energy Production and Average Capacity Factors by Resource Types (TWh)</w:t>
        </w:r>
        <w:r w:rsidR="008D4799">
          <w:rPr>
            <w:webHidden/>
          </w:rPr>
          <w:tab/>
        </w:r>
        <w:r w:rsidR="008D4799">
          <w:rPr>
            <w:webHidden/>
          </w:rPr>
          <w:fldChar w:fldCharType="begin"/>
        </w:r>
        <w:r w:rsidR="008D4799">
          <w:rPr>
            <w:webHidden/>
          </w:rPr>
          <w:instrText xml:space="preserve"> PAGEREF _Toc486406037 \h </w:instrText>
        </w:r>
        <w:r w:rsidR="008D4799">
          <w:rPr>
            <w:webHidden/>
          </w:rPr>
        </w:r>
        <w:r w:rsidR="008D4799">
          <w:rPr>
            <w:webHidden/>
          </w:rPr>
          <w:fldChar w:fldCharType="separate"/>
        </w:r>
        <w:r w:rsidR="00553160">
          <w:rPr>
            <w:webHidden/>
          </w:rPr>
          <w:t>58</w:t>
        </w:r>
        <w:r w:rsidR="008D4799">
          <w:rPr>
            <w:webHidden/>
          </w:rPr>
          <w:fldChar w:fldCharType="end"/>
        </w:r>
      </w:hyperlink>
    </w:p>
    <w:p w:rsidR="008D4799" w:rsidRDefault="00505DC7">
      <w:pPr>
        <w:pStyle w:val="TableofFigures"/>
        <w:rPr>
          <w:rFonts w:asciiTheme="minorHAnsi" w:eastAsiaTheme="minorEastAsia" w:hAnsiTheme="minorHAnsi" w:cstheme="minorBidi"/>
          <w:sz w:val="22"/>
          <w:szCs w:val="22"/>
        </w:rPr>
      </w:pPr>
      <w:hyperlink w:anchor="_Toc486406038" w:history="1">
        <w:r w:rsidR="008D4799" w:rsidRPr="0068585C">
          <w:rPr>
            <w:rStyle w:val="Hyperlink"/>
          </w:rPr>
          <w:t>Table 6</w:t>
        </w:r>
        <w:r w:rsidR="008D4799" w:rsidRPr="0068585C">
          <w:rPr>
            <w:rStyle w:val="Hyperlink"/>
          </w:rPr>
          <w:noBreakHyphen/>
          <w:t xml:space="preserve">3 </w:t>
        </w:r>
        <w:r w:rsidR="00E401C4">
          <w:rPr>
            <w:rStyle w:val="Hyperlink"/>
          </w:rPr>
          <w:tab/>
        </w:r>
        <w:r w:rsidR="008D4799" w:rsidRPr="0068585C">
          <w:rPr>
            <w:rStyle w:val="Hyperlink"/>
          </w:rPr>
          <w:t>Range of Capacity Factors for Selected Unit Types</w:t>
        </w:r>
        <w:r w:rsidR="008D4799">
          <w:rPr>
            <w:webHidden/>
          </w:rPr>
          <w:tab/>
        </w:r>
        <w:r w:rsidR="008D4799">
          <w:rPr>
            <w:webHidden/>
          </w:rPr>
          <w:fldChar w:fldCharType="begin"/>
        </w:r>
        <w:r w:rsidR="008D4799">
          <w:rPr>
            <w:webHidden/>
          </w:rPr>
          <w:instrText xml:space="preserve"> PAGEREF _Toc486406038 \h </w:instrText>
        </w:r>
        <w:r w:rsidR="008D4799">
          <w:rPr>
            <w:webHidden/>
          </w:rPr>
        </w:r>
        <w:r w:rsidR="008D4799">
          <w:rPr>
            <w:webHidden/>
          </w:rPr>
          <w:fldChar w:fldCharType="separate"/>
        </w:r>
        <w:r w:rsidR="00553160">
          <w:rPr>
            <w:webHidden/>
          </w:rPr>
          <w:t>60</w:t>
        </w:r>
        <w:r w:rsidR="008D4799">
          <w:rPr>
            <w:webHidden/>
          </w:rPr>
          <w:fldChar w:fldCharType="end"/>
        </w:r>
      </w:hyperlink>
    </w:p>
    <w:p w:rsidR="008D4799" w:rsidRDefault="00505DC7">
      <w:pPr>
        <w:pStyle w:val="TableofFigures"/>
        <w:rPr>
          <w:rFonts w:asciiTheme="minorHAnsi" w:eastAsiaTheme="minorEastAsia" w:hAnsiTheme="minorHAnsi" w:cstheme="minorBidi"/>
          <w:sz w:val="22"/>
          <w:szCs w:val="22"/>
        </w:rPr>
      </w:pPr>
      <w:hyperlink w:anchor="_Toc486406039" w:history="1">
        <w:r w:rsidR="008D4799" w:rsidRPr="0068585C">
          <w:rPr>
            <w:rStyle w:val="Hyperlink"/>
          </w:rPr>
          <w:t>Table 6</w:t>
        </w:r>
        <w:r w:rsidR="008D4799" w:rsidRPr="0068585C">
          <w:rPr>
            <w:rStyle w:val="Hyperlink"/>
          </w:rPr>
          <w:noBreakHyphen/>
          <w:t xml:space="preserve">4 </w:t>
        </w:r>
        <w:r w:rsidR="00E401C4">
          <w:rPr>
            <w:rStyle w:val="Hyperlink"/>
          </w:rPr>
          <w:tab/>
        </w:r>
        <w:r w:rsidR="008D4799" w:rsidRPr="0068585C">
          <w:rPr>
            <w:rStyle w:val="Hyperlink"/>
          </w:rPr>
          <w:t>Production Costs, 2025 and 2030 ($ Millions)</w:t>
        </w:r>
        <w:r w:rsidR="008D4799">
          <w:rPr>
            <w:webHidden/>
          </w:rPr>
          <w:tab/>
        </w:r>
        <w:r w:rsidR="008D4799">
          <w:rPr>
            <w:webHidden/>
          </w:rPr>
          <w:fldChar w:fldCharType="begin"/>
        </w:r>
        <w:r w:rsidR="008D4799">
          <w:rPr>
            <w:webHidden/>
          </w:rPr>
          <w:instrText xml:space="preserve"> PAGEREF _Toc486406039 \h </w:instrText>
        </w:r>
        <w:r w:rsidR="008D4799">
          <w:rPr>
            <w:webHidden/>
          </w:rPr>
        </w:r>
        <w:r w:rsidR="008D4799">
          <w:rPr>
            <w:webHidden/>
          </w:rPr>
          <w:fldChar w:fldCharType="separate"/>
        </w:r>
        <w:r w:rsidR="00553160">
          <w:rPr>
            <w:webHidden/>
          </w:rPr>
          <w:t>62</w:t>
        </w:r>
        <w:r w:rsidR="008D4799">
          <w:rPr>
            <w:webHidden/>
          </w:rPr>
          <w:fldChar w:fldCharType="end"/>
        </w:r>
      </w:hyperlink>
    </w:p>
    <w:p w:rsidR="008D4799" w:rsidRDefault="00505DC7">
      <w:pPr>
        <w:pStyle w:val="TableofFigures"/>
        <w:rPr>
          <w:rFonts w:asciiTheme="minorHAnsi" w:eastAsiaTheme="minorEastAsia" w:hAnsiTheme="minorHAnsi" w:cstheme="minorBidi"/>
          <w:sz w:val="22"/>
          <w:szCs w:val="22"/>
        </w:rPr>
      </w:pPr>
      <w:hyperlink w:anchor="_Toc486406040" w:history="1">
        <w:r w:rsidR="008D4799" w:rsidRPr="0068585C">
          <w:rPr>
            <w:rStyle w:val="Hyperlink"/>
          </w:rPr>
          <w:t>Table 6</w:t>
        </w:r>
        <w:r w:rsidR="008D4799" w:rsidRPr="0068585C">
          <w:rPr>
            <w:rStyle w:val="Hyperlink"/>
          </w:rPr>
          <w:noBreakHyphen/>
          <w:t xml:space="preserve">5 </w:t>
        </w:r>
        <w:r w:rsidR="00E401C4">
          <w:rPr>
            <w:rStyle w:val="Hyperlink"/>
          </w:rPr>
          <w:tab/>
        </w:r>
        <w:r w:rsidR="008D4799" w:rsidRPr="0068585C">
          <w:rPr>
            <w:rStyle w:val="Hyperlink"/>
          </w:rPr>
          <w:t>Congestion Costs, 2025 and 2030 ($ Millions)</w:t>
        </w:r>
        <w:r w:rsidR="008D4799">
          <w:rPr>
            <w:webHidden/>
          </w:rPr>
          <w:tab/>
        </w:r>
        <w:r w:rsidR="008D4799">
          <w:rPr>
            <w:webHidden/>
          </w:rPr>
          <w:fldChar w:fldCharType="begin"/>
        </w:r>
        <w:r w:rsidR="008D4799">
          <w:rPr>
            <w:webHidden/>
          </w:rPr>
          <w:instrText xml:space="preserve"> PAGEREF _Toc486406040 \h </w:instrText>
        </w:r>
        <w:r w:rsidR="008D4799">
          <w:rPr>
            <w:webHidden/>
          </w:rPr>
        </w:r>
        <w:r w:rsidR="008D4799">
          <w:rPr>
            <w:webHidden/>
          </w:rPr>
          <w:fldChar w:fldCharType="separate"/>
        </w:r>
        <w:r w:rsidR="00553160">
          <w:rPr>
            <w:webHidden/>
          </w:rPr>
          <w:t>63</w:t>
        </w:r>
        <w:r w:rsidR="008D4799">
          <w:rPr>
            <w:webHidden/>
          </w:rPr>
          <w:fldChar w:fldCharType="end"/>
        </w:r>
      </w:hyperlink>
    </w:p>
    <w:p w:rsidR="008D4799" w:rsidRDefault="00505DC7">
      <w:pPr>
        <w:pStyle w:val="TableofFigures"/>
        <w:rPr>
          <w:rFonts w:asciiTheme="minorHAnsi" w:eastAsiaTheme="minorEastAsia" w:hAnsiTheme="minorHAnsi" w:cstheme="minorBidi"/>
          <w:sz w:val="22"/>
          <w:szCs w:val="22"/>
        </w:rPr>
      </w:pPr>
      <w:hyperlink w:anchor="_Toc486406041" w:history="1">
        <w:r w:rsidR="008D4799" w:rsidRPr="0068585C">
          <w:rPr>
            <w:rStyle w:val="Hyperlink"/>
          </w:rPr>
          <w:t>Table 6</w:t>
        </w:r>
        <w:r w:rsidR="008D4799" w:rsidRPr="0068585C">
          <w:rPr>
            <w:rStyle w:val="Hyperlink"/>
          </w:rPr>
          <w:noBreakHyphen/>
          <w:t xml:space="preserve">6 </w:t>
        </w:r>
        <w:r w:rsidR="00E401C4">
          <w:rPr>
            <w:rStyle w:val="Hyperlink"/>
          </w:rPr>
          <w:tab/>
        </w:r>
        <w:r w:rsidR="008D4799" w:rsidRPr="0068585C">
          <w:rPr>
            <w:rStyle w:val="Hyperlink"/>
          </w:rPr>
          <w:t>LMPs in Selected Subareas, 2025 ($/MWh)</w:t>
        </w:r>
        <w:r w:rsidR="008D4799">
          <w:rPr>
            <w:webHidden/>
          </w:rPr>
          <w:tab/>
        </w:r>
        <w:r w:rsidR="008D4799">
          <w:rPr>
            <w:webHidden/>
          </w:rPr>
          <w:fldChar w:fldCharType="begin"/>
        </w:r>
        <w:r w:rsidR="008D4799">
          <w:rPr>
            <w:webHidden/>
          </w:rPr>
          <w:instrText xml:space="preserve"> PAGEREF _Toc486406041 \h </w:instrText>
        </w:r>
        <w:r w:rsidR="008D4799">
          <w:rPr>
            <w:webHidden/>
          </w:rPr>
        </w:r>
        <w:r w:rsidR="008D4799">
          <w:rPr>
            <w:webHidden/>
          </w:rPr>
          <w:fldChar w:fldCharType="separate"/>
        </w:r>
        <w:r w:rsidR="00553160">
          <w:rPr>
            <w:webHidden/>
          </w:rPr>
          <w:t>65</w:t>
        </w:r>
        <w:r w:rsidR="008D4799">
          <w:rPr>
            <w:webHidden/>
          </w:rPr>
          <w:fldChar w:fldCharType="end"/>
        </w:r>
      </w:hyperlink>
    </w:p>
    <w:p w:rsidR="008D4799" w:rsidRDefault="00505DC7">
      <w:pPr>
        <w:pStyle w:val="TableofFigures"/>
        <w:rPr>
          <w:rFonts w:asciiTheme="minorHAnsi" w:eastAsiaTheme="minorEastAsia" w:hAnsiTheme="minorHAnsi" w:cstheme="minorBidi"/>
          <w:sz w:val="22"/>
          <w:szCs w:val="22"/>
        </w:rPr>
      </w:pPr>
      <w:hyperlink w:anchor="_Toc486406042" w:history="1">
        <w:r w:rsidR="008D4799" w:rsidRPr="0068585C">
          <w:rPr>
            <w:rStyle w:val="Hyperlink"/>
          </w:rPr>
          <w:t>Table 6</w:t>
        </w:r>
        <w:r w:rsidR="008D4799" w:rsidRPr="0068585C">
          <w:rPr>
            <w:rStyle w:val="Hyperlink"/>
          </w:rPr>
          <w:noBreakHyphen/>
          <w:t xml:space="preserve">7 </w:t>
        </w:r>
        <w:r w:rsidR="00E401C4">
          <w:rPr>
            <w:rStyle w:val="Hyperlink"/>
          </w:rPr>
          <w:tab/>
        </w:r>
        <w:r w:rsidR="008D4799" w:rsidRPr="0068585C">
          <w:rPr>
            <w:rStyle w:val="Hyperlink"/>
          </w:rPr>
          <w:t>LMPs in Selected Subareas, 2030 ($/MWh)</w:t>
        </w:r>
        <w:r w:rsidR="008D4799">
          <w:rPr>
            <w:webHidden/>
          </w:rPr>
          <w:tab/>
        </w:r>
        <w:r w:rsidR="008D4799">
          <w:rPr>
            <w:webHidden/>
          </w:rPr>
          <w:fldChar w:fldCharType="begin"/>
        </w:r>
        <w:r w:rsidR="008D4799">
          <w:rPr>
            <w:webHidden/>
          </w:rPr>
          <w:instrText xml:space="preserve"> PAGEREF _Toc486406042 \h </w:instrText>
        </w:r>
        <w:r w:rsidR="008D4799">
          <w:rPr>
            <w:webHidden/>
          </w:rPr>
        </w:r>
        <w:r w:rsidR="008D4799">
          <w:rPr>
            <w:webHidden/>
          </w:rPr>
          <w:fldChar w:fldCharType="separate"/>
        </w:r>
        <w:r w:rsidR="00553160">
          <w:rPr>
            <w:webHidden/>
          </w:rPr>
          <w:t>65</w:t>
        </w:r>
        <w:r w:rsidR="008D4799">
          <w:rPr>
            <w:webHidden/>
          </w:rPr>
          <w:fldChar w:fldCharType="end"/>
        </w:r>
      </w:hyperlink>
    </w:p>
    <w:p w:rsidR="008D4799" w:rsidRDefault="00505DC7">
      <w:pPr>
        <w:pStyle w:val="TableofFigures"/>
        <w:rPr>
          <w:rFonts w:asciiTheme="minorHAnsi" w:eastAsiaTheme="minorEastAsia" w:hAnsiTheme="minorHAnsi" w:cstheme="minorBidi"/>
          <w:sz w:val="22"/>
          <w:szCs w:val="22"/>
        </w:rPr>
      </w:pPr>
      <w:hyperlink w:anchor="_Toc486406043" w:history="1">
        <w:r w:rsidR="008D4799" w:rsidRPr="0068585C">
          <w:rPr>
            <w:rStyle w:val="Hyperlink"/>
          </w:rPr>
          <w:t>Table 6</w:t>
        </w:r>
        <w:r w:rsidR="008D4799" w:rsidRPr="0068585C">
          <w:rPr>
            <w:rStyle w:val="Hyperlink"/>
          </w:rPr>
          <w:noBreakHyphen/>
          <w:t xml:space="preserve">8 </w:t>
        </w:r>
        <w:r w:rsidR="00E401C4">
          <w:rPr>
            <w:rStyle w:val="Hyperlink"/>
          </w:rPr>
          <w:tab/>
        </w:r>
        <w:r w:rsidR="008D4799" w:rsidRPr="0068585C">
          <w:rPr>
            <w:rStyle w:val="Hyperlink"/>
          </w:rPr>
          <w:t>Approximate % of Year LMPs Set by Natural Gas-fired Generators</w:t>
        </w:r>
        <w:r w:rsidR="008D4799">
          <w:rPr>
            <w:webHidden/>
          </w:rPr>
          <w:tab/>
        </w:r>
        <w:r w:rsidR="008D4799">
          <w:rPr>
            <w:webHidden/>
          </w:rPr>
          <w:fldChar w:fldCharType="begin"/>
        </w:r>
        <w:r w:rsidR="008D4799">
          <w:rPr>
            <w:webHidden/>
          </w:rPr>
          <w:instrText xml:space="preserve"> PAGEREF _Toc486406043 \h </w:instrText>
        </w:r>
        <w:r w:rsidR="008D4799">
          <w:rPr>
            <w:webHidden/>
          </w:rPr>
        </w:r>
        <w:r w:rsidR="008D4799">
          <w:rPr>
            <w:webHidden/>
          </w:rPr>
          <w:fldChar w:fldCharType="separate"/>
        </w:r>
        <w:r w:rsidR="00553160">
          <w:rPr>
            <w:webHidden/>
          </w:rPr>
          <w:t>66</w:t>
        </w:r>
        <w:r w:rsidR="008D4799">
          <w:rPr>
            <w:webHidden/>
          </w:rPr>
          <w:fldChar w:fldCharType="end"/>
        </w:r>
      </w:hyperlink>
    </w:p>
    <w:p w:rsidR="008D4799" w:rsidRDefault="00505DC7">
      <w:pPr>
        <w:pStyle w:val="TableofFigures"/>
        <w:rPr>
          <w:rFonts w:asciiTheme="minorHAnsi" w:eastAsiaTheme="minorEastAsia" w:hAnsiTheme="minorHAnsi" w:cstheme="minorBidi"/>
          <w:sz w:val="22"/>
          <w:szCs w:val="22"/>
        </w:rPr>
      </w:pPr>
      <w:hyperlink w:anchor="_Toc486406044" w:history="1">
        <w:r w:rsidR="008D4799" w:rsidRPr="0068585C">
          <w:rPr>
            <w:rStyle w:val="Hyperlink"/>
          </w:rPr>
          <w:t>Table 6</w:t>
        </w:r>
        <w:r w:rsidR="008D4799" w:rsidRPr="0068585C">
          <w:rPr>
            <w:rStyle w:val="Hyperlink"/>
          </w:rPr>
          <w:noBreakHyphen/>
          <w:t xml:space="preserve">9 </w:t>
        </w:r>
        <w:r w:rsidR="00E401C4">
          <w:rPr>
            <w:rStyle w:val="Hyperlink"/>
          </w:rPr>
          <w:tab/>
        </w:r>
        <w:r w:rsidR="008D4799" w:rsidRPr="0068585C">
          <w:rPr>
            <w:rStyle w:val="Hyperlink"/>
          </w:rPr>
          <w:t>LSE Energy Expense and Uplift, 2025 and 2030 ($ Millions)</w:t>
        </w:r>
        <w:r w:rsidR="008D4799">
          <w:rPr>
            <w:webHidden/>
          </w:rPr>
          <w:tab/>
        </w:r>
        <w:r w:rsidR="008D4799">
          <w:rPr>
            <w:webHidden/>
          </w:rPr>
          <w:fldChar w:fldCharType="begin"/>
        </w:r>
        <w:r w:rsidR="008D4799">
          <w:rPr>
            <w:webHidden/>
          </w:rPr>
          <w:instrText xml:space="preserve"> PAGEREF _Toc486406044 \h </w:instrText>
        </w:r>
        <w:r w:rsidR="008D4799">
          <w:rPr>
            <w:webHidden/>
          </w:rPr>
        </w:r>
        <w:r w:rsidR="008D4799">
          <w:rPr>
            <w:webHidden/>
          </w:rPr>
          <w:fldChar w:fldCharType="separate"/>
        </w:r>
        <w:r w:rsidR="00553160">
          <w:rPr>
            <w:webHidden/>
          </w:rPr>
          <w:t>68</w:t>
        </w:r>
        <w:r w:rsidR="008D4799">
          <w:rPr>
            <w:webHidden/>
          </w:rPr>
          <w:fldChar w:fldCharType="end"/>
        </w:r>
      </w:hyperlink>
    </w:p>
    <w:p w:rsidR="008D4799" w:rsidRDefault="00505DC7">
      <w:pPr>
        <w:pStyle w:val="TableofFigures"/>
        <w:rPr>
          <w:rFonts w:asciiTheme="minorHAnsi" w:eastAsiaTheme="minorEastAsia" w:hAnsiTheme="minorHAnsi" w:cstheme="minorBidi"/>
          <w:sz w:val="22"/>
          <w:szCs w:val="22"/>
        </w:rPr>
      </w:pPr>
      <w:hyperlink w:anchor="_Toc486406045" w:history="1">
        <w:r w:rsidR="008D4799" w:rsidRPr="0068585C">
          <w:rPr>
            <w:rStyle w:val="Hyperlink"/>
          </w:rPr>
          <w:t>Table 6</w:t>
        </w:r>
        <w:r w:rsidR="008D4799" w:rsidRPr="0068585C">
          <w:rPr>
            <w:rStyle w:val="Hyperlink"/>
          </w:rPr>
          <w:noBreakHyphen/>
          <w:t xml:space="preserve">10 </w:t>
        </w:r>
        <w:r w:rsidR="00E401C4">
          <w:rPr>
            <w:rStyle w:val="Hyperlink"/>
          </w:rPr>
          <w:tab/>
        </w:r>
        <w:r w:rsidR="008D4799" w:rsidRPr="0068585C">
          <w:rPr>
            <w:rStyle w:val="Hyperlink"/>
          </w:rPr>
          <w:t>GridView Congestion Metric by Interface, 2025 and 2030 ($ Millions)</w:t>
        </w:r>
        <w:r w:rsidR="008D4799">
          <w:rPr>
            <w:webHidden/>
          </w:rPr>
          <w:tab/>
        </w:r>
        <w:r w:rsidR="008D4799">
          <w:rPr>
            <w:webHidden/>
          </w:rPr>
          <w:fldChar w:fldCharType="begin"/>
        </w:r>
        <w:r w:rsidR="008D4799">
          <w:rPr>
            <w:webHidden/>
          </w:rPr>
          <w:instrText xml:space="preserve"> PAGEREF _Toc486406045 \h </w:instrText>
        </w:r>
        <w:r w:rsidR="008D4799">
          <w:rPr>
            <w:webHidden/>
          </w:rPr>
        </w:r>
        <w:r w:rsidR="008D4799">
          <w:rPr>
            <w:webHidden/>
          </w:rPr>
          <w:fldChar w:fldCharType="separate"/>
        </w:r>
        <w:r w:rsidR="00553160">
          <w:rPr>
            <w:webHidden/>
          </w:rPr>
          <w:t>70</w:t>
        </w:r>
        <w:r w:rsidR="008D4799">
          <w:rPr>
            <w:webHidden/>
          </w:rPr>
          <w:fldChar w:fldCharType="end"/>
        </w:r>
      </w:hyperlink>
    </w:p>
    <w:p w:rsidR="008D4799" w:rsidRDefault="00505DC7">
      <w:pPr>
        <w:pStyle w:val="TableofFigures"/>
        <w:rPr>
          <w:rFonts w:asciiTheme="minorHAnsi" w:eastAsiaTheme="minorEastAsia" w:hAnsiTheme="minorHAnsi" w:cstheme="minorBidi"/>
          <w:sz w:val="22"/>
          <w:szCs w:val="22"/>
        </w:rPr>
      </w:pPr>
      <w:hyperlink w:anchor="_Toc486406046" w:history="1">
        <w:r w:rsidR="008D4799" w:rsidRPr="0091124D">
          <w:rPr>
            <w:rStyle w:val="Hyperlink"/>
          </w:rPr>
          <w:t>Table 6</w:t>
        </w:r>
        <w:r w:rsidR="008D4799" w:rsidRPr="0091124D">
          <w:rPr>
            <w:rStyle w:val="Hyperlink"/>
          </w:rPr>
          <w:noBreakHyphen/>
          <w:t xml:space="preserve">11 </w:t>
        </w:r>
        <w:r w:rsidR="00E401C4" w:rsidRPr="0091124D">
          <w:rPr>
            <w:rStyle w:val="Hyperlink"/>
          </w:rPr>
          <w:tab/>
        </w:r>
        <w:r w:rsidR="008D4799" w:rsidRPr="0091124D">
          <w:rPr>
            <w:rStyle w:val="Hyperlink"/>
          </w:rPr>
          <w:t>Comparison of Annual Net Energy Market Revenues for Various Technology Types</w:t>
        </w:r>
        <w:r w:rsidR="00E401C4" w:rsidRPr="0091124D">
          <w:rPr>
            <w:rStyle w:val="Hyperlink"/>
          </w:rPr>
          <w:br/>
        </w:r>
        <w:r w:rsidR="008D4799" w:rsidRPr="0091124D">
          <w:rPr>
            <w:rStyle w:val="Hyperlink"/>
          </w:rPr>
          <w:t xml:space="preserve">with Annual Carrying Charges, 2025 and 2030] ($/kW-yr) </w:t>
        </w:r>
        <w:r w:rsidR="008D4799" w:rsidRPr="0091124D">
          <w:rPr>
            <w:webHidden/>
          </w:rPr>
          <w:tab/>
        </w:r>
        <w:r w:rsidR="008D4799" w:rsidRPr="0091124D">
          <w:rPr>
            <w:webHidden/>
          </w:rPr>
          <w:fldChar w:fldCharType="begin"/>
        </w:r>
        <w:r w:rsidR="008D4799" w:rsidRPr="0091124D">
          <w:rPr>
            <w:webHidden/>
          </w:rPr>
          <w:instrText xml:space="preserve"> PAGEREF _Toc486406046 \h </w:instrText>
        </w:r>
        <w:r w:rsidR="008D4799" w:rsidRPr="0091124D">
          <w:rPr>
            <w:webHidden/>
          </w:rPr>
        </w:r>
        <w:r w:rsidR="008D4799" w:rsidRPr="0091124D">
          <w:rPr>
            <w:webHidden/>
          </w:rPr>
          <w:fldChar w:fldCharType="separate"/>
        </w:r>
        <w:r w:rsidR="00553160">
          <w:rPr>
            <w:webHidden/>
          </w:rPr>
          <w:t>73</w:t>
        </w:r>
        <w:r w:rsidR="008D4799" w:rsidRPr="0091124D">
          <w:rPr>
            <w:webHidden/>
          </w:rPr>
          <w:fldChar w:fldCharType="end"/>
        </w:r>
      </w:hyperlink>
    </w:p>
    <w:p w:rsidR="008D4799" w:rsidRDefault="00505DC7">
      <w:pPr>
        <w:pStyle w:val="TableofFigures"/>
        <w:rPr>
          <w:rFonts w:asciiTheme="minorHAnsi" w:eastAsiaTheme="minorEastAsia" w:hAnsiTheme="minorHAnsi" w:cstheme="minorBidi"/>
          <w:sz w:val="22"/>
          <w:szCs w:val="22"/>
        </w:rPr>
      </w:pPr>
      <w:hyperlink w:anchor="_Toc486406047" w:history="1">
        <w:r w:rsidR="008D4799" w:rsidRPr="0068585C">
          <w:rPr>
            <w:rStyle w:val="Hyperlink"/>
          </w:rPr>
          <w:t>Table 6</w:t>
        </w:r>
        <w:r w:rsidR="008D4799" w:rsidRPr="0068585C">
          <w:rPr>
            <w:rStyle w:val="Hyperlink"/>
          </w:rPr>
          <w:noBreakHyphen/>
          <w:t xml:space="preserve">12 </w:t>
        </w:r>
        <w:r w:rsidR="00E401C4">
          <w:rPr>
            <w:rStyle w:val="Hyperlink"/>
          </w:rPr>
          <w:tab/>
        </w:r>
        <w:r w:rsidR="008D4799" w:rsidRPr="0068585C">
          <w:rPr>
            <w:rStyle w:val="Hyperlink"/>
          </w:rPr>
          <w:t>Percentage of Annual Net Energy Market Revenue Contributions to Fixed Costs</w:t>
        </w:r>
        <w:r w:rsidR="0091124D">
          <w:rPr>
            <w:rStyle w:val="Hyperlink"/>
          </w:rPr>
          <w:br/>
        </w:r>
        <w:r w:rsidR="008D4799" w:rsidRPr="0068585C">
          <w:rPr>
            <w:rStyle w:val="Hyperlink"/>
          </w:rPr>
          <w:t>(Reflecting Uplift) for Various Technology Types, 2025 and 2030</w:t>
        </w:r>
        <w:r w:rsidR="008D4799">
          <w:rPr>
            <w:webHidden/>
          </w:rPr>
          <w:tab/>
        </w:r>
        <w:r w:rsidR="008D4799">
          <w:rPr>
            <w:webHidden/>
          </w:rPr>
          <w:fldChar w:fldCharType="begin"/>
        </w:r>
        <w:r w:rsidR="008D4799">
          <w:rPr>
            <w:webHidden/>
          </w:rPr>
          <w:instrText xml:space="preserve"> PAGEREF _Toc486406047 \h </w:instrText>
        </w:r>
        <w:r w:rsidR="008D4799">
          <w:rPr>
            <w:webHidden/>
          </w:rPr>
        </w:r>
        <w:r w:rsidR="008D4799">
          <w:rPr>
            <w:webHidden/>
          </w:rPr>
          <w:fldChar w:fldCharType="separate"/>
        </w:r>
        <w:r w:rsidR="00553160">
          <w:rPr>
            <w:webHidden/>
          </w:rPr>
          <w:t>74</w:t>
        </w:r>
        <w:r w:rsidR="008D4799">
          <w:rPr>
            <w:webHidden/>
          </w:rPr>
          <w:fldChar w:fldCharType="end"/>
        </w:r>
      </w:hyperlink>
    </w:p>
    <w:p w:rsidR="008D4799" w:rsidRDefault="00505DC7">
      <w:pPr>
        <w:pStyle w:val="TableofFigures"/>
        <w:rPr>
          <w:rFonts w:asciiTheme="minorHAnsi" w:eastAsiaTheme="minorEastAsia" w:hAnsiTheme="minorHAnsi" w:cstheme="minorBidi"/>
          <w:sz w:val="22"/>
          <w:szCs w:val="22"/>
        </w:rPr>
      </w:pPr>
      <w:hyperlink w:anchor="_Toc486406048" w:history="1">
        <w:r w:rsidR="008D4799" w:rsidRPr="0068585C">
          <w:rPr>
            <w:rStyle w:val="Hyperlink"/>
          </w:rPr>
          <w:t>Table 6</w:t>
        </w:r>
        <w:r w:rsidR="008D4799" w:rsidRPr="0068585C">
          <w:rPr>
            <w:rStyle w:val="Hyperlink"/>
          </w:rPr>
          <w:noBreakHyphen/>
          <w:t xml:space="preserve">13 </w:t>
        </w:r>
        <w:r w:rsidR="00E401C4">
          <w:rPr>
            <w:rStyle w:val="Hyperlink"/>
          </w:rPr>
          <w:tab/>
        </w:r>
        <w:r w:rsidR="008D4799" w:rsidRPr="0068585C">
          <w:rPr>
            <w:rStyle w:val="Hyperlink"/>
            <w:rFonts w:eastAsia="Calibri"/>
          </w:rPr>
          <w:t>Energy Storage—Operational and Economic Metrics</w:t>
        </w:r>
        <w:r w:rsidR="008D4799">
          <w:rPr>
            <w:webHidden/>
          </w:rPr>
          <w:tab/>
        </w:r>
        <w:r w:rsidR="008D4799">
          <w:rPr>
            <w:webHidden/>
          </w:rPr>
          <w:fldChar w:fldCharType="begin"/>
        </w:r>
        <w:r w:rsidR="008D4799">
          <w:rPr>
            <w:webHidden/>
          </w:rPr>
          <w:instrText xml:space="preserve"> PAGEREF _Toc486406048 \h </w:instrText>
        </w:r>
        <w:r w:rsidR="008D4799">
          <w:rPr>
            <w:webHidden/>
          </w:rPr>
        </w:r>
        <w:r w:rsidR="008D4799">
          <w:rPr>
            <w:webHidden/>
          </w:rPr>
          <w:fldChar w:fldCharType="separate"/>
        </w:r>
        <w:r w:rsidR="00553160">
          <w:rPr>
            <w:webHidden/>
          </w:rPr>
          <w:t>75</w:t>
        </w:r>
        <w:r w:rsidR="008D4799">
          <w:rPr>
            <w:webHidden/>
          </w:rPr>
          <w:fldChar w:fldCharType="end"/>
        </w:r>
      </w:hyperlink>
    </w:p>
    <w:p w:rsidR="008D4799" w:rsidRDefault="00505DC7">
      <w:pPr>
        <w:pStyle w:val="TableofFigures"/>
        <w:rPr>
          <w:rFonts w:asciiTheme="minorHAnsi" w:eastAsiaTheme="minorEastAsia" w:hAnsiTheme="minorHAnsi" w:cstheme="minorBidi"/>
          <w:sz w:val="22"/>
          <w:szCs w:val="22"/>
        </w:rPr>
      </w:pPr>
      <w:hyperlink w:anchor="_Toc486406049" w:history="1">
        <w:r w:rsidR="008D4799" w:rsidRPr="0068585C">
          <w:rPr>
            <w:rStyle w:val="Hyperlink"/>
          </w:rPr>
          <w:t>Table 6</w:t>
        </w:r>
        <w:r w:rsidR="008D4799" w:rsidRPr="0068585C">
          <w:rPr>
            <w:rStyle w:val="Hyperlink"/>
          </w:rPr>
          <w:noBreakHyphen/>
          <w:t xml:space="preserve">14 </w:t>
        </w:r>
        <w:r w:rsidR="00E401C4">
          <w:rPr>
            <w:rStyle w:val="Hyperlink"/>
          </w:rPr>
          <w:tab/>
        </w:r>
        <w:r w:rsidR="008D4799" w:rsidRPr="0068585C">
          <w:rPr>
            <w:rStyle w:val="Hyperlink"/>
          </w:rPr>
          <w:t>Interface Flow Statistics for 2025</w:t>
        </w:r>
        <w:r w:rsidR="008D4799">
          <w:rPr>
            <w:webHidden/>
          </w:rPr>
          <w:tab/>
        </w:r>
        <w:r w:rsidR="008D4799">
          <w:rPr>
            <w:webHidden/>
          </w:rPr>
          <w:fldChar w:fldCharType="begin"/>
        </w:r>
        <w:r w:rsidR="008D4799">
          <w:rPr>
            <w:webHidden/>
          </w:rPr>
          <w:instrText xml:space="preserve"> PAGEREF _Toc486406049 \h </w:instrText>
        </w:r>
        <w:r w:rsidR="008D4799">
          <w:rPr>
            <w:webHidden/>
          </w:rPr>
        </w:r>
        <w:r w:rsidR="008D4799">
          <w:rPr>
            <w:webHidden/>
          </w:rPr>
          <w:fldChar w:fldCharType="separate"/>
        </w:r>
        <w:r w:rsidR="00553160">
          <w:rPr>
            <w:webHidden/>
          </w:rPr>
          <w:t>78</w:t>
        </w:r>
        <w:r w:rsidR="008D4799">
          <w:rPr>
            <w:webHidden/>
          </w:rPr>
          <w:fldChar w:fldCharType="end"/>
        </w:r>
      </w:hyperlink>
    </w:p>
    <w:p w:rsidR="008D4799" w:rsidRDefault="00505DC7">
      <w:pPr>
        <w:pStyle w:val="TableofFigures"/>
        <w:rPr>
          <w:rFonts w:asciiTheme="minorHAnsi" w:eastAsiaTheme="minorEastAsia" w:hAnsiTheme="minorHAnsi" w:cstheme="minorBidi"/>
          <w:sz w:val="22"/>
          <w:szCs w:val="22"/>
        </w:rPr>
      </w:pPr>
      <w:hyperlink w:anchor="_Toc486406050" w:history="1">
        <w:r w:rsidR="008D4799" w:rsidRPr="0068585C">
          <w:rPr>
            <w:rStyle w:val="Hyperlink"/>
          </w:rPr>
          <w:t>Table 6</w:t>
        </w:r>
        <w:r w:rsidR="008D4799" w:rsidRPr="0068585C">
          <w:rPr>
            <w:rStyle w:val="Hyperlink"/>
          </w:rPr>
          <w:noBreakHyphen/>
          <w:t xml:space="preserve">15 </w:t>
        </w:r>
        <w:r w:rsidR="00E401C4">
          <w:rPr>
            <w:rStyle w:val="Hyperlink"/>
          </w:rPr>
          <w:tab/>
        </w:r>
        <w:r w:rsidR="008D4799" w:rsidRPr="0068585C">
          <w:rPr>
            <w:rStyle w:val="Hyperlink"/>
          </w:rPr>
          <w:t>Interface Flow Statistics for 2030</w:t>
        </w:r>
        <w:r w:rsidR="008D4799">
          <w:rPr>
            <w:webHidden/>
          </w:rPr>
          <w:tab/>
        </w:r>
        <w:r w:rsidR="008D4799">
          <w:rPr>
            <w:webHidden/>
          </w:rPr>
          <w:fldChar w:fldCharType="begin"/>
        </w:r>
        <w:r w:rsidR="008D4799">
          <w:rPr>
            <w:webHidden/>
          </w:rPr>
          <w:instrText xml:space="preserve"> PAGEREF _Toc486406050 \h </w:instrText>
        </w:r>
        <w:r w:rsidR="008D4799">
          <w:rPr>
            <w:webHidden/>
          </w:rPr>
        </w:r>
        <w:r w:rsidR="008D4799">
          <w:rPr>
            <w:webHidden/>
          </w:rPr>
          <w:fldChar w:fldCharType="separate"/>
        </w:r>
        <w:r w:rsidR="00553160">
          <w:rPr>
            <w:webHidden/>
          </w:rPr>
          <w:t>78</w:t>
        </w:r>
        <w:r w:rsidR="008D4799">
          <w:rPr>
            <w:webHidden/>
          </w:rPr>
          <w:fldChar w:fldCharType="end"/>
        </w:r>
      </w:hyperlink>
    </w:p>
    <w:p w:rsidR="008D4799" w:rsidRDefault="00505DC7">
      <w:pPr>
        <w:pStyle w:val="TableofFigures"/>
        <w:rPr>
          <w:rFonts w:asciiTheme="minorHAnsi" w:eastAsiaTheme="minorEastAsia" w:hAnsiTheme="minorHAnsi" w:cstheme="minorBidi"/>
          <w:sz w:val="22"/>
          <w:szCs w:val="22"/>
        </w:rPr>
      </w:pPr>
      <w:hyperlink w:anchor="_Toc486406051" w:history="1">
        <w:r w:rsidR="008D4799" w:rsidRPr="0068585C">
          <w:rPr>
            <w:rStyle w:val="Hyperlink"/>
          </w:rPr>
          <w:t>Table 6</w:t>
        </w:r>
        <w:r w:rsidR="008D4799" w:rsidRPr="0068585C">
          <w:rPr>
            <w:rStyle w:val="Hyperlink"/>
          </w:rPr>
          <w:noBreakHyphen/>
          <w:t xml:space="preserve">16 </w:t>
        </w:r>
        <w:r w:rsidR="00E401C4">
          <w:rPr>
            <w:rStyle w:val="Hyperlink"/>
          </w:rPr>
          <w:tab/>
        </w:r>
        <w:r w:rsidR="008D4799" w:rsidRPr="0068585C">
          <w:rPr>
            <w:rStyle w:val="Hyperlink"/>
          </w:rPr>
          <w:t>Summary of Total High-Order-of-Magnitude Transmission System Costs ($B)</w:t>
        </w:r>
        <w:r w:rsidR="008D4799">
          <w:rPr>
            <w:webHidden/>
          </w:rPr>
          <w:tab/>
        </w:r>
        <w:r w:rsidR="008D4799">
          <w:rPr>
            <w:webHidden/>
          </w:rPr>
          <w:fldChar w:fldCharType="begin"/>
        </w:r>
        <w:r w:rsidR="008D4799">
          <w:rPr>
            <w:webHidden/>
          </w:rPr>
          <w:instrText xml:space="preserve"> PAGEREF _Toc486406051 \h </w:instrText>
        </w:r>
        <w:r w:rsidR="008D4799">
          <w:rPr>
            <w:webHidden/>
          </w:rPr>
        </w:r>
        <w:r w:rsidR="008D4799">
          <w:rPr>
            <w:webHidden/>
          </w:rPr>
          <w:fldChar w:fldCharType="separate"/>
        </w:r>
        <w:r w:rsidR="00553160">
          <w:rPr>
            <w:webHidden/>
          </w:rPr>
          <w:t>79</w:t>
        </w:r>
        <w:r w:rsidR="008D4799">
          <w:rPr>
            <w:webHidden/>
          </w:rPr>
          <w:fldChar w:fldCharType="end"/>
        </w:r>
      </w:hyperlink>
    </w:p>
    <w:p w:rsidR="008D4799" w:rsidRDefault="00505DC7">
      <w:pPr>
        <w:pStyle w:val="TableofFigures"/>
        <w:rPr>
          <w:rFonts w:asciiTheme="minorHAnsi" w:eastAsiaTheme="minorEastAsia" w:hAnsiTheme="minorHAnsi" w:cstheme="minorBidi"/>
          <w:sz w:val="22"/>
          <w:szCs w:val="22"/>
        </w:rPr>
      </w:pPr>
      <w:hyperlink w:anchor="_Toc486406052" w:history="1">
        <w:r w:rsidR="008D4799" w:rsidRPr="0068585C">
          <w:rPr>
            <w:rStyle w:val="Hyperlink"/>
          </w:rPr>
          <w:t>Table 6</w:t>
        </w:r>
        <w:r w:rsidR="008D4799" w:rsidRPr="0068585C">
          <w:rPr>
            <w:rStyle w:val="Hyperlink"/>
          </w:rPr>
          <w:noBreakHyphen/>
          <w:t xml:space="preserve">17 </w:t>
        </w:r>
        <w:r w:rsidR="00E401C4">
          <w:rPr>
            <w:rStyle w:val="Hyperlink"/>
          </w:rPr>
          <w:tab/>
        </w:r>
        <w:r w:rsidR="008D4799" w:rsidRPr="0068585C">
          <w:rPr>
            <w:rStyle w:val="Hyperlink"/>
          </w:rPr>
          <w:t>Net Economic Benefits of Congestion System</w:t>
        </w:r>
        <w:r w:rsidR="008D4799">
          <w:rPr>
            <w:webHidden/>
          </w:rPr>
          <w:tab/>
        </w:r>
        <w:r w:rsidR="008D4799">
          <w:rPr>
            <w:webHidden/>
          </w:rPr>
          <w:fldChar w:fldCharType="begin"/>
        </w:r>
        <w:r w:rsidR="008D4799">
          <w:rPr>
            <w:webHidden/>
          </w:rPr>
          <w:instrText xml:space="preserve"> PAGEREF _Toc486406052 \h </w:instrText>
        </w:r>
        <w:r w:rsidR="008D4799">
          <w:rPr>
            <w:webHidden/>
          </w:rPr>
        </w:r>
        <w:r w:rsidR="008D4799">
          <w:rPr>
            <w:webHidden/>
          </w:rPr>
          <w:fldChar w:fldCharType="separate"/>
        </w:r>
        <w:r w:rsidR="00553160">
          <w:rPr>
            <w:webHidden/>
          </w:rPr>
          <w:t>80</w:t>
        </w:r>
        <w:r w:rsidR="008D4799">
          <w:rPr>
            <w:webHidden/>
          </w:rPr>
          <w:fldChar w:fldCharType="end"/>
        </w:r>
      </w:hyperlink>
    </w:p>
    <w:p w:rsidR="008D4799" w:rsidRDefault="00505DC7">
      <w:pPr>
        <w:pStyle w:val="TableofFigures"/>
        <w:rPr>
          <w:rFonts w:asciiTheme="minorHAnsi" w:eastAsiaTheme="minorEastAsia" w:hAnsiTheme="minorHAnsi" w:cstheme="minorBidi"/>
          <w:sz w:val="22"/>
          <w:szCs w:val="22"/>
        </w:rPr>
      </w:pPr>
      <w:hyperlink w:anchor="_Toc486406053" w:history="1">
        <w:r w:rsidR="008D4799" w:rsidRPr="0068585C">
          <w:rPr>
            <w:rStyle w:val="Hyperlink"/>
          </w:rPr>
          <w:t>Table 6</w:t>
        </w:r>
        <w:r w:rsidR="008D4799" w:rsidRPr="0068585C">
          <w:rPr>
            <w:rStyle w:val="Hyperlink"/>
          </w:rPr>
          <w:noBreakHyphen/>
          <w:t xml:space="preserve">18 </w:t>
        </w:r>
        <w:r w:rsidR="00E401C4">
          <w:rPr>
            <w:rStyle w:val="Hyperlink"/>
          </w:rPr>
          <w:tab/>
        </w:r>
        <w:r w:rsidR="008D4799" w:rsidRPr="0068585C">
          <w:rPr>
            <w:rStyle w:val="Hyperlink"/>
          </w:rPr>
          <w:t>Relative Annual Resource Costs, 2025 and 2030 ($ Millions)</w:t>
        </w:r>
        <w:r w:rsidR="008D4799">
          <w:rPr>
            <w:webHidden/>
          </w:rPr>
          <w:tab/>
        </w:r>
        <w:r w:rsidR="008D4799">
          <w:rPr>
            <w:webHidden/>
          </w:rPr>
          <w:fldChar w:fldCharType="begin"/>
        </w:r>
        <w:r w:rsidR="008D4799">
          <w:rPr>
            <w:webHidden/>
          </w:rPr>
          <w:instrText xml:space="preserve"> PAGEREF _Toc486406053 \h </w:instrText>
        </w:r>
        <w:r w:rsidR="008D4799">
          <w:rPr>
            <w:webHidden/>
          </w:rPr>
        </w:r>
        <w:r w:rsidR="008D4799">
          <w:rPr>
            <w:webHidden/>
          </w:rPr>
          <w:fldChar w:fldCharType="separate"/>
        </w:r>
        <w:r w:rsidR="00553160">
          <w:rPr>
            <w:webHidden/>
          </w:rPr>
          <w:t>85</w:t>
        </w:r>
        <w:r w:rsidR="008D4799">
          <w:rPr>
            <w:webHidden/>
          </w:rPr>
          <w:fldChar w:fldCharType="end"/>
        </w:r>
      </w:hyperlink>
    </w:p>
    <w:p w:rsidR="008D4799" w:rsidRDefault="00505DC7">
      <w:pPr>
        <w:pStyle w:val="TableofFigures"/>
        <w:rPr>
          <w:rFonts w:asciiTheme="minorHAnsi" w:eastAsiaTheme="minorEastAsia" w:hAnsiTheme="minorHAnsi" w:cstheme="minorBidi"/>
          <w:sz w:val="22"/>
          <w:szCs w:val="22"/>
        </w:rPr>
      </w:pPr>
      <w:hyperlink w:anchor="_Toc486406054" w:history="1">
        <w:r w:rsidR="008D4799" w:rsidRPr="0068585C">
          <w:rPr>
            <w:rStyle w:val="Hyperlink"/>
          </w:rPr>
          <w:t>Table 6</w:t>
        </w:r>
        <w:r w:rsidR="008D4799" w:rsidRPr="0068585C">
          <w:rPr>
            <w:rStyle w:val="Hyperlink"/>
          </w:rPr>
          <w:noBreakHyphen/>
          <w:t xml:space="preserve">19 </w:t>
        </w:r>
        <w:r w:rsidR="00E401C4">
          <w:rPr>
            <w:rStyle w:val="Hyperlink"/>
          </w:rPr>
          <w:tab/>
        </w:r>
        <w:r w:rsidR="008D4799" w:rsidRPr="0068585C">
          <w:rPr>
            <w:rStyle w:val="Hyperlink"/>
          </w:rPr>
          <w:t>Relative Annual Resource Costs, 2025 and 2030 (¢/kWh)</w:t>
        </w:r>
        <w:r w:rsidR="008D4799">
          <w:rPr>
            <w:webHidden/>
          </w:rPr>
          <w:tab/>
        </w:r>
        <w:r w:rsidR="008D4799">
          <w:rPr>
            <w:webHidden/>
          </w:rPr>
          <w:fldChar w:fldCharType="begin"/>
        </w:r>
        <w:r w:rsidR="008D4799">
          <w:rPr>
            <w:webHidden/>
          </w:rPr>
          <w:instrText xml:space="preserve"> PAGEREF _Toc486406054 \h </w:instrText>
        </w:r>
        <w:r w:rsidR="008D4799">
          <w:rPr>
            <w:webHidden/>
          </w:rPr>
        </w:r>
        <w:r w:rsidR="008D4799">
          <w:rPr>
            <w:webHidden/>
          </w:rPr>
          <w:fldChar w:fldCharType="separate"/>
        </w:r>
        <w:r w:rsidR="00553160">
          <w:rPr>
            <w:webHidden/>
          </w:rPr>
          <w:t>86</w:t>
        </w:r>
        <w:r w:rsidR="008D4799">
          <w:rPr>
            <w:webHidden/>
          </w:rPr>
          <w:fldChar w:fldCharType="end"/>
        </w:r>
      </w:hyperlink>
    </w:p>
    <w:p w:rsidR="008D4799" w:rsidRDefault="00505DC7">
      <w:pPr>
        <w:pStyle w:val="TableofFigures"/>
        <w:rPr>
          <w:rFonts w:asciiTheme="minorHAnsi" w:eastAsiaTheme="minorEastAsia" w:hAnsiTheme="minorHAnsi" w:cstheme="minorBidi"/>
          <w:sz w:val="22"/>
          <w:szCs w:val="22"/>
        </w:rPr>
      </w:pPr>
      <w:hyperlink w:anchor="_Toc486406055" w:history="1">
        <w:r w:rsidR="008D4799" w:rsidRPr="0068585C">
          <w:rPr>
            <w:rStyle w:val="Hyperlink"/>
          </w:rPr>
          <w:t>Table 6</w:t>
        </w:r>
        <w:r w:rsidR="008D4799" w:rsidRPr="0068585C">
          <w:rPr>
            <w:rStyle w:val="Hyperlink"/>
          </w:rPr>
          <w:noBreakHyphen/>
          <w:t xml:space="preserve">20 </w:t>
        </w:r>
        <w:r w:rsidR="00E401C4">
          <w:rPr>
            <w:rStyle w:val="Hyperlink"/>
          </w:rPr>
          <w:tab/>
        </w:r>
        <w:r w:rsidR="008D4799" w:rsidRPr="0068585C">
          <w:rPr>
            <w:rStyle w:val="Hyperlink"/>
          </w:rPr>
          <w:t>Assumed Source of RPS Energy and Goal, 2025 and 2030 (GWh)</w:t>
        </w:r>
        <w:r w:rsidR="008D4799">
          <w:rPr>
            <w:webHidden/>
          </w:rPr>
          <w:tab/>
        </w:r>
        <w:r w:rsidR="008D4799">
          <w:rPr>
            <w:webHidden/>
          </w:rPr>
          <w:fldChar w:fldCharType="begin"/>
        </w:r>
        <w:r w:rsidR="008D4799">
          <w:rPr>
            <w:webHidden/>
          </w:rPr>
          <w:instrText xml:space="preserve"> PAGEREF _Toc486406055 \h </w:instrText>
        </w:r>
        <w:r w:rsidR="008D4799">
          <w:rPr>
            <w:webHidden/>
          </w:rPr>
        </w:r>
        <w:r w:rsidR="008D4799">
          <w:rPr>
            <w:webHidden/>
          </w:rPr>
          <w:fldChar w:fldCharType="separate"/>
        </w:r>
        <w:r w:rsidR="00553160">
          <w:rPr>
            <w:webHidden/>
          </w:rPr>
          <w:t>89</w:t>
        </w:r>
        <w:r w:rsidR="008D4799">
          <w:rPr>
            <w:webHidden/>
          </w:rPr>
          <w:fldChar w:fldCharType="end"/>
        </w:r>
      </w:hyperlink>
    </w:p>
    <w:p w:rsidR="008D4799" w:rsidRDefault="00505DC7">
      <w:pPr>
        <w:pStyle w:val="TableofFigures"/>
        <w:rPr>
          <w:rFonts w:asciiTheme="minorHAnsi" w:eastAsiaTheme="minorEastAsia" w:hAnsiTheme="minorHAnsi" w:cstheme="minorBidi"/>
          <w:sz w:val="22"/>
          <w:szCs w:val="22"/>
        </w:rPr>
      </w:pPr>
      <w:hyperlink w:anchor="_Toc486406056" w:history="1">
        <w:r w:rsidR="008D4799" w:rsidRPr="0068585C">
          <w:rPr>
            <w:rStyle w:val="Hyperlink"/>
          </w:rPr>
          <w:t>Table 6</w:t>
        </w:r>
        <w:r w:rsidR="008D4799" w:rsidRPr="0068585C">
          <w:rPr>
            <w:rStyle w:val="Hyperlink"/>
          </w:rPr>
          <w:noBreakHyphen/>
          <w:t xml:space="preserve">22 </w:t>
        </w:r>
        <w:r w:rsidR="00E401C4">
          <w:rPr>
            <w:rStyle w:val="Hyperlink"/>
          </w:rPr>
          <w:tab/>
        </w:r>
        <w:r w:rsidR="008D4799" w:rsidRPr="0068585C">
          <w:rPr>
            <w:rStyle w:val="Hyperlink"/>
          </w:rPr>
          <w:t>CO</w:t>
        </w:r>
        <w:r w:rsidR="008D4799" w:rsidRPr="0068585C">
          <w:rPr>
            <w:rStyle w:val="Hyperlink"/>
            <w:vertAlign w:val="subscript"/>
          </w:rPr>
          <w:t>2</w:t>
        </w:r>
        <w:r w:rsidR="008D4799" w:rsidRPr="0068585C">
          <w:rPr>
            <w:rStyle w:val="Hyperlink"/>
          </w:rPr>
          <w:t xml:space="preserve"> Emissions Compared with RGGI Targets, 2025 and 2030</w:t>
        </w:r>
        <w:r w:rsidR="002C0C8F">
          <w:rPr>
            <w:rStyle w:val="Hyperlink"/>
          </w:rPr>
          <w:br/>
        </w:r>
        <w:r w:rsidR="008D4799" w:rsidRPr="0068585C">
          <w:rPr>
            <w:rStyle w:val="Hyperlink"/>
          </w:rPr>
          <w:t>(Millions of Short Tons and %)</w:t>
        </w:r>
        <w:r w:rsidR="008D4799">
          <w:rPr>
            <w:webHidden/>
          </w:rPr>
          <w:tab/>
        </w:r>
        <w:r w:rsidR="008D4799">
          <w:rPr>
            <w:webHidden/>
          </w:rPr>
          <w:fldChar w:fldCharType="begin"/>
        </w:r>
        <w:r w:rsidR="008D4799">
          <w:rPr>
            <w:webHidden/>
          </w:rPr>
          <w:instrText xml:space="preserve"> PAGEREF _Toc486406056 \h </w:instrText>
        </w:r>
        <w:r w:rsidR="008D4799">
          <w:rPr>
            <w:webHidden/>
          </w:rPr>
        </w:r>
        <w:r w:rsidR="008D4799">
          <w:rPr>
            <w:webHidden/>
          </w:rPr>
          <w:fldChar w:fldCharType="separate"/>
        </w:r>
        <w:r w:rsidR="00553160">
          <w:rPr>
            <w:webHidden/>
          </w:rPr>
          <w:t>91</w:t>
        </w:r>
        <w:r w:rsidR="008D4799">
          <w:rPr>
            <w:webHidden/>
          </w:rPr>
          <w:fldChar w:fldCharType="end"/>
        </w:r>
      </w:hyperlink>
    </w:p>
    <w:p w:rsidR="00CD7DBD" w:rsidRDefault="00CD7DBD" w:rsidP="000A40A4">
      <w:pPr>
        <w:spacing w:after="120" w:line="240" w:lineRule="auto"/>
        <w:sectPr w:rsidR="00CD7DBD" w:rsidSect="00532809">
          <w:pgSz w:w="12240" w:h="15840" w:code="1"/>
          <w:pgMar w:top="1440" w:right="1440" w:bottom="1440" w:left="1440" w:header="720" w:footer="720" w:gutter="0"/>
          <w:pgNumType w:fmt="lowerRoman"/>
          <w:cols w:space="720"/>
          <w:docGrid w:linePitch="360"/>
        </w:sectPr>
      </w:pPr>
      <w:r w:rsidRPr="000A40A4">
        <w:rPr>
          <w:rFonts w:asciiTheme="minorHAnsi" w:hAnsiTheme="minorHAnsi"/>
          <w:szCs w:val="20"/>
        </w:rPr>
        <w:fldChar w:fldCharType="end"/>
      </w:r>
    </w:p>
    <w:p w:rsidR="002E5621" w:rsidRPr="0091124D" w:rsidRDefault="002E5621" w:rsidP="002E5621">
      <w:pPr>
        <w:adjustRightInd/>
        <w:spacing w:line="240" w:lineRule="auto"/>
        <w:textAlignment w:val="auto"/>
        <w:outlineLvl w:val="0"/>
        <w:rPr>
          <w:rFonts w:ascii="Calibri" w:hAnsi="Calibri" w:cs="Arial"/>
          <w:b/>
          <w:bCs/>
          <w:color w:val="0C95D2"/>
          <w:sz w:val="36"/>
          <w:szCs w:val="36"/>
        </w:rPr>
      </w:pPr>
      <w:bookmarkStart w:id="7" w:name="_Toc459884079"/>
      <w:bookmarkStart w:id="8" w:name="_Toc486405948"/>
      <w:r w:rsidRPr="0091124D">
        <w:rPr>
          <w:rFonts w:ascii="Calibri" w:hAnsi="Calibri" w:cs="Arial"/>
          <w:b/>
          <w:bCs/>
          <w:color w:val="0C95D2"/>
          <w:sz w:val="36"/>
          <w:szCs w:val="36"/>
        </w:rPr>
        <w:lastRenderedPageBreak/>
        <w:t>Nomenclature</w:t>
      </w:r>
      <w:bookmarkEnd w:id="7"/>
      <w:bookmarkEnd w:id="8"/>
    </w:p>
    <w:p w:rsidR="00FB189F" w:rsidRPr="00FB189F" w:rsidRDefault="00BE0FE6" w:rsidP="006374B9">
      <w:pPr>
        <w:rPr>
          <w:rFonts w:ascii="Calibri" w:eastAsia="Calibri" w:hAnsi="Calibri"/>
          <w:color w:val="000000"/>
          <w:sz w:val="22"/>
        </w:rPr>
      </w:pPr>
      <w:r w:rsidRPr="00FB189F">
        <w:rPr>
          <w:rFonts w:ascii="Calibri" w:eastAsia="Calibri" w:hAnsi="Calibri"/>
          <w:color w:val="000000"/>
          <w:sz w:val="22"/>
        </w:rPr>
        <w:t xml:space="preserve">Nomenclature used in </w:t>
      </w:r>
      <w:r w:rsidR="00FB189F" w:rsidRPr="00FB189F">
        <w:rPr>
          <w:rFonts w:ascii="Calibri" w:eastAsia="Calibri" w:hAnsi="Calibri"/>
          <w:color w:val="000000"/>
          <w:sz w:val="22"/>
        </w:rPr>
        <w:t>this study</w:t>
      </w:r>
      <w:r w:rsidR="00FB189F">
        <w:rPr>
          <w:rFonts w:ascii="Calibri" w:eastAsia="Calibri" w:hAnsi="Calibri"/>
          <w:color w:val="000000"/>
          <w:sz w:val="22"/>
        </w:rPr>
        <w:t>:</w:t>
      </w:r>
    </w:p>
    <w:p w:rsidR="00DA1D56" w:rsidRDefault="00DA1D56" w:rsidP="002C7A07">
      <w:pPr>
        <w:adjustRightInd/>
        <w:spacing w:after="40" w:line="240" w:lineRule="auto"/>
        <w:textAlignment w:val="auto"/>
        <w:rPr>
          <w:rFonts w:asciiTheme="minorHAnsi" w:eastAsia="Calibri" w:hAnsiTheme="minorHAnsi"/>
          <w:szCs w:val="20"/>
        </w:rPr>
      </w:pPr>
      <w:r>
        <w:rPr>
          <w:rFonts w:asciiTheme="minorHAnsi" w:eastAsia="Calibri" w:hAnsiTheme="minorHAnsi" w:cstheme="minorHAnsi"/>
          <w:szCs w:val="20"/>
        </w:rPr>
        <w:t>¢</w:t>
      </w:r>
      <w:r>
        <w:rPr>
          <w:rFonts w:asciiTheme="minorHAnsi" w:eastAsia="Calibri" w:hAnsiTheme="minorHAnsi"/>
          <w:szCs w:val="20"/>
        </w:rPr>
        <w:t>/kWh</w:t>
      </w:r>
      <w:r>
        <w:rPr>
          <w:rFonts w:asciiTheme="minorHAnsi" w:eastAsia="Calibri" w:hAnsiTheme="minorHAnsi"/>
          <w:szCs w:val="20"/>
        </w:rPr>
        <w:tab/>
      </w:r>
      <w:r>
        <w:rPr>
          <w:rFonts w:asciiTheme="minorHAnsi" w:eastAsia="Calibri" w:hAnsiTheme="minorHAnsi"/>
          <w:szCs w:val="20"/>
        </w:rPr>
        <w:tab/>
        <w:t>cents per kilowatt-hour</w:t>
      </w:r>
    </w:p>
    <w:p w:rsidR="00DA1D56" w:rsidRDefault="00DA1D56" w:rsidP="002C7A07">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$/kW-yr</w:t>
      </w:r>
      <w:r>
        <w:rPr>
          <w:rFonts w:asciiTheme="minorHAnsi" w:eastAsia="Calibri" w:hAnsiTheme="minorHAnsi"/>
          <w:szCs w:val="20"/>
        </w:rPr>
        <w:tab/>
      </w:r>
      <w:r>
        <w:rPr>
          <w:rFonts w:asciiTheme="minorHAnsi" w:eastAsia="Calibri" w:hAnsiTheme="minorHAnsi"/>
          <w:szCs w:val="20"/>
        </w:rPr>
        <w:tab/>
        <w:t>dollars per kilowatt-year</w:t>
      </w:r>
    </w:p>
    <w:p w:rsidR="00D63F0F" w:rsidRPr="002C7A07" w:rsidRDefault="00D63F0F"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AC</w:t>
      </w:r>
      <w:r w:rsidRPr="002C7A07">
        <w:rPr>
          <w:rFonts w:asciiTheme="minorHAnsi" w:eastAsia="Calibri" w:hAnsiTheme="minorHAnsi"/>
          <w:szCs w:val="20"/>
        </w:rPr>
        <w:tab/>
      </w:r>
      <w:r w:rsidRPr="002C7A07">
        <w:rPr>
          <w:rFonts w:asciiTheme="minorHAnsi" w:eastAsia="Calibri" w:hAnsiTheme="minorHAnsi"/>
          <w:szCs w:val="20"/>
        </w:rPr>
        <w:tab/>
        <w:t>alternating current</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ACC</w:t>
      </w:r>
      <w:r w:rsidRPr="002C7A07">
        <w:rPr>
          <w:rFonts w:asciiTheme="minorHAnsi" w:eastAsia="Calibri" w:hAnsiTheme="minorHAnsi"/>
          <w:szCs w:val="20"/>
        </w:rPr>
        <w:tab/>
      </w:r>
      <w:r w:rsidRPr="002C7A07">
        <w:rPr>
          <w:rFonts w:asciiTheme="minorHAnsi" w:eastAsia="Calibri" w:hAnsiTheme="minorHAnsi"/>
          <w:szCs w:val="20"/>
        </w:rPr>
        <w:tab/>
        <w:t>annual carrying charge</w:t>
      </w:r>
    </w:p>
    <w:p w:rsidR="00D63F0F" w:rsidRPr="002C7A07" w:rsidRDefault="00D63F0F"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ACP</w:t>
      </w:r>
      <w:r w:rsidRPr="002C7A07">
        <w:rPr>
          <w:rFonts w:asciiTheme="minorHAnsi" w:eastAsia="Calibri" w:hAnsiTheme="minorHAnsi"/>
          <w:szCs w:val="20"/>
        </w:rPr>
        <w:tab/>
      </w:r>
      <w:r w:rsidRPr="002C7A07">
        <w:rPr>
          <w:rFonts w:asciiTheme="minorHAnsi" w:eastAsia="Calibri" w:hAnsiTheme="minorHAnsi"/>
          <w:szCs w:val="20"/>
        </w:rPr>
        <w:tab/>
        <w:t>alternative compliance payment</w:t>
      </w:r>
    </w:p>
    <w:p w:rsidR="008D46D4" w:rsidRPr="002C7A07" w:rsidRDefault="008D46D4" w:rsidP="008D46D4">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ADR</w:t>
      </w:r>
      <w:r w:rsidRPr="002C7A07">
        <w:rPr>
          <w:rFonts w:asciiTheme="minorHAnsi" w:eastAsia="Calibri" w:hAnsiTheme="minorHAnsi"/>
          <w:szCs w:val="20"/>
        </w:rPr>
        <w:tab/>
      </w:r>
      <w:r w:rsidRPr="002C7A07">
        <w:rPr>
          <w:rFonts w:asciiTheme="minorHAnsi" w:eastAsia="Calibri" w:hAnsiTheme="minorHAnsi"/>
          <w:szCs w:val="20"/>
        </w:rPr>
        <w:tab/>
        <w:t>active demand resource</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AEO</w:t>
      </w:r>
      <w:r w:rsidRPr="002C7A07">
        <w:rPr>
          <w:rFonts w:asciiTheme="minorHAnsi" w:eastAsia="Calibri" w:hAnsiTheme="minorHAnsi"/>
          <w:szCs w:val="20"/>
        </w:rPr>
        <w:tab/>
      </w:r>
      <w:r w:rsidRPr="002C7A07">
        <w:rPr>
          <w:rFonts w:asciiTheme="minorHAnsi" w:eastAsia="Calibri" w:hAnsiTheme="minorHAnsi"/>
          <w:szCs w:val="20"/>
        </w:rPr>
        <w:tab/>
        <w:t>Annual Energy Outlook (US Energy Information Administration)</w:t>
      </w:r>
    </w:p>
    <w:p w:rsidR="006374B9" w:rsidRDefault="008D46D4" w:rsidP="002C7A07">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AFUDC</w:t>
      </w:r>
      <w:r>
        <w:rPr>
          <w:rFonts w:asciiTheme="minorHAnsi" w:eastAsia="Calibri" w:hAnsiTheme="minorHAnsi"/>
          <w:szCs w:val="20"/>
        </w:rPr>
        <w:tab/>
      </w:r>
      <w:r>
        <w:rPr>
          <w:rFonts w:asciiTheme="minorHAnsi" w:eastAsia="Calibri" w:hAnsiTheme="minorHAnsi"/>
          <w:szCs w:val="20"/>
        </w:rPr>
        <w:tab/>
        <w:t>allowance for funds used during construction</w:t>
      </w:r>
    </w:p>
    <w:p w:rsidR="00D63F0F" w:rsidRPr="002C7A07" w:rsidRDefault="00D63F0F"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B</w:t>
      </w:r>
      <w:r w:rsidRPr="002C7A07">
        <w:rPr>
          <w:rFonts w:asciiTheme="minorHAnsi" w:eastAsia="Calibri" w:hAnsiTheme="minorHAnsi"/>
          <w:szCs w:val="20"/>
        </w:rPr>
        <w:tab/>
      </w:r>
      <w:r w:rsidRPr="002C7A07">
        <w:rPr>
          <w:rFonts w:asciiTheme="minorHAnsi" w:eastAsia="Calibri" w:hAnsiTheme="minorHAnsi"/>
          <w:szCs w:val="20"/>
        </w:rPr>
        <w:tab/>
        <w:t>billion (dollars)</w:t>
      </w:r>
    </w:p>
    <w:p w:rsidR="006A107A" w:rsidRPr="002C7A07" w:rsidRDefault="006A107A"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BHE</w:t>
      </w:r>
      <w:r w:rsidRPr="002C7A07">
        <w:rPr>
          <w:rFonts w:asciiTheme="minorHAnsi" w:eastAsia="Calibri" w:hAnsiTheme="minorHAnsi"/>
          <w:szCs w:val="20"/>
        </w:rPr>
        <w:tab/>
      </w:r>
      <w:r w:rsidRPr="002C7A07">
        <w:rPr>
          <w:rFonts w:asciiTheme="minorHAnsi" w:eastAsia="Calibri" w:hAnsiTheme="minorHAnsi"/>
          <w:szCs w:val="20"/>
        </w:rPr>
        <w:tab/>
      </w:r>
      <w:r w:rsidR="00772410" w:rsidRPr="002C7A07">
        <w:rPr>
          <w:rFonts w:asciiTheme="minorHAnsi" w:eastAsia="Calibri" w:hAnsiTheme="minorHAnsi"/>
          <w:szCs w:val="20"/>
        </w:rPr>
        <w:t>RSP subarea/area—</w:t>
      </w:r>
      <w:r w:rsidRPr="002C7A07">
        <w:rPr>
          <w:rFonts w:asciiTheme="minorHAnsi" w:hAnsiTheme="minorHAnsi"/>
          <w:szCs w:val="20"/>
        </w:rPr>
        <w:t>northeastern Maine</w:t>
      </w:r>
    </w:p>
    <w:p w:rsidR="006A107A" w:rsidRPr="002C7A07" w:rsidRDefault="006A107A"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 xml:space="preserve">BOSTON </w:t>
      </w:r>
      <w:r w:rsidR="00772410" w:rsidRPr="002C7A07">
        <w:rPr>
          <w:rFonts w:asciiTheme="minorHAnsi" w:eastAsia="Calibri" w:hAnsiTheme="minorHAnsi"/>
          <w:szCs w:val="20"/>
        </w:rPr>
        <w:tab/>
      </w:r>
      <w:r w:rsidRPr="002C7A07">
        <w:rPr>
          <w:rFonts w:asciiTheme="minorHAnsi" w:eastAsia="Calibri" w:hAnsiTheme="minorHAnsi"/>
          <w:szCs w:val="20"/>
        </w:rPr>
        <w:t>(all caps) RSP subarea covering Greater Boston, including the North Shore</w:t>
      </w:r>
    </w:p>
    <w:p w:rsidR="00D63F0F" w:rsidRPr="002C7A07" w:rsidRDefault="00D63F0F"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BTM</w:t>
      </w:r>
      <w:r w:rsidRPr="002C7A07">
        <w:rPr>
          <w:rFonts w:asciiTheme="minorHAnsi" w:eastAsia="Calibri" w:hAnsiTheme="minorHAnsi"/>
          <w:szCs w:val="20"/>
        </w:rPr>
        <w:tab/>
      </w:r>
      <w:r w:rsidRPr="002C7A07">
        <w:rPr>
          <w:rFonts w:asciiTheme="minorHAnsi" w:eastAsia="Calibri" w:hAnsiTheme="minorHAnsi"/>
          <w:szCs w:val="20"/>
        </w:rPr>
        <w:tab/>
        <w:t>behind the meter</w:t>
      </w:r>
    </w:p>
    <w:p w:rsidR="00DA1D56" w:rsidRDefault="00DA1D56" w:rsidP="002C7A07">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CARIS</w:t>
      </w:r>
      <w:r>
        <w:rPr>
          <w:rFonts w:asciiTheme="minorHAnsi" w:eastAsia="Calibri" w:hAnsiTheme="minorHAnsi"/>
          <w:szCs w:val="20"/>
        </w:rPr>
        <w:tab/>
      </w:r>
      <w:r>
        <w:rPr>
          <w:rFonts w:asciiTheme="minorHAnsi" w:eastAsia="Calibri" w:hAnsiTheme="minorHAnsi"/>
          <w:szCs w:val="20"/>
        </w:rPr>
        <w:tab/>
      </w:r>
      <w:r w:rsidRPr="007B6299">
        <w:rPr>
          <w:rFonts w:asciiTheme="minorHAnsi" w:eastAsia="Calibri" w:hAnsiTheme="minorHAnsi"/>
          <w:i/>
          <w:szCs w:val="20"/>
        </w:rPr>
        <w:t>Congestion Assessment and Resource Integration Study</w:t>
      </w:r>
    </w:p>
    <w:p w:rsidR="008D46D4" w:rsidRDefault="00DA1D56" w:rsidP="002C7A07">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CASPR</w:t>
      </w:r>
      <w:r>
        <w:rPr>
          <w:rFonts w:asciiTheme="minorHAnsi" w:eastAsia="Calibri" w:hAnsiTheme="minorHAnsi"/>
          <w:szCs w:val="20"/>
        </w:rPr>
        <w:tab/>
      </w:r>
      <w:r>
        <w:rPr>
          <w:rFonts w:asciiTheme="minorHAnsi" w:eastAsia="Calibri" w:hAnsiTheme="minorHAnsi"/>
          <w:szCs w:val="20"/>
        </w:rPr>
        <w:tab/>
        <w:t>competitive auction with s</w:t>
      </w:r>
      <w:r w:rsidR="00324D11">
        <w:rPr>
          <w:rFonts w:asciiTheme="minorHAnsi" w:eastAsia="Calibri" w:hAnsiTheme="minorHAnsi"/>
          <w:szCs w:val="20"/>
        </w:rPr>
        <w:t>ponsored</w:t>
      </w:r>
      <w:r>
        <w:rPr>
          <w:rFonts w:asciiTheme="minorHAnsi" w:eastAsia="Calibri" w:hAnsiTheme="minorHAnsi"/>
          <w:szCs w:val="20"/>
        </w:rPr>
        <w:t xml:space="preserve"> policy resources</w:t>
      </w:r>
    </w:p>
    <w:p w:rsidR="008D46D4" w:rsidRDefault="008D46D4" w:rsidP="002C7A07">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CC</w:t>
      </w:r>
      <w:r>
        <w:rPr>
          <w:rFonts w:asciiTheme="minorHAnsi" w:eastAsia="Calibri" w:hAnsiTheme="minorHAnsi"/>
          <w:szCs w:val="20"/>
        </w:rPr>
        <w:tab/>
      </w:r>
      <w:r>
        <w:rPr>
          <w:rFonts w:asciiTheme="minorHAnsi" w:eastAsia="Calibri" w:hAnsiTheme="minorHAnsi"/>
          <w:szCs w:val="20"/>
        </w:rPr>
        <w:tab/>
        <w:t>combined cycle</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CELT</w:t>
      </w:r>
      <w:r w:rsidRPr="002C7A07">
        <w:rPr>
          <w:rFonts w:asciiTheme="minorHAnsi" w:eastAsia="Calibri" w:hAnsiTheme="minorHAnsi"/>
          <w:szCs w:val="20"/>
        </w:rPr>
        <w:tab/>
      </w:r>
      <w:r w:rsidRPr="002C7A07">
        <w:rPr>
          <w:rFonts w:asciiTheme="minorHAnsi" w:eastAsia="Calibri" w:hAnsiTheme="minorHAnsi"/>
          <w:szCs w:val="20"/>
        </w:rPr>
        <w:tab/>
        <w:t>Forecast Report of Capacity, Energy, Load, and Transmission (ISO New England)</w:t>
      </w:r>
    </w:p>
    <w:p w:rsidR="006374B9" w:rsidRDefault="006374B9" w:rsidP="002C7A07">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CMA</w:t>
      </w:r>
      <w:r>
        <w:rPr>
          <w:rFonts w:asciiTheme="minorHAnsi" w:eastAsia="Calibri" w:hAnsiTheme="minorHAnsi"/>
          <w:szCs w:val="20"/>
        </w:rPr>
        <w:tab/>
      </w:r>
      <w:r>
        <w:rPr>
          <w:rFonts w:asciiTheme="minorHAnsi" w:eastAsia="Calibri" w:hAnsiTheme="minorHAnsi"/>
          <w:szCs w:val="20"/>
        </w:rPr>
        <w:tab/>
        <w:t>Central Massachusetts area</w:t>
      </w:r>
      <w:r>
        <w:rPr>
          <w:rFonts w:asciiTheme="minorHAnsi" w:eastAsia="Calibri" w:hAnsiTheme="minorHAnsi"/>
          <w:szCs w:val="20"/>
        </w:rPr>
        <w:tab/>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CO</w:t>
      </w:r>
      <w:r w:rsidRPr="002C7A07">
        <w:rPr>
          <w:rFonts w:asciiTheme="minorHAnsi" w:eastAsia="Calibri" w:hAnsiTheme="minorHAnsi"/>
          <w:szCs w:val="20"/>
          <w:vertAlign w:val="subscript"/>
        </w:rPr>
        <w:t>2</w:t>
      </w:r>
      <w:r w:rsidRPr="002C7A07">
        <w:rPr>
          <w:rFonts w:asciiTheme="minorHAnsi" w:eastAsia="Calibri" w:hAnsiTheme="minorHAnsi"/>
          <w:szCs w:val="20"/>
        </w:rPr>
        <w:tab/>
      </w:r>
      <w:r w:rsidRPr="002C7A07">
        <w:rPr>
          <w:rFonts w:asciiTheme="minorHAnsi" w:eastAsia="Calibri" w:hAnsiTheme="minorHAnsi"/>
          <w:szCs w:val="20"/>
        </w:rPr>
        <w:tab/>
        <w:t>carbon dioxide</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CSC</w:t>
      </w:r>
      <w:r w:rsidRPr="002C7A07">
        <w:rPr>
          <w:rFonts w:asciiTheme="minorHAnsi" w:eastAsia="Calibri" w:hAnsiTheme="minorHAnsi"/>
          <w:szCs w:val="20"/>
        </w:rPr>
        <w:tab/>
      </w:r>
      <w:r w:rsidRPr="002C7A07">
        <w:rPr>
          <w:rFonts w:asciiTheme="minorHAnsi" w:eastAsia="Calibri" w:hAnsiTheme="minorHAnsi"/>
          <w:szCs w:val="20"/>
        </w:rPr>
        <w:tab/>
        <w:t xml:space="preserve">Cross-Sound Cable </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CSO</w:t>
      </w:r>
      <w:r w:rsidRPr="002C7A07">
        <w:rPr>
          <w:rFonts w:asciiTheme="minorHAnsi" w:eastAsia="Calibri" w:hAnsiTheme="minorHAnsi"/>
          <w:szCs w:val="20"/>
        </w:rPr>
        <w:tab/>
      </w:r>
      <w:r w:rsidRPr="002C7A07">
        <w:rPr>
          <w:rFonts w:asciiTheme="minorHAnsi" w:eastAsia="Calibri" w:hAnsiTheme="minorHAnsi"/>
          <w:szCs w:val="20"/>
        </w:rPr>
        <w:tab/>
        <w:t>Capacity Supply Obligation</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CT</w:t>
      </w:r>
      <w:r w:rsidRPr="002C7A07">
        <w:rPr>
          <w:rFonts w:asciiTheme="minorHAnsi" w:eastAsia="Calibri" w:hAnsiTheme="minorHAnsi"/>
          <w:szCs w:val="20"/>
        </w:rPr>
        <w:tab/>
      </w:r>
      <w:r w:rsidRPr="002C7A07">
        <w:rPr>
          <w:rFonts w:asciiTheme="minorHAnsi" w:eastAsia="Calibri" w:hAnsiTheme="minorHAnsi"/>
          <w:szCs w:val="20"/>
        </w:rPr>
        <w:tab/>
        <w:t>RSP area—northern and eastern Connecticut</w:t>
      </w:r>
    </w:p>
    <w:p w:rsidR="00D63F0F" w:rsidRPr="002C7A07" w:rsidRDefault="00D63F0F"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DC</w:t>
      </w:r>
      <w:r w:rsidRPr="002C7A07">
        <w:rPr>
          <w:rFonts w:asciiTheme="minorHAnsi" w:eastAsia="Calibri" w:hAnsiTheme="minorHAnsi"/>
          <w:szCs w:val="20"/>
        </w:rPr>
        <w:tab/>
      </w:r>
      <w:r w:rsidRPr="002C7A07">
        <w:rPr>
          <w:rFonts w:asciiTheme="minorHAnsi" w:eastAsia="Calibri" w:hAnsiTheme="minorHAnsi"/>
          <w:szCs w:val="20"/>
        </w:rPr>
        <w:tab/>
        <w:t>direct current</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DOE</w:t>
      </w:r>
      <w:r w:rsidRPr="002C7A07">
        <w:rPr>
          <w:rFonts w:asciiTheme="minorHAnsi" w:eastAsia="Calibri" w:hAnsiTheme="minorHAnsi"/>
          <w:szCs w:val="20"/>
        </w:rPr>
        <w:tab/>
      </w:r>
      <w:r w:rsidRPr="002C7A07">
        <w:rPr>
          <w:rFonts w:asciiTheme="minorHAnsi" w:eastAsia="Calibri" w:hAnsiTheme="minorHAnsi"/>
          <w:szCs w:val="20"/>
        </w:rPr>
        <w:tab/>
        <w:t>Department of Energy (US)</w:t>
      </w:r>
    </w:p>
    <w:p w:rsidR="00D63F0F" w:rsidRPr="002C7A07" w:rsidRDefault="00D63F0F"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DR</w:t>
      </w:r>
      <w:r w:rsidRPr="002C7A07">
        <w:rPr>
          <w:rFonts w:asciiTheme="minorHAnsi" w:eastAsia="Calibri" w:hAnsiTheme="minorHAnsi"/>
          <w:szCs w:val="20"/>
        </w:rPr>
        <w:tab/>
      </w:r>
      <w:r w:rsidRPr="002C7A07">
        <w:rPr>
          <w:rFonts w:asciiTheme="minorHAnsi" w:eastAsia="Calibri" w:hAnsiTheme="minorHAnsi"/>
          <w:szCs w:val="20"/>
        </w:rPr>
        <w:tab/>
        <w:t>demand resource</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EE</w:t>
      </w:r>
      <w:r w:rsidRPr="002C7A07">
        <w:rPr>
          <w:rFonts w:asciiTheme="minorHAnsi" w:eastAsia="Calibri" w:hAnsiTheme="minorHAnsi"/>
          <w:szCs w:val="20"/>
        </w:rPr>
        <w:tab/>
      </w:r>
      <w:r w:rsidRPr="002C7A07">
        <w:rPr>
          <w:rFonts w:asciiTheme="minorHAnsi" w:eastAsia="Calibri" w:hAnsiTheme="minorHAnsi"/>
          <w:szCs w:val="20"/>
        </w:rPr>
        <w:tab/>
        <w:t>energy efficiency</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 xml:space="preserve">EIA </w:t>
      </w:r>
      <w:r w:rsidRPr="002C7A07">
        <w:rPr>
          <w:rFonts w:asciiTheme="minorHAnsi" w:eastAsia="Calibri" w:hAnsiTheme="minorHAnsi"/>
          <w:szCs w:val="20"/>
        </w:rPr>
        <w:tab/>
      </w:r>
      <w:r w:rsidRPr="002C7A07">
        <w:rPr>
          <w:rFonts w:asciiTheme="minorHAnsi" w:eastAsia="Calibri" w:hAnsiTheme="minorHAnsi"/>
          <w:szCs w:val="20"/>
        </w:rPr>
        <w:tab/>
        <w:t>Energy Information Administration</w:t>
      </w:r>
    </w:p>
    <w:p w:rsidR="00D63F0F" w:rsidRPr="002C7A07" w:rsidRDefault="00D63F0F"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ES</w:t>
      </w:r>
      <w:r w:rsidRPr="002C7A07">
        <w:rPr>
          <w:rFonts w:asciiTheme="minorHAnsi" w:eastAsia="Calibri" w:hAnsiTheme="minorHAnsi"/>
          <w:szCs w:val="20"/>
        </w:rPr>
        <w:tab/>
      </w:r>
      <w:r w:rsidRPr="002C7A07">
        <w:rPr>
          <w:rFonts w:asciiTheme="minorHAnsi" w:eastAsia="Calibri" w:hAnsiTheme="minorHAnsi"/>
          <w:szCs w:val="20"/>
        </w:rPr>
        <w:tab/>
        <w:t>energy storage</w:t>
      </w:r>
    </w:p>
    <w:p w:rsidR="00D63F0F" w:rsidRPr="002C7A07" w:rsidRDefault="00D63F0F"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FACTS</w:t>
      </w:r>
      <w:r w:rsidRPr="002C7A07">
        <w:rPr>
          <w:rFonts w:asciiTheme="minorHAnsi" w:eastAsia="Calibri" w:hAnsiTheme="minorHAnsi"/>
          <w:szCs w:val="20"/>
        </w:rPr>
        <w:tab/>
      </w:r>
      <w:r w:rsidRPr="002C7A07">
        <w:rPr>
          <w:rFonts w:asciiTheme="minorHAnsi" w:eastAsia="Calibri" w:hAnsiTheme="minorHAnsi"/>
          <w:szCs w:val="20"/>
        </w:rPr>
        <w:tab/>
        <w:t>Flexible Alternating-Current Transmission System</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FCA</w:t>
      </w:r>
      <w:r w:rsidRPr="002C7A07">
        <w:rPr>
          <w:rFonts w:asciiTheme="minorHAnsi" w:eastAsia="Calibri" w:hAnsiTheme="minorHAnsi"/>
          <w:szCs w:val="20"/>
        </w:rPr>
        <w:tab/>
      </w:r>
      <w:r w:rsidRPr="002C7A07">
        <w:rPr>
          <w:rFonts w:asciiTheme="minorHAnsi" w:eastAsia="Calibri" w:hAnsiTheme="minorHAnsi"/>
          <w:szCs w:val="20"/>
        </w:rPr>
        <w:tab/>
        <w:t>Forward Capacity Auction</w:t>
      </w:r>
    </w:p>
    <w:p w:rsidR="00725964" w:rsidRPr="002C7A07" w:rsidRDefault="00725964"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GT</w:t>
      </w:r>
      <w:r w:rsidRPr="002C7A07">
        <w:rPr>
          <w:rFonts w:asciiTheme="minorHAnsi" w:eastAsia="Calibri" w:hAnsiTheme="minorHAnsi"/>
          <w:szCs w:val="20"/>
        </w:rPr>
        <w:tab/>
      </w:r>
      <w:r w:rsidRPr="002C7A07">
        <w:rPr>
          <w:rFonts w:asciiTheme="minorHAnsi" w:eastAsia="Calibri" w:hAnsiTheme="minorHAnsi"/>
          <w:szCs w:val="20"/>
        </w:rPr>
        <w:tab/>
        <w:t>gas turbine</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GV</w:t>
      </w:r>
      <w:r w:rsidRPr="002C7A07">
        <w:rPr>
          <w:rFonts w:asciiTheme="minorHAnsi" w:eastAsia="Calibri" w:hAnsiTheme="minorHAnsi"/>
          <w:szCs w:val="20"/>
        </w:rPr>
        <w:tab/>
      </w:r>
      <w:r w:rsidRPr="002C7A07">
        <w:rPr>
          <w:rFonts w:asciiTheme="minorHAnsi" w:eastAsia="Calibri" w:hAnsiTheme="minorHAnsi"/>
          <w:szCs w:val="20"/>
        </w:rPr>
        <w:tab/>
        <w:t>GridView</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GWh</w:t>
      </w:r>
      <w:r w:rsidRPr="002C7A07">
        <w:rPr>
          <w:rFonts w:asciiTheme="minorHAnsi" w:eastAsia="Calibri" w:hAnsiTheme="minorHAnsi"/>
          <w:szCs w:val="20"/>
        </w:rPr>
        <w:tab/>
      </w:r>
      <w:r w:rsidRPr="002C7A07">
        <w:rPr>
          <w:rFonts w:asciiTheme="minorHAnsi" w:eastAsia="Calibri" w:hAnsiTheme="minorHAnsi"/>
          <w:szCs w:val="20"/>
        </w:rPr>
        <w:tab/>
        <w:t xml:space="preserve">gigawatt-hours </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HG</w:t>
      </w:r>
      <w:r w:rsidRPr="002C7A07">
        <w:rPr>
          <w:rFonts w:asciiTheme="minorHAnsi" w:eastAsia="Calibri" w:hAnsiTheme="minorHAnsi"/>
          <w:szCs w:val="20"/>
        </w:rPr>
        <w:tab/>
      </w:r>
      <w:r w:rsidRPr="002C7A07">
        <w:rPr>
          <w:rFonts w:asciiTheme="minorHAnsi" w:eastAsia="Calibri" w:hAnsiTheme="minorHAnsi"/>
          <w:szCs w:val="20"/>
        </w:rPr>
        <w:tab/>
        <w:t>Highgate</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HQ PII</w:t>
      </w:r>
      <w:r w:rsidRPr="002C7A07">
        <w:rPr>
          <w:rFonts w:asciiTheme="minorHAnsi" w:eastAsia="Calibri" w:hAnsiTheme="minorHAnsi"/>
          <w:szCs w:val="20"/>
        </w:rPr>
        <w:tab/>
      </w:r>
      <w:r w:rsidRPr="002C7A07">
        <w:rPr>
          <w:rFonts w:asciiTheme="minorHAnsi" w:eastAsia="Calibri" w:hAnsiTheme="minorHAnsi"/>
          <w:szCs w:val="20"/>
        </w:rPr>
        <w:tab/>
        <w:t>Hydro-Québec Phase II</w:t>
      </w:r>
    </w:p>
    <w:p w:rsidR="00D63F0F" w:rsidRPr="002C7A07" w:rsidRDefault="00D63F0F"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HVDC</w:t>
      </w:r>
      <w:r w:rsidRPr="002C7A07">
        <w:rPr>
          <w:rFonts w:asciiTheme="minorHAnsi" w:eastAsia="Calibri" w:hAnsiTheme="minorHAnsi"/>
          <w:szCs w:val="20"/>
        </w:rPr>
        <w:tab/>
      </w:r>
      <w:r w:rsidRPr="002C7A07">
        <w:rPr>
          <w:rFonts w:asciiTheme="minorHAnsi" w:eastAsia="Calibri" w:hAnsiTheme="minorHAnsi"/>
          <w:szCs w:val="20"/>
        </w:rPr>
        <w:tab/>
        <w:t>high-voltage direct current</w:t>
      </w:r>
    </w:p>
    <w:p w:rsidR="00DA1D56" w:rsidRDefault="00DA1D56" w:rsidP="002C7A07">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hydro</w:t>
      </w:r>
      <w:r>
        <w:rPr>
          <w:rFonts w:asciiTheme="minorHAnsi" w:eastAsia="Calibri" w:hAnsiTheme="minorHAnsi"/>
          <w:szCs w:val="20"/>
        </w:rPr>
        <w:tab/>
      </w:r>
      <w:r>
        <w:rPr>
          <w:rFonts w:asciiTheme="minorHAnsi" w:eastAsia="Calibri" w:hAnsiTheme="minorHAnsi"/>
          <w:szCs w:val="20"/>
        </w:rPr>
        <w:tab/>
        <w:t>hydroelectric</w:t>
      </w:r>
    </w:p>
    <w:p w:rsidR="006374B9" w:rsidRDefault="006374B9" w:rsidP="002C7A07">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IC</w:t>
      </w:r>
      <w:r>
        <w:rPr>
          <w:rFonts w:asciiTheme="minorHAnsi" w:eastAsia="Calibri" w:hAnsiTheme="minorHAnsi"/>
          <w:szCs w:val="20"/>
        </w:rPr>
        <w:tab/>
      </w:r>
      <w:r>
        <w:rPr>
          <w:rFonts w:asciiTheme="minorHAnsi" w:eastAsia="Calibri" w:hAnsiTheme="minorHAnsi"/>
          <w:szCs w:val="20"/>
        </w:rPr>
        <w:tab/>
        <w:t>internal combustion</w:t>
      </w:r>
    </w:p>
    <w:p w:rsidR="00D63F0F" w:rsidRPr="002C7A07" w:rsidRDefault="00D63F0F"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IMAPP</w:t>
      </w:r>
      <w:r w:rsidRPr="002C7A07">
        <w:rPr>
          <w:rFonts w:asciiTheme="minorHAnsi" w:eastAsia="Calibri" w:hAnsiTheme="minorHAnsi"/>
          <w:szCs w:val="20"/>
        </w:rPr>
        <w:tab/>
      </w:r>
      <w:r w:rsidRPr="002C7A07">
        <w:rPr>
          <w:rFonts w:asciiTheme="minorHAnsi" w:eastAsia="Calibri" w:hAnsiTheme="minorHAnsi"/>
          <w:szCs w:val="20"/>
        </w:rPr>
        <w:tab/>
        <w:t>Integrating Markets and Public Policy, ISO initiative</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ISO</w:t>
      </w:r>
      <w:r w:rsidRPr="002C7A07">
        <w:rPr>
          <w:rFonts w:asciiTheme="minorHAnsi" w:eastAsia="Calibri" w:hAnsiTheme="minorHAnsi"/>
          <w:szCs w:val="20"/>
        </w:rPr>
        <w:tab/>
      </w:r>
      <w:r w:rsidRPr="002C7A07">
        <w:rPr>
          <w:rFonts w:asciiTheme="minorHAnsi" w:eastAsia="Calibri" w:hAnsiTheme="minorHAnsi"/>
          <w:szCs w:val="20"/>
        </w:rPr>
        <w:tab/>
        <w:t>ISO New England</w:t>
      </w:r>
    </w:p>
    <w:p w:rsidR="00D63F0F" w:rsidRPr="002C7A07" w:rsidRDefault="00D63F0F"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KC</w:t>
      </w:r>
      <w:r w:rsidRPr="002C7A07">
        <w:rPr>
          <w:rFonts w:asciiTheme="minorHAnsi" w:eastAsia="Calibri" w:hAnsiTheme="minorHAnsi"/>
          <w:szCs w:val="20"/>
        </w:rPr>
        <w:tab/>
      </w:r>
      <w:r w:rsidRPr="002C7A07">
        <w:rPr>
          <w:rFonts w:asciiTheme="minorHAnsi" w:eastAsia="Calibri" w:hAnsiTheme="minorHAnsi"/>
          <w:szCs w:val="20"/>
        </w:rPr>
        <w:tab/>
        <w:t>Kent County</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kton</w:t>
      </w:r>
      <w:r w:rsidRPr="002C7A07">
        <w:rPr>
          <w:rFonts w:asciiTheme="minorHAnsi" w:eastAsia="Calibri" w:hAnsiTheme="minorHAnsi"/>
          <w:szCs w:val="20"/>
        </w:rPr>
        <w:tab/>
      </w:r>
      <w:r w:rsidRPr="002C7A07">
        <w:rPr>
          <w:rFonts w:asciiTheme="minorHAnsi" w:eastAsia="Calibri" w:hAnsiTheme="minorHAnsi"/>
          <w:szCs w:val="20"/>
        </w:rPr>
        <w:tab/>
        <w:t>kiloton</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lastRenderedPageBreak/>
        <w:t>kV</w:t>
      </w:r>
      <w:r w:rsidRPr="002C7A07">
        <w:rPr>
          <w:rFonts w:asciiTheme="minorHAnsi" w:eastAsia="Calibri" w:hAnsiTheme="minorHAnsi"/>
          <w:szCs w:val="20"/>
        </w:rPr>
        <w:tab/>
      </w:r>
      <w:r w:rsidRPr="002C7A07">
        <w:rPr>
          <w:rFonts w:asciiTheme="minorHAnsi" w:eastAsia="Calibri" w:hAnsiTheme="minorHAnsi"/>
          <w:szCs w:val="20"/>
        </w:rPr>
        <w:tab/>
        <w:t>kilovolt</w:t>
      </w:r>
    </w:p>
    <w:p w:rsidR="00D63F0F" w:rsidRPr="002C7A07" w:rsidRDefault="00D63F0F"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kW</w:t>
      </w:r>
      <w:r w:rsidRPr="002C7A07">
        <w:rPr>
          <w:rFonts w:asciiTheme="minorHAnsi" w:eastAsia="Calibri" w:hAnsiTheme="minorHAnsi"/>
          <w:szCs w:val="20"/>
        </w:rPr>
        <w:tab/>
      </w:r>
      <w:r w:rsidRPr="002C7A07">
        <w:rPr>
          <w:rFonts w:asciiTheme="minorHAnsi" w:eastAsia="Calibri" w:hAnsiTheme="minorHAnsi"/>
          <w:szCs w:val="20"/>
        </w:rPr>
        <w:tab/>
        <w:t>kilowatt</w:t>
      </w:r>
    </w:p>
    <w:p w:rsidR="00D63F0F" w:rsidRDefault="00D63F0F"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kWh</w:t>
      </w:r>
      <w:r w:rsidRPr="002C7A07">
        <w:rPr>
          <w:rFonts w:asciiTheme="minorHAnsi" w:eastAsia="Calibri" w:hAnsiTheme="minorHAnsi"/>
          <w:szCs w:val="20"/>
        </w:rPr>
        <w:tab/>
      </w:r>
      <w:r w:rsidRPr="002C7A07">
        <w:rPr>
          <w:rFonts w:asciiTheme="minorHAnsi" w:eastAsia="Calibri" w:hAnsiTheme="minorHAnsi"/>
          <w:szCs w:val="20"/>
        </w:rPr>
        <w:tab/>
        <w:t>kilowatt-hour</w:t>
      </w:r>
    </w:p>
    <w:p w:rsidR="00DA1D56" w:rsidRPr="002C7A07" w:rsidRDefault="00DA1D56" w:rsidP="002C7A07">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kW-yr</w:t>
      </w:r>
      <w:r>
        <w:rPr>
          <w:rFonts w:asciiTheme="minorHAnsi" w:eastAsia="Calibri" w:hAnsiTheme="minorHAnsi"/>
          <w:szCs w:val="20"/>
        </w:rPr>
        <w:tab/>
      </w:r>
      <w:r>
        <w:rPr>
          <w:rFonts w:asciiTheme="minorHAnsi" w:eastAsia="Calibri" w:hAnsiTheme="minorHAnsi"/>
          <w:szCs w:val="20"/>
        </w:rPr>
        <w:tab/>
        <w:t>kilowatt-year</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LMP</w:t>
      </w:r>
      <w:r w:rsidRPr="002C7A07">
        <w:rPr>
          <w:rFonts w:asciiTheme="minorHAnsi" w:eastAsia="Calibri" w:hAnsiTheme="minorHAnsi"/>
          <w:szCs w:val="20"/>
        </w:rPr>
        <w:tab/>
      </w:r>
      <w:r w:rsidRPr="002C7A07">
        <w:rPr>
          <w:rFonts w:asciiTheme="minorHAnsi" w:eastAsia="Calibri" w:hAnsiTheme="minorHAnsi"/>
          <w:szCs w:val="20"/>
        </w:rPr>
        <w:tab/>
        <w:t xml:space="preserve">locational marginal price </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 xml:space="preserve">LSE </w:t>
      </w:r>
      <w:r w:rsidRPr="002C7A07">
        <w:rPr>
          <w:rFonts w:asciiTheme="minorHAnsi" w:eastAsia="Calibri" w:hAnsiTheme="minorHAnsi"/>
          <w:szCs w:val="20"/>
        </w:rPr>
        <w:tab/>
      </w:r>
      <w:r w:rsidRPr="002C7A07">
        <w:rPr>
          <w:rFonts w:asciiTheme="minorHAnsi" w:eastAsia="Calibri" w:hAnsiTheme="minorHAnsi"/>
          <w:szCs w:val="20"/>
        </w:rPr>
        <w:tab/>
        <w:t>load-serving entity</w:t>
      </w:r>
    </w:p>
    <w:p w:rsidR="00D63F0F" w:rsidRPr="002C7A07" w:rsidRDefault="00D63F0F" w:rsidP="002C7A07">
      <w:pPr>
        <w:adjustRightInd/>
        <w:spacing w:after="40" w:line="240" w:lineRule="auto"/>
        <w:ind w:left="1440" w:hanging="1440"/>
        <w:textAlignment w:val="auto"/>
        <w:rPr>
          <w:rFonts w:asciiTheme="minorHAnsi" w:eastAsia="Calibri" w:hAnsiTheme="minorHAnsi"/>
          <w:szCs w:val="20"/>
        </w:rPr>
      </w:pPr>
      <w:r w:rsidRPr="002C7A07">
        <w:rPr>
          <w:rFonts w:asciiTheme="minorHAnsi" w:eastAsia="Calibri" w:hAnsiTheme="minorHAnsi"/>
          <w:szCs w:val="20"/>
        </w:rPr>
        <w:t>M</w:t>
      </w:r>
      <w:r w:rsidRPr="002C7A07">
        <w:rPr>
          <w:rFonts w:asciiTheme="minorHAnsi" w:eastAsia="Calibri" w:hAnsiTheme="minorHAnsi"/>
          <w:szCs w:val="20"/>
        </w:rPr>
        <w:tab/>
        <w:t>million (dollars)</w:t>
      </w:r>
    </w:p>
    <w:p w:rsidR="00BE0FE6" w:rsidRPr="002C7A07" w:rsidRDefault="00BE0FE6" w:rsidP="002C7A07">
      <w:pPr>
        <w:adjustRightInd/>
        <w:spacing w:after="40" w:line="240" w:lineRule="auto"/>
        <w:ind w:left="1440" w:hanging="1440"/>
        <w:textAlignment w:val="auto"/>
        <w:rPr>
          <w:rFonts w:asciiTheme="minorHAnsi" w:eastAsia="Calibri" w:hAnsiTheme="minorHAnsi"/>
          <w:szCs w:val="20"/>
        </w:rPr>
      </w:pPr>
      <w:r w:rsidRPr="002C7A07">
        <w:rPr>
          <w:rFonts w:asciiTheme="minorHAnsi" w:eastAsia="Calibri" w:hAnsiTheme="minorHAnsi"/>
          <w:szCs w:val="20"/>
        </w:rPr>
        <w:t>MBtu</w:t>
      </w:r>
      <w:r w:rsidRPr="002C7A07">
        <w:rPr>
          <w:rFonts w:asciiTheme="minorHAnsi" w:eastAsia="Calibri" w:hAnsiTheme="minorHAnsi"/>
          <w:szCs w:val="20"/>
        </w:rPr>
        <w:tab/>
        <w:t>million British thermal units (frequently referred as MMBtu with ‘M’ representing</w:t>
      </w:r>
      <w:r w:rsidRPr="002C7A07">
        <w:rPr>
          <w:rFonts w:asciiTheme="minorHAnsi" w:eastAsia="Calibri" w:hAnsiTheme="minorHAnsi"/>
          <w:szCs w:val="20"/>
        </w:rPr>
        <w:br/>
        <w:t xml:space="preserve"> thousands)</w:t>
      </w:r>
    </w:p>
    <w:p w:rsidR="00CF10F8" w:rsidRPr="002C7A07" w:rsidRDefault="00CF10F8" w:rsidP="002C7A07">
      <w:pPr>
        <w:adjustRightInd/>
        <w:spacing w:after="40" w:line="240" w:lineRule="auto"/>
        <w:textAlignment w:val="auto"/>
        <w:rPr>
          <w:rFonts w:asciiTheme="minorHAnsi" w:eastAsia="Calibri" w:hAnsiTheme="minorHAnsi"/>
          <w:szCs w:val="20"/>
        </w:rPr>
      </w:pPr>
      <w:r w:rsidRPr="002C7A07">
        <w:rPr>
          <w:rFonts w:asciiTheme="minorHAnsi" w:hAnsiTheme="minorHAnsi"/>
          <w:szCs w:val="20"/>
        </w:rPr>
        <w:t>ME</w:t>
      </w:r>
      <w:r w:rsidR="00715C11" w:rsidRPr="002C7A07">
        <w:rPr>
          <w:rFonts w:asciiTheme="minorHAnsi" w:hAnsiTheme="minorHAnsi"/>
          <w:szCs w:val="20"/>
        </w:rPr>
        <w:tab/>
      </w:r>
      <w:r w:rsidR="00715C11" w:rsidRPr="002C7A07">
        <w:rPr>
          <w:rFonts w:asciiTheme="minorHAnsi" w:hAnsiTheme="minorHAnsi"/>
          <w:szCs w:val="20"/>
        </w:rPr>
        <w:tab/>
      </w:r>
      <w:r w:rsidRPr="002C7A07">
        <w:rPr>
          <w:rFonts w:asciiTheme="minorHAnsi" w:hAnsiTheme="minorHAnsi"/>
          <w:szCs w:val="20"/>
        </w:rPr>
        <w:t>western and central Maine/Saco Valley, New Hampshire</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MW</w:t>
      </w:r>
      <w:r w:rsidRPr="002C7A07">
        <w:rPr>
          <w:rFonts w:asciiTheme="minorHAnsi" w:eastAsia="Calibri" w:hAnsiTheme="minorHAnsi"/>
          <w:szCs w:val="20"/>
        </w:rPr>
        <w:tab/>
      </w:r>
      <w:r w:rsidRPr="002C7A07">
        <w:rPr>
          <w:rFonts w:asciiTheme="minorHAnsi" w:eastAsia="Calibri" w:hAnsiTheme="minorHAnsi"/>
          <w:szCs w:val="20"/>
        </w:rPr>
        <w:tab/>
        <w:t xml:space="preserve">megawatt(s) </w:t>
      </w:r>
    </w:p>
    <w:p w:rsidR="00D63F0F" w:rsidRPr="002C7A07" w:rsidRDefault="00D63F0F" w:rsidP="002C7A07">
      <w:pPr>
        <w:tabs>
          <w:tab w:val="left" w:pos="1421"/>
        </w:tabs>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MWe</w:t>
      </w:r>
      <w:r w:rsidR="00772410" w:rsidRPr="002C7A07">
        <w:rPr>
          <w:rFonts w:asciiTheme="minorHAnsi" w:eastAsia="Calibri" w:hAnsiTheme="minorHAnsi"/>
          <w:szCs w:val="20"/>
        </w:rPr>
        <w:tab/>
        <w:t>electrical megawatts</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MWh</w:t>
      </w:r>
      <w:r w:rsidRPr="002C7A07">
        <w:rPr>
          <w:rFonts w:asciiTheme="minorHAnsi" w:eastAsia="Calibri" w:hAnsiTheme="minorHAnsi"/>
          <w:szCs w:val="20"/>
        </w:rPr>
        <w:tab/>
      </w:r>
      <w:r w:rsidRPr="002C7A07">
        <w:rPr>
          <w:rFonts w:asciiTheme="minorHAnsi" w:eastAsia="Calibri" w:hAnsiTheme="minorHAnsi"/>
          <w:szCs w:val="20"/>
        </w:rPr>
        <w:tab/>
        <w:t>megawatt-hour</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N-1</w:t>
      </w:r>
      <w:r w:rsidRPr="002C7A07">
        <w:rPr>
          <w:rFonts w:asciiTheme="minorHAnsi" w:eastAsia="Calibri" w:hAnsiTheme="minorHAnsi"/>
          <w:szCs w:val="20"/>
        </w:rPr>
        <w:tab/>
      </w:r>
      <w:r w:rsidRPr="002C7A07">
        <w:rPr>
          <w:rFonts w:asciiTheme="minorHAnsi" w:eastAsia="Calibri" w:hAnsiTheme="minorHAnsi"/>
          <w:szCs w:val="20"/>
        </w:rPr>
        <w:tab/>
        <w:t>first contingency</w:t>
      </w:r>
    </w:p>
    <w:p w:rsidR="006374B9" w:rsidRDefault="006374B9" w:rsidP="002C7A07">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NB–NE</w:t>
      </w:r>
      <w:r>
        <w:rPr>
          <w:rFonts w:asciiTheme="minorHAnsi" w:eastAsia="Calibri" w:hAnsiTheme="minorHAnsi"/>
          <w:szCs w:val="20"/>
        </w:rPr>
        <w:tab/>
      </w:r>
      <w:r>
        <w:rPr>
          <w:rFonts w:asciiTheme="minorHAnsi" w:eastAsia="Calibri" w:hAnsiTheme="minorHAnsi"/>
          <w:szCs w:val="20"/>
        </w:rPr>
        <w:tab/>
        <w:t>New Brunswick–New England interface</w:t>
      </w:r>
    </w:p>
    <w:p w:rsidR="006374B9" w:rsidRDefault="006374B9" w:rsidP="002C7A07">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n.d.</w:t>
      </w:r>
      <w:r>
        <w:rPr>
          <w:rFonts w:asciiTheme="minorHAnsi" w:eastAsia="Calibri" w:hAnsiTheme="minorHAnsi"/>
          <w:szCs w:val="20"/>
        </w:rPr>
        <w:tab/>
      </w:r>
      <w:r>
        <w:rPr>
          <w:rFonts w:asciiTheme="minorHAnsi" w:eastAsia="Calibri" w:hAnsiTheme="minorHAnsi"/>
          <w:szCs w:val="20"/>
        </w:rPr>
        <w:tab/>
        <w:t>no date</w:t>
      </w:r>
    </w:p>
    <w:p w:rsidR="006374B9" w:rsidRDefault="006374B9" w:rsidP="002C7A07">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NEMA</w:t>
      </w:r>
      <w:r>
        <w:rPr>
          <w:rFonts w:asciiTheme="minorHAnsi" w:eastAsia="Calibri" w:hAnsiTheme="minorHAnsi"/>
          <w:szCs w:val="20"/>
        </w:rPr>
        <w:tab/>
      </w:r>
      <w:r>
        <w:rPr>
          <w:rFonts w:asciiTheme="minorHAnsi" w:eastAsia="Calibri" w:hAnsiTheme="minorHAnsi"/>
          <w:szCs w:val="20"/>
        </w:rPr>
        <w:tab/>
        <w:t>Northeast Massachusetts area</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NEPOOL</w:t>
      </w:r>
      <w:r w:rsidRPr="002C7A07">
        <w:rPr>
          <w:rFonts w:asciiTheme="minorHAnsi" w:eastAsia="Calibri" w:hAnsiTheme="minorHAnsi"/>
          <w:szCs w:val="20"/>
        </w:rPr>
        <w:tab/>
      </w:r>
      <w:r w:rsidR="0091124D">
        <w:rPr>
          <w:rFonts w:asciiTheme="minorHAnsi" w:eastAsia="Calibri" w:hAnsiTheme="minorHAnsi"/>
          <w:szCs w:val="20"/>
        </w:rPr>
        <w:tab/>
      </w:r>
      <w:r w:rsidRPr="002C7A07">
        <w:rPr>
          <w:rFonts w:asciiTheme="minorHAnsi" w:eastAsia="Calibri" w:hAnsiTheme="minorHAnsi"/>
          <w:szCs w:val="20"/>
        </w:rPr>
        <w:t>New England Power Pool</w:t>
      </w:r>
    </w:p>
    <w:p w:rsidR="006374B9" w:rsidRDefault="006374B9" w:rsidP="002C7A07">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NG</w:t>
      </w:r>
      <w:r>
        <w:rPr>
          <w:rFonts w:asciiTheme="minorHAnsi" w:eastAsia="Calibri" w:hAnsiTheme="minorHAnsi"/>
          <w:szCs w:val="20"/>
        </w:rPr>
        <w:tab/>
      </w:r>
      <w:r>
        <w:rPr>
          <w:rFonts w:asciiTheme="minorHAnsi" w:eastAsia="Calibri" w:hAnsiTheme="minorHAnsi"/>
          <w:szCs w:val="20"/>
        </w:rPr>
        <w:tab/>
        <w:t>natural gas</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NGCC</w:t>
      </w:r>
      <w:r w:rsidRPr="002C7A07">
        <w:rPr>
          <w:rFonts w:asciiTheme="minorHAnsi" w:eastAsia="Calibri" w:hAnsiTheme="minorHAnsi"/>
          <w:szCs w:val="20"/>
        </w:rPr>
        <w:tab/>
      </w:r>
      <w:r w:rsidRPr="002C7A07">
        <w:rPr>
          <w:rFonts w:asciiTheme="minorHAnsi" w:eastAsia="Calibri" w:hAnsiTheme="minorHAnsi"/>
          <w:szCs w:val="20"/>
        </w:rPr>
        <w:tab/>
        <w:t>natural gas combined cycle</w:t>
      </w:r>
    </w:p>
    <w:p w:rsidR="006A107A" w:rsidRPr="002C7A07" w:rsidRDefault="006A107A" w:rsidP="002C7A07">
      <w:pPr>
        <w:adjustRightInd/>
        <w:spacing w:after="40" w:line="240" w:lineRule="auto"/>
        <w:textAlignment w:val="auto"/>
        <w:rPr>
          <w:rFonts w:asciiTheme="minorHAnsi" w:eastAsia="Calibri" w:hAnsiTheme="minorHAnsi"/>
          <w:szCs w:val="20"/>
        </w:rPr>
      </w:pPr>
      <w:r w:rsidRPr="002C7A07">
        <w:rPr>
          <w:rFonts w:asciiTheme="minorHAnsi" w:hAnsiTheme="minorHAnsi"/>
          <w:szCs w:val="20"/>
        </w:rPr>
        <w:t>NH</w:t>
      </w:r>
      <w:r w:rsidR="00715C11" w:rsidRPr="002C7A07">
        <w:rPr>
          <w:rFonts w:asciiTheme="minorHAnsi" w:hAnsiTheme="minorHAnsi"/>
          <w:szCs w:val="20"/>
        </w:rPr>
        <w:tab/>
      </w:r>
      <w:r w:rsidR="00715C11" w:rsidRPr="002C7A07">
        <w:rPr>
          <w:rFonts w:asciiTheme="minorHAnsi" w:hAnsiTheme="minorHAnsi"/>
          <w:szCs w:val="20"/>
        </w:rPr>
        <w:tab/>
      </w:r>
      <w:r w:rsidRPr="002C7A07">
        <w:rPr>
          <w:rFonts w:asciiTheme="minorHAnsi" w:hAnsiTheme="minorHAnsi"/>
          <w:szCs w:val="20"/>
        </w:rPr>
        <w:t>northern, eastern, and central New Hampshire /eastern Vermont and southwestern Maine</w:t>
      </w:r>
    </w:p>
    <w:p w:rsidR="00D63F0F" w:rsidRPr="002C7A07" w:rsidRDefault="00D63F0F"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NICR</w:t>
      </w:r>
      <w:r w:rsidRPr="002C7A07">
        <w:rPr>
          <w:rFonts w:asciiTheme="minorHAnsi" w:eastAsia="Calibri" w:hAnsiTheme="minorHAnsi"/>
          <w:szCs w:val="20"/>
        </w:rPr>
        <w:tab/>
      </w:r>
      <w:r w:rsidRPr="002C7A07">
        <w:rPr>
          <w:rFonts w:asciiTheme="minorHAnsi" w:eastAsia="Calibri" w:hAnsiTheme="minorHAnsi"/>
          <w:szCs w:val="20"/>
        </w:rPr>
        <w:tab/>
        <w:t>net Installed Capacity Requirement</w:t>
      </w:r>
    </w:p>
    <w:p w:rsidR="007B6299" w:rsidRPr="002C7A07" w:rsidRDefault="007B6299" w:rsidP="007B6299">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NO</w:t>
      </w:r>
      <w:r w:rsidRPr="002C7A07">
        <w:rPr>
          <w:rFonts w:asciiTheme="minorHAnsi" w:eastAsia="Calibri" w:hAnsiTheme="minorHAnsi"/>
          <w:szCs w:val="20"/>
          <w:vertAlign w:val="subscript"/>
        </w:rPr>
        <w:t>X</w:t>
      </w:r>
      <w:r w:rsidRPr="002C7A07">
        <w:rPr>
          <w:rFonts w:asciiTheme="minorHAnsi" w:eastAsia="Calibri" w:hAnsiTheme="minorHAnsi"/>
          <w:szCs w:val="20"/>
        </w:rPr>
        <w:tab/>
      </w:r>
      <w:r w:rsidRPr="002C7A07">
        <w:rPr>
          <w:rFonts w:asciiTheme="minorHAnsi" w:eastAsia="Calibri" w:hAnsiTheme="minorHAnsi"/>
          <w:szCs w:val="20"/>
        </w:rPr>
        <w:tab/>
        <w:t>nitrogen oxide</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NREL</w:t>
      </w:r>
      <w:r w:rsidRPr="002C7A07">
        <w:rPr>
          <w:rFonts w:asciiTheme="minorHAnsi" w:eastAsia="Calibri" w:hAnsiTheme="minorHAnsi"/>
          <w:szCs w:val="20"/>
        </w:rPr>
        <w:tab/>
      </w:r>
      <w:r w:rsidRPr="002C7A07">
        <w:rPr>
          <w:rFonts w:asciiTheme="minorHAnsi" w:eastAsia="Calibri" w:hAnsiTheme="minorHAnsi"/>
          <w:szCs w:val="20"/>
        </w:rPr>
        <w:tab/>
        <w:t>National Renewable Energy Laboratory (US Department of Energy)</w:t>
      </w:r>
    </w:p>
    <w:p w:rsidR="006374B9" w:rsidRDefault="006374B9" w:rsidP="002C7A07">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N</w:t>
      </w:r>
      <w:r w:rsidR="000D4B7A">
        <w:rPr>
          <w:rFonts w:asciiTheme="minorHAnsi" w:eastAsia="Calibri" w:hAnsiTheme="minorHAnsi"/>
          <w:szCs w:val="20"/>
        </w:rPr>
        <w:t>uc</w:t>
      </w:r>
      <w:r>
        <w:rPr>
          <w:rFonts w:asciiTheme="minorHAnsi" w:eastAsia="Calibri" w:hAnsiTheme="minorHAnsi"/>
          <w:szCs w:val="20"/>
        </w:rPr>
        <w:tab/>
      </w:r>
      <w:r>
        <w:rPr>
          <w:rFonts w:asciiTheme="minorHAnsi" w:eastAsia="Calibri" w:hAnsiTheme="minorHAnsi"/>
          <w:szCs w:val="20"/>
        </w:rPr>
        <w:tab/>
        <w:t>nuclear</w:t>
      </w:r>
    </w:p>
    <w:p w:rsidR="006374B9" w:rsidRDefault="006374B9" w:rsidP="002C7A07">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NY</w:t>
      </w:r>
      <w:r>
        <w:rPr>
          <w:rFonts w:asciiTheme="minorHAnsi" w:eastAsia="Calibri" w:hAnsiTheme="minorHAnsi"/>
          <w:szCs w:val="20"/>
        </w:rPr>
        <w:tab/>
      </w:r>
      <w:r>
        <w:rPr>
          <w:rFonts w:asciiTheme="minorHAnsi" w:eastAsia="Calibri" w:hAnsiTheme="minorHAnsi"/>
          <w:szCs w:val="20"/>
        </w:rPr>
        <w:tab/>
        <w:t>New York</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OATT</w:t>
      </w:r>
      <w:r w:rsidRPr="002C7A07">
        <w:rPr>
          <w:rFonts w:asciiTheme="minorHAnsi" w:eastAsia="Calibri" w:hAnsiTheme="minorHAnsi"/>
          <w:szCs w:val="20"/>
        </w:rPr>
        <w:tab/>
      </w:r>
      <w:r w:rsidRPr="002C7A07">
        <w:rPr>
          <w:rFonts w:asciiTheme="minorHAnsi" w:eastAsia="Calibri" w:hAnsiTheme="minorHAnsi"/>
          <w:szCs w:val="20"/>
        </w:rPr>
        <w:tab/>
      </w:r>
      <w:r w:rsidRPr="002C7A07">
        <w:rPr>
          <w:rFonts w:asciiTheme="minorHAnsi" w:eastAsia="Calibri" w:hAnsiTheme="minorHAnsi"/>
          <w:i/>
          <w:szCs w:val="20"/>
        </w:rPr>
        <w:t>Open Access Transmission Tariff</w:t>
      </w:r>
      <w:r w:rsidRPr="002C7A07">
        <w:rPr>
          <w:rFonts w:asciiTheme="minorHAnsi" w:eastAsia="Calibri" w:hAnsiTheme="minorHAnsi"/>
          <w:szCs w:val="20"/>
        </w:rPr>
        <w:t xml:space="preserve"> </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 xml:space="preserve">PAC </w:t>
      </w:r>
      <w:r w:rsidRPr="002C7A07">
        <w:rPr>
          <w:rFonts w:asciiTheme="minorHAnsi" w:eastAsia="Calibri" w:hAnsiTheme="minorHAnsi"/>
          <w:szCs w:val="20"/>
        </w:rPr>
        <w:tab/>
      </w:r>
      <w:r w:rsidRPr="002C7A07">
        <w:rPr>
          <w:rFonts w:asciiTheme="minorHAnsi" w:eastAsia="Calibri" w:hAnsiTheme="minorHAnsi"/>
          <w:szCs w:val="20"/>
        </w:rPr>
        <w:tab/>
        <w:t xml:space="preserve">Planning Advisory Committee </w:t>
      </w:r>
    </w:p>
    <w:p w:rsidR="00D63F0F" w:rsidRPr="002C7A07" w:rsidRDefault="00D63F0F"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PHEV</w:t>
      </w:r>
      <w:r w:rsidRPr="002C7A07">
        <w:rPr>
          <w:rFonts w:asciiTheme="minorHAnsi" w:eastAsia="Calibri" w:hAnsiTheme="minorHAnsi"/>
          <w:szCs w:val="20"/>
        </w:rPr>
        <w:tab/>
      </w:r>
      <w:r w:rsidRPr="002C7A07">
        <w:rPr>
          <w:rFonts w:asciiTheme="minorHAnsi" w:eastAsia="Calibri" w:hAnsiTheme="minorHAnsi"/>
          <w:szCs w:val="20"/>
        </w:rPr>
        <w:tab/>
        <w:t>plug-in hybrid electric vehicle</w:t>
      </w:r>
    </w:p>
    <w:p w:rsidR="00BE0FE6"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POI</w:t>
      </w:r>
      <w:r w:rsidRPr="002C7A07">
        <w:rPr>
          <w:rFonts w:asciiTheme="minorHAnsi" w:eastAsia="Calibri" w:hAnsiTheme="minorHAnsi"/>
          <w:szCs w:val="20"/>
        </w:rPr>
        <w:tab/>
      </w:r>
      <w:r w:rsidRPr="002C7A07">
        <w:rPr>
          <w:rFonts w:asciiTheme="minorHAnsi" w:eastAsia="Calibri" w:hAnsiTheme="minorHAnsi"/>
          <w:szCs w:val="20"/>
        </w:rPr>
        <w:tab/>
        <w:t>point of interconnection</w:t>
      </w:r>
    </w:p>
    <w:p w:rsidR="00410161" w:rsidRPr="002C7A07" w:rsidRDefault="00410161" w:rsidP="002C7A07">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PRD</w:t>
      </w:r>
      <w:r>
        <w:rPr>
          <w:rFonts w:asciiTheme="minorHAnsi" w:eastAsia="Calibri" w:hAnsiTheme="minorHAnsi"/>
          <w:szCs w:val="20"/>
        </w:rPr>
        <w:tab/>
      </w:r>
      <w:r>
        <w:rPr>
          <w:rFonts w:asciiTheme="minorHAnsi" w:eastAsia="Calibri" w:hAnsiTheme="minorHAnsi"/>
          <w:szCs w:val="20"/>
        </w:rPr>
        <w:tab/>
        <w:t>price-responsive dem</w:t>
      </w:r>
      <w:r w:rsidR="00474D29">
        <w:rPr>
          <w:rFonts w:asciiTheme="minorHAnsi" w:eastAsia="Calibri" w:hAnsiTheme="minorHAnsi"/>
          <w:szCs w:val="20"/>
        </w:rPr>
        <w:t>a</w:t>
      </w:r>
      <w:r>
        <w:rPr>
          <w:rFonts w:asciiTheme="minorHAnsi" w:eastAsia="Calibri" w:hAnsiTheme="minorHAnsi"/>
          <w:szCs w:val="20"/>
        </w:rPr>
        <w:t>nd</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PV</w:t>
      </w:r>
      <w:r w:rsidRPr="002C7A07">
        <w:rPr>
          <w:rFonts w:asciiTheme="minorHAnsi" w:eastAsia="Calibri" w:hAnsiTheme="minorHAnsi"/>
          <w:szCs w:val="20"/>
        </w:rPr>
        <w:tab/>
      </w:r>
      <w:r w:rsidRPr="002C7A07">
        <w:rPr>
          <w:rFonts w:asciiTheme="minorHAnsi" w:eastAsia="Calibri" w:hAnsiTheme="minorHAnsi"/>
          <w:szCs w:val="20"/>
        </w:rPr>
        <w:tab/>
        <w:t>photovoltaic</w:t>
      </w:r>
    </w:p>
    <w:p w:rsidR="00D63F0F" w:rsidRPr="002C7A07" w:rsidRDefault="00D63F0F"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RARC</w:t>
      </w:r>
      <w:r w:rsidRPr="002C7A07">
        <w:rPr>
          <w:rFonts w:asciiTheme="minorHAnsi" w:eastAsia="Calibri" w:hAnsiTheme="minorHAnsi"/>
          <w:szCs w:val="20"/>
        </w:rPr>
        <w:tab/>
      </w:r>
      <w:r w:rsidRPr="002C7A07">
        <w:rPr>
          <w:rFonts w:asciiTheme="minorHAnsi" w:eastAsia="Calibri" w:hAnsiTheme="minorHAnsi"/>
          <w:szCs w:val="20"/>
        </w:rPr>
        <w:tab/>
        <w:t>relative annual resource cost</w:t>
      </w:r>
    </w:p>
    <w:p w:rsidR="00D63F0F" w:rsidRPr="002C7A07" w:rsidRDefault="00D63F0F"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REC</w:t>
      </w:r>
      <w:r w:rsidRPr="002C7A07">
        <w:rPr>
          <w:rFonts w:asciiTheme="minorHAnsi" w:eastAsia="Calibri" w:hAnsiTheme="minorHAnsi"/>
          <w:szCs w:val="20"/>
        </w:rPr>
        <w:tab/>
      </w:r>
      <w:r w:rsidRPr="002C7A07">
        <w:rPr>
          <w:rFonts w:asciiTheme="minorHAnsi" w:eastAsia="Calibri" w:hAnsiTheme="minorHAnsi"/>
          <w:szCs w:val="20"/>
        </w:rPr>
        <w:tab/>
        <w:t>Renewable Energy Credit</w:t>
      </w:r>
    </w:p>
    <w:p w:rsidR="00D63F0F" w:rsidRPr="002C7A07" w:rsidRDefault="00D63F0F"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RGGI</w:t>
      </w:r>
      <w:r w:rsidRPr="002C7A07">
        <w:rPr>
          <w:rFonts w:asciiTheme="minorHAnsi" w:eastAsia="Calibri" w:hAnsiTheme="minorHAnsi"/>
          <w:szCs w:val="20"/>
        </w:rPr>
        <w:tab/>
      </w:r>
      <w:r w:rsidRPr="002C7A07">
        <w:rPr>
          <w:rFonts w:asciiTheme="minorHAnsi" w:eastAsia="Calibri" w:hAnsiTheme="minorHAnsi"/>
          <w:szCs w:val="20"/>
        </w:rPr>
        <w:tab/>
        <w:t>Regional Greenhouse Gas Initiative</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RI</w:t>
      </w:r>
      <w:r w:rsidRPr="002C7A07">
        <w:rPr>
          <w:rFonts w:asciiTheme="minorHAnsi" w:eastAsia="Calibri" w:hAnsiTheme="minorHAnsi"/>
          <w:szCs w:val="20"/>
        </w:rPr>
        <w:tab/>
      </w:r>
      <w:r w:rsidRPr="002C7A07">
        <w:rPr>
          <w:rFonts w:asciiTheme="minorHAnsi" w:eastAsia="Calibri" w:hAnsiTheme="minorHAnsi"/>
          <w:szCs w:val="20"/>
        </w:rPr>
        <w:tab/>
        <w:t>RSP area—Rhode Island/bordering MA</w:t>
      </w:r>
    </w:p>
    <w:p w:rsidR="00D63F0F" w:rsidRPr="002C7A07" w:rsidRDefault="00D63F0F"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RPS</w:t>
      </w:r>
      <w:r w:rsidRPr="002C7A07">
        <w:rPr>
          <w:rFonts w:asciiTheme="minorHAnsi" w:eastAsia="Calibri" w:hAnsiTheme="minorHAnsi"/>
          <w:szCs w:val="20"/>
        </w:rPr>
        <w:tab/>
      </w:r>
      <w:r w:rsidRPr="002C7A07">
        <w:rPr>
          <w:rFonts w:asciiTheme="minorHAnsi" w:eastAsia="Calibri" w:hAnsiTheme="minorHAnsi"/>
          <w:szCs w:val="20"/>
        </w:rPr>
        <w:tab/>
        <w:t>Renewable Portfolio Standard</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RSP</w:t>
      </w:r>
      <w:r w:rsidRPr="002C7A07">
        <w:rPr>
          <w:rFonts w:asciiTheme="minorHAnsi" w:eastAsia="Calibri" w:hAnsiTheme="minorHAnsi"/>
          <w:szCs w:val="20"/>
        </w:rPr>
        <w:tab/>
      </w:r>
      <w:r w:rsidRPr="002C7A07">
        <w:rPr>
          <w:rFonts w:asciiTheme="minorHAnsi" w:eastAsia="Calibri" w:hAnsiTheme="minorHAnsi"/>
          <w:szCs w:val="20"/>
        </w:rPr>
        <w:tab/>
        <w:t xml:space="preserve">Regional System Plan </w:t>
      </w:r>
    </w:p>
    <w:p w:rsidR="00D63F0F" w:rsidRPr="002C7A07" w:rsidRDefault="00D63F0F"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RSP15</w:t>
      </w:r>
      <w:r w:rsidRPr="002C7A07">
        <w:rPr>
          <w:rFonts w:asciiTheme="minorHAnsi" w:eastAsia="Calibri" w:hAnsiTheme="minorHAnsi"/>
          <w:szCs w:val="20"/>
        </w:rPr>
        <w:tab/>
      </w:r>
      <w:r w:rsidRPr="002C7A07">
        <w:rPr>
          <w:rFonts w:asciiTheme="minorHAnsi" w:eastAsia="Calibri" w:hAnsiTheme="minorHAnsi"/>
          <w:szCs w:val="20"/>
        </w:rPr>
        <w:tab/>
      </w:r>
      <w:r w:rsidRPr="002C7A07">
        <w:rPr>
          <w:rFonts w:asciiTheme="minorHAnsi" w:eastAsia="Calibri" w:hAnsiTheme="minorHAnsi"/>
          <w:i/>
          <w:szCs w:val="20"/>
        </w:rPr>
        <w:t>2015 Regional System Plan</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RTEG</w:t>
      </w:r>
      <w:r w:rsidRPr="002C7A07">
        <w:rPr>
          <w:rFonts w:asciiTheme="minorHAnsi" w:eastAsia="Calibri" w:hAnsiTheme="minorHAnsi"/>
          <w:szCs w:val="20"/>
        </w:rPr>
        <w:tab/>
      </w:r>
      <w:r w:rsidRPr="002C7A07">
        <w:rPr>
          <w:rFonts w:asciiTheme="minorHAnsi" w:eastAsia="Calibri" w:hAnsiTheme="minorHAnsi"/>
          <w:szCs w:val="20"/>
        </w:rPr>
        <w:tab/>
        <w:t xml:space="preserve">real-time emergency generation </w:t>
      </w:r>
    </w:p>
    <w:p w:rsidR="006374B9" w:rsidRDefault="006374B9" w:rsidP="002C7A07">
      <w:pPr>
        <w:adjustRightInd/>
        <w:spacing w:after="40" w:line="240" w:lineRule="auto"/>
        <w:textAlignment w:val="auto"/>
        <w:rPr>
          <w:rFonts w:asciiTheme="minorHAnsi" w:eastAsia="Calibri" w:hAnsiTheme="minorHAnsi"/>
          <w:szCs w:val="20"/>
        </w:rPr>
      </w:pPr>
      <w:r>
        <w:rPr>
          <w:rFonts w:asciiTheme="minorHAnsi" w:eastAsia="Calibri" w:hAnsiTheme="minorHAnsi"/>
          <w:szCs w:val="20"/>
        </w:rPr>
        <w:t>SCC</w:t>
      </w:r>
      <w:r>
        <w:rPr>
          <w:rFonts w:asciiTheme="minorHAnsi" w:eastAsia="Calibri" w:hAnsiTheme="minorHAnsi"/>
          <w:szCs w:val="20"/>
        </w:rPr>
        <w:tab/>
      </w:r>
      <w:r>
        <w:rPr>
          <w:rFonts w:asciiTheme="minorHAnsi" w:eastAsia="Calibri" w:hAnsiTheme="minorHAnsi"/>
          <w:szCs w:val="20"/>
        </w:rPr>
        <w:tab/>
        <w:t>seasonal claimed capability</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SEMA</w:t>
      </w:r>
      <w:r w:rsidRPr="002C7A07">
        <w:rPr>
          <w:rFonts w:asciiTheme="minorHAnsi" w:eastAsia="Calibri" w:hAnsiTheme="minorHAnsi"/>
          <w:szCs w:val="20"/>
        </w:rPr>
        <w:tab/>
      </w:r>
      <w:r w:rsidRPr="002C7A07">
        <w:rPr>
          <w:rFonts w:asciiTheme="minorHAnsi" w:eastAsia="Calibri" w:hAnsiTheme="minorHAnsi"/>
          <w:szCs w:val="20"/>
        </w:rPr>
        <w:tab/>
        <w:t>RSP area—Southeastern Massachusetts/Newport, Rhode Island</w:t>
      </w:r>
    </w:p>
    <w:p w:rsidR="00CF10F8" w:rsidRPr="002C7A07" w:rsidRDefault="00BE0FE6" w:rsidP="002C7A07">
      <w:pPr>
        <w:adjustRightInd/>
        <w:spacing w:after="40" w:line="240" w:lineRule="auto"/>
        <w:textAlignment w:val="auto"/>
        <w:rPr>
          <w:rFonts w:asciiTheme="minorHAnsi" w:hAnsiTheme="minorHAnsi"/>
          <w:szCs w:val="20"/>
        </w:rPr>
      </w:pPr>
      <w:r w:rsidRPr="002C7A07">
        <w:rPr>
          <w:rFonts w:asciiTheme="minorHAnsi" w:eastAsia="Calibri" w:hAnsiTheme="minorHAnsi"/>
          <w:szCs w:val="20"/>
        </w:rPr>
        <w:t>SEMA/RI</w:t>
      </w:r>
      <w:r w:rsidRPr="002C7A07">
        <w:rPr>
          <w:rFonts w:asciiTheme="minorHAnsi" w:eastAsia="Calibri" w:hAnsiTheme="minorHAnsi"/>
          <w:szCs w:val="20"/>
        </w:rPr>
        <w:tab/>
      </w:r>
      <w:r w:rsidR="00FB189F" w:rsidRPr="002C7A07">
        <w:rPr>
          <w:rFonts w:asciiTheme="minorHAnsi" w:eastAsia="Calibri" w:hAnsiTheme="minorHAnsi"/>
          <w:szCs w:val="20"/>
        </w:rPr>
        <w:tab/>
      </w:r>
      <w:r w:rsidR="00CF10F8" w:rsidRPr="002C7A07">
        <w:rPr>
          <w:rFonts w:asciiTheme="minorHAnsi" w:hAnsiTheme="minorHAnsi"/>
          <w:szCs w:val="20"/>
        </w:rPr>
        <w:t>southeastern Massachusetts/Newport, Rhode Island, and Rhode Island</w:t>
      </w:r>
      <w:r w:rsidR="00C918E4">
        <w:rPr>
          <w:rFonts w:asciiTheme="minorHAnsi" w:hAnsiTheme="minorHAnsi"/>
          <w:szCs w:val="20"/>
        </w:rPr>
        <w:t xml:space="preserve"> </w:t>
      </w:r>
      <w:r w:rsidR="00CF10F8" w:rsidRPr="002C7A07">
        <w:rPr>
          <w:rFonts w:asciiTheme="minorHAnsi" w:hAnsiTheme="minorHAnsi"/>
          <w:szCs w:val="20"/>
        </w:rPr>
        <w:t>bordering Massachusetts</w:t>
      </w:r>
    </w:p>
    <w:p w:rsidR="006A107A" w:rsidRPr="002C7A07" w:rsidRDefault="006A107A"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SME</w:t>
      </w:r>
      <w:r w:rsidR="00FB189F" w:rsidRPr="002C7A07">
        <w:rPr>
          <w:rFonts w:asciiTheme="minorHAnsi" w:eastAsia="Calibri" w:hAnsiTheme="minorHAnsi"/>
          <w:szCs w:val="20"/>
        </w:rPr>
        <w:tab/>
      </w:r>
      <w:r w:rsidR="00FB189F" w:rsidRPr="002C7A07">
        <w:rPr>
          <w:rFonts w:asciiTheme="minorHAnsi" w:eastAsia="Calibri" w:hAnsiTheme="minorHAnsi"/>
          <w:szCs w:val="20"/>
        </w:rPr>
        <w:tab/>
      </w:r>
      <w:r w:rsidRPr="002C7A07">
        <w:rPr>
          <w:rFonts w:asciiTheme="minorHAnsi" w:eastAsia="Calibri" w:hAnsiTheme="minorHAnsi"/>
          <w:szCs w:val="20"/>
        </w:rPr>
        <w:t>southeastern Maine</w:t>
      </w:r>
    </w:p>
    <w:p w:rsidR="00BE0FE6" w:rsidRPr="002C7A07" w:rsidRDefault="00BE0FE6"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SO</w:t>
      </w:r>
      <w:r w:rsidRPr="002C7A07">
        <w:rPr>
          <w:rFonts w:asciiTheme="minorHAnsi" w:eastAsia="Calibri" w:hAnsiTheme="minorHAnsi"/>
          <w:szCs w:val="20"/>
          <w:vertAlign w:val="subscript"/>
        </w:rPr>
        <w:t>2</w:t>
      </w:r>
      <w:r w:rsidRPr="002C7A07">
        <w:rPr>
          <w:rFonts w:asciiTheme="minorHAnsi" w:eastAsia="Calibri" w:hAnsiTheme="minorHAnsi"/>
          <w:szCs w:val="20"/>
        </w:rPr>
        <w:tab/>
      </w:r>
      <w:r w:rsidRPr="002C7A07">
        <w:rPr>
          <w:rFonts w:asciiTheme="minorHAnsi" w:eastAsia="Calibri" w:hAnsiTheme="minorHAnsi"/>
          <w:szCs w:val="20"/>
        </w:rPr>
        <w:tab/>
        <w:t>sulfur dioxide</w:t>
      </w:r>
    </w:p>
    <w:p w:rsidR="006A107A" w:rsidRPr="002C7A07" w:rsidRDefault="006A107A" w:rsidP="002C7A07">
      <w:pPr>
        <w:adjustRightInd/>
        <w:spacing w:after="40" w:line="240" w:lineRule="auto"/>
        <w:textAlignment w:val="auto"/>
        <w:rPr>
          <w:rFonts w:asciiTheme="minorHAnsi" w:eastAsia="Calibri" w:hAnsiTheme="minorHAnsi"/>
          <w:szCs w:val="20"/>
        </w:rPr>
      </w:pPr>
      <w:r w:rsidRPr="002C7A07">
        <w:rPr>
          <w:rFonts w:asciiTheme="minorHAnsi" w:hAnsiTheme="minorHAnsi"/>
          <w:szCs w:val="20"/>
        </w:rPr>
        <w:lastRenderedPageBreak/>
        <w:t>SWCT</w:t>
      </w:r>
      <w:r w:rsidR="00715C11" w:rsidRPr="002C7A07">
        <w:rPr>
          <w:rFonts w:asciiTheme="minorHAnsi" w:hAnsiTheme="minorHAnsi"/>
          <w:szCs w:val="20"/>
        </w:rPr>
        <w:tab/>
      </w:r>
      <w:r w:rsidR="00715C11" w:rsidRPr="002C7A07">
        <w:rPr>
          <w:rFonts w:asciiTheme="minorHAnsi" w:hAnsiTheme="minorHAnsi"/>
          <w:szCs w:val="20"/>
        </w:rPr>
        <w:tab/>
      </w:r>
      <w:r w:rsidRPr="002C7A07">
        <w:rPr>
          <w:rFonts w:asciiTheme="minorHAnsi" w:hAnsiTheme="minorHAnsi"/>
          <w:szCs w:val="20"/>
        </w:rPr>
        <w:t>southwestern Connecticut</w:t>
      </w:r>
    </w:p>
    <w:p w:rsidR="006374B9" w:rsidRPr="007B6299" w:rsidRDefault="006374B9" w:rsidP="002C7A07">
      <w:pPr>
        <w:adjustRightInd/>
        <w:spacing w:after="40" w:line="240" w:lineRule="auto"/>
        <w:textAlignment w:val="auto"/>
        <w:rPr>
          <w:rFonts w:asciiTheme="minorHAnsi" w:hAnsiTheme="minorHAnsi" w:cstheme="minorHAnsi"/>
        </w:rPr>
      </w:pPr>
      <w:r w:rsidRPr="007B6299">
        <w:rPr>
          <w:rFonts w:asciiTheme="minorHAnsi" w:hAnsiTheme="minorHAnsi" w:cstheme="minorHAnsi"/>
        </w:rPr>
        <w:t>TMNSR</w:t>
      </w:r>
      <w:r w:rsidRPr="007B6299">
        <w:rPr>
          <w:rFonts w:asciiTheme="minorHAnsi" w:hAnsiTheme="minorHAnsi" w:cstheme="minorHAnsi"/>
        </w:rPr>
        <w:tab/>
      </w:r>
      <w:r w:rsidRPr="007B6299">
        <w:rPr>
          <w:rFonts w:asciiTheme="minorHAnsi" w:hAnsiTheme="minorHAnsi" w:cstheme="minorHAnsi"/>
        </w:rPr>
        <w:tab/>
        <w:t>10-minute nonspinning reserve</w:t>
      </w:r>
    </w:p>
    <w:p w:rsidR="007B6299" w:rsidRPr="00694587" w:rsidRDefault="007B6299" w:rsidP="007B6299">
      <w:pPr>
        <w:adjustRightInd/>
        <w:spacing w:after="40" w:line="240" w:lineRule="auto"/>
        <w:textAlignment w:val="auto"/>
        <w:rPr>
          <w:rFonts w:asciiTheme="minorHAnsi" w:hAnsiTheme="minorHAnsi" w:cstheme="minorHAnsi"/>
        </w:rPr>
      </w:pPr>
      <w:r w:rsidRPr="00694587">
        <w:rPr>
          <w:rFonts w:asciiTheme="minorHAnsi" w:hAnsiTheme="minorHAnsi" w:cstheme="minorHAnsi"/>
        </w:rPr>
        <w:t>TMOR</w:t>
      </w:r>
      <w:r w:rsidRPr="00694587">
        <w:rPr>
          <w:rFonts w:asciiTheme="minorHAnsi" w:hAnsiTheme="minorHAnsi" w:cstheme="minorHAnsi"/>
        </w:rPr>
        <w:tab/>
      </w:r>
      <w:r w:rsidRPr="00694587">
        <w:rPr>
          <w:rFonts w:asciiTheme="minorHAnsi" w:hAnsiTheme="minorHAnsi" w:cstheme="minorHAnsi"/>
        </w:rPr>
        <w:tab/>
        <w:t xml:space="preserve">30-minute operating reserve </w:t>
      </w:r>
    </w:p>
    <w:p w:rsidR="006374B9" w:rsidRPr="007B6299" w:rsidRDefault="006374B9" w:rsidP="002C7A07">
      <w:pPr>
        <w:adjustRightInd/>
        <w:spacing w:after="40" w:line="240" w:lineRule="auto"/>
        <w:textAlignment w:val="auto"/>
        <w:rPr>
          <w:rFonts w:asciiTheme="minorHAnsi" w:hAnsiTheme="minorHAnsi" w:cstheme="minorHAnsi"/>
        </w:rPr>
      </w:pPr>
      <w:r w:rsidRPr="007B6299">
        <w:rPr>
          <w:rFonts w:asciiTheme="minorHAnsi" w:hAnsiTheme="minorHAnsi" w:cstheme="minorHAnsi"/>
        </w:rPr>
        <w:t>TMSR</w:t>
      </w:r>
      <w:r w:rsidRPr="007B6299">
        <w:rPr>
          <w:rFonts w:asciiTheme="minorHAnsi" w:hAnsiTheme="minorHAnsi" w:cstheme="minorHAnsi"/>
        </w:rPr>
        <w:tab/>
      </w:r>
      <w:r w:rsidRPr="007B6299">
        <w:rPr>
          <w:rFonts w:asciiTheme="minorHAnsi" w:hAnsiTheme="minorHAnsi" w:cstheme="minorHAnsi"/>
        </w:rPr>
        <w:tab/>
      </w:r>
      <w:r w:rsidR="00DA1D56" w:rsidRPr="007B6299">
        <w:rPr>
          <w:rFonts w:asciiTheme="minorHAnsi" w:hAnsiTheme="minorHAnsi" w:cstheme="minorHAnsi"/>
        </w:rPr>
        <w:t>10-minute spinning reserve</w:t>
      </w:r>
    </w:p>
    <w:p w:rsidR="006374B9" w:rsidRPr="007B6299" w:rsidRDefault="006374B9" w:rsidP="002C7A07">
      <w:pPr>
        <w:adjustRightInd/>
        <w:spacing w:after="40" w:line="240" w:lineRule="auto"/>
        <w:textAlignment w:val="auto"/>
        <w:rPr>
          <w:rFonts w:asciiTheme="minorHAnsi" w:eastAsia="Calibri" w:hAnsiTheme="minorHAnsi" w:cstheme="minorHAnsi"/>
          <w:szCs w:val="20"/>
        </w:rPr>
      </w:pPr>
      <w:r w:rsidRPr="007B6299">
        <w:rPr>
          <w:rFonts w:asciiTheme="minorHAnsi" w:eastAsia="Calibri" w:hAnsiTheme="minorHAnsi" w:cstheme="minorHAnsi"/>
          <w:szCs w:val="20"/>
        </w:rPr>
        <w:t>TO</w:t>
      </w:r>
      <w:r w:rsidRPr="007B6299">
        <w:rPr>
          <w:rFonts w:asciiTheme="minorHAnsi" w:eastAsia="Calibri" w:hAnsiTheme="minorHAnsi" w:cstheme="minorHAnsi"/>
          <w:szCs w:val="20"/>
        </w:rPr>
        <w:tab/>
      </w:r>
      <w:r w:rsidRPr="007B6299">
        <w:rPr>
          <w:rFonts w:asciiTheme="minorHAnsi" w:eastAsia="Calibri" w:hAnsiTheme="minorHAnsi" w:cstheme="minorHAnsi"/>
          <w:szCs w:val="20"/>
        </w:rPr>
        <w:tab/>
        <w:t>transmission owner</w:t>
      </w:r>
    </w:p>
    <w:p w:rsidR="006374B9" w:rsidRPr="007B6299" w:rsidRDefault="006374B9" w:rsidP="002C7A07">
      <w:pPr>
        <w:adjustRightInd/>
        <w:spacing w:after="40" w:line="240" w:lineRule="auto"/>
        <w:textAlignment w:val="auto"/>
        <w:rPr>
          <w:rFonts w:asciiTheme="minorHAnsi" w:eastAsia="Calibri" w:hAnsiTheme="minorHAnsi" w:cstheme="minorHAnsi"/>
          <w:szCs w:val="20"/>
        </w:rPr>
      </w:pPr>
      <w:r w:rsidRPr="007B6299">
        <w:rPr>
          <w:rFonts w:asciiTheme="minorHAnsi" w:eastAsia="Calibri" w:hAnsiTheme="minorHAnsi" w:cstheme="minorHAnsi"/>
          <w:szCs w:val="20"/>
        </w:rPr>
        <w:t>TWh</w:t>
      </w:r>
      <w:r w:rsidRPr="007B6299">
        <w:rPr>
          <w:rFonts w:asciiTheme="minorHAnsi" w:eastAsia="Calibri" w:hAnsiTheme="minorHAnsi" w:cstheme="minorHAnsi"/>
          <w:szCs w:val="20"/>
        </w:rPr>
        <w:tab/>
      </w:r>
      <w:r w:rsidRPr="007B6299">
        <w:rPr>
          <w:rFonts w:asciiTheme="minorHAnsi" w:eastAsia="Calibri" w:hAnsiTheme="minorHAnsi" w:cstheme="minorHAnsi"/>
          <w:szCs w:val="20"/>
        </w:rPr>
        <w:tab/>
        <w:t xml:space="preserve">terawatt-hours </w:t>
      </w:r>
    </w:p>
    <w:p w:rsidR="00725964" w:rsidRPr="002C7A07" w:rsidRDefault="00725964" w:rsidP="002C7A07">
      <w:pPr>
        <w:adjustRightInd/>
        <w:spacing w:after="40" w:line="240" w:lineRule="auto"/>
        <w:textAlignment w:val="auto"/>
        <w:rPr>
          <w:rFonts w:asciiTheme="minorHAnsi" w:eastAsia="Calibri" w:hAnsiTheme="minorHAnsi"/>
          <w:szCs w:val="20"/>
        </w:rPr>
      </w:pPr>
      <w:r w:rsidRPr="002C7A07">
        <w:rPr>
          <w:rFonts w:asciiTheme="minorHAnsi" w:eastAsia="Calibri" w:hAnsiTheme="minorHAnsi"/>
          <w:szCs w:val="20"/>
        </w:rPr>
        <w:t>UN</w:t>
      </w:r>
      <w:r w:rsidRPr="002C7A07">
        <w:rPr>
          <w:rFonts w:asciiTheme="minorHAnsi" w:eastAsia="Calibri" w:hAnsiTheme="minorHAnsi"/>
          <w:szCs w:val="20"/>
        </w:rPr>
        <w:tab/>
      </w:r>
      <w:r w:rsidRPr="002C7A07">
        <w:rPr>
          <w:rFonts w:asciiTheme="minorHAnsi" w:eastAsia="Calibri" w:hAnsiTheme="minorHAnsi"/>
          <w:szCs w:val="20"/>
        </w:rPr>
        <w:tab/>
        <w:t>unconstrained</w:t>
      </w:r>
    </w:p>
    <w:p w:rsidR="00CF10F8" w:rsidRPr="002C7A07" w:rsidRDefault="00CF10F8" w:rsidP="002C7A07">
      <w:pPr>
        <w:adjustRightInd/>
        <w:spacing w:after="40" w:line="240" w:lineRule="auto"/>
        <w:textAlignment w:val="auto"/>
        <w:rPr>
          <w:rFonts w:asciiTheme="minorHAnsi" w:eastAsia="Calibri" w:hAnsiTheme="minorHAnsi"/>
          <w:szCs w:val="20"/>
        </w:rPr>
      </w:pPr>
      <w:r w:rsidRPr="002C7A07">
        <w:rPr>
          <w:rFonts w:asciiTheme="minorHAnsi" w:hAnsiTheme="minorHAnsi"/>
          <w:szCs w:val="20"/>
        </w:rPr>
        <w:t>VT</w:t>
      </w:r>
      <w:r w:rsidR="00715C11" w:rsidRPr="002C7A07">
        <w:rPr>
          <w:rFonts w:asciiTheme="minorHAnsi" w:hAnsiTheme="minorHAnsi"/>
          <w:szCs w:val="20"/>
        </w:rPr>
        <w:tab/>
      </w:r>
      <w:r w:rsidR="00715C11" w:rsidRPr="002C7A07">
        <w:rPr>
          <w:rFonts w:asciiTheme="minorHAnsi" w:hAnsiTheme="minorHAnsi"/>
          <w:szCs w:val="20"/>
        </w:rPr>
        <w:tab/>
      </w:r>
      <w:r w:rsidRPr="002C7A07">
        <w:rPr>
          <w:rFonts w:asciiTheme="minorHAnsi" w:hAnsiTheme="minorHAnsi"/>
          <w:szCs w:val="20"/>
        </w:rPr>
        <w:t>Vermont/southwestern New Hampshire</w:t>
      </w:r>
    </w:p>
    <w:p w:rsidR="006A107A" w:rsidRPr="002C7A07" w:rsidRDefault="00BE0FE6" w:rsidP="002C7A07">
      <w:pPr>
        <w:adjustRightInd/>
        <w:spacing w:after="40" w:line="240" w:lineRule="auto"/>
        <w:textAlignment w:val="auto"/>
        <w:rPr>
          <w:rFonts w:asciiTheme="minorHAnsi" w:eastAsia="Calibri" w:hAnsiTheme="minorHAnsi"/>
          <w:color w:val="000000"/>
          <w:szCs w:val="20"/>
        </w:rPr>
      </w:pPr>
      <w:r w:rsidRPr="002C7A07">
        <w:rPr>
          <w:rFonts w:asciiTheme="minorHAnsi" w:eastAsia="Calibri" w:hAnsiTheme="minorHAnsi"/>
          <w:szCs w:val="20"/>
        </w:rPr>
        <w:t>WMA</w:t>
      </w:r>
      <w:r w:rsidRPr="002C7A07">
        <w:rPr>
          <w:rFonts w:asciiTheme="minorHAnsi" w:eastAsia="Calibri" w:hAnsiTheme="minorHAnsi"/>
          <w:szCs w:val="20"/>
        </w:rPr>
        <w:tab/>
      </w:r>
      <w:r w:rsidRPr="002C7A07">
        <w:rPr>
          <w:rFonts w:asciiTheme="minorHAnsi" w:eastAsia="Calibri" w:hAnsiTheme="minorHAnsi"/>
          <w:szCs w:val="20"/>
        </w:rPr>
        <w:tab/>
        <w:t>RSP area—Western Massachusetts</w:t>
      </w:r>
    </w:p>
    <w:p w:rsidR="00BE0FE6" w:rsidRPr="00BE0FE6" w:rsidRDefault="00BE0FE6" w:rsidP="00BE0FE6">
      <w:pPr>
        <w:adjustRightInd/>
        <w:spacing w:after="0" w:line="240" w:lineRule="auto"/>
        <w:textAlignment w:val="auto"/>
        <w:rPr>
          <w:rFonts w:ascii="Calibri" w:eastAsia="Calibri" w:hAnsi="Calibri"/>
          <w:sz w:val="22"/>
        </w:rPr>
      </w:pPr>
    </w:p>
    <w:p w:rsidR="00F565D2" w:rsidRPr="00AB4D16" w:rsidRDefault="00F565D2" w:rsidP="00AB4D16">
      <w:pPr>
        <w:ind w:left="630" w:hanging="630"/>
        <w:rPr>
          <w:szCs w:val="20"/>
        </w:rPr>
      </w:pPr>
    </w:p>
    <w:p w:rsidR="00DC665E" w:rsidRDefault="00DC665E">
      <w:pPr>
        <w:sectPr w:rsidR="00DC665E" w:rsidSect="00532809">
          <w:pgSz w:w="12240" w:h="15840" w:code="1"/>
          <w:pgMar w:top="1440" w:right="1440" w:bottom="1440" w:left="1440" w:header="720" w:footer="720" w:gutter="0"/>
          <w:pgNumType w:fmt="lowerRoman"/>
          <w:cols w:space="720"/>
          <w:docGrid w:linePitch="360"/>
        </w:sectPr>
      </w:pPr>
    </w:p>
    <w:p w:rsidR="00607262" w:rsidRPr="00607262" w:rsidRDefault="00607262" w:rsidP="002F71DB">
      <w:pPr>
        <w:pStyle w:val="Heading1"/>
      </w:pPr>
      <w:r w:rsidRPr="00607262">
        <w:lastRenderedPageBreak/>
        <w:br/>
      </w:r>
      <w:bookmarkStart w:id="9" w:name="_Toc418682041"/>
      <w:bookmarkStart w:id="10" w:name="_Toc486405949"/>
      <w:r w:rsidRPr="00607262">
        <w:t>Executive Summary</w:t>
      </w:r>
      <w:bookmarkEnd w:id="9"/>
      <w:bookmarkEnd w:id="10"/>
      <w:r w:rsidR="00E318ED">
        <w:t xml:space="preserve"> </w:t>
      </w:r>
    </w:p>
    <w:p w:rsidR="00C466EE" w:rsidRDefault="00FB2753" w:rsidP="005F0CB1">
      <w:r w:rsidRPr="00442D47">
        <w:t xml:space="preserve">This report documents </w:t>
      </w:r>
      <w:r w:rsidR="00AA22CE">
        <w:t xml:space="preserve">Phase I of </w:t>
      </w:r>
      <w:r w:rsidRPr="00442D47">
        <w:t xml:space="preserve">the </w:t>
      </w:r>
      <w:r w:rsidR="00AA22CE">
        <w:t xml:space="preserve">2016 </w:t>
      </w:r>
      <w:r w:rsidRPr="00442D47">
        <w:t xml:space="preserve">ISO New England </w:t>
      </w:r>
      <w:r w:rsidR="00AA22CE">
        <w:t xml:space="preserve">(ISO) </w:t>
      </w:r>
      <w:r w:rsidRPr="00AA22CE">
        <w:t xml:space="preserve">Economic </w:t>
      </w:r>
      <w:r w:rsidR="00AA22CE">
        <w:t xml:space="preserve">Study conducted at the request of the New England Power Pool (NEPOOL). The study, </w:t>
      </w:r>
      <w:r w:rsidRPr="00C466EE">
        <w:rPr>
          <w:i/>
        </w:rPr>
        <w:t>2016 NEPOOL</w:t>
      </w:r>
      <w:r w:rsidRPr="00AA22CE">
        <w:t xml:space="preserve"> </w:t>
      </w:r>
      <w:r w:rsidRPr="00C466EE">
        <w:rPr>
          <w:i/>
        </w:rPr>
        <w:t>Scenario Analysis</w:t>
      </w:r>
      <w:r w:rsidR="00001545" w:rsidRPr="00442D47">
        <w:rPr>
          <w:i/>
        </w:rPr>
        <w:t>—</w:t>
      </w:r>
      <w:r w:rsidRPr="00442D47">
        <w:rPr>
          <w:i/>
        </w:rPr>
        <w:t xml:space="preserve">Implications of Public Policy </w:t>
      </w:r>
      <w:r w:rsidRPr="00C466EE">
        <w:rPr>
          <w:i/>
        </w:rPr>
        <w:t>on ISO</w:t>
      </w:r>
      <w:r w:rsidR="009D061C">
        <w:rPr>
          <w:i/>
        </w:rPr>
        <w:t xml:space="preserve"> </w:t>
      </w:r>
      <w:r w:rsidRPr="00C466EE">
        <w:rPr>
          <w:i/>
        </w:rPr>
        <w:t>N</w:t>
      </w:r>
      <w:r w:rsidR="009D061C">
        <w:rPr>
          <w:i/>
        </w:rPr>
        <w:t xml:space="preserve">ew </w:t>
      </w:r>
      <w:r w:rsidRPr="00C466EE">
        <w:rPr>
          <w:i/>
        </w:rPr>
        <w:t>E</w:t>
      </w:r>
      <w:r w:rsidR="009D061C">
        <w:rPr>
          <w:i/>
        </w:rPr>
        <w:t>ngland</w:t>
      </w:r>
      <w:r w:rsidRPr="00C466EE">
        <w:rPr>
          <w:i/>
        </w:rPr>
        <w:t xml:space="preserve"> Market Design, </w:t>
      </w:r>
      <w:r w:rsidR="009D061C">
        <w:rPr>
          <w:i/>
        </w:rPr>
        <w:t xml:space="preserve">System </w:t>
      </w:r>
      <w:r w:rsidRPr="00C466EE">
        <w:rPr>
          <w:i/>
        </w:rPr>
        <w:t>Reliability</w:t>
      </w:r>
      <w:r w:rsidR="009D061C">
        <w:rPr>
          <w:i/>
        </w:rPr>
        <w:t xml:space="preserve"> and Operability</w:t>
      </w:r>
      <w:r w:rsidRPr="00C466EE">
        <w:rPr>
          <w:i/>
        </w:rPr>
        <w:t xml:space="preserve">, Resource </w:t>
      </w:r>
      <w:r w:rsidR="009D061C">
        <w:rPr>
          <w:i/>
        </w:rPr>
        <w:t xml:space="preserve">Costs and Revenues, and </w:t>
      </w:r>
      <w:r w:rsidRPr="00C466EE">
        <w:rPr>
          <w:i/>
        </w:rPr>
        <w:t>Emissions</w:t>
      </w:r>
      <w:r w:rsidR="009D061C">
        <w:rPr>
          <w:i/>
        </w:rPr>
        <w:t>,</w:t>
      </w:r>
      <w:r w:rsidR="00AA22CE">
        <w:t xml:space="preserve"> </w:t>
      </w:r>
      <w:r w:rsidR="008B4946" w:rsidRPr="00442D47">
        <w:t xml:space="preserve">examines </w:t>
      </w:r>
      <w:r w:rsidR="008B4946">
        <w:t>resource</w:t>
      </w:r>
      <w:r w:rsidR="009D061C">
        <w:t>-</w:t>
      </w:r>
      <w:r w:rsidR="008B4946">
        <w:t>e</w:t>
      </w:r>
      <w:r w:rsidR="00C814FD">
        <w:t>xpansion scenarios</w:t>
      </w:r>
      <w:r w:rsidR="009D061C">
        <w:t xml:space="preserve"> of the regional power system and </w:t>
      </w:r>
      <w:r w:rsidR="009D061C" w:rsidRPr="007175D2">
        <w:t xml:space="preserve">the </w:t>
      </w:r>
      <w:r w:rsidR="009D061C">
        <w:t xml:space="preserve">potential </w:t>
      </w:r>
      <w:r w:rsidR="009D061C" w:rsidRPr="007175D2">
        <w:t xml:space="preserve">effects of </w:t>
      </w:r>
      <w:r w:rsidR="009D061C">
        <w:t>these diff</w:t>
      </w:r>
      <w:r w:rsidR="009D061C" w:rsidRPr="007175D2">
        <w:t>erent future changes</w:t>
      </w:r>
      <w:r w:rsidR="009D061C">
        <w:t xml:space="preserve"> </w:t>
      </w:r>
      <w:r w:rsidR="009D061C" w:rsidRPr="00C466EE">
        <w:t xml:space="preserve">on resource adequacy, </w:t>
      </w:r>
      <w:r w:rsidR="00C51BC0" w:rsidRPr="00C466EE">
        <w:t xml:space="preserve">operating and capital </w:t>
      </w:r>
      <w:r w:rsidR="009D061C" w:rsidRPr="00C466EE">
        <w:t>costs, and options for meeting environmental policy goals. The study pr</w:t>
      </w:r>
      <w:r w:rsidR="00ED11AD">
        <w:t>esents</w:t>
      </w:r>
      <w:r w:rsidR="009D061C" w:rsidRPr="00C466EE">
        <w:t xml:space="preserve"> a common framework for NEPOOL participants, regional electricity market stakeholders, policymakers, and consumers to identify </w:t>
      </w:r>
      <w:r w:rsidR="00C65199" w:rsidRPr="00C466EE">
        <w:t xml:space="preserve">and discuss these issues </w:t>
      </w:r>
      <w:r w:rsidR="009D061C" w:rsidRPr="00C466EE">
        <w:t>and</w:t>
      </w:r>
      <w:r w:rsidR="009D061C" w:rsidRPr="007175D2">
        <w:t xml:space="preserve"> possible solutions</w:t>
      </w:r>
      <w:r w:rsidR="009D061C">
        <w:t>.</w:t>
      </w:r>
      <w:r w:rsidR="005F0CB1" w:rsidRPr="005F0CB1">
        <w:t xml:space="preserve"> </w:t>
      </w:r>
    </w:p>
    <w:p w:rsidR="005F0CB1" w:rsidRDefault="005F0CB1" w:rsidP="005F0CB1">
      <w:r w:rsidRPr="00DC34C4">
        <w:t>The</w:t>
      </w:r>
      <w:r>
        <w:t xml:space="preserve"> </w:t>
      </w:r>
      <w:r w:rsidRPr="00DC34C4">
        <w:t xml:space="preserve">scope of work, assumptions, and draft results reflect input from the Planning Advisory Committee </w:t>
      </w:r>
      <w:r>
        <w:t xml:space="preserve">(PAC) during </w:t>
      </w:r>
      <w:r w:rsidRPr="00DC34C4">
        <w:t>12 meetings held from April 2016 through February 2017.</w:t>
      </w:r>
      <w:r w:rsidR="00672F29">
        <w:t xml:space="preserve"> </w:t>
      </w:r>
      <w:r w:rsidR="00ED11AD">
        <w:t>The r</w:t>
      </w:r>
      <w:r w:rsidR="00672F29">
        <w:t>esults</w:t>
      </w:r>
      <w:r w:rsidR="00ED11AD">
        <w:t xml:space="preserve"> </w:t>
      </w:r>
      <w:r w:rsidR="00672F29">
        <w:t xml:space="preserve">are presented such that readers may make their own assumptions on capital costs for new resources and transmission development costs.  </w:t>
      </w:r>
    </w:p>
    <w:p w:rsidR="0066269A" w:rsidRDefault="003C7345" w:rsidP="000D242F">
      <w:pPr>
        <w:pStyle w:val="Heading2"/>
      </w:pPr>
      <w:bookmarkStart w:id="11" w:name="_Toc486405950"/>
      <w:r>
        <w:t>2016 NEPOOL Scenario Analysis</w:t>
      </w:r>
      <w:r w:rsidR="005F0CB1">
        <w:t xml:space="preserve"> Purpose and Metrics</w:t>
      </w:r>
      <w:r w:rsidR="007A2BF4">
        <w:t xml:space="preserve"> Analyzed</w:t>
      </w:r>
      <w:bookmarkEnd w:id="11"/>
    </w:p>
    <w:p w:rsidR="00294EC5" w:rsidRDefault="00C814FD" w:rsidP="00294EC5">
      <w:r>
        <w:t xml:space="preserve">In </w:t>
      </w:r>
      <w:r w:rsidRPr="00492526">
        <w:t xml:space="preserve">2016, </w:t>
      </w:r>
      <w:r w:rsidR="00AA22CE">
        <w:t xml:space="preserve">following the procedures of Attachment K of the ISO’s </w:t>
      </w:r>
      <w:r w:rsidR="00AA22CE" w:rsidRPr="00F07CD9">
        <w:rPr>
          <w:i/>
        </w:rPr>
        <w:t>Open-Access Transmission Tariff</w:t>
      </w:r>
      <w:r w:rsidR="00AA22CE">
        <w:t xml:space="preserve"> (OATT)</w:t>
      </w:r>
      <w:r w:rsidR="005F0CB1">
        <w:t>,</w:t>
      </w:r>
      <w:r w:rsidR="00AA22CE">
        <w:t xml:space="preserve"> </w:t>
      </w:r>
      <w:r w:rsidR="00D342CC" w:rsidRPr="00492526">
        <w:t>NEPOOL</w:t>
      </w:r>
      <w:r w:rsidR="00AA22CE">
        <w:t xml:space="preserve"> </w:t>
      </w:r>
      <w:r w:rsidRPr="00492526">
        <w:t xml:space="preserve">submitted </w:t>
      </w:r>
      <w:r w:rsidR="00852887">
        <w:t xml:space="preserve">a </w:t>
      </w:r>
      <w:r w:rsidR="00D342CC">
        <w:t xml:space="preserve">request </w:t>
      </w:r>
      <w:r w:rsidR="00190EC1">
        <w:t xml:space="preserve">for a </w:t>
      </w:r>
      <w:r>
        <w:t>s</w:t>
      </w:r>
      <w:r w:rsidR="00294EC5">
        <w:t xml:space="preserve">cenario </w:t>
      </w:r>
      <w:r>
        <w:t>a</w:t>
      </w:r>
      <w:r w:rsidR="00294EC5">
        <w:t xml:space="preserve">nalysis </w:t>
      </w:r>
      <w:r>
        <w:t xml:space="preserve">that would </w:t>
      </w:r>
      <w:r w:rsidR="00852887">
        <w:t xml:space="preserve">provide </w:t>
      </w:r>
      <w:r w:rsidR="00190EC1">
        <w:t>inform</w:t>
      </w:r>
      <w:r w:rsidR="00852887">
        <w:t xml:space="preserve">ation </w:t>
      </w:r>
      <w:r w:rsidR="00F17B67">
        <w:t xml:space="preserve">and data </w:t>
      </w:r>
      <w:r w:rsidR="00852887">
        <w:t>on the following topics</w:t>
      </w:r>
      <w:r w:rsidR="00294EC5">
        <w:t>:</w:t>
      </w:r>
      <w:r w:rsidR="005F0CB1">
        <w:rPr>
          <w:rStyle w:val="FootnoteReference"/>
        </w:rPr>
        <w:footnoteReference w:id="2"/>
      </w:r>
    </w:p>
    <w:p w:rsidR="00294EC5" w:rsidRDefault="00F17B67" w:rsidP="001D5F6A">
      <w:pPr>
        <w:pStyle w:val="ListParagraph"/>
        <w:numPr>
          <w:ilvl w:val="0"/>
          <w:numId w:val="45"/>
        </w:numPr>
      </w:pPr>
      <w:r>
        <w:t>P</w:t>
      </w:r>
      <w:r w:rsidR="00294EC5">
        <w:t xml:space="preserve">otential </w:t>
      </w:r>
      <w:r w:rsidR="001A4C6D">
        <w:t xml:space="preserve">economic </w:t>
      </w:r>
      <w:r w:rsidR="00294EC5" w:rsidRPr="001D5F6A">
        <w:t>effects</w:t>
      </w:r>
      <w:r w:rsidR="00C65199" w:rsidRPr="00ED11AD">
        <w:t xml:space="preserve"> </w:t>
      </w:r>
      <w:r w:rsidR="00294EC5">
        <w:t>on the ISO</w:t>
      </w:r>
      <w:r w:rsidR="00034C1B">
        <w:t xml:space="preserve">’s </w:t>
      </w:r>
      <w:r w:rsidR="00294EC5">
        <w:t xml:space="preserve">wholesale </w:t>
      </w:r>
      <w:r w:rsidR="00034C1B">
        <w:t>energy</w:t>
      </w:r>
      <w:r w:rsidR="00294EC5">
        <w:t xml:space="preserve"> markets of implementing public policies in the New England states </w:t>
      </w:r>
    </w:p>
    <w:p w:rsidR="00294EC5" w:rsidRDefault="00F17B67" w:rsidP="001D5F6A">
      <w:pPr>
        <w:pStyle w:val="ListParagraph"/>
        <w:numPr>
          <w:ilvl w:val="0"/>
          <w:numId w:val="45"/>
        </w:numPr>
      </w:pPr>
      <w:r>
        <w:t>P</w:t>
      </w:r>
      <w:r w:rsidR="00294EC5">
        <w:t>rojected wholesale energy market revenues and the contribution of th</w:t>
      </w:r>
      <w:r w:rsidR="00034C1B">
        <w:t>e</w:t>
      </w:r>
      <w:r w:rsidR="00294EC5">
        <w:t xml:space="preserve">se revenues to the fixed costs </w:t>
      </w:r>
      <w:r w:rsidR="00034C1B">
        <w:t>for</w:t>
      </w:r>
      <w:r w:rsidR="00294EC5">
        <w:t xml:space="preserve"> generic new generation </w:t>
      </w:r>
    </w:p>
    <w:p w:rsidR="00DC34C4" w:rsidRDefault="00F17B67" w:rsidP="001D5F6A">
      <w:pPr>
        <w:pStyle w:val="ListParagraph"/>
        <w:numPr>
          <w:ilvl w:val="0"/>
          <w:numId w:val="45"/>
        </w:numPr>
        <w:spacing w:after="240"/>
      </w:pPr>
      <w:r w:rsidRPr="004F24B6">
        <w:t>T</w:t>
      </w:r>
      <w:r w:rsidR="00294EC5" w:rsidRPr="004F24B6">
        <w:t>otal wholesale electricity cost of supplying load</w:t>
      </w:r>
      <w:r w:rsidR="001D5F6A" w:rsidRPr="004F24B6">
        <w:t xml:space="preserve"> and operating the system and </w:t>
      </w:r>
      <w:r w:rsidR="00852887" w:rsidRPr="004F24B6">
        <w:t xml:space="preserve">total </w:t>
      </w:r>
      <w:r w:rsidR="00034C1B" w:rsidRPr="004F24B6">
        <w:t>regional</w:t>
      </w:r>
      <w:r w:rsidR="00034C1B">
        <w:t xml:space="preserve"> </w:t>
      </w:r>
      <w:r w:rsidR="00294EC5">
        <w:t>emissions</w:t>
      </w:r>
      <w:r w:rsidR="001D5F6A">
        <w:t xml:space="preserve"> </w:t>
      </w:r>
      <w:r w:rsidR="00294EC5">
        <w:t>under alternative scenarios</w:t>
      </w:r>
    </w:p>
    <w:p w:rsidR="005F0CB1" w:rsidRDefault="005F0CB1" w:rsidP="00DC34C4">
      <w:r>
        <w:t>T</w:t>
      </w:r>
      <w:r w:rsidR="00492526">
        <w:t xml:space="preserve">he </w:t>
      </w:r>
      <w:r w:rsidR="0087293E">
        <w:t>m</w:t>
      </w:r>
      <w:r>
        <w:t xml:space="preserve">etrics </w:t>
      </w:r>
      <w:r w:rsidR="0087293E">
        <w:t xml:space="preserve">studied </w:t>
      </w:r>
      <w:r>
        <w:t xml:space="preserve">include </w:t>
      </w:r>
      <w:r w:rsidR="00492526" w:rsidRPr="00241D31">
        <w:t>production costs, load-serving entity (LSE) energy expenses, locational marginal prices (LMPs</w:t>
      </w:r>
      <w:r w:rsidR="00492526" w:rsidRPr="001D5F6A">
        <w:t xml:space="preserve">), </w:t>
      </w:r>
      <w:r w:rsidR="00492526" w:rsidRPr="006E2384">
        <w:t xml:space="preserve">generic </w:t>
      </w:r>
      <w:r w:rsidR="001A4C6D" w:rsidRPr="006E2384">
        <w:t>capital</w:t>
      </w:r>
      <w:r w:rsidR="00492526" w:rsidRPr="006E2384">
        <w:t xml:space="preserve"> costs </w:t>
      </w:r>
      <w:r w:rsidR="001A4C6D" w:rsidRPr="006E2384">
        <w:t xml:space="preserve">and </w:t>
      </w:r>
      <w:r w:rsidR="001A4C6D" w:rsidRPr="000B6A1D">
        <w:t xml:space="preserve">annual carrying charges </w:t>
      </w:r>
      <w:r w:rsidR="009F76EB" w:rsidRPr="000B6A1D">
        <w:t xml:space="preserve">(ACCs) </w:t>
      </w:r>
      <w:r w:rsidR="00492526" w:rsidRPr="000B6A1D">
        <w:t>for</w:t>
      </w:r>
      <w:r w:rsidR="00492526" w:rsidRPr="006E2384">
        <w:t xml:space="preserve"> each resource type</w:t>
      </w:r>
      <w:r w:rsidR="00492526" w:rsidRPr="001D5F6A">
        <w:t>,</w:t>
      </w:r>
      <w:r w:rsidR="00492526" w:rsidRPr="00241D31">
        <w:t xml:space="preserve"> transmission-expansion costs, generation by fuel type and the emissions associated with </w:t>
      </w:r>
      <w:r w:rsidR="006E2384">
        <w:t xml:space="preserve">each </w:t>
      </w:r>
      <w:r w:rsidR="00492526" w:rsidRPr="00241D31">
        <w:t>type, and the effects of transmission-interface constraints that may bind economic power flows.</w:t>
      </w:r>
      <w:r w:rsidR="000B6A1D">
        <w:rPr>
          <w:rStyle w:val="FootnoteReference"/>
        </w:rPr>
        <w:footnoteReference w:id="3"/>
      </w:r>
      <w:r w:rsidR="00492526">
        <w:t xml:space="preserve"> </w:t>
      </w:r>
    </w:p>
    <w:p w:rsidR="0066269A" w:rsidRDefault="0066269A" w:rsidP="007E66F4">
      <w:pPr>
        <w:pStyle w:val="Heading2"/>
      </w:pPr>
      <w:bookmarkStart w:id="12" w:name="_Toc486405951"/>
      <w:r>
        <w:lastRenderedPageBreak/>
        <w:t>Scenarios</w:t>
      </w:r>
      <w:bookmarkEnd w:id="12"/>
    </w:p>
    <w:p w:rsidR="00913518" w:rsidRDefault="00E0005F" w:rsidP="00913518">
      <w:r w:rsidRPr="00E0005F">
        <w:t xml:space="preserve">The analysis </w:t>
      </w:r>
      <w:r w:rsidR="00F17B67">
        <w:t xml:space="preserve">ran simulations </w:t>
      </w:r>
      <w:r w:rsidRPr="005C7DD1">
        <w:t>of production cost</w:t>
      </w:r>
      <w:r w:rsidR="005C7DD1" w:rsidRPr="005C7DD1">
        <w:t>s</w:t>
      </w:r>
      <w:r w:rsidRPr="005C7DD1">
        <w:t xml:space="preserve"> </w:t>
      </w:r>
      <w:r w:rsidRPr="00E0005F">
        <w:t xml:space="preserve">for six scenarios, </w:t>
      </w:r>
      <w:r w:rsidR="00EE3947">
        <w:t>as follows</w:t>
      </w:r>
      <w:r w:rsidR="00A03101">
        <w:t>:</w:t>
      </w:r>
    </w:p>
    <w:p w:rsidR="00913518" w:rsidRPr="00193782" w:rsidRDefault="00591FFB" w:rsidP="00C65199">
      <w:pPr>
        <w:numPr>
          <w:ilvl w:val="0"/>
          <w:numId w:val="29"/>
        </w:numPr>
        <w:spacing w:after="120"/>
      </w:pPr>
      <w:r w:rsidRPr="00193782">
        <w:rPr>
          <w:b/>
        </w:rPr>
        <w:t xml:space="preserve">Scenario </w:t>
      </w:r>
      <w:r w:rsidR="00913518" w:rsidRPr="00193782">
        <w:rPr>
          <w:b/>
        </w:rPr>
        <w:t>1</w:t>
      </w:r>
      <w:r w:rsidRPr="00193782">
        <w:rPr>
          <w:b/>
        </w:rPr>
        <w:t>—</w:t>
      </w:r>
      <w:r w:rsidR="00C65199" w:rsidRPr="00193782">
        <w:rPr>
          <w:b/>
        </w:rPr>
        <w:t>“RPS</w:t>
      </w:r>
      <w:r w:rsidR="00794740" w:rsidRPr="00193782">
        <w:rPr>
          <w:b/>
        </w:rPr>
        <w:t>s</w:t>
      </w:r>
      <w:r w:rsidR="00C65199" w:rsidRPr="00193782">
        <w:rPr>
          <w:b/>
        </w:rPr>
        <w:t xml:space="preserve"> + Gas</w:t>
      </w:r>
      <w:r w:rsidR="009C2B5B" w:rsidRPr="00193782">
        <w:rPr>
          <w:b/>
        </w:rPr>
        <w:t>,</w:t>
      </w:r>
      <w:r w:rsidR="00C65199" w:rsidRPr="00193782">
        <w:rPr>
          <w:b/>
        </w:rPr>
        <w:t>”</w:t>
      </w:r>
      <w:r w:rsidR="00C65199" w:rsidRPr="00193782">
        <w:t xml:space="preserve"> where t</w:t>
      </w:r>
      <w:r w:rsidRPr="00193782">
        <w:t>he g</w:t>
      </w:r>
      <w:r w:rsidR="00913518" w:rsidRPr="00193782">
        <w:t>eneration fleet meet</w:t>
      </w:r>
      <w:r w:rsidRPr="00193782">
        <w:t>s</w:t>
      </w:r>
      <w:r w:rsidR="00913518" w:rsidRPr="00193782">
        <w:t xml:space="preserve"> existing Renewable Portfolio Standards (RPS</w:t>
      </w:r>
      <w:r w:rsidRPr="00193782">
        <w:t>s</w:t>
      </w:r>
      <w:r w:rsidR="00913518" w:rsidRPr="00193782">
        <w:t>)</w:t>
      </w:r>
      <w:r w:rsidRPr="00193782">
        <w:t>,</w:t>
      </w:r>
      <w:r w:rsidR="00913518" w:rsidRPr="00193782">
        <w:t xml:space="preserve"> and </w:t>
      </w:r>
      <w:r w:rsidRPr="00193782">
        <w:t>natural gas combined-cycle (NGCC) unit</w:t>
      </w:r>
      <w:r w:rsidR="000E02A9" w:rsidRPr="00193782">
        <w:t>s</w:t>
      </w:r>
      <w:r w:rsidRPr="00193782">
        <w:t xml:space="preserve"> replace </w:t>
      </w:r>
      <w:r w:rsidR="00913518" w:rsidRPr="00193782">
        <w:t>retired units</w:t>
      </w:r>
      <w:r w:rsidRPr="00193782">
        <w:t>.</w:t>
      </w:r>
      <w:r w:rsidR="00C1021F" w:rsidRPr="00193782">
        <w:rPr>
          <w:rStyle w:val="FootnoteReference"/>
        </w:rPr>
        <w:footnoteReference w:id="4"/>
      </w:r>
    </w:p>
    <w:p w:rsidR="00913518" w:rsidRPr="00E90AC1" w:rsidRDefault="00591FFB" w:rsidP="00C65199">
      <w:pPr>
        <w:numPr>
          <w:ilvl w:val="0"/>
          <w:numId w:val="29"/>
        </w:numPr>
        <w:spacing w:after="120"/>
      </w:pPr>
      <w:r w:rsidRPr="00655535">
        <w:rPr>
          <w:b/>
        </w:rPr>
        <w:t xml:space="preserve">Scenario </w:t>
      </w:r>
      <w:r w:rsidR="00913518" w:rsidRPr="00655535">
        <w:rPr>
          <w:b/>
        </w:rPr>
        <w:t>2</w:t>
      </w:r>
      <w:r w:rsidRPr="00655535">
        <w:rPr>
          <w:b/>
        </w:rPr>
        <w:t>—</w:t>
      </w:r>
      <w:r w:rsidR="00C65199" w:rsidRPr="00655535">
        <w:rPr>
          <w:b/>
        </w:rPr>
        <w:t>“</w:t>
      </w:r>
      <w:r w:rsidR="005B1E40" w:rsidRPr="00655535">
        <w:rPr>
          <w:b/>
        </w:rPr>
        <w:t xml:space="preserve">ISO </w:t>
      </w:r>
      <w:r w:rsidR="001A4C6D" w:rsidRPr="00655535">
        <w:rPr>
          <w:b/>
        </w:rPr>
        <w:t>Queue</w:t>
      </w:r>
      <w:r w:rsidR="009C2B5B" w:rsidRPr="00655535">
        <w:rPr>
          <w:b/>
        </w:rPr>
        <w:t>,</w:t>
      </w:r>
      <w:r w:rsidR="00C65199" w:rsidRPr="00655535">
        <w:rPr>
          <w:b/>
        </w:rPr>
        <w:t>”</w:t>
      </w:r>
      <w:r w:rsidR="00E90AC1" w:rsidRPr="00655535">
        <w:rPr>
          <w:b/>
        </w:rPr>
        <w:t xml:space="preserve"> </w:t>
      </w:r>
      <w:r w:rsidR="00C65199" w:rsidRPr="00655535">
        <w:t>where t</w:t>
      </w:r>
      <w:r w:rsidRPr="00655535">
        <w:t>he g</w:t>
      </w:r>
      <w:r w:rsidR="00913518" w:rsidRPr="00655535">
        <w:t>eneration fleet meet</w:t>
      </w:r>
      <w:r w:rsidRPr="00655535">
        <w:t>s</w:t>
      </w:r>
      <w:r w:rsidR="00913518" w:rsidRPr="00655535">
        <w:t xml:space="preserve"> existing RPS</w:t>
      </w:r>
      <w:r w:rsidRPr="00655535">
        <w:t>s,</w:t>
      </w:r>
      <w:r w:rsidR="00913518" w:rsidRPr="00655535">
        <w:t xml:space="preserve"> and </w:t>
      </w:r>
      <w:r w:rsidRPr="00655535">
        <w:t>new renewable/clean energy</w:t>
      </w:r>
      <w:r w:rsidRPr="009C2B5B">
        <w:t xml:space="preserve"> resources meet </w:t>
      </w:r>
      <w:r w:rsidR="00913518" w:rsidRPr="009C2B5B">
        <w:t>all future needs, including retirements</w:t>
      </w:r>
      <w:r w:rsidR="00EE3947" w:rsidRPr="009C2B5B">
        <w:t xml:space="preserve">, with the </w:t>
      </w:r>
      <w:r w:rsidR="00F81BD7" w:rsidRPr="009C2B5B">
        <w:t xml:space="preserve">wind resources located mostly in Maine in the same locations indicated in the ISO’s </w:t>
      </w:r>
      <w:r w:rsidR="00CC3C1D">
        <w:t>I</w:t>
      </w:r>
      <w:r w:rsidR="00F81BD7" w:rsidRPr="00E90AC1">
        <w:t xml:space="preserve">nterconnection </w:t>
      </w:r>
      <w:r w:rsidR="00CC3C1D">
        <w:t>Q</w:t>
      </w:r>
      <w:r w:rsidR="00F81BD7" w:rsidRPr="00E90AC1">
        <w:t>ueue</w:t>
      </w:r>
      <w:r w:rsidRPr="00E90AC1">
        <w:t>.</w:t>
      </w:r>
      <w:r w:rsidR="009C2B5B" w:rsidRPr="00E90AC1">
        <w:rPr>
          <w:rStyle w:val="FootnoteReference"/>
        </w:rPr>
        <w:footnoteReference w:id="5"/>
      </w:r>
    </w:p>
    <w:p w:rsidR="00913518" w:rsidRDefault="00591FFB" w:rsidP="00C65199">
      <w:pPr>
        <w:numPr>
          <w:ilvl w:val="0"/>
          <w:numId w:val="29"/>
        </w:numPr>
        <w:spacing w:after="120"/>
      </w:pPr>
      <w:r w:rsidRPr="00162D21">
        <w:rPr>
          <w:b/>
        </w:rPr>
        <w:t xml:space="preserve">Scenario </w:t>
      </w:r>
      <w:r w:rsidR="00913518" w:rsidRPr="00162D21">
        <w:rPr>
          <w:b/>
        </w:rPr>
        <w:t>3</w:t>
      </w:r>
      <w:r w:rsidRPr="00162D21">
        <w:rPr>
          <w:b/>
        </w:rPr>
        <w:t>—</w:t>
      </w:r>
      <w:r w:rsidR="00913518" w:rsidRPr="00162D21">
        <w:rPr>
          <w:b/>
        </w:rPr>
        <w:t>“R</w:t>
      </w:r>
      <w:r w:rsidR="00F832D4" w:rsidRPr="00162D21">
        <w:rPr>
          <w:b/>
        </w:rPr>
        <w:t>enewables</w:t>
      </w:r>
      <w:r w:rsidR="00162D21" w:rsidRPr="00162D21">
        <w:rPr>
          <w:b/>
        </w:rPr>
        <w:t xml:space="preserve"> </w:t>
      </w:r>
      <w:r w:rsidR="00C65199" w:rsidRPr="00162D21">
        <w:rPr>
          <w:b/>
        </w:rPr>
        <w:t>P</w:t>
      </w:r>
      <w:r w:rsidR="00913518" w:rsidRPr="00162D21">
        <w:rPr>
          <w:b/>
        </w:rPr>
        <w:t>lus”</w:t>
      </w:r>
      <w:r w:rsidR="00913518" w:rsidRPr="00162D21">
        <w:t xml:space="preserve"> </w:t>
      </w:r>
      <w:r w:rsidR="001D53F4" w:rsidRPr="009B3C6A">
        <w:rPr>
          <w:b/>
          <w:color w:val="000000" w:themeColor="text1"/>
        </w:rPr>
        <w:t>(also “Renew Plus”)</w:t>
      </w:r>
      <w:r w:rsidR="001D53F4">
        <w:t xml:space="preserve">, </w:t>
      </w:r>
      <w:r w:rsidRPr="00162D21">
        <w:t>where the g</w:t>
      </w:r>
      <w:r w:rsidR="00913518" w:rsidRPr="00162D21">
        <w:t>eneration fleet meet</w:t>
      </w:r>
      <w:r w:rsidRPr="00162D21">
        <w:t>s</w:t>
      </w:r>
      <w:r w:rsidR="00913518" w:rsidRPr="00162D21">
        <w:t xml:space="preserve"> existing RPS</w:t>
      </w:r>
      <w:r w:rsidRPr="00162D21">
        <w:t>s,</w:t>
      </w:r>
      <w:r w:rsidR="00913518" w:rsidRPr="00162D21">
        <w:t xml:space="preserve"> </w:t>
      </w:r>
      <w:r w:rsidR="00C94537">
        <w:t>and</w:t>
      </w:r>
      <w:r w:rsidR="00913518" w:rsidRPr="00162D21">
        <w:t xml:space="preserve"> </w:t>
      </w:r>
      <w:r w:rsidRPr="00162D21">
        <w:t>the system</w:t>
      </w:r>
      <w:r>
        <w:t xml:space="preserve"> has </w:t>
      </w:r>
      <w:r w:rsidR="00913518">
        <w:t>additional renewable/clean energy resources</w:t>
      </w:r>
      <w:r>
        <w:t>.</w:t>
      </w:r>
    </w:p>
    <w:p w:rsidR="00913518" w:rsidRDefault="00591FFB" w:rsidP="00EA49AC">
      <w:pPr>
        <w:numPr>
          <w:ilvl w:val="0"/>
          <w:numId w:val="29"/>
        </w:numPr>
        <w:spacing w:after="120"/>
      </w:pPr>
      <w:r w:rsidRPr="00591FFB">
        <w:rPr>
          <w:b/>
        </w:rPr>
        <w:t xml:space="preserve">Scenario </w:t>
      </w:r>
      <w:r w:rsidR="00913518" w:rsidRPr="00591FFB">
        <w:rPr>
          <w:b/>
        </w:rPr>
        <w:t>4</w:t>
      </w:r>
      <w:r w:rsidRPr="00292B94">
        <w:rPr>
          <w:b/>
        </w:rPr>
        <w:t>—“</w:t>
      </w:r>
      <w:r w:rsidR="00C65199" w:rsidRPr="00292B94">
        <w:rPr>
          <w:b/>
        </w:rPr>
        <w:t>N</w:t>
      </w:r>
      <w:r w:rsidRPr="00292B94">
        <w:rPr>
          <w:b/>
        </w:rPr>
        <w:t>o</w:t>
      </w:r>
      <w:r w:rsidR="00454E40">
        <w:rPr>
          <w:b/>
        </w:rPr>
        <w:t xml:space="preserve"> </w:t>
      </w:r>
      <w:r w:rsidR="00C65199" w:rsidRPr="00292B94">
        <w:rPr>
          <w:b/>
        </w:rPr>
        <w:t>R</w:t>
      </w:r>
      <w:r w:rsidRPr="00292B94">
        <w:rPr>
          <w:b/>
        </w:rPr>
        <w:t>etirement</w:t>
      </w:r>
      <w:r w:rsidR="00C65199" w:rsidRPr="00292B94">
        <w:rPr>
          <w:b/>
        </w:rPr>
        <w:t>s</w:t>
      </w:r>
      <w:r w:rsidR="000F0286">
        <w:rPr>
          <w:b/>
        </w:rPr>
        <w:t xml:space="preserve"> b</w:t>
      </w:r>
      <w:r w:rsidR="001B3ACB" w:rsidRPr="000F0286">
        <w:rPr>
          <w:b/>
        </w:rPr>
        <w:t>eyond FCA #10</w:t>
      </w:r>
      <w:r w:rsidR="00292B94" w:rsidRPr="000F0286">
        <w:rPr>
          <w:b/>
        </w:rPr>
        <w:t>,</w:t>
      </w:r>
      <w:r w:rsidRPr="000F0286">
        <w:rPr>
          <w:b/>
        </w:rPr>
        <w:t>”</w:t>
      </w:r>
      <w:r>
        <w:t xml:space="preserve"> where the g</w:t>
      </w:r>
      <w:r w:rsidR="00913518">
        <w:t xml:space="preserve">eneration fleet </w:t>
      </w:r>
      <w:r w:rsidR="00B87402">
        <w:t xml:space="preserve">has NGCC additions </w:t>
      </w:r>
      <w:r w:rsidR="00B87402" w:rsidRPr="004F24B6">
        <w:t xml:space="preserve">and no retirements </w:t>
      </w:r>
      <w:r w:rsidR="000F0286" w:rsidRPr="004F24B6">
        <w:t xml:space="preserve">after the tenth Forward Capacity Auction (FCA #10) </w:t>
      </w:r>
      <w:r w:rsidR="00B87402" w:rsidRPr="004F24B6">
        <w:t xml:space="preserve">and where local </w:t>
      </w:r>
      <w:r w:rsidR="00EE3947" w:rsidRPr="004F24B6">
        <w:t>l</w:t>
      </w:r>
      <w:r w:rsidR="008F770F" w:rsidRPr="004F24B6">
        <w:t>oad</w:t>
      </w:r>
      <w:r w:rsidR="00EE3947" w:rsidRPr="004F24B6">
        <w:t>-s</w:t>
      </w:r>
      <w:r w:rsidR="008F770F" w:rsidRPr="004F24B6">
        <w:t>erving</w:t>
      </w:r>
      <w:r w:rsidR="008F770F" w:rsidRPr="006E2384">
        <w:t xml:space="preserve"> </w:t>
      </w:r>
      <w:r w:rsidR="00EE3947" w:rsidRPr="006E2384">
        <w:t>e</w:t>
      </w:r>
      <w:r w:rsidR="00720F76" w:rsidRPr="006E2384">
        <w:t>n</w:t>
      </w:r>
      <w:r w:rsidR="008F770F" w:rsidRPr="006E2384">
        <w:t xml:space="preserve">tities </w:t>
      </w:r>
      <w:r w:rsidR="00913518">
        <w:t>meet existing RPS</w:t>
      </w:r>
      <w:r>
        <w:t>s</w:t>
      </w:r>
      <w:r w:rsidR="000E02A9">
        <w:t>,</w:t>
      </w:r>
      <w:r w:rsidR="00B87402">
        <w:t xml:space="preserve"> in part </w:t>
      </w:r>
      <w:r w:rsidR="00913518">
        <w:t xml:space="preserve">through </w:t>
      </w:r>
      <w:r>
        <w:t>a</w:t>
      </w:r>
      <w:r w:rsidR="00913518">
        <w:t xml:space="preserve">lternative </w:t>
      </w:r>
      <w:r>
        <w:t>c</w:t>
      </w:r>
      <w:r w:rsidR="00913518">
        <w:t xml:space="preserve">ompliance </w:t>
      </w:r>
      <w:r>
        <w:t>p</w:t>
      </w:r>
      <w:r w:rsidR="00913518">
        <w:t>ayments</w:t>
      </w:r>
      <w:r w:rsidR="00B87402">
        <w:t xml:space="preserve"> (ACPs)</w:t>
      </w:r>
      <w:r>
        <w:t>.</w:t>
      </w:r>
      <w:r>
        <w:rPr>
          <w:rStyle w:val="FootnoteReference"/>
        </w:rPr>
        <w:footnoteReference w:id="6"/>
      </w:r>
    </w:p>
    <w:p w:rsidR="008F770F" w:rsidRPr="00201D25" w:rsidRDefault="00591FFB" w:rsidP="006E2384">
      <w:pPr>
        <w:numPr>
          <w:ilvl w:val="0"/>
          <w:numId w:val="29"/>
        </w:numPr>
        <w:spacing w:after="120"/>
      </w:pPr>
      <w:r w:rsidRPr="004F24B6">
        <w:rPr>
          <w:b/>
        </w:rPr>
        <w:t xml:space="preserve">Scenario </w:t>
      </w:r>
      <w:r w:rsidR="00913518" w:rsidRPr="004F24B6">
        <w:rPr>
          <w:b/>
        </w:rPr>
        <w:t>5</w:t>
      </w:r>
      <w:r w:rsidRPr="004F24B6">
        <w:rPr>
          <w:b/>
        </w:rPr>
        <w:t>—</w:t>
      </w:r>
      <w:r w:rsidR="00C65199" w:rsidRPr="004F24B6">
        <w:rPr>
          <w:b/>
        </w:rPr>
        <w:t>“</w:t>
      </w:r>
      <w:r w:rsidR="005B1E40" w:rsidRPr="004F24B6">
        <w:rPr>
          <w:b/>
        </w:rPr>
        <w:t xml:space="preserve">ACPs </w:t>
      </w:r>
      <w:r w:rsidR="00C65199" w:rsidRPr="004F24B6">
        <w:rPr>
          <w:b/>
        </w:rPr>
        <w:t xml:space="preserve"> + </w:t>
      </w:r>
      <w:r w:rsidR="005B1E40" w:rsidRPr="004F24B6">
        <w:rPr>
          <w:b/>
        </w:rPr>
        <w:t>Gas</w:t>
      </w:r>
      <w:r w:rsidR="00292B94" w:rsidRPr="004F24B6">
        <w:rPr>
          <w:b/>
        </w:rPr>
        <w:t>,</w:t>
      </w:r>
      <w:r w:rsidR="00C65199" w:rsidRPr="004F24B6">
        <w:rPr>
          <w:b/>
        </w:rPr>
        <w:t>”</w:t>
      </w:r>
      <w:r w:rsidR="00C65199" w:rsidRPr="004F24B6">
        <w:t xml:space="preserve"> where t</w:t>
      </w:r>
      <w:r w:rsidRPr="004F24B6">
        <w:t>he e</w:t>
      </w:r>
      <w:r w:rsidR="00913518" w:rsidRPr="004F24B6">
        <w:t>xisting fleet meet</w:t>
      </w:r>
      <w:r w:rsidRPr="004F24B6">
        <w:t>s</w:t>
      </w:r>
      <w:r w:rsidR="00913518" w:rsidRPr="004F24B6">
        <w:t xml:space="preserve"> existing RPS</w:t>
      </w:r>
      <w:r w:rsidRPr="004F24B6">
        <w:t>s</w:t>
      </w:r>
      <w:r w:rsidR="00B87402" w:rsidRPr="004F24B6">
        <w:t xml:space="preserve"> </w:t>
      </w:r>
      <w:r w:rsidR="00913518" w:rsidRPr="004F24B6">
        <w:t>in part through</w:t>
      </w:r>
      <w:r w:rsidR="00913518">
        <w:t xml:space="preserve"> A</w:t>
      </w:r>
      <w:r w:rsidR="00B87402">
        <w:t>CPs</w:t>
      </w:r>
      <w:r w:rsidR="00D93AEE">
        <w:t>,</w:t>
      </w:r>
      <w:r w:rsidR="00B87402">
        <w:t xml:space="preserve"> </w:t>
      </w:r>
      <w:r w:rsidR="00913518">
        <w:t xml:space="preserve">and </w:t>
      </w:r>
      <w:r w:rsidR="00D93AEE">
        <w:t xml:space="preserve">NGCC additions replace </w:t>
      </w:r>
      <w:r w:rsidR="00913518">
        <w:t>retire</w:t>
      </w:r>
      <w:r w:rsidR="00D93AEE">
        <w:t>d units</w:t>
      </w:r>
      <w:r w:rsidR="00D93AEE" w:rsidRPr="00CE316E">
        <w:t>.</w:t>
      </w:r>
      <w:r w:rsidR="002E5621" w:rsidRPr="004F24B6">
        <w:t xml:space="preserve"> </w:t>
      </w:r>
    </w:p>
    <w:p w:rsidR="00EE3947" w:rsidRDefault="008F770F" w:rsidP="006E2384">
      <w:pPr>
        <w:pStyle w:val="ListParagraph"/>
        <w:numPr>
          <w:ilvl w:val="0"/>
          <w:numId w:val="29"/>
        </w:numPr>
        <w:spacing w:after="240"/>
      </w:pPr>
      <w:r w:rsidRPr="00162D21">
        <w:rPr>
          <w:b/>
        </w:rPr>
        <w:t>Scenario 6</w:t>
      </w:r>
      <w:r w:rsidR="000E02A9" w:rsidRPr="00162D21">
        <w:rPr>
          <w:b/>
        </w:rPr>
        <w:t>—</w:t>
      </w:r>
      <w:r w:rsidR="00C65199" w:rsidRPr="00162D21">
        <w:rPr>
          <w:b/>
        </w:rPr>
        <w:t>“RPS</w:t>
      </w:r>
      <w:r w:rsidR="003852EA">
        <w:rPr>
          <w:b/>
        </w:rPr>
        <w:t>s</w:t>
      </w:r>
      <w:r w:rsidR="00C65199" w:rsidRPr="00162D21">
        <w:rPr>
          <w:b/>
        </w:rPr>
        <w:t xml:space="preserve"> + Geo</w:t>
      </w:r>
      <w:r w:rsidR="005A3474" w:rsidRPr="00162D21">
        <w:rPr>
          <w:b/>
        </w:rPr>
        <w:t>d</w:t>
      </w:r>
      <w:r w:rsidR="00C65199" w:rsidRPr="00162D21">
        <w:rPr>
          <w:b/>
        </w:rPr>
        <w:t>iverse Renewables,”</w:t>
      </w:r>
      <w:r w:rsidR="00C65199" w:rsidRPr="00162D21">
        <w:t xml:space="preserve"> which is s</w:t>
      </w:r>
      <w:r w:rsidRPr="00162D21">
        <w:t>imilar to Scenario 2</w:t>
      </w:r>
      <w:r w:rsidR="00C65199" w:rsidRPr="00162D21">
        <w:t xml:space="preserve"> with </w:t>
      </w:r>
      <w:r w:rsidR="000E02A9" w:rsidRPr="00162D21">
        <w:t>the generation</w:t>
      </w:r>
      <w:r w:rsidR="000E02A9" w:rsidRPr="00EE3947">
        <w:t xml:space="preserve"> fleet meet</w:t>
      </w:r>
      <w:r w:rsidR="00C65199">
        <w:t>ing</w:t>
      </w:r>
      <w:r w:rsidR="000E02A9" w:rsidRPr="00EE3947">
        <w:t xml:space="preserve"> existing RPSs and new renewable/clean energy resources meet</w:t>
      </w:r>
      <w:r w:rsidR="00C65199">
        <w:t>ing</w:t>
      </w:r>
      <w:r w:rsidR="000E02A9" w:rsidRPr="00EE3947">
        <w:t xml:space="preserve"> all future needs, including retirements</w:t>
      </w:r>
      <w:r w:rsidR="000E02A9" w:rsidRPr="006E2384">
        <w:t>,</w:t>
      </w:r>
      <w:r>
        <w:t xml:space="preserve"> but </w:t>
      </w:r>
      <w:r w:rsidR="00C65199">
        <w:t xml:space="preserve">with </w:t>
      </w:r>
      <w:r w:rsidR="007963AB">
        <w:t xml:space="preserve">more geographically balanced </w:t>
      </w:r>
      <w:r w:rsidR="000E02A9" w:rsidRPr="00802E39">
        <w:t xml:space="preserve">onshore wind, offshore wind, and solar </w:t>
      </w:r>
      <w:r w:rsidR="000E02A9">
        <w:t>photovoltaic (</w:t>
      </w:r>
      <w:r w:rsidR="000E02A9" w:rsidRPr="00802E39">
        <w:t>PV</w:t>
      </w:r>
      <w:r w:rsidR="000E02A9">
        <w:t>) resources.</w:t>
      </w:r>
    </w:p>
    <w:p w:rsidR="0066269A" w:rsidRDefault="009E28C2" w:rsidP="0053379A">
      <w:pPr>
        <w:pStyle w:val="Heading2"/>
      </w:pPr>
      <w:bookmarkStart w:id="13" w:name="_Toc486405952"/>
      <w:r>
        <w:t>Methodology</w:t>
      </w:r>
      <w:r w:rsidR="000613FD" w:rsidRPr="00DB4795">
        <w:t xml:space="preserve"> </w:t>
      </w:r>
      <w:r w:rsidR="00FF76B8">
        <w:t>and Assumptions</w:t>
      </w:r>
      <w:bookmarkEnd w:id="13"/>
    </w:p>
    <w:p w:rsidR="002827FF" w:rsidRDefault="00147DA2" w:rsidP="00147DA2">
      <w:r>
        <w:t xml:space="preserve">The analyses were conducted using the </w:t>
      </w:r>
      <w:r w:rsidRPr="00357388">
        <w:t>Grid</w:t>
      </w:r>
      <w:r w:rsidR="002C0C8F">
        <w:t>V</w:t>
      </w:r>
      <w:r w:rsidRPr="00357388">
        <w:t xml:space="preserve">iew </w:t>
      </w:r>
      <w:r w:rsidR="008B7B57">
        <w:t>economic dispatch program. Grid</w:t>
      </w:r>
      <w:r w:rsidR="002C0C8F">
        <w:t>V</w:t>
      </w:r>
      <w:r w:rsidR="008B7B57">
        <w:t xml:space="preserve">iew </w:t>
      </w:r>
      <w:r w:rsidR="00E0005F">
        <w:t>simulation</w:t>
      </w:r>
      <w:r w:rsidR="008B7B57">
        <w:t>s</w:t>
      </w:r>
      <w:r w:rsidR="00E0005F">
        <w:t xml:space="preserve"> </w:t>
      </w:r>
      <w:r w:rsidR="008B7B57">
        <w:t>perfo</w:t>
      </w:r>
      <w:r w:rsidR="00F43291">
        <w:t>r</w:t>
      </w:r>
      <w:r w:rsidR="008B7B57">
        <w:t xml:space="preserve">m </w:t>
      </w:r>
      <w:r w:rsidR="00D221E9">
        <w:t>economic</w:t>
      </w:r>
      <w:r w:rsidR="008B7B57">
        <w:t xml:space="preserve"> </w:t>
      </w:r>
      <w:r w:rsidR="00D221E9">
        <w:t>dispatch</w:t>
      </w:r>
      <w:r w:rsidR="008B7B57">
        <w:t xml:space="preserve"> under differing sets of assumptions</w:t>
      </w:r>
      <w:r w:rsidR="005F0CB1">
        <w:t xml:space="preserve"> </w:t>
      </w:r>
      <w:r w:rsidR="00CD3C03">
        <w:t xml:space="preserve">that </w:t>
      </w:r>
      <w:r w:rsidRPr="00147DA2">
        <w:t>minimize</w:t>
      </w:r>
      <w:r w:rsidR="00460207">
        <w:t>s</w:t>
      </w:r>
      <w:r w:rsidRPr="00147DA2">
        <w:t xml:space="preserve"> production costs </w:t>
      </w:r>
      <w:r w:rsidR="00460207">
        <w:t xml:space="preserve">for a </w:t>
      </w:r>
      <w:r w:rsidRPr="00147DA2">
        <w:t>given set of unit characteristics</w:t>
      </w:r>
      <w:r w:rsidR="00687764">
        <w:t xml:space="preserve">. </w:t>
      </w:r>
      <w:r w:rsidR="005F0CB1" w:rsidRPr="006E2384">
        <w:t>New England was modeled as a constrained single area for unit commitment, and regional resources were economically dispatched</w:t>
      </w:r>
      <w:r w:rsidR="00687764" w:rsidRPr="006E2384">
        <w:t xml:space="preserve"> in the simulations</w:t>
      </w:r>
      <w:r w:rsidR="005F0CB1" w:rsidRPr="006E2384">
        <w:t xml:space="preserve"> to respect </w:t>
      </w:r>
      <w:r w:rsidR="00687764" w:rsidRPr="006E2384">
        <w:t xml:space="preserve">the assumed </w:t>
      </w:r>
      <w:r w:rsidR="005F0CB1" w:rsidRPr="006E2384">
        <w:t>transmission system security constraints</w:t>
      </w:r>
      <w:r w:rsidR="008021DB" w:rsidRPr="006E2384">
        <w:t xml:space="preserve"> </w:t>
      </w:r>
      <w:r w:rsidR="00687764" w:rsidRPr="006E2384">
        <w:t>under normal and contingency conditions.</w:t>
      </w:r>
      <w:r w:rsidR="00687764">
        <w:t xml:space="preserve"> </w:t>
      </w:r>
      <w:r w:rsidR="005F0CB1">
        <w:t xml:space="preserve">Depending on the case, the model </w:t>
      </w:r>
      <w:r w:rsidR="00665C70">
        <w:t xml:space="preserve">included approximately </w:t>
      </w:r>
      <w:r w:rsidR="0094444B">
        <w:t>9</w:t>
      </w:r>
      <w:r w:rsidR="00EB4F68" w:rsidRPr="00147DA2">
        <w:t>00 units</w:t>
      </w:r>
      <w:r w:rsidR="00C72C28">
        <w:t xml:space="preserve"> </w:t>
      </w:r>
      <w:r w:rsidR="00EB4F68" w:rsidRPr="00147DA2">
        <w:t>(new</w:t>
      </w:r>
      <w:r w:rsidR="00EB4F68" w:rsidRPr="00447FC5">
        <w:t xml:space="preserve"> and existing) in New England</w:t>
      </w:r>
      <w:r w:rsidR="008021DB">
        <w:t>.</w:t>
      </w:r>
      <w:r w:rsidR="00687764">
        <w:t xml:space="preserve"> </w:t>
      </w:r>
    </w:p>
    <w:p w:rsidR="003F2228" w:rsidRDefault="003F2228" w:rsidP="00147DA2">
      <w:r>
        <w:t xml:space="preserve">The scenarios </w:t>
      </w:r>
      <w:r w:rsidRPr="00E0005F">
        <w:t xml:space="preserve">examined </w:t>
      </w:r>
      <w:r>
        <w:t xml:space="preserve">data sets for two years, </w:t>
      </w:r>
      <w:r w:rsidRPr="006E2384">
        <w:t>2025 and 2030,</w:t>
      </w:r>
      <w:r w:rsidRPr="00E0005F">
        <w:t xml:space="preserve"> with the transmission system constrained and unconstrained and with </w:t>
      </w:r>
      <w:r>
        <w:t xml:space="preserve">all </w:t>
      </w:r>
      <w:r w:rsidRPr="00E0005F">
        <w:t xml:space="preserve">resource mixes meeting the </w:t>
      </w:r>
      <w:r>
        <w:t>n</w:t>
      </w:r>
      <w:r w:rsidRPr="00E0005F">
        <w:t>et Installed Capacity Requirement</w:t>
      </w:r>
      <w:r>
        <w:t xml:space="preserve"> (NICR).</w:t>
      </w:r>
      <w:r w:rsidR="002B1E0C">
        <w:rPr>
          <w:rStyle w:val="FootnoteReference"/>
        </w:rPr>
        <w:footnoteReference w:id="7"/>
      </w:r>
      <w:r>
        <w:t xml:space="preserve"> </w:t>
      </w:r>
      <w:r w:rsidRPr="008A7132">
        <w:t xml:space="preserve">The </w:t>
      </w:r>
      <w:r w:rsidRPr="008A7132">
        <w:lastRenderedPageBreak/>
        <w:t xml:space="preserve">year 2025 was selected because it represents the end of the current regional system planning </w:t>
      </w:r>
      <w:r w:rsidRPr="009D74F8">
        <w:t>horizon. The year 2030 was selected to show longer-term strategic results</w:t>
      </w:r>
      <w:r w:rsidR="008C16C4">
        <w:t>.</w:t>
      </w:r>
    </w:p>
    <w:p w:rsidR="00147DA2" w:rsidRDefault="00D1138C" w:rsidP="00147DA2">
      <w:r>
        <w:t xml:space="preserve">The </w:t>
      </w:r>
      <w:r w:rsidR="008158BE">
        <w:t xml:space="preserve">requested scenarios </w:t>
      </w:r>
      <w:r>
        <w:t>considered p</w:t>
      </w:r>
      <w:r w:rsidR="00147DA2">
        <w:t xml:space="preserve">ublic policies assumed to be in </w:t>
      </w:r>
      <w:r w:rsidR="00147DA2" w:rsidRPr="007C38B7">
        <w:t xml:space="preserve">effect </w:t>
      </w:r>
      <w:r w:rsidR="00147DA2" w:rsidRPr="00623EAF">
        <w:t xml:space="preserve">in the six New England states in </w:t>
      </w:r>
      <w:r w:rsidR="005024DA">
        <w:t>the two study years</w:t>
      </w:r>
      <w:r>
        <w:t>, including</w:t>
      </w:r>
      <w:r w:rsidR="00147DA2">
        <w:t xml:space="preserve"> Regional Portfolio Standards</w:t>
      </w:r>
      <w:r w:rsidR="00147DA2" w:rsidRPr="00CE7F43">
        <w:t>;</w:t>
      </w:r>
      <w:r w:rsidR="00147DA2">
        <w:t xml:space="preserve"> e</w:t>
      </w:r>
      <w:r w:rsidR="00147DA2" w:rsidRPr="009D6049">
        <w:t>nergy-efficiency</w:t>
      </w:r>
      <w:r w:rsidR="003F2228">
        <w:t xml:space="preserve"> (EE)</w:t>
      </w:r>
      <w:r w:rsidR="00147DA2">
        <w:t>, solar, and net-metering</w:t>
      </w:r>
      <w:r w:rsidR="00147DA2" w:rsidRPr="009D6049">
        <w:t xml:space="preserve"> programs</w:t>
      </w:r>
      <w:r w:rsidR="00147DA2">
        <w:t xml:space="preserve">; state long-term renewable </w:t>
      </w:r>
      <w:r w:rsidR="00147DA2" w:rsidRPr="003A1D66">
        <w:t>and clean energy procurements; and the Regional Greenhous</w:t>
      </w:r>
      <w:r w:rsidR="008158BE">
        <w:t>e</w:t>
      </w:r>
      <w:r w:rsidR="00147DA2" w:rsidRPr="003A1D66">
        <w:t xml:space="preserve"> Gas Initiative (RGGI) allowance pricing.</w:t>
      </w:r>
      <w:r w:rsidR="00147DA2" w:rsidRPr="003A1D66">
        <w:rPr>
          <w:rStyle w:val="FootnoteReference"/>
        </w:rPr>
        <w:footnoteReference w:id="8"/>
      </w:r>
      <w:r w:rsidR="00EB4F68" w:rsidRPr="00EB4F68">
        <w:t xml:space="preserve"> </w:t>
      </w:r>
    </w:p>
    <w:p w:rsidR="00F43291" w:rsidRDefault="00147DA2" w:rsidP="003A1D66">
      <w:r w:rsidRPr="001E7CB8">
        <w:t xml:space="preserve">The study </w:t>
      </w:r>
      <w:r w:rsidRPr="00DE0B86">
        <w:t>made common and scenario-specific assumptions</w:t>
      </w:r>
      <w:r w:rsidRPr="001E7CB8">
        <w:t xml:space="preserve"> for a number of parameters</w:t>
      </w:r>
      <w:r w:rsidR="00E56416">
        <w:t xml:space="preserve">, </w:t>
      </w:r>
      <w:r w:rsidR="00511343">
        <w:t xml:space="preserve">as follows, </w:t>
      </w:r>
      <w:r w:rsidR="00E56416">
        <w:t>reflecting information know</w:t>
      </w:r>
      <w:r w:rsidR="000A37E6">
        <w:t>n</w:t>
      </w:r>
      <w:r w:rsidR="00E56416">
        <w:t xml:space="preserve"> as of April 1, 2016</w:t>
      </w:r>
      <w:r w:rsidR="000A37E6">
        <w:t>,</w:t>
      </w:r>
      <w:r w:rsidR="00F349FA">
        <w:t xml:space="preserve"> and additional assumptions developed by August 2017</w:t>
      </w:r>
      <w:r w:rsidR="006E2384">
        <w:t>:</w:t>
      </w:r>
      <w:r w:rsidRPr="005F6A46">
        <w:rPr>
          <w:rStyle w:val="FootnoteReference"/>
        </w:rPr>
        <w:footnoteReference w:id="9"/>
      </w:r>
      <w:r>
        <w:t xml:space="preserve"> </w:t>
      </w:r>
    </w:p>
    <w:p w:rsidR="00E56416" w:rsidRPr="005F6A46" w:rsidRDefault="00E56416" w:rsidP="00E56416">
      <w:pPr>
        <w:numPr>
          <w:ilvl w:val="0"/>
          <w:numId w:val="23"/>
        </w:numPr>
        <w:spacing w:after="120"/>
      </w:pPr>
      <w:r w:rsidRPr="009069E8">
        <w:t xml:space="preserve">Gross </w:t>
      </w:r>
      <w:r>
        <w:t>demand</w:t>
      </w:r>
      <w:r w:rsidRPr="009069E8">
        <w:t xml:space="preserve">, PV, and EE forecasts summarized in </w:t>
      </w:r>
      <w:r>
        <w:t xml:space="preserve">the ISO’s </w:t>
      </w:r>
      <w:r w:rsidRPr="009069E8">
        <w:rPr>
          <w:i/>
        </w:rPr>
        <w:t xml:space="preserve">2016 </w:t>
      </w:r>
      <w:r w:rsidRPr="006F34B4">
        <w:rPr>
          <w:i/>
        </w:rPr>
        <w:t>Capacity, Energy, Load, and Transmission (CELT) Report</w:t>
      </w:r>
      <w:r>
        <w:rPr>
          <w:i/>
        </w:rPr>
        <w:t xml:space="preserve"> </w:t>
      </w:r>
      <w:r>
        <w:t>were used to establish net load for 2025.</w:t>
      </w:r>
      <w:r>
        <w:rPr>
          <w:rStyle w:val="FootnoteReference"/>
          <w:i/>
        </w:rPr>
        <w:footnoteReference w:id="10"/>
      </w:r>
      <w:r>
        <w:t xml:space="preserve"> The quantities for 2030 assumed growth continuing at the same rate for 2025 compared with 2024</w:t>
      </w:r>
      <w:r w:rsidR="00055FBE">
        <w:t>.</w:t>
      </w:r>
    </w:p>
    <w:p w:rsidR="00E56416" w:rsidRPr="009069E8" w:rsidRDefault="00E56416" w:rsidP="00E56416">
      <w:pPr>
        <w:pStyle w:val="ListParagraph"/>
        <w:numPr>
          <w:ilvl w:val="0"/>
          <w:numId w:val="22"/>
        </w:numPr>
        <w:ind w:left="720"/>
      </w:pPr>
      <w:r w:rsidRPr="009069E8">
        <w:t xml:space="preserve">A representative </w:t>
      </w:r>
      <w:r>
        <w:t xml:space="preserve">installed </w:t>
      </w:r>
      <w:r w:rsidRPr="009069E8">
        <w:t xml:space="preserve">reserve margin of 14% was </w:t>
      </w:r>
      <w:r>
        <w:t>assumed</w:t>
      </w:r>
      <w:r w:rsidRPr="009069E8">
        <w:t xml:space="preserve"> to meet the </w:t>
      </w:r>
      <w:r>
        <w:t>n</w:t>
      </w:r>
      <w:r w:rsidRPr="009069E8">
        <w:t xml:space="preserve">et Installed Capacity Requirement </w:t>
      </w:r>
      <w:r>
        <w:t xml:space="preserve">to </w:t>
      </w:r>
      <w:r w:rsidRPr="009069E8">
        <w:t>determine needed generation added to the scenarios</w:t>
      </w:r>
      <w:r w:rsidR="00055FBE">
        <w:t>.</w:t>
      </w:r>
      <w:r w:rsidRPr="009069E8">
        <w:t xml:space="preserve"> </w:t>
      </w:r>
    </w:p>
    <w:p w:rsidR="009F5108" w:rsidRPr="002B1E0C" w:rsidRDefault="00E56416" w:rsidP="00E11BEF">
      <w:pPr>
        <w:pStyle w:val="ListParagraph"/>
        <w:numPr>
          <w:ilvl w:val="0"/>
          <w:numId w:val="50"/>
        </w:numPr>
      </w:pPr>
      <w:r w:rsidRPr="002B1E0C">
        <w:t xml:space="preserve">The fleet of supply and demand </w:t>
      </w:r>
      <w:r w:rsidR="005A1F9E" w:rsidRPr="002B1E0C">
        <w:t>r</w:t>
      </w:r>
      <w:r w:rsidR="003A1D66" w:rsidRPr="002B1E0C">
        <w:t xml:space="preserve">esources </w:t>
      </w:r>
      <w:r w:rsidRPr="002B1E0C">
        <w:t xml:space="preserve">expected as of </w:t>
      </w:r>
      <w:r w:rsidR="00147DA2" w:rsidRPr="002B1E0C">
        <w:t xml:space="preserve">2019/2020 using the results of </w:t>
      </w:r>
      <w:r w:rsidR="003F2228" w:rsidRPr="002B1E0C">
        <w:t>FCA </w:t>
      </w:r>
      <w:r w:rsidR="00147DA2" w:rsidRPr="002B1E0C">
        <w:t>#10</w:t>
      </w:r>
      <w:r w:rsidR="00055FBE" w:rsidRPr="002B1E0C">
        <w:t xml:space="preserve"> </w:t>
      </w:r>
      <w:r w:rsidR="00CD3C03" w:rsidRPr="002B1E0C">
        <w:t>were reflected in the simulations</w:t>
      </w:r>
      <w:r w:rsidR="005A1F9E" w:rsidRPr="002B1E0C">
        <w:t>.</w:t>
      </w:r>
      <w:r w:rsidR="005A1F9E" w:rsidRPr="002B1E0C">
        <w:rPr>
          <w:rStyle w:val="FootnoteReference"/>
        </w:rPr>
        <w:footnoteReference w:id="11"/>
      </w:r>
      <w:r w:rsidR="005A1F9E" w:rsidRPr="002B1E0C">
        <w:t xml:space="preserve"> These cleared </w:t>
      </w:r>
      <w:r w:rsidR="00AA0EDB" w:rsidRPr="002B1E0C">
        <w:t>resource</w:t>
      </w:r>
      <w:r w:rsidR="00A03101" w:rsidRPr="002B1E0C">
        <w:t>s</w:t>
      </w:r>
      <w:r w:rsidR="00D400DB" w:rsidRPr="002B1E0C">
        <w:t>,</w:t>
      </w:r>
      <w:r w:rsidR="00AA0EDB" w:rsidRPr="002B1E0C">
        <w:t xml:space="preserve"> inclu</w:t>
      </w:r>
      <w:r w:rsidR="00CD3C03" w:rsidRPr="002B1E0C">
        <w:t xml:space="preserve">de </w:t>
      </w:r>
      <w:r w:rsidR="005A1F9E" w:rsidRPr="002B1E0C">
        <w:t xml:space="preserve">renewables (i.e., biofuel, landfill gas, and other fuels), </w:t>
      </w:r>
      <w:r w:rsidR="009F5108" w:rsidRPr="002B1E0C">
        <w:t xml:space="preserve">central station </w:t>
      </w:r>
      <w:r w:rsidR="005A1F9E" w:rsidRPr="002B1E0C">
        <w:t>solar photovoltaics</w:t>
      </w:r>
      <w:r w:rsidRPr="002B1E0C">
        <w:t xml:space="preserve">; coal-, oil-, and gas-fired generators; </w:t>
      </w:r>
      <w:r w:rsidR="005A1F9E" w:rsidRPr="002B1E0C">
        <w:t>nuclear</w:t>
      </w:r>
      <w:r w:rsidRPr="002B1E0C">
        <w:t xml:space="preserve">; </w:t>
      </w:r>
      <w:r w:rsidR="005A1F9E" w:rsidRPr="002B1E0C">
        <w:t>hydroelectric and pumped</w:t>
      </w:r>
      <w:r w:rsidR="008C16C4" w:rsidRPr="002B1E0C">
        <w:t>-</w:t>
      </w:r>
      <w:r w:rsidR="005A1F9E" w:rsidRPr="002B1E0C">
        <w:t>storage resources</w:t>
      </w:r>
      <w:r w:rsidRPr="002B1E0C">
        <w:t>; and external capacity contracts</w:t>
      </w:r>
      <w:r w:rsidR="009F5108" w:rsidRPr="002B1E0C">
        <w:t>, which</w:t>
      </w:r>
      <w:r w:rsidR="005A1F9E" w:rsidRPr="002B1E0C">
        <w:t xml:space="preserve"> will have capacity supply obligations (CSOs) from June 1, 2019</w:t>
      </w:r>
      <w:r w:rsidR="009F5108" w:rsidRPr="002B1E0C">
        <w:t>,</w:t>
      </w:r>
      <w:r w:rsidR="005A1F9E" w:rsidRPr="002B1E0C">
        <w:t xml:space="preserve"> to May 31, 2020.</w:t>
      </w:r>
      <w:r w:rsidRPr="002B1E0C">
        <w:rPr>
          <w:rStyle w:val="FootnoteReference"/>
        </w:rPr>
        <w:footnoteReference w:id="12"/>
      </w:r>
      <w:r w:rsidR="005A1F9E" w:rsidRPr="002B1E0C">
        <w:t xml:space="preserve"> </w:t>
      </w:r>
      <w:r w:rsidR="008D2F7F" w:rsidRPr="002B1E0C">
        <w:t>Retired resources known as of FCA</w:t>
      </w:r>
      <w:r w:rsidR="00055FBE" w:rsidRPr="002B1E0C">
        <w:t xml:space="preserve"> </w:t>
      </w:r>
      <w:r w:rsidR="008D2F7F" w:rsidRPr="002B1E0C">
        <w:t xml:space="preserve">#10 were also removed from the simulation data bases. </w:t>
      </w:r>
    </w:p>
    <w:p w:rsidR="00E56416" w:rsidRPr="002B1E0C" w:rsidRDefault="00E56416" w:rsidP="00E11BEF">
      <w:pPr>
        <w:pStyle w:val="ListParagraph"/>
        <w:numPr>
          <w:ilvl w:val="0"/>
          <w:numId w:val="15"/>
        </w:numPr>
      </w:pPr>
      <w:r w:rsidRPr="004F24B6">
        <w:lastRenderedPageBreak/>
        <w:t>FCM and energy-only generators</w:t>
      </w:r>
      <w:r w:rsidR="002B1E0C" w:rsidRPr="004F24B6">
        <w:t xml:space="preserve"> were </w:t>
      </w:r>
      <w:r w:rsidRPr="004F24B6">
        <w:t xml:space="preserve">simulated at their summer seasonal </w:t>
      </w:r>
      <w:r w:rsidR="00AD1752" w:rsidRPr="004F24B6">
        <w:t>claimed</w:t>
      </w:r>
      <w:r w:rsidR="004259E4" w:rsidRPr="004F24B6">
        <w:t xml:space="preserve"> </w:t>
      </w:r>
      <w:r w:rsidRPr="004F24B6">
        <w:t>capabilities</w:t>
      </w:r>
      <w:r w:rsidRPr="002B1E0C">
        <w:t xml:space="preserve"> and then reduced to reflect forced outages and average daily unavailabilities of generators</w:t>
      </w:r>
      <w:r w:rsidR="002B1E0C" w:rsidRPr="002B1E0C">
        <w:t>.</w:t>
      </w:r>
      <w:r w:rsidRPr="002B1E0C">
        <w:t xml:space="preserve">  </w:t>
      </w:r>
    </w:p>
    <w:p w:rsidR="00147DA2" w:rsidRPr="002B1E0C" w:rsidRDefault="00FF76B8" w:rsidP="00A66BAF">
      <w:pPr>
        <w:numPr>
          <w:ilvl w:val="0"/>
          <w:numId w:val="15"/>
        </w:numPr>
        <w:spacing w:after="120"/>
      </w:pPr>
      <w:r w:rsidRPr="002B1E0C">
        <w:t xml:space="preserve">The as-planned transmission system </w:t>
      </w:r>
      <w:r w:rsidR="005E1C85" w:rsidRPr="002B1E0C">
        <w:t xml:space="preserve">was used </w:t>
      </w:r>
      <w:r w:rsidRPr="002B1E0C">
        <w:t xml:space="preserve">for estimating the system’s </w:t>
      </w:r>
      <w:r w:rsidR="005E1C85" w:rsidRPr="002B1E0C">
        <w:t xml:space="preserve">transfer limits for </w:t>
      </w:r>
      <w:r w:rsidRPr="002B1E0C">
        <w:t>internal and external interface</w:t>
      </w:r>
      <w:r w:rsidR="005E1C85" w:rsidRPr="002B1E0C">
        <w:t>s</w:t>
      </w:r>
      <w:r w:rsidRPr="002B1E0C">
        <w:t xml:space="preserve"> under constrained conditions. </w:t>
      </w:r>
      <w:r w:rsidR="00E56416" w:rsidRPr="002B1E0C">
        <w:t>The 2025 and 2030 internal and external transmission-interface transfer capabilities</w:t>
      </w:r>
      <w:r w:rsidR="005E1C85" w:rsidRPr="002B1E0C">
        <w:t xml:space="preserve"> were </w:t>
      </w:r>
      <w:r w:rsidR="00E56416" w:rsidRPr="002B1E0C">
        <w:t>based on the values established for 2025 for regional planning studies.</w:t>
      </w:r>
      <w:r w:rsidR="00E56416" w:rsidRPr="002B1E0C">
        <w:rPr>
          <w:rStyle w:val="FootnoteReference"/>
        </w:rPr>
        <w:footnoteReference w:id="13"/>
      </w:r>
    </w:p>
    <w:p w:rsidR="00FF76B8" w:rsidRPr="002A15AD" w:rsidRDefault="00FF76B8" w:rsidP="002A15AD">
      <w:pPr>
        <w:numPr>
          <w:ilvl w:val="0"/>
          <w:numId w:val="15"/>
        </w:numPr>
        <w:spacing w:after="120"/>
      </w:pPr>
      <w:r w:rsidRPr="009B44B8">
        <w:rPr>
          <w:noProof/>
        </w:rPr>
        <w:drawing>
          <wp:anchor distT="0" distB="0" distL="114300" distR="114300" simplePos="0" relativeHeight="251663360" behindDoc="1" locked="0" layoutInCell="1" allowOverlap="1" wp14:anchorId="6742CD7D" wp14:editId="08D210CD">
            <wp:simplePos x="0" y="0"/>
            <wp:positionH relativeFrom="page">
              <wp:posOffset>-46355</wp:posOffset>
            </wp:positionH>
            <wp:positionV relativeFrom="page">
              <wp:posOffset>-183271160</wp:posOffset>
            </wp:positionV>
            <wp:extent cx="7772400" cy="10058400"/>
            <wp:effectExtent l="0" t="0" r="0" b="0"/>
            <wp:wrapNone/>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15AD">
        <w:t>US Energy Information Administration (EIA) fuel</w:t>
      </w:r>
      <w:r w:rsidR="00DE0B86" w:rsidRPr="002A15AD">
        <w:t>-</w:t>
      </w:r>
      <w:r w:rsidRPr="002A15AD">
        <w:t xml:space="preserve">price forecasts with reference projections to 2030, </w:t>
      </w:r>
      <w:r w:rsidR="00AB6D7B" w:rsidRPr="002A15AD">
        <w:t xml:space="preserve">were used </w:t>
      </w:r>
      <w:r w:rsidRPr="002A15AD">
        <w:t>for estimating costs to produce electric energy</w:t>
      </w:r>
      <w:r w:rsidRPr="002A15AD">
        <w:rPr>
          <w:vertAlign w:val="superscript"/>
        </w:rPr>
        <w:footnoteReference w:id="14"/>
      </w:r>
      <w:r w:rsidRPr="005A0BA1">
        <w:rPr>
          <w:vertAlign w:val="superscript"/>
        </w:rPr>
        <w:t xml:space="preserve"> </w:t>
      </w:r>
    </w:p>
    <w:p w:rsidR="002A15AD" w:rsidRDefault="00FF76B8" w:rsidP="002A15AD">
      <w:pPr>
        <w:pStyle w:val="ListParagraph"/>
        <w:numPr>
          <w:ilvl w:val="0"/>
          <w:numId w:val="16"/>
        </w:numPr>
        <w:ind w:left="1440"/>
        <w:rPr>
          <w:szCs w:val="20"/>
        </w:rPr>
      </w:pPr>
      <w:r w:rsidRPr="0060736F">
        <w:rPr>
          <w:szCs w:val="20"/>
        </w:rPr>
        <w:t>Prices for</w:t>
      </w:r>
      <w:r w:rsidR="009F5108" w:rsidRPr="0060736F">
        <w:rPr>
          <w:szCs w:val="20"/>
        </w:rPr>
        <w:t xml:space="preserve"> the Regional Greenhouse Gas Initiative carbon dioxide (</w:t>
      </w:r>
      <w:r w:rsidRPr="0060736F">
        <w:rPr>
          <w:szCs w:val="20"/>
        </w:rPr>
        <w:t>CO</w:t>
      </w:r>
      <w:r w:rsidRPr="0060736F">
        <w:rPr>
          <w:szCs w:val="20"/>
          <w:vertAlign w:val="subscript"/>
        </w:rPr>
        <w:t>2</w:t>
      </w:r>
      <w:r w:rsidR="009F5108" w:rsidRPr="0060736F">
        <w:rPr>
          <w:szCs w:val="20"/>
        </w:rPr>
        <w:t>)</w:t>
      </w:r>
      <w:r w:rsidRPr="0060736F">
        <w:rPr>
          <w:szCs w:val="20"/>
        </w:rPr>
        <w:t xml:space="preserve"> emission allowances </w:t>
      </w:r>
      <w:r w:rsidR="00AB6D7B" w:rsidRPr="00C668B8">
        <w:rPr>
          <w:szCs w:val="20"/>
        </w:rPr>
        <w:t xml:space="preserve">were </w:t>
      </w:r>
      <w:r w:rsidRPr="00C668B8">
        <w:rPr>
          <w:szCs w:val="20"/>
        </w:rPr>
        <w:t xml:space="preserve">specified at $19/ton for 2025 and </w:t>
      </w:r>
      <w:r w:rsidRPr="00722113">
        <w:rPr>
          <w:szCs w:val="20"/>
        </w:rPr>
        <w:t xml:space="preserve">$24/ton for 2030 </w:t>
      </w:r>
      <w:r w:rsidR="00AB6D7B" w:rsidRPr="00722113">
        <w:rPr>
          <w:szCs w:val="20"/>
        </w:rPr>
        <w:t xml:space="preserve">and used </w:t>
      </w:r>
      <w:r w:rsidRPr="00722113">
        <w:rPr>
          <w:szCs w:val="20"/>
        </w:rPr>
        <w:t>for estimating the costs to produce electric energy</w:t>
      </w:r>
      <w:r w:rsidR="008158BE" w:rsidRPr="00722113">
        <w:rPr>
          <w:szCs w:val="20"/>
        </w:rPr>
        <w:t xml:space="preserve"> for all generating units</w:t>
      </w:r>
      <w:r w:rsidRPr="00722113">
        <w:rPr>
          <w:szCs w:val="20"/>
        </w:rPr>
        <w:t xml:space="preserve">. </w:t>
      </w:r>
    </w:p>
    <w:p w:rsidR="0060736F" w:rsidRPr="00F349FA" w:rsidRDefault="008158BE" w:rsidP="002A15AD">
      <w:pPr>
        <w:pStyle w:val="ListParagraph"/>
        <w:numPr>
          <w:ilvl w:val="0"/>
          <w:numId w:val="16"/>
        </w:numPr>
        <w:ind w:left="1440"/>
        <w:rPr>
          <w:szCs w:val="20"/>
        </w:rPr>
      </w:pPr>
      <w:r w:rsidRPr="00F349FA">
        <w:rPr>
          <w:szCs w:val="20"/>
        </w:rPr>
        <w:t xml:space="preserve">Emission allowance prices for other environmental emissions were </w:t>
      </w:r>
      <w:r w:rsidR="00F349FA">
        <w:rPr>
          <w:szCs w:val="20"/>
        </w:rPr>
        <w:t xml:space="preserve">also </w:t>
      </w:r>
      <w:r w:rsidRPr="00F349FA">
        <w:rPr>
          <w:szCs w:val="20"/>
        </w:rPr>
        <w:t>assumed</w:t>
      </w:r>
      <w:r w:rsidR="00F349FA">
        <w:rPr>
          <w:szCs w:val="20"/>
        </w:rPr>
        <w:t xml:space="preserve"> but have much less of a significant effect on results</w:t>
      </w:r>
      <w:r w:rsidR="0060736F" w:rsidRPr="00F349FA">
        <w:rPr>
          <w:szCs w:val="20"/>
        </w:rPr>
        <w:t>.</w:t>
      </w:r>
      <w:r w:rsidR="004F24B6">
        <w:rPr>
          <w:rStyle w:val="FootnoteReference"/>
        </w:rPr>
        <w:footnoteReference w:id="15"/>
      </w:r>
      <w:r w:rsidR="0060736F" w:rsidRPr="00F349FA">
        <w:rPr>
          <w:szCs w:val="20"/>
        </w:rPr>
        <w:t xml:space="preserve"> </w:t>
      </w:r>
    </w:p>
    <w:p w:rsidR="00AB6D7B" w:rsidRPr="00BE2EE4" w:rsidRDefault="00AB6D7B" w:rsidP="00BE2EE4">
      <w:r w:rsidRPr="00BE2EE4">
        <w:t xml:space="preserve">The study also made several assumptions on the generic capital costs of new resources and </w:t>
      </w:r>
      <w:r w:rsidR="00195218" w:rsidRPr="00BE2EE4">
        <w:t xml:space="preserve">costs for </w:t>
      </w:r>
      <w:r w:rsidRPr="00BE2EE4">
        <w:t>transmission development</w:t>
      </w:r>
      <w:r w:rsidR="00195218" w:rsidRPr="00BE2EE4">
        <w:t xml:space="preserve"> at a high order of magnitude</w:t>
      </w:r>
      <w:r w:rsidRPr="00BE2EE4">
        <w:t>. Annual carrying charge rates were assumed for new resources and transmission development.</w:t>
      </w:r>
    </w:p>
    <w:p w:rsidR="001C537B" w:rsidRDefault="001C537B" w:rsidP="001C537B">
      <w:r w:rsidRPr="00A66BAF">
        <w:t>Other assumptions were made for the following parameters for each scenario, as appropriate:</w:t>
      </w:r>
    </w:p>
    <w:p w:rsidR="001C537B" w:rsidRDefault="001C537B" w:rsidP="001C537B">
      <w:pPr>
        <w:numPr>
          <w:ilvl w:val="0"/>
          <w:numId w:val="23"/>
        </w:numPr>
        <w:spacing w:after="120"/>
      </w:pPr>
      <w:r w:rsidRPr="005F6A46">
        <w:t xml:space="preserve">Total resource mix, including retirements, additions, and general locations </w:t>
      </w:r>
    </w:p>
    <w:p w:rsidR="00EF2847" w:rsidRPr="00A66BAF" w:rsidRDefault="00EF2847" w:rsidP="00EF2847">
      <w:pPr>
        <w:numPr>
          <w:ilvl w:val="0"/>
          <w:numId w:val="23"/>
        </w:numPr>
        <w:spacing w:after="120"/>
      </w:pPr>
      <w:r w:rsidRPr="00A66BAF">
        <w:t>Resource  capacity values</w:t>
      </w:r>
    </w:p>
    <w:p w:rsidR="001C537B" w:rsidRPr="00E11BEF" w:rsidRDefault="001C537B" w:rsidP="001C537B">
      <w:pPr>
        <w:numPr>
          <w:ilvl w:val="0"/>
          <w:numId w:val="23"/>
        </w:numPr>
        <w:spacing w:after="120"/>
      </w:pPr>
      <w:r w:rsidRPr="00E11BEF">
        <w:t>Load profiles (load shape and daily peak), which reflect behind-the-meter resources, mainly PV and EE resources</w:t>
      </w:r>
      <w:r w:rsidRPr="00E11BEF">
        <w:rPr>
          <w:rStyle w:val="FootnoteReference"/>
        </w:rPr>
        <w:footnoteReference w:id="16"/>
      </w:r>
      <w:r w:rsidR="00394F27" w:rsidRPr="00E11BEF">
        <w:t xml:space="preserve"> </w:t>
      </w:r>
    </w:p>
    <w:p w:rsidR="001C537B" w:rsidRPr="008A37BD" w:rsidRDefault="001C537B" w:rsidP="00E11BEF">
      <w:pPr>
        <w:numPr>
          <w:ilvl w:val="0"/>
          <w:numId w:val="52"/>
        </w:numPr>
        <w:spacing w:after="120"/>
      </w:pPr>
      <w:r w:rsidRPr="00E11BEF">
        <w:t>Wind and PV profiles, which</w:t>
      </w:r>
      <w:r>
        <w:t xml:space="preserve"> used hourly profiles developed by the National Renewable Energy Lab (NREL) compatible with the hourly system loads used in </w:t>
      </w:r>
      <w:r w:rsidRPr="008A37BD">
        <w:t>the GridView simulations</w:t>
      </w:r>
    </w:p>
    <w:p w:rsidR="009F5108" w:rsidRDefault="009F5108" w:rsidP="00A66BAF">
      <w:pPr>
        <w:numPr>
          <w:ilvl w:val="0"/>
          <w:numId w:val="52"/>
        </w:numPr>
        <w:spacing w:after="120"/>
      </w:pPr>
      <w:r w:rsidRPr="00CA6255">
        <w:t xml:space="preserve">Profiles for </w:t>
      </w:r>
      <w:r w:rsidRPr="00230FBF">
        <w:t xml:space="preserve">charging </w:t>
      </w:r>
      <w:r w:rsidRPr="009069E8">
        <w:t>plug-in hybrid electric vehicles</w:t>
      </w:r>
      <w:r w:rsidRPr="00CA6255">
        <w:t xml:space="preserve"> </w:t>
      </w:r>
      <w:r>
        <w:t xml:space="preserve">(PHEVs) </w:t>
      </w:r>
      <w:r w:rsidRPr="00CA6255">
        <w:t>at night</w:t>
      </w:r>
      <w:r>
        <w:t xml:space="preserve"> </w:t>
      </w:r>
      <w:r w:rsidR="001C4FAA">
        <w:t xml:space="preserve">  </w:t>
      </w:r>
    </w:p>
    <w:p w:rsidR="001C537B" w:rsidRPr="00977248" w:rsidRDefault="001C537B" w:rsidP="00E11BEF">
      <w:pPr>
        <w:numPr>
          <w:ilvl w:val="0"/>
          <w:numId w:val="52"/>
        </w:numPr>
        <w:spacing w:after="120"/>
      </w:pPr>
      <w:r>
        <w:t>The s</w:t>
      </w:r>
      <w:r w:rsidRPr="009B44B8">
        <w:t>tor</w:t>
      </w:r>
      <w:r>
        <w:t xml:space="preserve">age </w:t>
      </w:r>
      <w:r w:rsidRPr="009B44B8">
        <w:t>and discharg</w:t>
      </w:r>
      <w:r>
        <w:t>e</w:t>
      </w:r>
      <w:r w:rsidRPr="009B44B8">
        <w:t xml:space="preserve"> </w:t>
      </w:r>
      <w:r>
        <w:t xml:space="preserve">of </w:t>
      </w:r>
      <w:r w:rsidRPr="009B44B8">
        <w:t>energy by pumped</w:t>
      </w:r>
      <w:r>
        <w:t>-</w:t>
      </w:r>
      <w:r w:rsidRPr="009B44B8">
        <w:t>storage generation and battery systems</w:t>
      </w:r>
      <w:r>
        <w:t>,</w:t>
      </w:r>
      <w:r w:rsidRPr="009B44B8">
        <w:t xml:space="preserve"> designed to flatten the net load profile </w:t>
      </w:r>
      <w:r w:rsidRPr="00E11BEF">
        <w:t xml:space="preserve">after </w:t>
      </w:r>
      <w:r w:rsidR="00E11BEF" w:rsidRPr="00E11BEF">
        <w:t xml:space="preserve">all PV </w:t>
      </w:r>
      <w:r w:rsidR="00A72C3F" w:rsidRPr="00E11BEF">
        <w:t>(</w:t>
      </w:r>
      <w:r w:rsidR="005E1C85" w:rsidRPr="00E11BEF">
        <w:t>BTM and non-BTM</w:t>
      </w:r>
      <w:r w:rsidR="00A72C3F" w:rsidRPr="00E11BEF">
        <w:t>)</w:t>
      </w:r>
      <w:r w:rsidRPr="00E11BEF">
        <w:t>,  wind energy, and PHEV</w:t>
      </w:r>
      <w:r w:rsidR="009F5108" w:rsidRPr="00E11BEF">
        <w:t>s</w:t>
      </w:r>
      <w:r w:rsidRPr="00E11BEF">
        <w:t xml:space="preserve"> are accounted for)</w:t>
      </w:r>
      <w:r w:rsidRPr="00977248">
        <w:t xml:space="preserve"> </w:t>
      </w:r>
    </w:p>
    <w:p w:rsidR="009155E0" w:rsidRDefault="009155E0" w:rsidP="001C537B">
      <w:pPr>
        <w:numPr>
          <w:ilvl w:val="0"/>
          <w:numId w:val="48"/>
        </w:numPr>
        <w:spacing w:after="120"/>
      </w:pPr>
      <w:r w:rsidRPr="00E11BEF">
        <w:t>Hydro generation profiles and e</w:t>
      </w:r>
      <w:r w:rsidR="001C537B" w:rsidRPr="00E11BEF">
        <w:t>nergy delivery</w:t>
      </w:r>
      <w:r w:rsidR="009D3DDD" w:rsidRPr="00E11BEF">
        <w:t xml:space="preserve"> </w:t>
      </w:r>
      <w:r w:rsidR="001C537B" w:rsidRPr="00E11BEF">
        <w:t>transfers</w:t>
      </w:r>
      <w:r w:rsidR="001C537B">
        <w:t xml:space="preserve"> (imports) for existing </w:t>
      </w:r>
      <w:r w:rsidR="00D804FA">
        <w:t>ties</w:t>
      </w:r>
      <w:r w:rsidR="001C537B">
        <w:t xml:space="preserve"> developed using historical diurnal profiles for 2013, 2014, and 2015. </w:t>
      </w:r>
    </w:p>
    <w:p w:rsidR="001C537B" w:rsidRDefault="001C537B" w:rsidP="001C537B">
      <w:pPr>
        <w:numPr>
          <w:ilvl w:val="0"/>
          <w:numId w:val="23"/>
        </w:numPr>
      </w:pPr>
      <w:r w:rsidRPr="00E11BEF">
        <w:lastRenderedPageBreak/>
        <w:t xml:space="preserve">Trigger prices for </w:t>
      </w:r>
      <w:r w:rsidR="005E1C85" w:rsidRPr="00E11BEF">
        <w:t>reducing</w:t>
      </w:r>
      <w:r w:rsidRPr="00E11BEF">
        <w:t xml:space="preserve">  imports, hydro production, wind generators, and PV outputs to</w:t>
      </w:r>
      <w:r>
        <w:t xml:space="preserve"> </w:t>
      </w:r>
      <w:r w:rsidR="005E1C85">
        <w:t xml:space="preserve">decrease </w:t>
      </w:r>
      <w:r w:rsidRPr="003363A0">
        <w:t>their production during times of oversupply (called “spilling”) and to respect transmission system</w:t>
      </w:r>
      <w:r>
        <w:t xml:space="preserve"> limitations</w:t>
      </w:r>
    </w:p>
    <w:p w:rsidR="00B21B7D" w:rsidRPr="00FF76B8" w:rsidRDefault="00913518" w:rsidP="0053379A">
      <w:pPr>
        <w:pStyle w:val="Heading2"/>
      </w:pPr>
      <w:bookmarkStart w:id="14" w:name="_Toc486405953"/>
      <w:r w:rsidRPr="00FF76B8">
        <w:t xml:space="preserve">Key </w:t>
      </w:r>
      <w:r w:rsidR="002177A3" w:rsidRPr="00FF76B8">
        <w:t>Observat</w:t>
      </w:r>
      <w:r w:rsidR="00D400DB" w:rsidRPr="00FF76B8">
        <w:t>i</w:t>
      </w:r>
      <w:r w:rsidR="002177A3" w:rsidRPr="00FF76B8">
        <w:t>ons</w:t>
      </w:r>
      <w:bookmarkEnd w:id="14"/>
    </w:p>
    <w:p w:rsidR="00645FAC" w:rsidRDefault="00645FAC" w:rsidP="00B21B7D">
      <w:r w:rsidRPr="00D65EB4">
        <w:t xml:space="preserve">The assumed resource mixes and locations drive the major scenario results. </w:t>
      </w:r>
      <w:r w:rsidR="00B21B7D" w:rsidRPr="00D65EB4">
        <w:t xml:space="preserve">Scenarios 1, 4, and 5 </w:t>
      </w:r>
      <w:r w:rsidR="0087293E" w:rsidRPr="00D65EB4">
        <w:t>(RPS</w:t>
      </w:r>
      <w:r w:rsidR="00D65EB4" w:rsidRPr="00D65EB4">
        <w:t>s</w:t>
      </w:r>
      <w:r w:rsidR="0087293E" w:rsidRPr="00D65EB4">
        <w:t xml:space="preserve"> + Gas, No Retirements</w:t>
      </w:r>
      <w:r w:rsidR="001B3ACB" w:rsidRPr="00D65EB4">
        <w:t xml:space="preserve"> </w:t>
      </w:r>
      <w:r w:rsidR="000F0286" w:rsidRPr="00D65EB4">
        <w:t>b</w:t>
      </w:r>
      <w:r w:rsidR="001B3ACB" w:rsidRPr="00D65EB4">
        <w:t>eyond FCA #10</w:t>
      </w:r>
      <w:r w:rsidR="0087293E" w:rsidRPr="00D65EB4">
        <w:t xml:space="preserve">, and </w:t>
      </w:r>
      <w:r w:rsidR="002C1D0E" w:rsidRPr="00D65EB4">
        <w:t xml:space="preserve">ACPs </w:t>
      </w:r>
      <w:r w:rsidR="0087293E" w:rsidRPr="00D65EB4">
        <w:t xml:space="preserve">+ Gas) </w:t>
      </w:r>
      <w:r w:rsidR="00B21B7D" w:rsidRPr="00D65EB4">
        <w:t>are generally similar to each other</w:t>
      </w:r>
      <w:r w:rsidR="005E6960">
        <w:t>. A</w:t>
      </w:r>
      <w:r w:rsidR="00B21B7D" w:rsidRPr="00D65EB4">
        <w:t xml:space="preserve">nd </w:t>
      </w:r>
      <w:r w:rsidR="00D2541E" w:rsidRPr="00D65EB4">
        <w:t>based on issues</w:t>
      </w:r>
      <w:r w:rsidR="00D2541E" w:rsidRPr="00D2541E">
        <w:t xml:space="preserve"> discussed in support of Regional System Plans, </w:t>
      </w:r>
      <w:r w:rsidR="00147DA2" w:rsidRPr="00D2541E">
        <w:t>their</w:t>
      </w:r>
      <w:r w:rsidR="00E45E36" w:rsidRPr="00D2541E">
        <w:t xml:space="preserve"> </w:t>
      </w:r>
      <w:r w:rsidR="00B21B7D" w:rsidRPr="00D2541E">
        <w:t>results intuitively make sense</w:t>
      </w:r>
      <w:r w:rsidR="00D2541E">
        <w:t xml:space="preserve"> </w:t>
      </w:r>
      <w:r>
        <w:t>because</w:t>
      </w:r>
      <w:r w:rsidR="004259E4">
        <w:t xml:space="preserve"> </w:t>
      </w:r>
      <w:r>
        <w:t xml:space="preserve">the </w:t>
      </w:r>
      <w:r w:rsidR="004259E4">
        <w:t xml:space="preserve">amounts of demand and </w:t>
      </w:r>
      <w:r>
        <w:t xml:space="preserve">assumed </w:t>
      </w:r>
      <w:r w:rsidRPr="00645FAC">
        <w:t>resource</w:t>
      </w:r>
      <w:r w:rsidR="004259E4">
        <w:t xml:space="preserve"> additions and locations are </w:t>
      </w:r>
      <w:r w:rsidR="00A67DEC">
        <w:t xml:space="preserve">generally </w:t>
      </w:r>
      <w:r w:rsidR="004259E4">
        <w:t>similar to the RSP system</w:t>
      </w:r>
      <w:r>
        <w:t>.</w:t>
      </w:r>
      <w:r w:rsidR="00D2541E" w:rsidRPr="00D2541E">
        <w:rPr>
          <w:rStyle w:val="FootnoteReference"/>
        </w:rPr>
        <w:footnoteReference w:id="17"/>
      </w:r>
      <w:r>
        <w:t xml:space="preserve"> Scenarios 3 and 6 </w:t>
      </w:r>
      <w:r w:rsidR="00D2541E">
        <w:t xml:space="preserve">(Renewables Plus and RPSs + Geodiverse Renewables) </w:t>
      </w:r>
      <w:r>
        <w:t>show the effects of</w:t>
      </w:r>
      <w:r w:rsidRPr="00645FAC">
        <w:t xml:space="preserve"> </w:t>
      </w:r>
      <w:r>
        <w:t xml:space="preserve">the large-scale development of </w:t>
      </w:r>
      <w:r w:rsidRPr="00645FAC">
        <w:t xml:space="preserve">renewable EE, PV, and offshore wind development in southern New England. </w:t>
      </w:r>
      <w:r>
        <w:t xml:space="preserve">Scenario 2 </w:t>
      </w:r>
      <w:r w:rsidR="00D2541E">
        <w:t xml:space="preserve">(ISO Queue) </w:t>
      </w:r>
      <w:r>
        <w:t xml:space="preserve">demonstrates how the large-scale addition of onshore wind resources in northern New England affects the system metrics.  </w:t>
      </w:r>
    </w:p>
    <w:p w:rsidR="00DA212C" w:rsidRDefault="00857B77" w:rsidP="00B21B7D">
      <w:r>
        <w:t>Many of t</w:t>
      </w:r>
      <w:r w:rsidRPr="00857B77">
        <w:t>he r</w:t>
      </w:r>
      <w:r>
        <w:t xml:space="preserve">esults for Scenarios 2, 3, and </w:t>
      </w:r>
      <w:r w:rsidRPr="00162D21">
        <w:t>6</w:t>
      </w:r>
      <w:r w:rsidR="00C26096" w:rsidRPr="00162D21">
        <w:t xml:space="preserve"> </w:t>
      </w:r>
      <w:r w:rsidRPr="004F24B6">
        <w:t>are similar to the other three scenarios</w:t>
      </w:r>
      <w:r w:rsidR="00C26096" w:rsidRPr="004F24B6">
        <w:t>. B</w:t>
      </w:r>
      <w:r w:rsidRPr="004F24B6">
        <w:t>ut other</w:t>
      </w:r>
      <w:r w:rsidR="00C26096" w:rsidRPr="004F24B6">
        <w:t xml:space="preserve"> result</w:t>
      </w:r>
      <w:r w:rsidRPr="004F24B6">
        <w:t>s differ</w:t>
      </w:r>
      <w:r w:rsidR="00C26096" w:rsidRPr="004F24B6">
        <w:t xml:space="preserve"> more widely due to </w:t>
      </w:r>
      <w:r w:rsidR="002177A3" w:rsidRPr="004F24B6">
        <w:t xml:space="preserve">the </w:t>
      </w:r>
      <w:r w:rsidR="009F047B" w:rsidRPr="004F24B6">
        <w:t xml:space="preserve">large </w:t>
      </w:r>
      <w:r w:rsidR="002177A3" w:rsidRPr="004F24B6">
        <w:t>extent of renewable resources</w:t>
      </w:r>
      <w:r w:rsidR="00114CE8" w:rsidRPr="004F24B6">
        <w:t xml:space="preserve"> </w:t>
      </w:r>
      <w:r w:rsidR="009F047B" w:rsidRPr="004F24B6">
        <w:t>added to</w:t>
      </w:r>
      <w:r w:rsidR="009F047B" w:rsidRPr="00006292">
        <w:t xml:space="preserve"> </w:t>
      </w:r>
      <w:r w:rsidR="00114CE8" w:rsidRPr="00006292">
        <w:t>the system</w:t>
      </w:r>
      <w:r w:rsidR="002177A3" w:rsidRPr="00006292">
        <w:t xml:space="preserve">, which </w:t>
      </w:r>
      <w:r w:rsidRPr="00006292">
        <w:t>could present operational</w:t>
      </w:r>
      <w:r w:rsidRPr="00857B77">
        <w:t xml:space="preserve"> and transmission planning and economic issues</w:t>
      </w:r>
      <w:r w:rsidR="009E7B29">
        <w:t>.</w:t>
      </w:r>
      <w:r w:rsidR="005E6960">
        <w:rPr>
          <w:rStyle w:val="FootnoteReference"/>
        </w:rPr>
        <w:footnoteReference w:id="18"/>
      </w:r>
      <w:r w:rsidR="00114CE8">
        <w:t xml:space="preserve"> </w:t>
      </w:r>
    </w:p>
    <w:p w:rsidR="00DA212C" w:rsidRPr="001A708C" w:rsidRDefault="00DA212C" w:rsidP="00006292">
      <w:pPr>
        <w:pStyle w:val="Heading3"/>
      </w:pPr>
      <w:bookmarkStart w:id="15" w:name="_Toc486405954"/>
      <w:r w:rsidRPr="001A708C">
        <w:t>Major Results Overall</w:t>
      </w:r>
      <w:bookmarkEnd w:id="15"/>
      <w:r w:rsidR="00E22D20" w:rsidRPr="001A708C">
        <w:t xml:space="preserve"> </w:t>
      </w:r>
    </w:p>
    <w:p w:rsidR="00B21B7D" w:rsidRDefault="00114CE8" w:rsidP="00B21B7D">
      <w:r>
        <w:t>Some of the major results and observations</w:t>
      </w:r>
      <w:r w:rsidR="00CD0974">
        <w:t xml:space="preserve"> across all scenarios</w:t>
      </w:r>
      <w:r>
        <w:t xml:space="preserve"> are as follows</w:t>
      </w:r>
      <w:r w:rsidR="008C16C4">
        <w:t>:</w:t>
      </w:r>
    </w:p>
    <w:p w:rsidR="006B1A30" w:rsidRDefault="006F1F79" w:rsidP="00006292">
      <w:pPr>
        <w:numPr>
          <w:ilvl w:val="0"/>
          <w:numId w:val="35"/>
        </w:numPr>
        <w:spacing w:after="120"/>
      </w:pPr>
      <w:r>
        <w:t>A comparison across the two study years shows t</w:t>
      </w:r>
      <w:r w:rsidR="006B1A30">
        <w:t xml:space="preserve">he </w:t>
      </w:r>
      <w:r w:rsidR="006B1A30" w:rsidRPr="00483752">
        <w:t>metrics for 2025 are much closer than for 2030</w:t>
      </w:r>
      <w:r w:rsidR="003D3B89">
        <w:t xml:space="preserve">, </w:t>
      </w:r>
      <w:r w:rsidR="007E66F4">
        <w:t xml:space="preserve">for </w:t>
      </w:r>
      <w:r w:rsidR="003D3B89">
        <w:t xml:space="preserve">which </w:t>
      </w:r>
      <w:r w:rsidR="007E66F4">
        <w:t xml:space="preserve">the </w:t>
      </w:r>
      <w:r w:rsidR="006E49D5">
        <w:t xml:space="preserve">mix of </w:t>
      </w:r>
      <w:r w:rsidR="007E66F4">
        <w:t>resources var</w:t>
      </w:r>
      <w:r w:rsidR="006E49D5">
        <w:t>ies</w:t>
      </w:r>
      <w:r w:rsidR="007E66F4">
        <w:t xml:space="preserve"> more </w:t>
      </w:r>
      <w:r w:rsidR="00216E9E">
        <w:t>great</w:t>
      </w:r>
      <w:r w:rsidR="007E66F4">
        <w:t xml:space="preserve">ly </w:t>
      </w:r>
      <w:r w:rsidR="003D3B89">
        <w:t>across all scenarios</w:t>
      </w:r>
      <w:r w:rsidR="006B1A30">
        <w:t xml:space="preserve">. </w:t>
      </w:r>
    </w:p>
    <w:p w:rsidR="00CD0974" w:rsidRDefault="00DC3E43" w:rsidP="00765B5A">
      <w:pPr>
        <w:pStyle w:val="ListParagraph"/>
        <w:numPr>
          <w:ilvl w:val="0"/>
          <w:numId w:val="35"/>
        </w:numPr>
      </w:pPr>
      <w:r>
        <w:t>Although i</w:t>
      </w:r>
      <w:r w:rsidRPr="00DC3E43">
        <w:t xml:space="preserve">ncreased renewable production </w:t>
      </w:r>
      <w:r>
        <w:t>reduces the use of natural gas, n</w:t>
      </w:r>
      <w:r w:rsidR="00FE71DC" w:rsidRPr="00FE71DC">
        <w:t xml:space="preserve">atural-gas-fired units </w:t>
      </w:r>
      <w:r w:rsidR="00FE71DC" w:rsidRPr="00193782">
        <w:t xml:space="preserve">remain on the margin </w:t>
      </w:r>
      <w:r w:rsidR="00483752" w:rsidRPr="00193782">
        <w:t xml:space="preserve">most of the time </w:t>
      </w:r>
      <w:r w:rsidR="001A708C" w:rsidRPr="00193782">
        <w:t xml:space="preserve">for both study years </w:t>
      </w:r>
      <w:r w:rsidR="00FE71DC" w:rsidRPr="00193782">
        <w:t xml:space="preserve">and </w:t>
      </w:r>
      <w:r w:rsidR="00483752" w:rsidRPr="00193782">
        <w:t xml:space="preserve">are </w:t>
      </w:r>
      <w:r w:rsidR="00FE71DC" w:rsidRPr="00193782">
        <w:t>a major source of fuel for</w:t>
      </w:r>
      <w:r w:rsidR="00FE71DC" w:rsidRPr="00CD0974">
        <w:t xml:space="preserve"> electric power generat</w:t>
      </w:r>
      <w:r w:rsidR="00FE71DC">
        <w:t>ion production.</w:t>
      </w:r>
      <w:r w:rsidR="00CD0974" w:rsidRPr="00CD0974">
        <w:t xml:space="preserve"> </w:t>
      </w:r>
      <w:r w:rsidR="00765B5A" w:rsidRPr="00532D16">
        <w:t xml:space="preserve">The annual capacity factors for oil-fired units and combustion turbines </w:t>
      </w:r>
      <w:r w:rsidR="00ED0B93" w:rsidRPr="008E1A87">
        <w:t>drop to</w:t>
      </w:r>
      <w:r w:rsidR="00765B5A" w:rsidRPr="00D12DFD">
        <w:t xml:space="preserve"> </w:t>
      </w:r>
      <w:r w:rsidR="00214760" w:rsidRPr="002A437F">
        <w:t>approximately</w:t>
      </w:r>
      <w:r w:rsidR="00765B5A" w:rsidRPr="002A437F">
        <w:t xml:space="preserve"> </w:t>
      </w:r>
      <w:r w:rsidR="00ED0B93" w:rsidRPr="002A437F">
        <w:t>zero percent</w:t>
      </w:r>
      <w:r w:rsidR="00765B5A" w:rsidRPr="00CE5355">
        <w:t>.</w:t>
      </w:r>
      <w:r w:rsidR="00765B5A">
        <w:t xml:space="preserve"> </w:t>
      </w:r>
    </w:p>
    <w:p w:rsidR="00CD0974" w:rsidRDefault="00D11633" w:rsidP="00FD4059">
      <w:pPr>
        <w:pStyle w:val="ListParagraph"/>
        <w:numPr>
          <w:ilvl w:val="0"/>
          <w:numId w:val="35"/>
        </w:numPr>
      </w:pPr>
      <w:r>
        <w:t>N</w:t>
      </w:r>
      <w:r w:rsidR="00CD0974">
        <w:t xml:space="preserve">ew resources will require sources of revenue </w:t>
      </w:r>
      <w:r>
        <w:t xml:space="preserve">in addition to the wholesale energy market </w:t>
      </w:r>
      <w:r w:rsidR="00CD0974">
        <w:t xml:space="preserve">to remain economically viable. </w:t>
      </w:r>
      <w:r w:rsidR="003C332E">
        <w:t>Natural gas units show</w:t>
      </w:r>
      <w:r w:rsidR="003C332E" w:rsidRPr="003C332E">
        <w:t xml:space="preserve"> the greatest revenue shortfall</w:t>
      </w:r>
      <w:r w:rsidR="003C332E">
        <w:t xml:space="preserve"> as a result of their production costs being higher than </w:t>
      </w:r>
      <w:r w:rsidR="00483752">
        <w:t xml:space="preserve">the </w:t>
      </w:r>
      <w:r w:rsidR="003C332E">
        <w:t>$0/MWh</w:t>
      </w:r>
      <w:r w:rsidR="00C72C28">
        <w:t xml:space="preserve"> fuel</w:t>
      </w:r>
      <w:r w:rsidR="003C332E">
        <w:t xml:space="preserve"> costs of renewables</w:t>
      </w:r>
      <w:r w:rsidR="00483752">
        <w:t xml:space="preserve">, but renewable resources also show significant revenue shortfalls. </w:t>
      </w:r>
    </w:p>
    <w:p w:rsidR="00D11633" w:rsidRDefault="00B83154" w:rsidP="00FD4059">
      <w:pPr>
        <w:pStyle w:val="ListParagraph"/>
        <w:numPr>
          <w:ilvl w:val="0"/>
          <w:numId w:val="35"/>
        </w:numPr>
      </w:pPr>
      <w:r>
        <w:t>Locating new r</w:t>
      </w:r>
      <w:r w:rsidR="00D11633" w:rsidRPr="00D11633">
        <w:t>esource</w:t>
      </w:r>
      <w:r>
        <w:t>s</w:t>
      </w:r>
      <w:r w:rsidR="00D11633" w:rsidRPr="00D11633">
        <w:t xml:space="preserve"> </w:t>
      </w:r>
      <w:r>
        <w:t xml:space="preserve">with relatively low production costs </w:t>
      </w:r>
      <w:r w:rsidR="00D11633" w:rsidRPr="00D11633">
        <w:t>near load</w:t>
      </w:r>
      <w:r>
        <w:t xml:space="preserve"> centers in southern New </w:t>
      </w:r>
      <w:r w:rsidRPr="00FD4059">
        <w:t>England</w:t>
      </w:r>
      <w:r w:rsidR="00D11633" w:rsidRPr="00FD4059">
        <w:t xml:space="preserve"> reduces systemwide congestion and the need for transmission expansion</w:t>
      </w:r>
      <w:r w:rsidR="003C332E" w:rsidRPr="00FD4059">
        <w:t>, which increase</w:t>
      </w:r>
      <w:r w:rsidR="003C332E">
        <w:t xml:space="preserve"> with the development of </w:t>
      </w:r>
      <w:r>
        <w:t>renewable</w:t>
      </w:r>
      <w:r w:rsidR="003C332E">
        <w:t xml:space="preserve"> resources in northern New England</w:t>
      </w:r>
      <w:r w:rsidR="00D11633">
        <w:t>.</w:t>
      </w:r>
    </w:p>
    <w:p w:rsidR="00B83154" w:rsidRDefault="00B83154" w:rsidP="00B83154">
      <w:pPr>
        <w:numPr>
          <w:ilvl w:val="1"/>
          <w:numId w:val="35"/>
        </w:numPr>
        <w:spacing w:after="120"/>
      </w:pPr>
      <w:r>
        <w:t xml:space="preserve">Scenarios with the development of resources </w:t>
      </w:r>
      <w:r w:rsidR="00ED0B93">
        <w:t xml:space="preserve">in northern Maine </w:t>
      </w:r>
      <w:r>
        <w:t xml:space="preserve">result in the </w:t>
      </w:r>
      <w:r w:rsidR="00FD4059">
        <w:t>megawatt</w:t>
      </w:r>
      <w:r>
        <w:t xml:space="preserve"> flow across </w:t>
      </w:r>
      <w:r w:rsidR="00ED0B93">
        <w:t xml:space="preserve">key </w:t>
      </w:r>
      <w:r>
        <w:t xml:space="preserve">transmission interfaces </w:t>
      </w:r>
      <w:r w:rsidR="00ED0B93">
        <w:t xml:space="preserve">between northern Maine and the load centers in southern </w:t>
      </w:r>
      <w:r w:rsidR="00ED0B93">
        <w:lastRenderedPageBreak/>
        <w:t>New England</w:t>
      </w:r>
      <w:r w:rsidR="005E6960">
        <w:t xml:space="preserve"> </w:t>
      </w:r>
      <w:r>
        <w:t xml:space="preserve">reaching their limit, which causes the LMP at the sending end </w:t>
      </w:r>
      <w:r w:rsidR="00FD4059">
        <w:t xml:space="preserve">to </w:t>
      </w:r>
      <w:r>
        <w:t xml:space="preserve">be lower than at the receiving end in the constrained cases. </w:t>
      </w:r>
    </w:p>
    <w:p w:rsidR="00B83154" w:rsidRDefault="00B83154" w:rsidP="006C29E2">
      <w:pPr>
        <w:numPr>
          <w:ilvl w:val="1"/>
          <w:numId w:val="35"/>
        </w:numPr>
        <w:spacing w:after="120"/>
      </w:pPr>
      <w:r>
        <w:t xml:space="preserve">The constrained cases show that remote wind, hydro, and imports </w:t>
      </w:r>
      <w:r w:rsidRPr="00D65EB4">
        <w:t xml:space="preserve">need to reduce </w:t>
      </w:r>
      <w:r w:rsidR="00072D6A">
        <w:t>(</w:t>
      </w:r>
      <w:r w:rsidRPr="00D65EB4">
        <w:t>or spill</w:t>
      </w:r>
      <w:r w:rsidR="00072D6A" w:rsidRPr="005E6960">
        <w:t>)</w:t>
      </w:r>
      <w:r w:rsidRPr="005E6960">
        <w:t xml:space="preserve"> </w:t>
      </w:r>
      <w:r w:rsidR="00D65EB4" w:rsidRPr="005E6960">
        <w:t xml:space="preserve">excess </w:t>
      </w:r>
      <w:r w:rsidRPr="005E6960">
        <w:t>output to</w:t>
      </w:r>
      <w:r w:rsidRPr="00D65EB4">
        <w:t xml:space="preserve"> respect transmission constraints, which increases the</w:t>
      </w:r>
      <w:r>
        <w:t xml:space="preserve"> overall production cost, LSE </w:t>
      </w:r>
      <w:r w:rsidR="006C29E2">
        <w:t>e</w:t>
      </w:r>
      <w:r>
        <w:t xml:space="preserve">nergy </w:t>
      </w:r>
      <w:r w:rsidR="006C29E2">
        <w:t>e</w:t>
      </w:r>
      <w:r>
        <w:t xml:space="preserve">xpenses, and system emissions.  </w:t>
      </w:r>
      <w:r w:rsidR="00ED0B93">
        <w:t>T</w:t>
      </w:r>
      <w:r w:rsidR="00A65B48">
        <w:t>ransmission expansion would</w:t>
      </w:r>
      <w:r w:rsidR="00ED0B93">
        <w:t xml:space="preserve"> help </w:t>
      </w:r>
      <w:r w:rsidR="00A461E9">
        <w:t>reduce the spilled energy</w:t>
      </w:r>
      <w:r w:rsidR="005E6960">
        <w:t>.</w:t>
      </w:r>
    </w:p>
    <w:p w:rsidR="00BF1047" w:rsidRDefault="00BF1047" w:rsidP="006C29E2">
      <w:pPr>
        <w:pStyle w:val="ListParagraph"/>
        <w:numPr>
          <w:ilvl w:val="0"/>
          <w:numId w:val="35"/>
        </w:numPr>
      </w:pPr>
      <w:r w:rsidRPr="00BF1047">
        <w:t xml:space="preserve">Meeting carbon emission targets may prove challenging for the New England region without the widespread development of renewable resources, EE, and interconnections with neighboring systems. </w:t>
      </w:r>
    </w:p>
    <w:p w:rsidR="003E329C" w:rsidRPr="002F45F6" w:rsidRDefault="003E329C" w:rsidP="003E329C">
      <w:pPr>
        <w:numPr>
          <w:ilvl w:val="0"/>
          <w:numId w:val="35"/>
        </w:numPr>
        <w:spacing w:after="120"/>
      </w:pPr>
      <w:r>
        <w:t xml:space="preserve">A comparison of </w:t>
      </w:r>
      <w:r w:rsidRPr="00BB6303">
        <w:t xml:space="preserve">the </w:t>
      </w:r>
      <w:r w:rsidRPr="002F45F6">
        <w:t>results</w:t>
      </w:r>
      <w:r w:rsidRPr="00BB6303">
        <w:t xml:space="preserve"> for Scenarios 1, 4, and 5 </w:t>
      </w:r>
      <w:r w:rsidR="006C29E2" w:rsidRPr="00D2541E">
        <w:t>(RPS</w:t>
      </w:r>
      <w:r w:rsidR="00D65EB4">
        <w:t>s</w:t>
      </w:r>
      <w:r w:rsidR="006C29E2" w:rsidRPr="00D2541E">
        <w:t xml:space="preserve"> + Gas, No Retirements beyond FCA #10, and ACPs + Gas) </w:t>
      </w:r>
      <w:r w:rsidRPr="00BB6303">
        <w:t>show</w:t>
      </w:r>
      <w:r w:rsidR="00521E42">
        <w:t>s</w:t>
      </w:r>
      <w:r w:rsidRPr="00BB6303">
        <w:t xml:space="preserve"> the following</w:t>
      </w:r>
      <w:r w:rsidRPr="002F45F6">
        <w:t xml:space="preserve">: </w:t>
      </w:r>
    </w:p>
    <w:p w:rsidR="00A07600" w:rsidRPr="005E6960" w:rsidRDefault="00A07600" w:rsidP="006C29E2">
      <w:pPr>
        <w:pStyle w:val="ListParagraph"/>
        <w:numPr>
          <w:ilvl w:val="1"/>
          <w:numId w:val="35"/>
        </w:numPr>
      </w:pPr>
      <w:r w:rsidRPr="00A07600">
        <w:t xml:space="preserve">The average LMPs for 2030 are similar at approximately </w:t>
      </w:r>
      <w:r w:rsidRPr="005E6960">
        <w:t>$51</w:t>
      </w:r>
      <w:r w:rsidR="006C29E2">
        <w:t>/</w:t>
      </w:r>
      <w:r w:rsidR="006C29E2" w:rsidRPr="005E6960">
        <w:t>MWh</w:t>
      </w:r>
      <w:r w:rsidRPr="005E6960">
        <w:t xml:space="preserve"> for</w:t>
      </w:r>
      <w:r w:rsidRPr="00A07600">
        <w:t xml:space="preserve"> the unconstrained case</w:t>
      </w:r>
      <w:r>
        <w:t>s</w:t>
      </w:r>
      <w:r w:rsidRPr="00A07600">
        <w:t xml:space="preserve">. </w:t>
      </w:r>
    </w:p>
    <w:p w:rsidR="003E329C" w:rsidRDefault="00BF1047" w:rsidP="003E329C">
      <w:pPr>
        <w:numPr>
          <w:ilvl w:val="1"/>
          <w:numId w:val="35"/>
        </w:numPr>
        <w:spacing w:after="120"/>
      </w:pPr>
      <w:r w:rsidRPr="006C29E2">
        <w:t>Although n</w:t>
      </w:r>
      <w:r w:rsidR="003E329C" w:rsidRPr="00483752">
        <w:t>atural gas units are generally on the margin, the remaining coal units are competitive</w:t>
      </w:r>
      <w:r w:rsidR="003E329C">
        <w:t xml:space="preserve"> with natural gas in Scenario 4. This is because the assumed fuel prices remain competitive and the assumed CO</w:t>
      </w:r>
      <w:r w:rsidR="003E329C" w:rsidRPr="006C29E2">
        <w:rPr>
          <w:vertAlign w:val="subscript"/>
        </w:rPr>
        <w:t>2</w:t>
      </w:r>
      <w:r w:rsidR="003E329C">
        <w:t xml:space="preserve"> emission prices do not materially change the economic dispatch order of the units.</w:t>
      </w:r>
      <w:r w:rsidR="00ED20FB" w:rsidRPr="005E6960">
        <w:rPr>
          <w:sz w:val="18"/>
          <w:vertAlign w:val="superscript"/>
        </w:rPr>
        <w:footnoteReference w:id="19"/>
      </w:r>
      <w:r w:rsidR="003E329C" w:rsidRPr="005E6960">
        <w:rPr>
          <w:sz w:val="18"/>
          <w:vertAlign w:val="superscript"/>
        </w:rPr>
        <w:t xml:space="preserve"> </w:t>
      </w:r>
    </w:p>
    <w:p w:rsidR="00B54F54" w:rsidRDefault="003E329C" w:rsidP="009458A1">
      <w:pPr>
        <w:numPr>
          <w:ilvl w:val="1"/>
          <w:numId w:val="35"/>
        </w:numPr>
        <w:spacing w:after="120"/>
      </w:pPr>
      <w:r>
        <w:t xml:space="preserve">Scenario 1 shows some </w:t>
      </w:r>
      <w:r w:rsidRPr="00483752">
        <w:t>congestion</w:t>
      </w:r>
      <w:r>
        <w:t xml:space="preserve"> in the northern interfaces; Scenarios 4 and 5 have essentially no congestion.</w:t>
      </w:r>
    </w:p>
    <w:p w:rsidR="009458A1" w:rsidRDefault="003E329C" w:rsidP="009458A1">
      <w:pPr>
        <w:numPr>
          <w:ilvl w:val="1"/>
          <w:numId w:val="35"/>
        </w:numPr>
        <w:spacing w:after="120"/>
      </w:pPr>
      <w:r>
        <w:t xml:space="preserve">In accordance with the scenario assumptions, Scenarios 4 and 5 would require the </w:t>
      </w:r>
      <w:r w:rsidRPr="00483752">
        <w:t>use of alternative compliance payments</w:t>
      </w:r>
      <w:r>
        <w:t xml:space="preserve"> to meet the regional Renewable Portfolio Standards. Scenario 1 met the RPS goals without use of ACPs, including cases that respected transmission constraints. </w:t>
      </w:r>
    </w:p>
    <w:p w:rsidR="00F078ED" w:rsidRDefault="00A07600" w:rsidP="009458A1">
      <w:pPr>
        <w:numPr>
          <w:ilvl w:val="1"/>
          <w:numId w:val="35"/>
        </w:numPr>
        <w:spacing w:after="120"/>
      </w:pPr>
      <w:r>
        <w:t>None of the</w:t>
      </w:r>
      <w:r w:rsidR="00A461E9">
        <w:t>se three</w:t>
      </w:r>
      <w:r>
        <w:t xml:space="preserve"> scenarios meet potential RGGI targets for either 2025 or 2030.</w:t>
      </w:r>
    </w:p>
    <w:p w:rsidR="003D3B89" w:rsidRPr="009458A1" w:rsidRDefault="003D3B89" w:rsidP="009458A1">
      <w:pPr>
        <w:numPr>
          <w:ilvl w:val="0"/>
          <w:numId w:val="35"/>
        </w:numPr>
        <w:spacing w:after="120"/>
      </w:pPr>
      <w:r w:rsidRPr="009458A1">
        <w:t xml:space="preserve">Scenarios 2, 3, and 6 </w:t>
      </w:r>
      <w:r w:rsidR="009458A1" w:rsidRPr="009458A1">
        <w:t xml:space="preserve">(ISO Queue, Renewables Plus, and RPSs + Geodiverse Renewables) </w:t>
      </w:r>
      <w:r w:rsidRPr="009458A1">
        <w:t xml:space="preserve">show </w:t>
      </w:r>
      <w:r w:rsidR="00416CBE" w:rsidRPr="009458A1">
        <w:t>other</w:t>
      </w:r>
      <w:r w:rsidRPr="009458A1">
        <w:t xml:space="preserve"> effects </w:t>
      </w:r>
      <w:r w:rsidR="00F767B3" w:rsidRPr="009458A1">
        <w:t>of larger</w:t>
      </w:r>
      <w:r w:rsidRPr="009458A1">
        <w:t xml:space="preserve"> amounts </w:t>
      </w:r>
      <w:r w:rsidR="00F767B3" w:rsidRPr="009458A1">
        <w:t>of variable energy resources</w:t>
      </w:r>
      <w:r w:rsidRPr="009458A1">
        <w:t xml:space="preserve"> on the system:</w:t>
      </w:r>
    </w:p>
    <w:p w:rsidR="00A74C0A" w:rsidRPr="00343106" w:rsidRDefault="00A74C0A" w:rsidP="00A74C0A">
      <w:pPr>
        <w:numPr>
          <w:ilvl w:val="1"/>
          <w:numId w:val="35"/>
        </w:numPr>
        <w:spacing w:after="120"/>
      </w:pPr>
      <w:r w:rsidRPr="00343106">
        <w:t xml:space="preserve">These </w:t>
      </w:r>
      <w:r w:rsidR="006E38D0" w:rsidRPr="00343106">
        <w:t xml:space="preserve">three </w:t>
      </w:r>
      <w:r w:rsidRPr="00343106">
        <w:t xml:space="preserve">scenarios show the greatest variation in LMPs across all hours as a result of the variability in output of wind and PV resources and when interface constraints </w:t>
      </w:r>
      <w:r w:rsidR="0081387E" w:rsidRPr="00343106">
        <w:t xml:space="preserve">bottle </w:t>
      </w:r>
      <w:r w:rsidRPr="00343106">
        <w:t>wind production in Maine.</w:t>
      </w:r>
    </w:p>
    <w:p w:rsidR="008E1A87" w:rsidRDefault="008E1A87" w:rsidP="008E1A87">
      <w:pPr>
        <w:pStyle w:val="ListParagraph"/>
        <w:numPr>
          <w:ilvl w:val="1"/>
          <w:numId w:val="35"/>
        </w:numPr>
      </w:pPr>
      <w:r w:rsidRPr="008E1A87">
        <w:t>N</w:t>
      </w:r>
      <w:r>
        <w:t>atural gas</w:t>
      </w:r>
      <w:r w:rsidRPr="008E1A87">
        <w:t xml:space="preserve"> </w:t>
      </w:r>
      <w:r>
        <w:t xml:space="preserve">is generally </w:t>
      </w:r>
      <w:r w:rsidRPr="008E1A87">
        <w:t xml:space="preserve">on </w:t>
      </w:r>
      <w:r>
        <w:t xml:space="preserve">the </w:t>
      </w:r>
      <w:r w:rsidRPr="008E1A87">
        <w:t>margin</w:t>
      </w:r>
      <w:r>
        <w:t xml:space="preserve"> but</w:t>
      </w:r>
      <w:r w:rsidRPr="008E1A87">
        <w:t xml:space="preserve"> less often for scenarios with less </w:t>
      </w:r>
      <w:r>
        <w:t>natural gas</w:t>
      </w:r>
      <w:r w:rsidRPr="008E1A87">
        <w:t xml:space="preserve"> in fuel mix, especially for </w:t>
      </w:r>
      <w:r>
        <w:t xml:space="preserve">scenarios with a </w:t>
      </w:r>
      <w:r w:rsidRPr="008E1A87">
        <w:t xml:space="preserve">greater mix of renewables.  </w:t>
      </w:r>
    </w:p>
    <w:p w:rsidR="009F757C" w:rsidRPr="00A96085" w:rsidRDefault="003D3B89" w:rsidP="00A96085">
      <w:pPr>
        <w:pStyle w:val="ListParagraph"/>
        <w:numPr>
          <w:ilvl w:val="1"/>
          <w:numId w:val="35"/>
        </w:numPr>
      </w:pPr>
      <w:r w:rsidRPr="00343106">
        <w:t>The</w:t>
      </w:r>
      <w:r w:rsidR="0037075A" w:rsidRPr="00343106">
        <w:t xml:space="preserve">se scenarios </w:t>
      </w:r>
      <w:r w:rsidRPr="00343106">
        <w:t xml:space="preserve">show the lowest emissions and </w:t>
      </w:r>
      <w:r w:rsidR="0037075A" w:rsidRPr="00343106">
        <w:t xml:space="preserve">LSE </w:t>
      </w:r>
      <w:r w:rsidRPr="00343106">
        <w:t xml:space="preserve">energy </w:t>
      </w:r>
      <w:r w:rsidR="0070159E" w:rsidRPr="00343106">
        <w:t>expenses</w:t>
      </w:r>
      <w:r w:rsidR="0081387E" w:rsidRPr="00343106">
        <w:t>, including</w:t>
      </w:r>
      <w:r w:rsidR="00A96085" w:rsidRPr="00343106">
        <w:t xml:space="preserve"> uplift costs</w:t>
      </w:r>
      <w:r w:rsidR="0081387E" w:rsidRPr="00343106">
        <w:t xml:space="preserve"> </w:t>
      </w:r>
      <w:r w:rsidR="00A96085" w:rsidRPr="00343106">
        <w:t>(as a consequence of large amounts of renewable</w:t>
      </w:r>
      <w:r w:rsidR="00A74C0A" w:rsidRPr="00343106">
        <w:t>s</w:t>
      </w:r>
      <w:r w:rsidR="00A96085" w:rsidRPr="00343106">
        <w:t xml:space="preserve"> development) </w:t>
      </w:r>
      <w:r w:rsidRPr="00343106">
        <w:t xml:space="preserve">but </w:t>
      </w:r>
      <w:r w:rsidR="0037075A" w:rsidRPr="00343106">
        <w:t xml:space="preserve">also </w:t>
      </w:r>
      <w:r w:rsidR="00C065F3" w:rsidRPr="00343106">
        <w:t xml:space="preserve">the </w:t>
      </w:r>
      <w:r w:rsidRPr="00343106">
        <w:t>low</w:t>
      </w:r>
      <w:r w:rsidR="00C065F3" w:rsidRPr="00343106">
        <w:t>est</w:t>
      </w:r>
      <w:r w:rsidRPr="0081387E">
        <w:t xml:space="preserve"> energy revenues for generators.</w:t>
      </w:r>
    </w:p>
    <w:p w:rsidR="00634F8E" w:rsidRPr="00E808DF" w:rsidRDefault="00634F8E" w:rsidP="00170108">
      <w:pPr>
        <w:numPr>
          <w:ilvl w:val="1"/>
          <w:numId w:val="35"/>
        </w:numPr>
        <w:spacing w:after="120"/>
      </w:pPr>
      <w:r>
        <w:t xml:space="preserve">Scenarios 2, 3, and </w:t>
      </w:r>
      <w:r w:rsidRPr="009F757C">
        <w:t>6</w:t>
      </w:r>
      <w:r>
        <w:t xml:space="preserve"> p</w:t>
      </w:r>
      <w:r w:rsidRPr="00881792">
        <w:t xml:space="preserve">otentially </w:t>
      </w:r>
      <w:r w:rsidRPr="00BB690D">
        <w:t>meet the draft RGGI targets for New England using only primary auction allowances</w:t>
      </w:r>
      <w:r>
        <w:t xml:space="preserve"> at the assumed prices of $</w:t>
      </w:r>
      <w:r w:rsidR="00E3226E">
        <w:t>19</w:t>
      </w:r>
      <w:r>
        <w:t>/ton in 2025 and $</w:t>
      </w:r>
      <w:r w:rsidR="00E3226E">
        <w:t>24</w:t>
      </w:r>
      <w:r>
        <w:t xml:space="preserve">/ton in </w:t>
      </w:r>
      <w:r w:rsidRPr="00E808DF">
        <w:t>2030.</w:t>
      </w:r>
    </w:p>
    <w:p w:rsidR="00FC522B" w:rsidRPr="00E808DF" w:rsidRDefault="00913518" w:rsidP="00E808DF">
      <w:pPr>
        <w:rPr>
          <w:highlight w:val="green"/>
        </w:rPr>
      </w:pPr>
      <w:r w:rsidRPr="00E808DF">
        <w:lastRenderedPageBreak/>
        <w:t xml:space="preserve">The results for </w:t>
      </w:r>
      <w:r w:rsidR="00B21B7D" w:rsidRPr="00E808DF">
        <w:t>Scenario</w:t>
      </w:r>
      <w:r w:rsidRPr="00E808DF">
        <w:t>s</w:t>
      </w:r>
      <w:r w:rsidR="00B21B7D" w:rsidRPr="00E808DF">
        <w:t xml:space="preserve"> 2</w:t>
      </w:r>
      <w:r w:rsidR="00B247BC" w:rsidRPr="00E808DF">
        <w:t>, 3,</w:t>
      </w:r>
      <w:r w:rsidR="00B21B7D" w:rsidRPr="00E808DF">
        <w:t xml:space="preserve"> and </w:t>
      </w:r>
      <w:r w:rsidR="00B247BC" w:rsidRPr="00E808DF">
        <w:t>6</w:t>
      </w:r>
      <w:r w:rsidR="00B21B7D" w:rsidRPr="00E808DF">
        <w:t xml:space="preserve"> are very different from today’s system</w:t>
      </w:r>
      <w:r w:rsidRPr="00E808DF">
        <w:t xml:space="preserve"> and could present</w:t>
      </w:r>
      <w:r w:rsidRPr="00170108">
        <w:t xml:space="preserve"> operational</w:t>
      </w:r>
      <w:r w:rsidR="00B247BC" w:rsidRPr="00170108">
        <w:t>,</w:t>
      </w:r>
      <w:r w:rsidR="00763384" w:rsidRPr="00170108">
        <w:t xml:space="preserve"> </w:t>
      </w:r>
      <w:r w:rsidRPr="00343106">
        <w:t>planning</w:t>
      </w:r>
      <w:r w:rsidR="00B247BC" w:rsidRPr="00343106">
        <w:t>, and economic issues</w:t>
      </w:r>
      <w:r w:rsidR="00E808DF" w:rsidRPr="00343106">
        <w:t>. I</w:t>
      </w:r>
      <w:r w:rsidR="00170108" w:rsidRPr="00343106">
        <w:t xml:space="preserve">n </w:t>
      </w:r>
      <w:r w:rsidR="00E808DF" w:rsidRPr="00343106">
        <w:t>these s</w:t>
      </w:r>
      <w:r w:rsidR="00170108" w:rsidRPr="00343106">
        <w:t>cenarios, f</w:t>
      </w:r>
      <w:r w:rsidR="00B21B7D" w:rsidRPr="00343106">
        <w:t>ossil units, including natural gas combined</w:t>
      </w:r>
      <w:r w:rsidRPr="00343106">
        <w:t>-</w:t>
      </w:r>
      <w:r w:rsidR="00B21B7D" w:rsidRPr="00343106">
        <w:t>cycle units, have relatively low capacity factors compared with today’s system</w:t>
      </w:r>
      <w:r w:rsidR="00E808DF" w:rsidRPr="00F606BE">
        <w:t>, and compared with Scenarios 1, 4, and 5</w:t>
      </w:r>
      <w:r w:rsidR="00343106" w:rsidRPr="00F606BE">
        <w:t>,</w:t>
      </w:r>
      <w:r w:rsidR="005D5238" w:rsidRPr="00343106">
        <w:t xml:space="preserve"> </w:t>
      </w:r>
      <w:r w:rsidR="005D5238" w:rsidRPr="009E2E6D">
        <w:t xml:space="preserve">suggesting </w:t>
      </w:r>
      <w:r w:rsidR="009E2E6D" w:rsidRPr="009E2E6D">
        <w:t xml:space="preserve">that </w:t>
      </w:r>
      <w:r w:rsidR="009E2E6D">
        <w:t xml:space="preserve">there could be </w:t>
      </w:r>
      <w:r w:rsidR="005D5238" w:rsidRPr="00E35CD0">
        <w:t>many times</w:t>
      </w:r>
      <w:r w:rsidR="009E2E6D" w:rsidRPr="00E35CD0">
        <w:t>,</w:t>
      </w:r>
      <w:r w:rsidR="005D5238" w:rsidRPr="00E35CD0">
        <w:t xml:space="preserve"> </w:t>
      </w:r>
      <w:r w:rsidR="009E2E6D">
        <w:t xml:space="preserve">when </w:t>
      </w:r>
      <w:r w:rsidR="005D5238" w:rsidRPr="00E35CD0">
        <w:t>few generating resource</w:t>
      </w:r>
      <w:r w:rsidR="00343106" w:rsidRPr="00E35CD0">
        <w:t>s</w:t>
      </w:r>
      <w:r w:rsidR="005D5238" w:rsidRPr="00E35CD0">
        <w:t xml:space="preserve"> </w:t>
      </w:r>
      <w:r w:rsidR="009E2E6D">
        <w:t xml:space="preserve">are </w:t>
      </w:r>
      <w:r w:rsidR="0000515C" w:rsidRPr="00E35CD0">
        <w:t>on</w:t>
      </w:r>
      <w:r w:rsidR="00343106" w:rsidRPr="00E35CD0">
        <w:t xml:space="preserve"> </w:t>
      </w:r>
      <w:r w:rsidR="0000515C" w:rsidRPr="00E35CD0">
        <w:t xml:space="preserve">line </w:t>
      </w:r>
      <w:r w:rsidR="005D5238" w:rsidRPr="00E35CD0">
        <w:t>to provide ramping and regulation service</w:t>
      </w:r>
      <w:r w:rsidR="00906DEF" w:rsidRPr="00E35CD0">
        <w:t>s</w:t>
      </w:r>
      <w:r w:rsidR="00E808DF" w:rsidRPr="00F606BE">
        <w:t>.</w:t>
      </w:r>
      <w:r w:rsidR="00E808DF">
        <w:t xml:space="preserve"> </w:t>
      </w:r>
      <w:r w:rsidR="00FC522B" w:rsidRPr="00F606BE">
        <w:t>System operations and planning becomes more challenging with large-</w:t>
      </w:r>
      <w:r w:rsidR="00FC522B" w:rsidRPr="00AA06D8">
        <w:t xml:space="preserve">scale reductions in traditional </w:t>
      </w:r>
      <w:r w:rsidR="00E96869" w:rsidRPr="00AA06D8">
        <w:t xml:space="preserve">thermal generating </w:t>
      </w:r>
      <w:r w:rsidR="00FC522B" w:rsidRPr="00AA06D8">
        <w:t>resources</w:t>
      </w:r>
      <w:r w:rsidR="00E96869" w:rsidRPr="00AA06D8">
        <w:t xml:space="preserve"> that provide inertia and </w:t>
      </w:r>
      <w:r w:rsidR="005D5238">
        <w:t xml:space="preserve">these </w:t>
      </w:r>
      <w:r w:rsidR="00E96869" w:rsidRPr="00AA06D8">
        <w:t>other reliability services</w:t>
      </w:r>
      <w:r w:rsidR="00FC522B" w:rsidRPr="00AA06D8">
        <w:t xml:space="preserve">. For example, under the study assumptions for Scenario 3, in some simulated hours, the system operates with only three nuclear units and no other </w:t>
      </w:r>
      <w:r w:rsidR="00F46D40" w:rsidRPr="00AA06D8">
        <w:t>synchronous resources</w:t>
      </w:r>
      <w:r w:rsidR="00320CE0" w:rsidRPr="00AA06D8">
        <w:t xml:space="preserve"> </w:t>
      </w:r>
      <w:r w:rsidR="00F46D40" w:rsidRPr="00AA06D8">
        <w:t>(i.e., traditional steam and hydro spinning generation)</w:t>
      </w:r>
      <w:r w:rsidR="00B113BE" w:rsidRPr="00AA06D8">
        <w:t xml:space="preserve"> </w:t>
      </w:r>
      <w:r w:rsidR="00FC522B" w:rsidRPr="00AA06D8">
        <w:t xml:space="preserve">on the New England system. This raises issues of </w:t>
      </w:r>
      <w:r w:rsidR="00B113BE" w:rsidRPr="00AA06D8">
        <w:t xml:space="preserve">the system’s ability to </w:t>
      </w:r>
      <w:r w:rsidR="00FC522B" w:rsidRPr="00AA06D8">
        <w:t xml:space="preserve">meet operational requirements for system security, including </w:t>
      </w:r>
      <w:r w:rsidR="00B113BE" w:rsidRPr="00AA06D8">
        <w:t xml:space="preserve">for </w:t>
      </w:r>
      <w:r w:rsidR="00FC522B" w:rsidRPr="00AA06D8">
        <w:t>regulation, ramping, and reserves. Other system issues would need to be addressed</w:t>
      </w:r>
      <w:r w:rsidR="00B113BE" w:rsidRPr="00AA06D8">
        <w:t xml:space="preserve"> also</w:t>
      </w:r>
      <w:r w:rsidR="00FC522B" w:rsidRPr="00AA06D8">
        <w:t>, such as system protection, power quality, voltage regulation, and stability performance</w:t>
      </w:r>
      <w:r w:rsidR="009E7B29" w:rsidRPr="00AA06D8">
        <w:t xml:space="preserve">. </w:t>
      </w:r>
    </w:p>
    <w:p w:rsidR="00DA212C" w:rsidRPr="003E329C" w:rsidRDefault="00DA212C" w:rsidP="003E329C">
      <w:pPr>
        <w:pStyle w:val="Heading3"/>
      </w:pPr>
      <w:bookmarkStart w:id="16" w:name="_Toc486405955"/>
      <w:r w:rsidRPr="003E329C">
        <w:t>Relative Annual Resource Costs</w:t>
      </w:r>
      <w:bookmarkEnd w:id="16"/>
    </w:p>
    <w:p w:rsidR="00314C18" w:rsidRDefault="008C50BF" w:rsidP="00201D25">
      <w:r w:rsidRPr="008C50BF">
        <w:t xml:space="preserve">The </w:t>
      </w:r>
      <w:r w:rsidR="00A96085">
        <w:t>r</w:t>
      </w:r>
      <w:r w:rsidR="00634F8E" w:rsidRPr="005C7DD1">
        <w:t>elative</w:t>
      </w:r>
      <w:r w:rsidR="00866345" w:rsidRPr="005C7DD1">
        <w:t xml:space="preserve"> </w:t>
      </w:r>
      <w:r w:rsidR="00A96085">
        <w:t>a</w:t>
      </w:r>
      <w:r w:rsidRPr="005C7DD1">
        <w:t xml:space="preserve">nnual </w:t>
      </w:r>
      <w:r w:rsidR="00A96085">
        <w:t>r</w:t>
      </w:r>
      <w:r w:rsidRPr="005C7DD1">
        <w:t xml:space="preserve">esource </w:t>
      </w:r>
      <w:r w:rsidR="00A96085">
        <w:t>c</w:t>
      </w:r>
      <w:r w:rsidRPr="005C7DD1">
        <w:t>ost (</w:t>
      </w:r>
      <w:r w:rsidR="00634F8E" w:rsidRPr="005C7DD1">
        <w:t>R</w:t>
      </w:r>
      <w:r w:rsidRPr="005C7DD1">
        <w:t>ARC)</w:t>
      </w:r>
      <w:r w:rsidRPr="008C50BF">
        <w:t xml:space="preserve"> </w:t>
      </w:r>
      <w:r>
        <w:t xml:space="preserve">metric is a means of comparing the total costs of all six scenarios. The </w:t>
      </w:r>
      <w:r w:rsidR="001F7209">
        <w:t>R</w:t>
      </w:r>
      <w:r>
        <w:t xml:space="preserve">ARC </w:t>
      </w:r>
      <w:r w:rsidRPr="008C50BF">
        <w:t xml:space="preserve">accounts for the annual systemwide production costs, which can be thought of </w:t>
      </w:r>
      <w:r w:rsidR="003F05D1">
        <w:t xml:space="preserve">as </w:t>
      </w:r>
      <w:r w:rsidRPr="008C50BF">
        <w:t>operating costs</w:t>
      </w:r>
      <w:r w:rsidR="005D5238">
        <w:t>, plus it</w:t>
      </w:r>
      <w:r w:rsidRPr="005C7DD1">
        <w:t xml:space="preserve"> </w:t>
      </w:r>
      <w:r w:rsidR="00E96869">
        <w:t xml:space="preserve">also </w:t>
      </w:r>
      <w:r w:rsidR="00763384">
        <w:t xml:space="preserve">captures </w:t>
      </w:r>
      <w:r w:rsidR="000B43E9">
        <w:t xml:space="preserve">the annual costs of capital additions by including the </w:t>
      </w:r>
      <w:r w:rsidR="00E96869">
        <w:t xml:space="preserve">annualized </w:t>
      </w:r>
      <w:r w:rsidR="000172CC">
        <w:t xml:space="preserve">carrying </w:t>
      </w:r>
      <w:r w:rsidR="00E96869">
        <w:t xml:space="preserve">costs </w:t>
      </w:r>
      <w:r w:rsidR="005C7DD1">
        <w:t xml:space="preserve">for new </w:t>
      </w:r>
      <w:r w:rsidR="005C7DD1" w:rsidRPr="00EC096F">
        <w:t>resources</w:t>
      </w:r>
      <w:r w:rsidR="00E96869" w:rsidRPr="00EC096F">
        <w:t xml:space="preserve"> and </w:t>
      </w:r>
      <w:r w:rsidR="00EC096F" w:rsidRPr="00EC096F">
        <w:t>high</w:t>
      </w:r>
      <w:r w:rsidR="00543810">
        <w:t>-</w:t>
      </w:r>
      <w:r w:rsidR="00EC096F" w:rsidRPr="00EC096F">
        <w:t xml:space="preserve">order-of-magnitude </w:t>
      </w:r>
      <w:r w:rsidRPr="00EC096F">
        <w:t>transmission</w:t>
      </w:r>
      <w:r w:rsidR="005C7DD1" w:rsidRPr="00EC096F">
        <w:t>-</w:t>
      </w:r>
      <w:r w:rsidRPr="00EC096F">
        <w:t xml:space="preserve">development costs. </w:t>
      </w:r>
      <w:r w:rsidR="00B27A54" w:rsidRPr="005C7DD1">
        <w:t>The negative values of production costs for Scenarios 1,</w:t>
      </w:r>
      <w:r w:rsidR="00B27A54">
        <w:t xml:space="preserve"> </w:t>
      </w:r>
      <w:r w:rsidR="00B27A54" w:rsidRPr="005C7DD1">
        <w:t xml:space="preserve">2, 3, and 6 show that operating costs are lower for these scenarios, which reduces their </w:t>
      </w:r>
      <w:r w:rsidR="00B27A54" w:rsidRPr="00474D29">
        <w:t xml:space="preserve">total RARC. The RARC metrics are expressed in billions of dollars and as cents per kilowatt-hour (kWh). </w:t>
      </w:r>
      <w:r w:rsidRPr="00474D29">
        <w:t>The</w:t>
      </w:r>
      <w:r>
        <w:t xml:space="preserve"> </w:t>
      </w:r>
      <w:r w:rsidR="001F7209">
        <w:t>R</w:t>
      </w:r>
      <w:r>
        <w:t xml:space="preserve">ARC </w:t>
      </w:r>
      <w:r w:rsidR="006723EC">
        <w:t>summaries in</w:t>
      </w:r>
      <w:r w:rsidR="005C7DD1">
        <w:t xml:space="preserve"> </w:t>
      </w:r>
      <w:r w:rsidR="00080721" w:rsidRPr="00CA6255">
        <w:fldChar w:fldCharType="begin"/>
      </w:r>
      <w:r w:rsidR="00080721" w:rsidRPr="00CA6255">
        <w:instrText xml:space="preserve"> REF _Ref476242598 \h </w:instrText>
      </w:r>
      <w:r w:rsidR="00080721">
        <w:instrText xml:space="preserve"> \* MERGEFORMAT </w:instrText>
      </w:r>
      <w:r w:rsidR="00080721" w:rsidRPr="00CA6255">
        <w:fldChar w:fldCharType="separate"/>
      </w:r>
      <w:r w:rsidR="00742B49" w:rsidRPr="00AA06D8">
        <w:t xml:space="preserve">Figure </w:t>
      </w:r>
      <w:r w:rsidR="00742B49">
        <w:rPr>
          <w:noProof/>
        </w:rPr>
        <w:t>1</w:t>
      </w:r>
      <w:r w:rsidR="00742B49" w:rsidRPr="00AA06D8">
        <w:rPr>
          <w:noProof/>
        </w:rPr>
        <w:noBreakHyphen/>
      </w:r>
      <w:r w:rsidR="00742B49">
        <w:rPr>
          <w:noProof/>
        </w:rPr>
        <w:t>1</w:t>
      </w:r>
      <w:r w:rsidR="00080721" w:rsidRPr="00CA6255">
        <w:fldChar w:fldCharType="end"/>
      </w:r>
      <w:r w:rsidR="005C7DD1" w:rsidRPr="00CA6255">
        <w:t xml:space="preserve"> </w:t>
      </w:r>
      <w:r w:rsidR="005C7DD1" w:rsidRPr="003414BF">
        <w:t xml:space="preserve">to </w:t>
      </w:r>
      <w:r w:rsidR="005C7DD1" w:rsidRPr="00CA6255">
        <w:fldChar w:fldCharType="begin"/>
      </w:r>
      <w:r w:rsidR="005C7DD1" w:rsidRPr="00CA6255">
        <w:instrText xml:space="preserve"> REF _Ref476242604 \h </w:instrText>
      </w:r>
      <w:r w:rsidR="005C7DD1">
        <w:instrText xml:space="preserve"> \* MERGEFORMAT </w:instrText>
      </w:r>
      <w:r w:rsidR="005C7DD1" w:rsidRPr="00CA6255">
        <w:fldChar w:fldCharType="separate"/>
      </w:r>
      <w:r w:rsidR="00742B49" w:rsidRPr="00AA06D8">
        <w:t xml:space="preserve">Figure </w:t>
      </w:r>
      <w:r w:rsidR="00742B49">
        <w:rPr>
          <w:noProof/>
        </w:rPr>
        <w:t>1</w:t>
      </w:r>
      <w:r w:rsidR="00742B49" w:rsidRPr="00AA06D8">
        <w:rPr>
          <w:noProof/>
        </w:rPr>
        <w:noBreakHyphen/>
      </w:r>
      <w:r w:rsidR="00742B49">
        <w:rPr>
          <w:noProof/>
        </w:rPr>
        <w:t>4</w:t>
      </w:r>
      <w:r w:rsidR="005C7DD1" w:rsidRPr="00CA6255">
        <w:fldChar w:fldCharType="end"/>
      </w:r>
      <w:r w:rsidR="006723EC" w:rsidRPr="005C7DD1">
        <w:t xml:space="preserve"> </w:t>
      </w:r>
      <w:r w:rsidRPr="005C7DD1">
        <w:t>compare</w:t>
      </w:r>
      <w:r>
        <w:t xml:space="preserve"> the annual costs</w:t>
      </w:r>
      <w:r w:rsidR="008E637E">
        <w:t xml:space="preserve"> </w:t>
      </w:r>
      <w:r w:rsidR="00DF5823">
        <w:t xml:space="preserve">of all cases </w:t>
      </w:r>
      <w:r w:rsidR="008E637E">
        <w:t xml:space="preserve">with </w:t>
      </w:r>
      <w:r w:rsidR="008E637E" w:rsidRPr="005C7DD1">
        <w:t xml:space="preserve">the constrained case for </w:t>
      </w:r>
      <w:r w:rsidRPr="005C7DD1">
        <w:t>Scenario 4</w:t>
      </w:r>
      <w:r w:rsidR="009E7B29" w:rsidRPr="005C7DD1">
        <w:t>.</w:t>
      </w:r>
      <w:r w:rsidR="00496106">
        <w:t xml:space="preserve"> </w:t>
      </w:r>
      <w:r w:rsidR="003414BF" w:rsidRPr="00662F30">
        <w:fldChar w:fldCharType="begin"/>
      </w:r>
      <w:r w:rsidR="003414BF" w:rsidRPr="00662F30">
        <w:instrText xml:space="preserve"> REF _Ref476242598 \h  \* MERGEFORMAT </w:instrText>
      </w:r>
      <w:r w:rsidR="003414BF" w:rsidRPr="00662F30">
        <w:fldChar w:fldCharType="separate"/>
      </w:r>
      <w:r w:rsidR="00742B49" w:rsidRPr="00AA06D8">
        <w:t xml:space="preserve">Figure </w:t>
      </w:r>
      <w:r w:rsidR="00742B49">
        <w:rPr>
          <w:noProof/>
        </w:rPr>
        <w:t>1</w:t>
      </w:r>
      <w:r w:rsidR="00742B49" w:rsidRPr="00AA06D8">
        <w:rPr>
          <w:noProof/>
        </w:rPr>
        <w:noBreakHyphen/>
      </w:r>
      <w:r w:rsidR="00742B49">
        <w:rPr>
          <w:noProof/>
        </w:rPr>
        <w:t>1</w:t>
      </w:r>
      <w:r w:rsidR="003414BF" w:rsidRPr="00662F30">
        <w:fldChar w:fldCharType="end"/>
      </w:r>
      <w:r w:rsidR="003414BF" w:rsidRPr="00662F30">
        <w:t xml:space="preserve"> </w:t>
      </w:r>
      <w:r w:rsidR="007977A9" w:rsidRPr="00662F30">
        <w:t xml:space="preserve">to </w:t>
      </w:r>
      <w:r w:rsidR="003414BF" w:rsidRPr="00662F30">
        <w:fldChar w:fldCharType="begin"/>
      </w:r>
      <w:r w:rsidR="003414BF" w:rsidRPr="00662F30">
        <w:instrText xml:space="preserve"> REF _Ref476242604 \h  \* MERGEFORMAT </w:instrText>
      </w:r>
      <w:r w:rsidR="003414BF" w:rsidRPr="00662F30">
        <w:fldChar w:fldCharType="separate"/>
      </w:r>
      <w:r w:rsidR="00742B49" w:rsidRPr="00AA06D8">
        <w:t xml:space="preserve">Figure </w:t>
      </w:r>
      <w:r w:rsidR="00742B49">
        <w:rPr>
          <w:noProof/>
        </w:rPr>
        <w:t>1</w:t>
      </w:r>
      <w:r w:rsidR="00742B49" w:rsidRPr="00AA06D8">
        <w:rPr>
          <w:noProof/>
        </w:rPr>
        <w:noBreakHyphen/>
      </w:r>
      <w:r w:rsidR="00742B49">
        <w:rPr>
          <w:noProof/>
        </w:rPr>
        <w:t>4</w:t>
      </w:r>
      <w:r w:rsidR="003414BF" w:rsidRPr="00662F30">
        <w:fldChar w:fldCharType="end"/>
      </w:r>
      <w:r w:rsidR="009C1913">
        <w:t xml:space="preserve"> illustrate the larger differences among the scenarios for 2030. Additional </w:t>
      </w:r>
      <w:r w:rsidR="00314C18">
        <w:t>results</w:t>
      </w:r>
      <w:r w:rsidR="009C1913">
        <w:t xml:space="preserve"> for 2030 </w:t>
      </w:r>
      <w:r w:rsidR="00A471B0">
        <w:t>are as follows</w:t>
      </w:r>
      <w:r w:rsidR="009C1913">
        <w:t>:</w:t>
      </w:r>
    </w:p>
    <w:p w:rsidR="009C1913" w:rsidRDefault="003F772A" w:rsidP="003E329C">
      <w:pPr>
        <w:numPr>
          <w:ilvl w:val="0"/>
          <w:numId w:val="36"/>
        </w:numPr>
        <w:spacing w:after="120"/>
      </w:pPr>
      <w:r>
        <w:t>Scenarios 4 and 5</w:t>
      </w:r>
      <w:r w:rsidR="00BE0D84">
        <w:t>, which require</w:t>
      </w:r>
      <w:r>
        <w:t xml:space="preserve"> </w:t>
      </w:r>
      <w:r w:rsidR="00BE0D84">
        <w:t xml:space="preserve">the lowest investment in new resources and transmission development, </w:t>
      </w:r>
      <w:r w:rsidR="006723EC">
        <w:t xml:space="preserve">have the lowest </w:t>
      </w:r>
      <w:r w:rsidR="005F1766">
        <w:t>total R</w:t>
      </w:r>
      <w:r w:rsidR="006723EC">
        <w:t>ARC</w:t>
      </w:r>
      <w:r w:rsidR="00693E61">
        <w:t xml:space="preserve">. Although their production costs are higher than scenarios with large penetrations of renewable resources, the figures show significantly higher </w:t>
      </w:r>
      <w:r w:rsidR="005F1766">
        <w:t>total R</w:t>
      </w:r>
      <w:r w:rsidR="00693E61">
        <w:t>ARC for Scenarios 1,</w:t>
      </w:r>
      <w:r w:rsidR="009C1913">
        <w:t xml:space="preserve"> </w:t>
      </w:r>
      <w:r w:rsidR="00693E61">
        <w:t>2,</w:t>
      </w:r>
      <w:r w:rsidR="00B26488">
        <w:t xml:space="preserve"> </w:t>
      </w:r>
      <w:r w:rsidR="00693E61">
        <w:t xml:space="preserve">3, and 6 as </w:t>
      </w:r>
      <w:r w:rsidR="007977A9">
        <w:t>a</w:t>
      </w:r>
      <w:r w:rsidR="00693E61">
        <w:t xml:space="preserve"> result of their higher </w:t>
      </w:r>
      <w:r w:rsidR="00E35CD0">
        <w:t>a</w:t>
      </w:r>
      <w:r w:rsidR="00B27A54">
        <w:t xml:space="preserve">nnual </w:t>
      </w:r>
      <w:r w:rsidR="00E35CD0">
        <w:t>c</w:t>
      </w:r>
      <w:r w:rsidR="00B27A54">
        <w:t xml:space="preserve">arrying </w:t>
      </w:r>
      <w:r w:rsidR="00E35CD0">
        <w:t>c</w:t>
      </w:r>
      <w:r w:rsidR="00CE777A">
        <w:t>harges</w:t>
      </w:r>
      <w:r w:rsidR="00B27A54">
        <w:t xml:space="preserve"> </w:t>
      </w:r>
      <w:r w:rsidR="00693E61">
        <w:t>for new resources and transmission development</w:t>
      </w:r>
      <w:r w:rsidR="009E7B29">
        <w:t xml:space="preserve">. </w:t>
      </w:r>
    </w:p>
    <w:p w:rsidR="009C1913" w:rsidRPr="003E329C" w:rsidRDefault="00314C18" w:rsidP="007977A9">
      <w:pPr>
        <w:numPr>
          <w:ilvl w:val="0"/>
          <w:numId w:val="36"/>
        </w:numPr>
        <w:spacing w:after="120"/>
      </w:pPr>
      <w:r w:rsidRPr="003E329C">
        <w:t xml:space="preserve">Although the production costs for Scenario 1 are higher, its </w:t>
      </w:r>
      <w:r w:rsidR="000676D3" w:rsidRPr="003E329C">
        <w:t>total R</w:t>
      </w:r>
      <w:r w:rsidRPr="003E329C">
        <w:t xml:space="preserve">ARC is lower than </w:t>
      </w:r>
      <w:r w:rsidR="007977A9" w:rsidRPr="003E329C">
        <w:t xml:space="preserve">for </w:t>
      </w:r>
      <w:r w:rsidRPr="003E329C">
        <w:t xml:space="preserve">Scenarios 2, 3, and 6. This is because Scenario 1 has a lower quantity of renewable resources that require less capital investment in resources and transmission development than the other </w:t>
      </w:r>
      <w:r w:rsidR="007977A9" w:rsidRPr="003E329C">
        <w:t xml:space="preserve">scenarios with large amounts of </w:t>
      </w:r>
      <w:r w:rsidRPr="003E329C">
        <w:t xml:space="preserve">renewable </w:t>
      </w:r>
      <w:r w:rsidR="007977A9" w:rsidRPr="003E329C">
        <w:t>resources</w:t>
      </w:r>
      <w:r w:rsidRPr="003E329C">
        <w:t xml:space="preserve">. </w:t>
      </w:r>
    </w:p>
    <w:p w:rsidR="008E637E" w:rsidRDefault="009C1913" w:rsidP="00201D25">
      <w:pPr>
        <w:numPr>
          <w:ilvl w:val="0"/>
          <w:numId w:val="36"/>
        </w:numPr>
      </w:pPr>
      <w:r>
        <w:t xml:space="preserve">Scenario 3 </w:t>
      </w:r>
      <w:r w:rsidR="000676D3">
        <w:t xml:space="preserve">has </w:t>
      </w:r>
      <w:r>
        <w:t>the lowest production costs. Th</w:t>
      </w:r>
      <w:r w:rsidR="000676D3">
        <w:t>is</w:t>
      </w:r>
      <w:r>
        <w:t xml:space="preserve"> scenario require</w:t>
      </w:r>
      <w:r w:rsidR="000676D3">
        <w:t>s</w:t>
      </w:r>
      <w:r>
        <w:t xml:space="preserve"> less transmission development than Scenario</w:t>
      </w:r>
      <w:r w:rsidR="000676D3">
        <w:t>s</w:t>
      </w:r>
      <w:r>
        <w:t xml:space="preserve"> 2 </w:t>
      </w:r>
      <w:r w:rsidR="000676D3">
        <w:t xml:space="preserve">and 6 </w:t>
      </w:r>
      <w:r>
        <w:t xml:space="preserve">because </w:t>
      </w:r>
      <w:r w:rsidR="000676D3">
        <w:t>its</w:t>
      </w:r>
      <w:r>
        <w:t xml:space="preserve"> renewable resource development occurs closer to load centers in southern New England</w:t>
      </w:r>
      <w:r w:rsidR="009E7B29">
        <w:t>.</w:t>
      </w:r>
    </w:p>
    <w:p w:rsidR="008C50BF" w:rsidRDefault="008C50BF" w:rsidP="003E329C">
      <w:pPr>
        <w:spacing w:after="0" w:line="240" w:lineRule="auto"/>
        <w:jc w:val="center"/>
      </w:pPr>
    </w:p>
    <w:p w:rsidR="002A2DAF" w:rsidRDefault="002A2DAF" w:rsidP="002A2DAF">
      <w:pPr>
        <w:spacing w:after="0" w:line="240" w:lineRule="auto"/>
        <w:jc w:val="center"/>
      </w:pPr>
      <w:r w:rsidRPr="002A2DAF">
        <w:rPr>
          <w:noProof/>
        </w:rPr>
        <w:lastRenderedPageBreak/>
        <w:drawing>
          <wp:inline distT="0" distB="0" distL="0" distR="0" wp14:anchorId="7DDB3A85" wp14:editId="5E610D68">
            <wp:extent cx="5943600" cy="4304030"/>
            <wp:effectExtent l="19050" t="19050" r="19050" b="203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4304030"/>
                    </a:xfrm>
                    <a:prstGeom prst="rect">
                      <a:avLst/>
                    </a:prstGeom>
                    <a:noFill/>
                    <a:ln w="3175">
                      <a:solidFill>
                        <a:schemeClr val="tx1"/>
                      </a:solidFill>
                    </a:ln>
                  </pic:spPr>
                </pic:pic>
              </a:graphicData>
            </a:graphic>
          </wp:inline>
        </w:drawing>
      </w:r>
    </w:p>
    <w:p w:rsidR="00A961AC" w:rsidRPr="00AA06D8" w:rsidRDefault="007977A9" w:rsidP="005C7DD1">
      <w:pPr>
        <w:pStyle w:val="Caption"/>
        <w:spacing w:before="120" w:after="80"/>
      </w:pPr>
      <w:bookmarkStart w:id="17" w:name="_Ref476242598"/>
      <w:bookmarkStart w:id="18" w:name="_Toc486406057"/>
      <w:r w:rsidRPr="00AA06D8">
        <w:t xml:space="preserve">Figure </w:t>
      </w:r>
      <w:fldSimple w:instr=" STYLEREF 1 \s ">
        <w:r w:rsidR="00742B49">
          <w:rPr>
            <w:noProof/>
          </w:rPr>
          <w:t>1</w:t>
        </w:r>
      </w:fldSimple>
      <w:r w:rsidR="00024994" w:rsidRPr="00AA06D8">
        <w:noBreakHyphen/>
      </w:r>
      <w:fldSimple w:instr=" SEQ Figure \* ARABIC \s 1 ">
        <w:r w:rsidR="00742B49">
          <w:rPr>
            <w:noProof/>
          </w:rPr>
          <w:t>1</w:t>
        </w:r>
      </w:fldSimple>
      <w:bookmarkEnd w:id="17"/>
      <w:r w:rsidRPr="00AA06D8">
        <w:t xml:space="preserve">: </w:t>
      </w:r>
      <w:r w:rsidR="009D3DDD" w:rsidRPr="00AA06D8">
        <w:t>Total r</w:t>
      </w:r>
      <w:r w:rsidR="00DF5823" w:rsidRPr="00AA06D8">
        <w:t>elative</w:t>
      </w:r>
      <w:r w:rsidR="00A961AC" w:rsidRPr="00AA06D8">
        <w:t xml:space="preserve"> </w:t>
      </w:r>
      <w:r w:rsidRPr="00AA06D8">
        <w:t>a</w:t>
      </w:r>
      <w:r w:rsidR="00A961AC" w:rsidRPr="00AA06D8">
        <w:t xml:space="preserve">nnual </w:t>
      </w:r>
      <w:r w:rsidRPr="00AA06D8">
        <w:t>r</w:t>
      </w:r>
      <w:r w:rsidR="00A961AC" w:rsidRPr="00AA06D8">
        <w:t xml:space="preserve">esource </w:t>
      </w:r>
      <w:r w:rsidRPr="00AA06D8">
        <w:t>c</w:t>
      </w:r>
      <w:r w:rsidR="00A961AC" w:rsidRPr="00AA06D8">
        <w:t>osts</w:t>
      </w:r>
      <w:r w:rsidRPr="00AA06D8">
        <w:t xml:space="preserve">, </w:t>
      </w:r>
      <w:r w:rsidR="00A961AC" w:rsidRPr="00AA06D8">
        <w:t>2025</w:t>
      </w:r>
      <w:r w:rsidR="00F76E2B" w:rsidRPr="00AA06D8">
        <w:t xml:space="preserve"> (constrained and unconstrained)</w:t>
      </w:r>
      <w:r w:rsidRPr="00AA06D8">
        <w:t xml:space="preserve">, </w:t>
      </w:r>
      <w:r w:rsidR="003414BF" w:rsidRPr="00AA06D8">
        <w:t>s</w:t>
      </w:r>
      <w:r w:rsidR="00A961AC" w:rsidRPr="00AA06D8">
        <w:t>how</w:t>
      </w:r>
      <w:r w:rsidR="003414BF" w:rsidRPr="00AA06D8">
        <w:t>ing</w:t>
      </w:r>
      <w:r w:rsidR="00A961AC" w:rsidRPr="00AA06D8">
        <w:t xml:space="preserve"> </w:t>
      </w:r>
      <w:r w:rsidRPr="00AA06D8">
        <w:t>c</w:t>
      </w:r>
      <w:r w:rsidR="00A961AC" w:rsidRPr="00AA06D8">
        <w:t>hanges</w:t>
      </w:r>
      <w:r w:rsidR="00A961AC" w:rsidRPr="0053314D">
        <w:t xml:space="preserve"> </w:t>
      </w:r>
      <w:r w:rsidRPr="0053314D">
        <w:t>c</w:t>
      </w:r>
      <w:r w:rsidR="00A961AC" w:rsidRPr="0053314D">
        <w:t xml:space="preserve">ompared </w:t>
      </w:r>
      <w:r w:rsidRPr="0053314D">
        <w:t xml:space="preserve">with </w:t>
      </w:r>
      <w:r w:rsidR="00A961AC" w:rsidRPr="0053314D">
        <w:t>2025 Scenario 4</w:t>
      </w:r>
      <w:r w:rsidR="00BE0D84" w:rsidRPr="0053314D">
        <w:t xml:space="preserve"> </w:t>
      </w:r>
      <w:r w:rsidR="0053314D">
        <w:t xml:space="preserve">(constrained) </w:t>
      </w:r>
      <w:r w:rsidR="00BE0D84" w:rsidRPr="0053314D">
        <w:t>($ billions)</w:t>
      </w:r>
      <w:bookmarkEnd w:id="18"/>
      <w:r w:rsidR="00BE0D84" w:rsidRPr="002A2DAF">
        <w:t xml:space="preserve"> </w:t>
      </w:r>
    </w:p>
    <w:p w:rsidR="00DF5823" w:rsidRPr="00D377F9" w:rsidRDefault="00DF5823" w:rsidP="005C7DD1">
      <w:pPr>
        <w:adjustRightInd/>
        <w:spacing w:after="80" w:line="240" w:lineRule="auto"/>
        <w:textAlignment w:val="auto"/>
        <w:rPr>
          <w:rFonts w:asciiTheme="minorHAnsi" w:hAnsiTheme="minorHAnsi"/>
          <w:sz w:val="16"/>
          <w:szCs w:val="16"/>
        </w:rPr>
      </w:pPr>
      <w:r w:rsidRPr="00474D29">
        <w:rPr>
          <w:rFonts w:asciiTheme="minorHAnsi" w:hAnsiTheme="minorHAnsi"/>
          <w:b/>
          <w:sz w:val="16"/>
          <w:szCs w:val="16"/>
        </w:rPr>
        <w:t>Note</w:t>
      </w:r>
      <w:r w:rsidR="007977A9" w:rsidRPr="00474D29">
        <w:rPr>
          <w:rFonts w:asciiTheme="minorHAnsi" w:hAnsiTheme="minorHAnsi"/>
          <w:b/>
          <w:sz w:val="16"/>
          <w:szCs w:val="16"/>
        </w:rPr>
        <w:t>s</w:t>
      </w:r>
      <w:r w:rsidRPr="00474D29">
        <w:rPr>
          <w:rFonts w:asciiTheme="minorHAnsi" w:hAnsiTheme="minorHAnsi"/>
          <w:b/>
          <w:sz w:val="16"/>
          <w:szCs w:val="16"/>
        </w:rPr>
        <w:t>:</w:t>
      </w:r>
      <w:r w:rsidRPr="00474D29">
        <w:rPr>
          <w:rFonts w:asciiTheme="minorHAnsi" w:hAnsiTheme="minorHAnsi"/>
          <w:sz w:val="16"/>
          <w:szCs w:val="16"/>
        </w:rPr>
        <w:t xml:space="preserve">  Energy </w:t>
      </w:r>
      <w:r w:rsidR="007977A9" w:rsidRPr="00474D29">
        <w:rPr>
          <w:rFonts w:asciiTheme="minorHAnsi" w:hAnsiTheme="minorHAnsi"/>
          <w:sz w:val="16"/>
          <w:szCs w:val="16"/>
        </w:rPr>
        <w:t>e</w:t>
      </w:r>
      <w:r w:rsidRPr="00474D29">
        <w:rPr>
          <w:rFonts w:asciiTheme="minorHAnsi" w:hAnsiTheme="minorHAnsi"/>
          <w:sz w:val="16"/>
          <w:szCs w:val="16"/>
        </w:rPr>
        <w:t xml:space="preserve">fficiency and </w:t>
      </w:r>
      <w:r w:rsidR="007977A9" w:rsidRPr="00474D29">
        <w:rPr>
          <w:rFonts w:asciiTheme="minorHAnsi" w:hAnsiTheme="minorHAnsi"/>
          <w:sz w:val="16"/>
          <w:szCs w:val="16"/>
        </w:rPr>
        <w:t>s</w:t>
      </w:r>
      <w:r w:rsidRPr="00474D29">
        <w:rPr>
          <w:rFonts w:asciiTheme="minorHAnsi" w:hAnsiTheme="minorHAnsi"/>
          <w:sz w:val="16"/>
          <w:szCs w:val="16"/>
        </w:rPr>
        <w:t xml:space="preserve">olar include costs </w:t>
      </w:r>
      <w:r w:rsidR="00F87EAE" w:rsidRPr="00474D29">
        <w:rPr>
          <w:rFonts w:asciiTheme="minorHAnsi" w:hAnsiTheme="minorHAnsi"/>
          <w:sz w:val="16"/>
          <w:szCs w:val="16"/>
        </w:rPr>
        <w:t xml:space="preserve">resulting from </w:t>
      </w:r>
      <w:r w:rsidRPr="00474D29">
        <w:rPr>
          <w:rFonts w:asciiTheme="minorHAnsi" w:hAnsiTheme="minorHAnsi"/>
          <w:sz w:val="16"/>
          <w:szCs w:val="16"/>
        </w:rPr>
        <w:t xml:space="preserve">individual customer investments that do not reflect benefits </w:t>
      </w:r>
      <w:r w:rsidR="00474D29" w:rsidRPr="00474D29">
        <w:rPr>
          <w:rFonts w:asciiTheme="minorHAnsi" w:hAnsiTheme="minorHAnsi"/>
          <w:sz w:val="16"/>
          <w:szCs w:val="16"/>
        </w:rPr>
        <w:t>the owners</w:t>
      </w:r>
      <w:r w:rsidR="002F2F9F" w:rsidRPr="00474D29">
        <w:rPr>
          <w:rFonts w:asciiTheme="minorHAnsi" w:hAnsiTheme="minorHAnsi"/>
          <w:sz w:val="16"/>
          <w:szCs w:val="16"/>
        </w:rPr>
        <w:t xml:space="preserve"> would</w:t>
      </w:r>
      <w:r w:rsidR="002F2F9F">
        <w:rPr>
          <w:rFonts w:asciiTheme="minorHAnsi" w:hAnsiTheme="minorHAnsi"/>
          <w:sz w:val="16"/>
          <w:szCs w:val="16"/>
        </w:rPr>
        <w:t xml:space="preserve"> </w:t>
      </w:r>
      <w:r w:rsidRPr="00D377F9">
        <w:rPr>
          <w:rFonts w:asciiTheme="minorHAnsi" w:hAnsiTheme="minorHAnsi"/>
          <w:sz w:val="16"/>
          <w:szCs w:val="16"/>
        </w:rPr>
        <w:t>receive.</w:t>
      </w:r>
      <w:r w:rsidR="007977A9" w:rsidRPr="00D377F9">
        <w:rPr>
          <w:rFonts w:asciiTheme="minorHAnsi" w:hAnsiTheme="minorHAnsi"/>
          <w:sz w:val="16"/>
          <w:szCs w:val="16"/>
        </w:rPr>
        <w:t xml:space="preserve"> </w:t>
      </w:r>
      <w:r w:rsidR="00F87EAE" w:rsidRPr="00D377F9">
        <w:rPr>
          <w:rFonts w:asciiTheme="minorHAnsi" w:hAnsiTheme="minorHAnsi"/>
          <w:sz w:val="16"/>
          <w:szCs w:val="16"/>
        </w:rPr>
        <w:t>P</w:t>
      </w:r>
      <w:r w:rsidRPr="00D377F9">
        <w:rPr>
          <w:rFonts w:asciiTheme="minorHAnsi" w:hAnsiTheme="minorHAnsi"/>
          <w:sz w:val="16"/>
          <w:szCs w:val="16"/>
        </w:rPr>
        <w:t>roduction cost</w:t>
      </w:r>
      <w:r w:rsidR="00BF534A" w:rsidRPr="00D377F9">
        <w:rPr>
          <w:rFonts w:asciiTheme="minorHAnsi" w:hAnsiTheme="minorHAnsi"/>
          <w:sz w:val="16"/>
          <w:szCs w:val="16"/>
        </w:rPr>
        <w:t>s</w:t>
      </w:r>
      <w:r w:rsidRPr="00D377F9">
        <w:rPr>
          <w:rFonts w:asciiTheme="minorHAnsi" w:hAnsiTheme="minorHAnsi"/>
          <w:sz w:val="16"/>
          <w:szCs w:val="16"/>
        </w:rPr>
        <w:t xml:space="preserve"> reflect the price of carbon emissions at $</w:t>
      </w:r>
      <w:r w:rsidR="004F11DC">
        <w:rPr>
          <w:rFonts w:asciiTheme="minorHAnsi" w:hAnsiTheme="minorHAnsi"/>
          <w:sz w:val="16"/>
          <w:szCs w:val="16"/>
        </w:rPr>
        <w:t>19</w:t>
      </w:r>
      <w:r w:rsidRPr="00D377F9">
        <w:rPr>
          <w:rFonts w:asciiTheme="minorHAnsi" w:hAnsiTheme="minorHAnsi"/>
          <w:sz w:val="16"/>
          <w:szCs w:val="16"/>
        </w:rPr>
        <w:t>/ton.</w:t>
      </w:r>
    </w:p>
    <w:p w:rsidR="00A961AC" w:rsidRDefault="00A961AC" w:rsidP="002A2DAF">
      <w:pPr>
        <w:pStyle w:val="Caption"/>
      </w:pPr>
    </w:p>
    <w:p w:rsidR="002A2DAF" w:rsidRDefault="002A2DAF" w:rsidP="002A2DAF">
      <w:pPr>
        <w:spacing w:after="0" w:line="240" w:lineRule="auto"/>
        <w:jc w:val="center"/>
      </w:pPr>
      <w:r w:rsidRPr="002A2DAF">
        <w:rPr>
          <w:noProof/>
        </w:rPr>
        <w:drawing>
          <wp:inline distT="0" distB="0" distL="0" distR="0" wp14:anchorId="4C4C29D2" wp14:editId="20ED2B5E">
            <wp:extent cx="5943600" cy="4304030"/>
            <wp:effectExtent l="19050" t="19050" r="19050" b="203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304030"/>
                    </a:xfrm>
                    <a:prstGeom prst="rect">
                      <a:avLst/>
                    </a:prstGeom>
                    <a:noFill/>
                    <a:ln w="3175">
                      <a:solidFill>
                        <a:schemeClr val="tx1"/>
                      </a:solidFill>
                    </a:ln>
                  </pic:spPr>
                </pic:pic>
              </a:graphicData>
            </a:graphic>
          </wp:inline>
        </w:drawing>
      </w:r>
    </w:p>
    <w:p w:rsidR="00A961AC" w:rsidRPr="003E329C" w:rsidRDefault="00F87EAE" w:rsidP="002A2DAF">
      <w:pPr>
        <w:pStyle w:val="Caption"/>
        <w:spacing w:before="120" w:after="80"/>
        <w:ind w:left="90"/>
      </w:pPr>
      <w:bookmarkStart w:id="19" w:name="_Ref477180587"/>
      <w:bookmarkStart w:id="20" w:name="_Toc486406058"/>
      <w:r w:rsidRPr="00AA06D8">
        <w:t xml:space="preserve">Figure </w:t>
      </w:r>
      <w:fldSimple w:instr=" STYLEREF 1 \s ">
        <w:r w:rsidR="00742B49">
          <w:rPr>
            <w:noProof/>
          </w:rPr>
          <w:t>1</w:t>
        </w:r>
      </w:fldSimple>
      <w:r w:rsidR="00024994" w:rsidRPr="00AA06D8">
        <w:noBreakHyphen/>
      </w:r>
      <w:fldSimple w:instr=" SEQ Figure \* ARABIC \s 1 ">
        <w:r w:rsidR="00742B49">
          <w:rPr>
            <w:noProof/>
          </w:rPr>
          <w:t>2</w:t>
        </w:r>
      </w:fldSimple>
      <w:bookmarkEnd w:id="19"/>
      <w:r w:rsidRPr="00AA06D8">
        <w:t xml:space="preserve">: </w:t>
      </w:r>
      <w:r w:rsidR="00A961AC" w:rsidRPr="00AA06D8">
        <w:t xml:space="preserve">Total </w:t>
      </w:r>
      <w:r w:rsidR="009D3DDD" w:rsidRPr="00AA06D8">
        <w:t xml:space="preserve">relative </w:t>
      </w:r>
      <w:r w:rsidRPr="00AA06D8">
        <w:t>a</w:t>
      </w:r>
      <w:r w:rsidR="00A961AC" w:rsidRPr="00AA06D8">
        <w:t xml:space="preserve">nnual </w:t>
      </w:r>
      <w:r w:rsidRPr="00AA06D8">
        <w:t>r</w:t>
      </w:r>
      <w:r w:rsidR="00A961AC" w:rsidRPr="00AA06D8">
        <w:t xml:space="preserve">esource </w:t>
      </w:r>
      <w:r w:rsidRPr="00AA06D8">
        <w:t>c</w:t>
      </w:r>
      <w:r w:rsidR="00A961AC" w:rsidRPr="00AA06D8">
        <w:t>osts</w:t>
      </w:r>
      <w:r w:rsidRPr="00AA06D8">
        <w:t xml:space="preserve">, </w:t>
      </w:r>
      <w:r w:rsidR="00A961AC" w:rsidRPr="00AA06D8">
        <w:t>2025</w:t>
      </w:r>
      <w:r w:rsidR="00F76E2B" w:rsidRPr="00AA06D8">
        <w:t xml:space="preserve"> (constrained and unconstrained)</w:t>
      </w:r>
      <w:r w:rsidRPr="00AA06D8">
        <w:t xml:space="preserve">, </w:t>
      </w:r>
      <w:r w:rsidR="003414BF" w:rsidRPr="00AA06D8">
        <w:t>s</w:t>
      </w:r>
      <w:r w:rsidR="00A961AC" w:rsidRPr="00AA06D8">
        <w:t>how</w:t>
      </w:r>
      <w:r w:rsidR="003414BF" w:rsidRPr="00AA06D8">
        <w:t>ing</w:t>
      </w:r>
      <w:r w:rsidR="00A961AC" w:rsidRPr="00AA06D8">
        <w:t xml:space="preserve"> </w:t>
      </w:r>
      <w:r w:rsidRPr="00AA06D8">
        <w:t>c</w:t>
      </w:r>
      <w:r w:rsidR="00A961AC" w:rsidRPr="00AA06D8">
        <w:t xml:space="preserve">hanges </w:t>
      </w:r>
      <w:r w:rsidRPr="00AA06D8">
        <w:t>c</w:t>
      </w:r>
      <w:r w:rsidR="00A961AC" w:rsidRPr="00AA06D8">
        <w:t xml:space="preserve">ompared </w:t>
      </w:r>
      <w:r w:rsidRPr="00AA06D8">
        <w:t xml:space="preserve">with </w:t>
      </w:r>
      <w:r w:rsidR="00A961AC" w:rsidRPr="00AA06D8">
        <w:t xml:space="preserve">2025 Scenario 4 </w:t>
      </w:r>
      <w:r w:rsidR="0053314D">
        <w:t>(</w:t>
      </w:r>
      <w:r w:rsidR="00BE0D84" w:rsidRPr="00AA06D8">
        <w:t>c</w:t>
      </w:r>
      <w:r w:rsidR="00A961AC" w:rsidRPr="00AA06D8">
        <w:t>onstrained</w:t>
      </w:r>
      <w:r w:rsidR="0053314D">
        <w:t>)</w:t>
      </w:r>
      <w:r w:rsidR="00BE0D84" w:rsidRPr="00AA06D8">
        <w:t xml:space="preserve"> (</w:t>
      </w:r>
      <w:r w:rsidR="003414BF" w:rsidRPr="00AA06D8">
        <w:t>¢</w:t>
      </w:r>
      <w:r w:rsidR="00A961AC" w:rsidRPr="00AA06D8">
        <w:t>/kWh</w:t>
      </w:r>
      <w:r w:rsidR="00BE0D84" w:rsidRPr="00AA06D8">
        <w:t>)</w:t>
      </w:r>
      <w:r w:rsidR="00BF534A" w:rsidRPr="00AA06D8">
        <w:t>.</w:t>
      </w:r>
      <w:bookmarkEnd w:id="20"/>
    </w:p>
    <w:p w:rsidR="00DF5823" w:rsidRPr="00D377F9" w:rsidRDefault="00DF5823" w:rsidP="002A2DAF">
      <w:pPr>
        <w:adjustRightInd/>
        <w:spacing w:after="80" w:line="240" w:lineRule="auto"/>
        <w:ind w:left="90"/>
        <w:textAlignment w:val="auto"/>
        <w:rPr>
          <w:rFonts w:asciiTheme="minorHAnsi" w:hAnsiTheme="minorHAnsi"/>
          <w:sz w:val="16"/>
          <w:szCs w:val="16"/>
        </w:rPr>
      </w:pPr>
      <w:r w:rsidRPr="00474D29">
        <w:rPr>
          <w:rFonts w:asciiTheme="minorHAnsi" w:hAnsiTheme="minorHAnsi"/>
          <w:b/>
          <w:sz w:val="16"/>
          <w:szCs w:val="16"/>
        </w:rPr>
        <w:t>Note</w:t>
      </w:r>
      <w:r w:rsidR="00EE2870" w:rsidRPr="00474D29">
        <w:rPr>
          <w:rFonts w:asciiTheme="minorHAnsi" w:hAnsiTheme="minorHAnsi"/>
          <w:b/>
          <w:sz w:val="16"/>
          <w:szCs w:val="16"/>
        </w:rPr>
        <w:t>s</w:t>
      </w:r>
      <w:r w:rsidRPr="00474D29">
        <w:rPr>
          <w:rFonts w:asciiTheme="minorHAnsi" w:hAnsiTheme="minorHAnsi"/>
          <w:b/>
          <w:sz w:val="16"/>
          <w:szCs w:val="16"/>
        </w:rPr>
        <w:t>:</w:t>
      </w:r>
      <w:r w:rsidRPr="00474D29">
        <w:rPr>
          <w:rFonts w:asciiTheme="minorHAnsi" w:hAnsiTheme="minorHAnsi"/>
          <w:sz w:val="16"/>
          <w:szCs w:val="16"/>
        </w:rPr>
        <w:t xml:space="preserve">  Energy </w:t>
      </w:r>
      <w:r w:rsidR="00F87EAE" w:rsidRPr="00474D29">
        <w:rPr>
          <w:rFonts w:asciiTheme="minorHAnsi" w:hAnsiTheme="minorHAnsi"/>
          <w:sz w:val="16"/>
          <w:szCs w:val="16"/>
        </w:rPr>
        <w:t>e</w:t>
      </w:r>
      <w:r w:rsidRPr="00474D29">
        <w:rPr>
          <w:rFonts w:asciiTheme="minorHAnsi" w:hAnsiTheme="minorHAnsi"/>
          <w:sz w:val="16"/>
          <w:szCs w:val="16"/>
        </w:rPr>
        <w:t xml:space="preserve">fficiency and </w:t>
      </w:r>
      <w:r w:rsidR="00F87EAE" w:rsidRPr="00474D29">
        <w:rPr>
          <w:rFonts w:asciiTheme="minorHAnsi" w:hAnsiTheme="minorHAnsi"/>
          <w:sz w:val="16"/>
          <w:szCs w:val="16"/>
        </w:rPr>
        <w:t>s</w:t>
      </w:r>
      <w:r w:rsidRPr="00474D29">
        <w:rPr>
          <w:rFonts w:asciiTheme="minorHAnsi" w:hAnsiTheme="minorHAnsi"/>
          <w:sz w:val="16"/>
          <w:szCs w:val="16"/>
        </w:rPr>
        <w:t xml:space="preserve">olar include costs </w:t>
      </w:r>
      <w:r w:rsidR="00F87EAE" w:rsidRPr="00474D29">
        <w:rPr>
          <w:rFonts w:asciiTheme="minorHAnsi" w:hAnsiTheme="minorHAnsi"/>
          <w:sz w:val="16"/>
          <w:szCs w:val="16"/>
        </w:rPr>
        <w:t xml:space="preserve">resulting from </w:t>
      </w:r>
      <w:r w:rsidRPr="00474D29">
        <w:rPr>
          <w:rFonts w:asciiTheme="minorHAnsi" w:hAnsiTheme="minorHAnsi"/>
          <w:sz w:val="16"/>
          <w:szCs w:val="16"/>
        </w:rPr>
        <w:t xml:space="preserve">individual customer investments that do not reflect benefits </w:t>
      </w:r>
      <w:r w:rsidR="00BD5893" w:rsidRPr="00474D29">
        <w:rPr>
          <w:rFonts w:asciiTheme="minorHAnsi" w:hAnsiTheme="minorHAnsi"/>
          <w:sz w:val="16"/>
          <w:szCs w:val="16"/>
        </w:rPr>
        <w:t xml:space="preserve">the owners </w:t>
      </w:r>
      <w:r w:rsidR="002F2F9F" w:rsidRPr="00474D29">
        <w:rPr>
          <w:rFonts w:asciiTheme="minorHAnsi" w:hAnsiTheme="minorHAnsi"/>
          <w:sz w:val="16"/>
          <w:szCs w:val="16"/>
        </w:rPr>
        <w:t>would</w:t>
      </w:r>
      <w:r w:rsidR="002F2F9F">
        <w:rPr>
          <w:rFonts w:asciiTheme="minorHAnsi" w:hAnsiTheme="minorHAnsi"/>
          <w:sz w:val="16"/>
          <w:szCs w:val="16"/>
        </w:rPr>
        <w:t xml:space="preserve"> </w:t>
      </w:r>
      <w:r w:rsidRPr="00D377F9">
        <w:rPr>
          <w:rFonts w:asciiTheme="minorHAnsi" w:hAnsiTheme="minorHAnsi"/>
          <w:sz w:val="16"/>
          <w:szCs w:val="16"/>
        </w:rPr>
        <w:t>receive.</w:t>
      </w:r>
      <w:r w:rsidR="00BF534A" w:rsidRPr="00D377F9">
        <w:rPr>
          <w:rFonts w:asciiTheme="minorHAnsi" w:hAnsiTheme="minorHAnsi"/>
          <w:sz w:val="16"/>
          <w:szCs w:val="16"/>
        </w:rPr>
        <w:t xml:space="preserve"> </w:t>
      </w:r>
      <w:r w:rsidRPr="00D377F9">
        <w:rPr>
          <w:rFonts w:asciiTheme="minorHAnsi" w:hAnsiTheme="minorHAnsi"/>
          <w:sz w:val="16"/>
          <w:szCs w:val="16"/>
        </w:rPr>
        <w:t>Production cost</w:t>
      </w:r>
      <w:r w:rsidR="00BF534A" w:rsidRPr="00D377F9">
        <w:rPr>
          <w:rFonts w:asciiTheme="minorHAnsi" w:hAnsiTheme="minorHAnsi"/>
          <w:sz w:val="16"/>
          <w:szCs w:val="16"/>
        </w:rPr>
        <w:t>s</w:t>
      </w:r>
      <w:r w:rsidRPr="00D377F9">
        <w:rPr>
          <w:rFonts w:asciiTheme="minorHAnsi" w:hAnsiTheme="minorHAnsi"/>
          <w:sz w:val="16"/>
          <w:szCs w:val="16"/>
        </w:rPr>
        <w:t xml:space="preserve"> reflect the price of carbon emissions at $</w:t>
      </w:r>
      <w:r w:rsidR="004F11DC">
        <w:rPr>
          <w:rFonts w:asciiTheme="minorHAnsi" w:hAnsiTheme="minorHAnsi"/>
          <w:sz w:val="16"/>
          <w:szCs w:val="16"/>
        </w:rPr>
        <w:t>19</w:t>
      </w:r>
      <w:r w:rsidRPr="00D377F9">
        <w:rPr>
          <w:rFonts w:asciiTheme="minorHAnsi" w:hAnsiTheme="minorHAnsi"/>
          <w:sz w:val="16"/>
          <w:szCs w:val="16"/>
        </w:rPr>
        <w:t>/ton.</w:t>
      </w:r>
    </w:p>
    <w:p w:rsidR="002A2DAF" w:rsidRDefault="002A2DAF" w:rsidP="002A2DAF">
      <w:pPr>
        <w:spacing w:after="0" w:line="240" w:lineRule="auto"/>
        <w:jc w:val="center"/>
      </w:pPr>
      <w:r w:rsidRPr="002A2DAF">
        <w:rPr>
          <w:noProof/>
        </w:rPr>
        <w:lastRenderedPageBreak/>
        <w:drawing>
          <wp:inline distT="0" distB="0" distL="0" distR="0" wp14:anchorId="45A572F7" wp14:editId="773841F2">
            <wp:extent cx="5943600" cy="4304030"/>
            <wp:effectExtent l="19050" t="19050" r="19050" b="203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304030"/>
                    </a:xfrm>
                    <a:prstGeom prst="rect">
                      <a:avLst/>
                    </a:prstGeom>
                    <a:noFill/>
                    <a:ln w="3175">
                      <a:solidFill>
                        <a:schemeClr val="tx1"/>
                      </a:solidFill>
                    </a:ln>
                  </pic:spPr>
                </pic:pic>
              </a:graphicData>
            </a:graphic>
          </wp:inline>
        </w:drawing>
      </w:r>
    </w:p>
    <w:p w:rsidR="00191A03" w:rsidRPr="003E329C" w:rsidRDefault="00BF534A" w:rsidP="003E329C">
      <w:pPr>
        <w:pStyle w:val="Caption"/>
        <w:spacing w:before="120" w:after="80"/>
      </w:pPr>
      <w:bookmarkStart w:id="21" w:name="_Toc486406059"/>
      <w:r w:rsidRPr="00AA06D8">
        <w:t xml:space="preserve">Figure </w:t>
      </w:r>
      <w:fldSimple w:instr=" STYLEREF 1 \s ">
        <w:r w:rsidR="00742B49">
          <w:rPr>
            <w:noProof/>
          </w:rPr>
          <w:t>1</w:t>
        </w:r>
      </w:fldSimple>
      <w:r w:rsidR="00024994" w:rsidRPr="00AA06D8">
        <w:noBreakHyphen/>
      </w:r>
      <w:fldSimple w:instr=" SEQ Figure \* ARABIC \s 1 ">
        <w:r w:rsidR="00742B49">
          <w:rPr>
            <w:noProof/>
          </w:rPr>
          <w:t>3</w:t>
        </w:r>
      </w:fldSimple>
      <w:r w:rsidRPr="00AA06D8">
        <w:t xml:space="preserve">: </w:t>
      </w:r>
      <w:r w:rsidR="00191A03" w:rsidRPr="00AA06D8">
        <w:t xml:space="preserve">Total </w:t>
      </w:r>
      <w:r w:rsidR="009D3DDD" w:rsidRPr="00AA06D8">
        <w:t>r</w:t>
      </w:r>
      <w:r w:rsidR="00BE0D84" w:rsidRPr="00AA06D8">
        <w:t xml:space="preserve">elative </w:t>
      </w:r>
      <w:r w:rsidRPr="00AA06D8">
        <w:t>a</w:t>
      </w:r>
      <w:r w:rsidR="00191A03" w:rsidRPr="00AA06D8">
        <w:t xml:space="preserve">nnual </w:t>
      </w:r>
      <w:r w:rsidRPr="00AA06D8">
        <w:t>r</w:t>
      </w:r>
      <w:r w:rsidR="00191A03" w:rsidRPr="00AA06D8">
        <w:t xml:space="preserve">esource </w:t>
      </w:r>
      <w:r w:rsidRPr="00AA06D8">
        <w:t>c</w:t>
      </w:r>
      <w:r w:rsidR="00191A03" w:rsidRPr="00AA06D8">
        <w:t>osts</w:t>
      </w:r>
      <w:r w:rsidRPr="00AA06D8">
        <w:t xml:space="preserve">, </w:t>
      </w:r>
      <w:r w:rsidR="00191A03" w:rsidRPr="00AA06D8">
        <w:t>2030</w:t>
      </w:r>
      <w:r w:rsidR="0053314D" w:rsidRPr="00AA06D8">
        <w:t xml:space="preserve"> (constrained and unconstrained)</w:t>
      </w:r>
      <w:r w:rsidRPr="00AA06D8">
        <w:t>, s</w:t>
      </w:r>
      <w:r w:rsidR="00191A03" w:rsidRPr="00AA06D8">
        <w:t>how</w:t>
      </w:r>
      <w:r w:rsidRPr="00AA06D8">
        <w:t>ing</w:t>
      </w:r>
      <w:r w:rsidR="00191A03" w:rsidRPr="00AA06D8">
        <w:t xml:space="preserve"> </w:t>
      </w:r>
      <w:r w:rsidRPr="00AA06D8">
        <w:t>c</w:t>
      </w:r>
      <w:r w:rsidR="00191A03" w:rsidRPr="00AA06D8">
        <w:t xml:space="preserve">hanges </w:t>
      </w:r>
      <w:r w:rsidRPr="00AA06D8">
        <w:t>c</w:t>
      </w:r>
      <w:r w:rsidR="00191A03" w:rsidRPr="00AA06D8">
        <w:t xml:space="preserve">ompared </w:t>
      </w:r>
      <w:r w:rsidRPr="00AA06D8">
        <w:t xml:space="preserve">with </w:t>
      </w:r>
      <w:r w:rsidR="00191A03" w:rsidRPr="00AA06D8">
        <w:t xml:space="preserve">2030 Scenario 4 </w:t>
      </w:r>
      <w:r w:rsidRPr="00AA06D8">
        <w:t>(</w:t>
      </w:r>
      <w:r w:rsidR="00BE0D84" w:rsidRPr="00AA06D8">
        <w:t>constrained</w:t>
      </w:r>
      <w:r w:rsidR="0053314D" w:rsidRPr="00AA06D8">
        <w:t xml:space="preserve">) </w:t>
      </w:r>
      <w:r w:rsidR="00BE0D84" w:rsidRPr="00AA06D8">
        <w:t>(</w:t>
      </w:r>
      <w:r w:rsidRPr="00AA06D8">
        <w:t>$</w:t>
      </w:r>
      <w:r w:rsidR="00BE0D84" w:rsidRPr="00AA06D8">
        <w:t xml:space="preserve"> billions)</w:t>
      </w:r>
      <w:r w:rsidRPr="00AA06D8">
        <w:t>.</w:t>
      </w:r>
      <w:bookmarkEnd w:id="21"/>
    </w:p>
    <w:p w:rsidR="00DF5823" w:rsidRPr="00D377F9" w:rsidRDefault="00DF5823" w:rsidP="005C7DD1">
      <w:pPr>
        <w:adjustRightInd/>
        <w:spacing w:after="80" w:line="240" w:lineRule="auto"/>
        <w:textAlignment w:val="auto"/>
        <w:rPr>
          <w:rFonts w:asciiTheme="minorHAnsi" w:hAnsiTheme="minorHAnsi"/>
          <w:sz w:val="16"/>
          <w:szCs w:val="16"/>
        </w:rPr>
      </w:pPr>
      <w:r w:rsidRPr="00D377F9">
        <w:rPr>
          <w:rFonts w:asciiTheme="minorHAnsi" w:hAnsiTheme="minorHAnsi"/>
          <w:b/>
          <w:sz w:val="16"/>
          <w:szCs w:val="16"/>
        </w:rPr>
        <w:t>Note</w:t>
      </w:r>
      <w:r w:rsidR="00EE2870">
        <w:rPr>
          <w:rFonts w:asciiTheme="minorHAnsi" w:hAnsiTheme="minorHAnsi"/>
          <w:b/>
          <w:sz w:val="16"/>
          <w:szCs w:val="16"/>
        </w:rPr>
        <w:t>s</w:t>
      </w:r>
      <w:r w:rsidRPr="00D377F9">
        <w:rPr>
          <w:rFonts w:asciiTheme="minorHAnsi" w:hAnsiTheme="minorHAnsi"/>
          <w:b/>
          <w:sz w:val="16"/>
          <w:szCs w:val="16"/>
        </w:rPr>
        <w:t>:</w:t>
      </w:r>
      <w:r w:rsidRPr="00D377F9">
        <w:rPr>
          <w:rFonts w:asciiTheme="minorHAnsi" w:hAnsiTheme="minorHAnsi"/>
          <w:sz w:val="16"/>
          <w:szCs w:val="16"/>
        </w:rPr>
        <w:t xml:space="preserve">  Energy </w:t>
      </w:r>
      <w:r w:rsidR="003414BF" w:rsidRPr="00D377F9">
        <w:rPr>
          <w:rFonts w:asciiTheme="minorHAnsi" w:hAnsiTheme="minorHAnsi"/>
          <w:sz w:val="16"/>
          <w:szCs w:val="16"/>
        </w:rPr>
        <w:t>e</w:t>
      </w:r>
      <w:r w:rsidRPr="00D377F9">
        <w:rPr>
          <w:rFonts w:asciiTheme="minorHAnsi" w:hAnsiTheme="minorHAnsi"/>
          <w:sz w:val="16"/>
          <w:szCs w:val="16"/>
        </w:rPr>
        <w:t xml:space="preserve">fficiency and </w:t>
      </w:r>
      <w:r w:rsidR="003414BF" w:rsidRPr="00D377F9">
        <w:rPr>
          <w:rFonts w:asciiTheme="minorHAnsi" w:hAnsiTheme="minorHAnsi"/>
          <w:sz w:val="16"/>
          <w:szCs w:val="16"/>
        </w:rPr>
        <w:t>s</w:t>
      </w:r>
      <w:r w:rsidRPr="00D377F9">
        <w:rPr>
          <w:rFonts w:asciiTheme="minorHAnsi" w:hAnsiTheme="minorHAnsi"/>
          <w:sz w:val="16"/>
          <w:szCs w:val="16"/>
        </w:rPr>
        <w:t xml:space="preserve">olar include costs </w:t>
      </w:r>
      <w:r w:rsidR="003414BF" w:rsidRPr="00D377F9">
        <w:rPr>
          <w:rFonts w:asciiTheme="minorHAnsi" w:hAnsiTheme="minorHAnsi"/>
          <w:sz w:val="16"/>
          <w:szCs w:val="16"/>
        </w:rPr>
        <w:t>resulting from</w:t>
      </w:r>
      <w:r w:rsidRPr="00D377F9">
        <w:rPr>
          <w:rFonts w:asciiTheme="minorHAnsi" w:hAnsiTheme="minorHAnsi"/>
          <w:sz w:val="16"/>
          <w:szCs w:val="16"/>
        </w:rPr>
        <w:t xml:space="preserve"> to individual customer investments that do not reflect benefits </w:t>
      </w:r>
      <w:r w:rsidR="00BD5893">
        <w:rPr>
          <w:rFonts w:asciiTheme="minorHAnsi" w:hAnsiTheme="minorHAnsi"/>
          <w:sz w:val="16"/>
          <w:szCs w:val="16"/>
        </w:rPr>
        <w:t xml:space="preserve">the owners </w:t>
      </w:r>
      <w:r w:rsidR="002F2F9F" w:rsidRPr="00474D29">
        <w:rPr>
          <w:rFonts w:asciiTheme="minorHAnsi" w:hAnsiTheme="minorHAnsi"/>
          <w:sz w:val="16"/>
          <w:szCs w:val="16"/>
        </w:rPr>
        <w:t xml:space="preserve">would </w:t>
      </w:r>
      <w:r w:rsidRPr="00474D29">
        <w:rPr>
          <w:rFonts w:asciiTheme="minorHAnsi" w:hAnsiTheme="minorHAnsi"/>
          <w:sz w:val="16"/>
          <w:szCs w:val="16"/>
        </w:rPr>
        <w:t>receive.</w:t>
      </w:r>
      <w:r w:rsidR="003414BF" w:rsidRPr="00474D29">
        <w:rPr>
          <w:rFonts w:asciiTheme="minorHAnsi" w:hAnsiTheme="minorHAnsi"/>
          <w:sz w:val="16"/>
          <w:szCs w:val="16"/>
        </w:rPr>
        <w:t xml:space="preserve"> </w:t>
      </w:r>
      <w:r w:rsidRPr="00474D29">
        <w:rPr>
          <w:rFonts w:asciiTheme="minorHAnsi" w:hAnsiTheme="minorHAnsi"/>
          <w:sz w:val="16"/>
          <w:szCs w:val="16"/>
        </w:rPr>
        <w:t>Production cost</w:t>
      </w:r>
      <w:r w:rsidR="003414BF" w:rsidRPr="00474D29">
        <w:rPr>
          <w:rFonts w:asciiTheme="minorHAnsi" w:hAnsiTheme="minorHAnsi"/>
          <w:sz w:val="16"/>
          <w:szCs w:val="16"/>
        </w:rPr>
        <w:t>s</w:t>
      </w:r>
      <w:r w:rsidRPr="00474D29">
        <w:rPr>
          <w:rFonts w:asciiTheme="minorHAnsi" w:hAnsiTheme="minorHAnsi"/>
          <w:sz w:val="16"/>
          <w:szCs w:val="16"/>
        </w:rPr>
        <w:t xml:space="preserve"> reflect the price of carbon emissions at $24/ton.</w:t>
      </w:r>
    </w:p>
    <w:p w:rsidR="00521AD0" w:rsidRDefault="00521AD0" w:rsidP="003E329C">
      <w:pPr>
        <w:spacing w:after="0" w:line="240" w:lineRule="auto"/>
        <w:jc w:val="center"/>
      </w:pPr>
    </w:p>
    <w:p w:rsidR="0053314D" w:rsidRPr="008C50BF" w:rsidRDefault="0053314D" w:rsidP="003E329C">
      <w:pPr>
        <w:spacing w:after="0" w:line="240" w:lineRule="auto"/>
        <w:jc w:val="center"/>
      </w:pPr>
      <w:r w:rsidRPr="0053314D">
        <w:rPr>
          <w:noProof/>
        </w:rPr>
        <w:lastRenderedPageBreak/>
        <w:drawing>
          <wp:inline distT="0" distB="0" distL="0" distR="0" wp14:anchorId="4446E769" wp14:editId="6F2882C7">
            <wp:extent cx="5943600" cy="4304030"/>
            <wp:effectExtent l="19050" t="19050" r="19050" b="203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4304030"/>
                    </a:xfrm>
                    <a:prstGeom prst="rect">
                      <a:avLst/>
                    </a:prstGeom>
                    <a:noFill/>
                    <a:ln w="3175">
                      <a:solidFill>
                        <a:schemeClr val="tx1"/>
                      </a:solidFill>
                    </a:ln>
                  </pic:spPr>
                </pic:pic>
              </a:graphicData>
            </a:graphic>
          </wp:inline>
        </w:drawing>
      </w:r>
    </w:p>
    <w:p w:rsidR="00191A03" w:rsidRPr="003E329C" w:rsidRDefault="003414BF" w:rsidP="003E329C">
      <w:pPr>
        <w:pStyle w:val="Caption"/>
        <w:spacing w:before="120" w:after="80"/>
      </w:pPr>
      <w:bookmarkStart w:id="22" w:name="_Ref476242604"/>
      <w:bookmarkStart w:id="23" w:name="_Toc486406060"/>
      <w:r w:rsidRPr="00AA06D8">
        <w:t xml:space="preserve">Figure </w:t>
      </w:r>
      <w:fldSimple w:instr=" STYLEREF 1 \s ">
        <w:r w:rsidR="00742B49">
          <w:rPr>
            <w:noProof/>
          </w:rPr>
          <w:t>1</w:t>
        </w:r>
      </w:fldSimple>
      <w:r w:rsidR="00024994" w:rsidRPr="00AA06D8">
        <w:noBreakHyphen/>
      </w:r>
      <w:fldSimple w:instr=" SEQ Figure \* ARABIC \s 1 ">
        <w:r w:rsidR="00742B49">
          <w:rPr>
            <w:noProof/>
          </w:rPr>
          <w:t>4</w:t>
        </w:r>
      </w:fldSimple>
      <w:bookmarkEnd w:id="22"/>
      <w:r w:rsidRPr="00AA06D8">
        <w:t xml:space="preserve">: </w:t>
      </w:r>
      <w:r w:rsidR="00191A03" w:rsidRPr="00AA06D8">
        <w:t xml:space="preserve">Total </w:t>
      </w:r>
      <w:r w:rsidR="009D3DDD" w:rsidRPr="00AA06D8">
        <w:t xml:space="preserve">relative </w:t>
      </w:r>
      <w:r w:rsidRPr="00AA06D8">
        <w:t>a</w:t>
      </w:r>
      <w:r w:rsidR="00191A03" w:rsidRPr="00AA06D8">
        <w:t xml:space="preserve">nnual </w:t>
      </w:r>
      <w:r w:rsidRPr="00AA06D8">
        <w:t>r</w:t>
      </w:r>
      <w:r w:rsidR="00191A03" w:rsidRPr="00AA06D8">
        <w:t xml:space="preserve">esource </w:t>
      </w:r>
      <w:r w:rsidRPr="00AA06D8">
        <w:t>c</w:t>
      </w:r>
      <w:r w:rsidR="00191A03" w:rsidRPr="00AA06D8">
        <w:t>osts</w:t>
      </w:r>
      <w:r w:rsidRPr="00AA06D8">
        <w:t xml:space="preserve">, </w:t>
      </w:r>
      <w:r w:rsidR="00191A03" w:rsidRPr="00AA06D8">
        <w:t>2030</w:t>
      </w:r>
      <w:r w:rsidR="0053314D" w:rsidRPr="00AA06D8">
        <w:t xml:space="preserve"> (constrained and unconstrained)</w:t>
      </w:r>
      <w:r w:rsidRPr="00AA06D8">
        <w:t>, s</w:t>
      </w:r>
      <w:r w:rsidR="00191A03" w:rsidRPr="00AA06D8">
        <w:t>how</w:t>
      </w:r>
      <w:r w:rsidRPr="00AA06D8">
        <w:t>ing</w:t>
      </w:r>
      <w:r w:rsidR="00191A03" w:rsidRPr="00AA06D8">
        <w:t xml:space="preserve"> </w:t>
      </w:r>
      <w:r w:rsidRPr="00AA06D8">
        <w:t>c</w:t>
      </w:r>
      <w:r w:rsidR="00191A03" w:rsidRPr="00AA06D8">
        <w:t xml:space="preserve">hanges </w:t>
      </w:r>
      <w:r w:rsidRPr="00AA06D8">
        <w:t>c</w:t>
      </w:r>
      <w:r w:rsidR="00191A03" w:rsidRPr="00AA06D8">
        <w:t xml:space="preserve">ompared </w:t>
      </w:r>
      <w:r w:rsidRPr="00AA06D8">
        <w:t xml:space="preserve">with </w:t>
      </w:r>
      <w:r w:rsidR="00191A03" w:rsidRPr="00AA06D8">
        <w:t xml:space="preserve">2030 Scenario 4 </w:t>
      </w:r>
      <w:r w:rsidRPr="00AA06D8">
        <w:t>(</w:t>
      </w:r>
      <w:r w:rsidR="00BE0D84" w:rsidRPr="00AA06D8">
        <w:t>constrained</w:t>
      </w:r>
      <w:r w:rsidR="0053314D" w:rsidRPr="00AA06D8">
        <w:t xml:space="preserve">) </w:t>
      </w:r>
      <w:r w:rsidR="00BE0D84" w:rsidRPr="00AA06D8">
        <w:t>(</w:t>
      </w:r>
      <w:r w:rsidRPr="00AA06D8">
        <w:t>¢</w:t>
      </w:r>
      <w:r w:rsidR="00191A03" w:rsidRPr="00AA06D8">
        <w:t>/kWh</w:t>
      </w:r>
      <w:r w:rsidR="00BE0D84" w:rsidRPr="00AA06D8">
        <w:t>)</w:t>
      </w:r>
      <w:r w:rsidRPr="00AA06D8">
        <w:t>.</w:t>
      </w:r>
      <w:bookmarkEnd w:id="23"/>
    </w:p>
    <w:p w:rsidR="00DF5823" w:rsidRPr="00D377F9" w:rsidRDefault="00DF5823" w:rsidP="00AA06D8">
      <w:pPr>
        <w:adjustRightInd/>
        <w:spacing w:line="240" w:lineRule="auto"/>
        <w:textAlignment w:val="auto"/>
        <w:rPr>
          <w:rFonts w:asciiTheme="minorHAnsi" w:hAnsiTheme="minorHAnsi"/>
          <w:sz w:val="16"/>
          <w:szCs w:val="16"/>
        </w:rPr>
      </w:pPr>
      <w:r w:rsidRPr="00474D29">
        <w:rPr>
          <w:rFonts w:asciiTheme="minorHAnsi" w:hAnsiTheme="minorHAnsi"/>
          <w:b/>
          <w:sz w:val="16"/>
          <w:szCs w:val="16"/>
        </w:rPr>
        <w:t>Note:</w:t>
      </w:r>
      <w:r w:rsidRPr="00474D29">
        <w:rPr>
          <w:rFonts w:asciiTheme="minorHAnsi" w:hAnsiTheme="minorHAnsi"/>
          <w:sz w:val="16"/>
          <w:szCs w:val="16"/>
        </w:rPr>
        <w:t xml:space="preserve">  Energy </w:t>
      </w:r>
      <w:r w:rsidR="003414BF" w:rsidRPr="00474D29">
        <w:rPr>
          <w:rFonts w:asciiTheme="minorHAnsi" w:hAnsiTheme="minorHAnsi"/>
          <w:sz w:val="16"/>
          <w:szCs w:val="16"/>
        </w:rPr>
        <w:t>e</w:t>
      </w:r>
      <w:r w:rsidRPr="00474D29">
        <w:rPr>
          <w:rFonts w:asciiTheme="minorHAnsi" w:hAnsiTheme="minorHAnsi"/>
          <w:sz w:val="16"/>
          <w:szCs w:val="16"/>
        </w:rPr>
        <w:t xml:space="preserve">fficiency and </w:t>
      </w:r>
      <w:r w:rsidR="003414BF" w:rsidRPr="00474D29">
        <w:rPr>
          <w:rFonts w:asciiTheme="minorHAnsi" w:hAnsiTheme="minorHAnsi"/>
          <w:sz w:val="16"/>
          <w:szCs w:val="16"/>
        </w:rPr>
        <w:t>s</w:t>
      </w:r>
      <w:r w:rsidRPr="00474D29">
        <w:rPr>
          <w:rFonts w:asciiTheme="minorHAnsi" w:hAnsiTheme="minorHAnsi"/>
          <w:sz w:val="16"/>
          <w:szCs w:val="16"/>
        </w:rPr>
        <w:t xml:space="preserve">olar include costs </w:t>
      </w:r>
      <w:r w:rsidR="003414BF" w:rsidRPr="00474D29">
        <w:rPr>
          <w:rFonts w:asciiTheme="minorHAnsi" w:hAnsiTheme="minorHAnsi"/>
          <w:sz w:val="16"/>
          <w:szCs w:val="16"/>
        </w:rPr>
        <w:t>resulting from</w:t>
      </w:r>
      <w:r w:rsidRPr="00474D29">
        <w:rPr>
          <w:rFonts w:asciiTheme="minorHAnsi" w:hAnsiTheme="minorHAnsi"/>
          <w:sz w:val="16"/>
          <w:szCs w:val="16"/>
        </w:rPr>
        <w:t xml:space="preserve"> individual customer investments that do not reflect benefits </w:t>
      </w:r>
      <w:r w:rsidR="00BD5893" w:rsidRPr="00474D29">
        <w:rPr>
          <w:rFonts w:asciiTheme="minorHAnsi" w:hAnsiTheme="minorHAnsi"/>
          <w:sz w:val="16"/>
          <w:szCs w:val="16"/>
        </w:rPr>
        <w:t xml:space="preserve">the owners </w:t>
      </w:r>
      <w:r w:rsidR="002F2F9F" w:rsidRPr="00474D29">
        <w:rPr>
          <w:rFonts w:asciiTheme="minorHAnsi" w:hAnsiTheme="minorHAnsi"/>
          <w:sz w:val="16"/>
          <w:szCs w:val="16"/>
        </w:rPr>
        <w:t xml:space="preserve">would </w:t>
      </w:r>
      <w:r w:rsidRPr="00474D29">
        <w:rPr>
          <w:rFonts w:asciiTheme="minorHAnsi" w:hAnsiTheme="minorHAnsi"/>
          <w:sz w:val="16"/>
          <w:szCs w:val="16"/>
        </w:rPr>
        <w:t>receive.</w:t>
      </w:r>
      <w:r w:rsidR="003414BF" w:rsidRPr="00474D29">
        <w:rPr>
          <w:rFonts w:asciiTheme="minorHAnsi" w:hAnsiTheme="minorHAnsi"/>
          <w:sz w:val="16"/>
          <w:szCs w:val="16"/>
        </w:rPr>
        <w:t xml:space="preserve"> </w:t>
      </w:r>
      <w:r w:rsidRPr="00474D29">
        <w:rPr>
          <w:rFonts w:asciiTheme="minorHAnsi" w:hAnsiTheme="minorHAnsi"/>
          <w:sz w:val="16"/>
          <w:szCs w:val="16"/>
        </w:rPr>
        <w:t>Production cost</w:t>
      </w:r>
      <w:r w:rsidR="003414BF" w:rsidRPr="00474D29">
        <w:rPr>
          <w:rFonts w:asciiTheme="minorHAnsi" w:hAnsiTheme="minorHAnsi"/>
          <w:sz w:val="16"/>
          <w:szCs w:val="16"/>
        </w:rPr>
        <w:t>s</w:t>
      </w:r>
      <w:r w:rsidRPr="00474D29">
        <w:rPr>
          <w:rFonts w:asciiTheme="minorHAnsi" w:hAnsiTheme="minorHAnsi"/>
          <w:sz w:val="16"/>
          <w:szCs w:val="16"/>
        </w:rPr>
        <w:t xml:space="preserve"> reflect the price of carbon emissions at $24/ton.</w:t>
      </w:r>
    </w:p>
    <w:p w:rsidR="00913518" w:rsidRDefault="00913518" w:rsidP="0053379A">
      <w:pPr>
        <w:pStyle w:val="Heading2"/>
      </w:pPr>
      <w:bookmarkStart w:id="24" w:name="_Toc486405956"/>
      <w:r>
        <w:t>Conclusions and Next Steps</w:t>
      </w:r>
      <w:bookmarkEnd w:id="24"/>
    </w:p>
    <w:p w:rsidR="00266762" w:rsidRDefault="003F2228" w:rsidP="00913518">
      <w:r w:rsidRPr="003414BF">
        <w:t>Scenario analyses inform stakeholders of key regional issues and possible ways of addressing these issues.</w:t>
      </w:r>
      <w:r>
        <w:t xml:space="preserve"> </w:t>
      </w:r>
      <w:r w:rsidR="00DB4FB0" w:rsidRPr="003E329C">
        <w:t xml:space="preserve">This </w:t>
      </w:r>
      <w:r w:rsidR="00A105C0" w:rsidRPr="003E329C">
        <w:t xml:space="preserve">study </w:t>
      </w:r>
      <w:r w:rsidR="00D807F6" w:rsidRPr="003E329C">
        <w:t>makes evident</w:t>
      </w:r>
      <w:r w:rsidR="00E9678A" w:rsidRPr="003E329C">
        <w:t xml:space="preserve"> </w:t>
      </w:r>
      <w:r w:rsidR="00A105C0" w:rsidRPr="003E329C">
        <w:t>several</w:t>
      </w:r>
      <w:r w:rsidR="00266762" w:rsidRPr="003E329C">
        <w:t xml:space="preserve"> </w:t>
      </w:r>
      <w:r w:rsidR="00A105C0" w:rsidRPr="003E329C">
        <w:t>issues</w:t>
      </w:r>
      <w:r w:rsidR="00DB4FB0" w:rsidRPr="003E329C">
        <w:t xml:space="preserve"> </w:t>
      </w:r>
      <w:r w:rsidR="00266762" w:rsidRPr="003E329C">
        <w:t xml:space="preserve">facing </w:t>
      </w:r>
      <w:r w:rsidR="00DB4FB0" w:rsidRPr="003E329C">
        <w:t xml:space="preserve">the New England </w:t>
      </w:r>
      <w:r w:rsidR="00266762" w:rsidRPr="003E329C">
        <w:t>region and provides a</w:t>
      </w:r>
      <w:r w:rsidR="00266762">
        <w:t xml:space="preserve"> common framework for </w:t>
      </w:r>
      <w:r w:rsidR="00DB4FB0">
        <w:t>f</w:t>
      </w:r>
      <w:r w:rsidR="00266762">
        <w:t xml:space="preserve">uture discussions on the need for physical infrastructure and improvements to the wholesale electric markets. </w:t>
      </w:r>
      <w:r w:rsidR="00784768">
        <w:t>Key conclusions are as follows:</w:t>
      </w:r>
      <w:r w:rsidR="00D807F6">
        <w:t xml:space="preserve"> </w:t>
      </w:r>
    </w:p>
    <w:p w:rsidR="00784768" w:rsidRDefault="00276FEA" w:rsidP="003E329C">
      <w:pPr>
        <w:numPr>
          <w:ilvl w:val="0"/>
          <w:numId w:val="34"/>
        </w:numPr>
        <w:spacing w:after="120"/>
      </w:pPr>
      <w:r>
        <w:t>T</w:t>
      </w:r>
      <w:r w:rsidR="00784768">
        <w:t xml:space="preserve">ransitioning </w:t>
      </w:r>
      <w:r>
        <w:t xml:space="preserve">New England </w:t>
      </w:r>
      <w:r w:rsidR="00784768">
        <w:t>to a system with decreasing amounts of traditional resources (</w:t>
      </w:r>
      <w:r w:rsidR="003414BF">
        <w:t xml:space="preserve">e.g., </w:t>
      </w:r>
      <w:r w:rsidR="00784768">
        <w:t>coal, oil, nuclear) and increasing amounts of renewable resources</w:t>
      </w:r>
      <w:r>
        <w:t xml:space="preserve"> will prove </w:t>
      </w:r>
      <w:r w:rsidR="00A105C0">
        <w:t xml:space="preserve">physically and economically </w:t>
      </w:r>
      <w:r>
        <w:t>challenging.</w:t>
      </w:r>
    </w:p>
    <w:p w:rsidR="0014543E" w:rsidRPr="003E329C" w:rsidRDefault="00276FEA" w:rsidP="003E329C">
      <w:pPr>
        <w:numPr>
          <w:ilvl w:val="0"/>
          <w:numId w:val="34"/>
        </w:numPr>
        <w:spacing w:after="120"/>
      </w:pPr>
      <w:r w:rsidRPr="003E329C">
        <w:t>Natu</w:t>
      </w:r>
      <w:r w:rsidR="0014543E" w:rsidRPr="003E329C">
        <w:t xml:space="preserve">ral gas will remain </w:t>
      </w:r>
      <w:r w:rsidR="00AA4923" w:rsidRPr="003E329C">
        <w:t>an important</w:t>
      </w:r>
      <w:r w:rsidRPr="003E329C">
        <w:t xml:space="preserve"> source of fuel for electric power generators. </w:t>
      </w:r>
    </w:p>
    <w:p w:rsidR="00276FEA" w:rsidRPr="003E329C" w:rsidRDefault="003414BF" w:rsidP="003E329C">
      <w:pPr>
        <w:numPr>
          <w:ilvl w:val="0"/>
          <w:numId w:val="34"/>
        </w:numPr>
        <w:spacing w:after="120"/>
      </w:pPr>
      <w:r w:rsidRPr="003E329C">
        <w:t>The d</w:t>
      </w:r>
      <w:r w:rsidR="00AA4923" w:rsidRPr="003E329C">
        <w:t xml:space="preserve">evelopment of resources close to load centers, such as </w:t>
      </w:r>
      <w:r w:rsidRPr="003E329C">
        <w:t xml:space="preserve">at </w:t>
      </w:r>
      <w:r w:rsidR="00AA4923" w:rsidRPr="003E329C">
        <w:t>existing generation sites, requires little transmission development. Conversely, t</w:t>
      </w:r>
      <w:r w:rsidR="00276FEA" w:rsidRPr="003E329C">
        <w:t>ransmission investment will be required to incorporate large amounts of remote renewable energy resources.</w:t>
      </w:r>
      <w:r w:rsidR="00AA4923" w:rsidRPr="003E329C">
        <w:t xml:space="preserve"> </w:t>
      </w:r>
    </w:p>
    <w:p w:rsidR="00276FEA" w:rsidRDefault="005D7F23" w:rsidP="004F11DC">
      <w:pPr>
        <w:numPr>
          <w:ilvl w:val="0"/>
          <w:numId w:val="34"/>
        </w:numPr>
        <w:spacing w:after="120"/>
      </w:pPr>
      <w:r>
        <w:t>O</w:t>
      </w:r>
      <w:r w:rsidR="00276FEA">
        <w:t>bservability, controllability, and interconnection performance are key technical issues that must be addressed</w:t>
      </w:r>
      <w:r w:rsidR="0014543E">
        <w:t xml:space="preserve"> for distributed resources</w:t>
      </w:r>
      <w:r w:rsidR="003D3B89">
        <w:t xml:space="preserve"> and the large</w:t>
      </w:r>
      <w:r w:rsidR="003414BF">
        <w:t>-</w:t>
      </w:r>
      <w:r w:rsidR="003D3B89">
        <w:t>scale development of wind generation resources</w:t>
      </w:r>
      <w:r w:rsidR="00276FEA">
        <w:t xml:space="preserve">. </w:t>
      </w:r>
    </w:p>
    <w:p w:rsidR="00276FEA" w:rsidRDefault="00276FEA" w:rsidP="003E329C">
      <w:pPr>
        <w:numPr>
          <w:ilvl w:val="0"/>
          <w:numId w:val="34"/>
        </w:numPr>
        <w:spacing w:after="120"/>
      </w:pPr>
      <w:r>
        <w:lastRenderedPageBreak/>
        <w:t xml:space="preserve">Advanced software will </w:t>
      </w:r>
      <w:r w:rsidR="00DF5823">
        <w:t>facilitate</w:t>
      </w:r>
      <w:r w:rsidR="0073326F">
        <w:t xml:space="preserve"> </w:t>
      </w:r>
      <w:r w:rsidR="00DF5823">
        <w:t xml:space="preserve">future analysis </w:t>
      </w:r>
      <w:r w:rsidR="0073326F">
        <w:t xml:space="preserve">of </w:t>
      </w:r>
      <w:r>
        <w:t xml:space="preserve">the system, </w:t>
      </w:r>
      <w:r w:rsidR="00DF5823">
        <w:t xml:space="preserve">especially </w:t>
      </w:r>
      <w:r w:rsidR="00F078ED">
        <w:t xml:space="preserve">probabilistic simulations that </w:t>
      </w:r>
      <w:r w:rsidR="00DF5823">
        <w:t xml:space="preserve">consider </w:t>
      </w:r>
      <w:r w:rsidR="00FE3A5B">
        <w:t xml:space="preserve">the production of </w:t>
      </w:r>
      <w:r w:rsidR="00F251DA">
        <w:t>variable reso</w:t>
      </w:r>
      <w:r w:rsidR="00DF5823">
        <w:t>u</w:t>
      </w:r>
      <w:r w:rsidR="00F251DA">
        <w:t>r</w:t>
      </w:r>
      <w:r w:rsidR="00DF5823">
        <w:t>ce</w:t>
      </w:r>
      <w:r w:rsidR="00FE3A5B">
        <w:t>s</w:t>
      </w:r>
      <w:r>
        <w:t xml:space="preserve">. </w:t>
      </w:r>
    </w:p>
    <w:p w:rsidR="00555FCA" w:rsidRDefault="00555FCA" w:rsidP="004F11DC">
      <w:pPr>
        <w:numPr>
          <w:ilvl w:val="0"/>
          <w:numId w:val="34"/>
        </w:numPr>
      </w:pPr>
      <w:r>
        <w:t xml:space="preserve">Efficient storage technologies, such as pumped storage and distributed storage, </w:t>
      </w:r>
      <w:r w:rsidR="00083134">
        <w:t xml:space="preserve">and </w:t>
      </w:r>
      <w:r w:rsidR="004F11DC">
        <w:t xml:space="preserve">ability to make rapid </w:t>
      </w:r>
      <w:r w:rsidR="00083134">
        <w:t xml:space="preserve">changes in tie schedules can </w:t>
      </w:r>
      <w:r>
        <w:t xml:space="preserve">provide </w:t>
      </w:r>
      <w:r w:rsidR="00083134">
        <w:t xml:space="preserve">systemwide </w:t>
      </w:r>
      <w:r>
        <w:t>flexibility</w:t>
      </w:r>
      <w:r w:rsidR="00083134">
        <w:t xml:space="preserve"> and facilitate the integration of variable resources. Proper types and placement of flexible resources show the potential </w:t>
      </w:r>
      <w:r w:rsidR="008F738A">
        <w:t>for</w:t>
      </w:r>
      <w:r w:rsidR="00083134">
        <w:t xml:space="preserve"> relieving congestion and </w:t>
      </w:r>
      <w:r w:rsidR="002A5030">
        <w:t xml:space="preserve">meeting the </w:t>
      </w:r>
      <w:r w:rsidR="00083134" w:rsidRPr="00834293">
        <w:t xml:space="preserve">requirements for regulation, ramping, and reserves. Increasing the development of storage technologies </w:t>
      </w:r>
      <w:r w:rsidR="00083134" w:rsidRPr="003E329C">
        <w:t xml:space="preserve">also </w:t>
      </w:r>
      <w:r w:rsidR="00D807F6" w:rsidRPr="003E329C">
        <w:t xml:space="preserve">makes them less </w:t>
      </w:r>
      <w:r w:rsidR="008F738A" w:rsidRPr="003E329C">
        <w:t>economic be</w:t>
      </w:r>
      <w:r w:rsidR="008F738A">
        <w:t xml:space="preserve">cause storage </w:t>
      </w:r>
      <w:r w:rsidR="00083134">
        <w:t>equalize</w:t>
      </w:r>
      <w:r w:rsidR="008F738A">
        <w:t>s</w:t>
      </w:r>
      <w:r w:rsidR="00083134">
        <w:t xml:space="preserve"> LMP</w:t>
      </w:r>
      <w:r w:rsidR="00D807F6">
        <w:t>s</w:t>
      </w:r>
      <w:r w:rsidR="008F738A">
        <w:t xml:space="preserve"> across </w:t>
      </w:r>
      <w:r w:rsidR="008F738A" w:rsidRPr="006C5C34">
        <w:t xml:space="preserve">all </w:t>
      </w:r>
      <w:r w:rsidR="008F738A" w:rsidRPr="007169AA">
        <w:t>hours</w:t>
      </w:r>
      <w:r w:rsidR="009E7B29">
        <w:t xml:space="preserve">. </w:t>
      </w:r>
      <w:r w:rsidR="00083134">
        <w:t xml:space="preserve">  </w:t>
      </w:r>
      <w:r>
        <w:t xml:space="preserve">  </w:t>
      </w:r>
    </w:p>
    <w:p w:rsidR="00913518" w:rsidRPr="00D807F6" w:rsidRDefault="00276FEA" w:rsidP="00913518">
      <w:r w:rsidRPr="00D807F6">
        <w:t xml:space="preserve">The ISO will continue working with stakeholders to enable the successful integration of distributed and variable energy resources. </w:t>
      </w:r>
      <w:r w:rsidR="00913518" w:rsidRPr="00D807F6">
        <w:t>Phase II</w:t>
      </w:r>
      <w:r w:rsidRPr="00D807F6">
        <w:t xml:space="preserve"> of </w:t>
      </w:r>
      <w:r w:rsidR="00D807F6" w:rsidRPr="00D807F6">
        <w:t xml:space="preserve">the NEPOOL </w:t>
      </w:r>
      <w:r w:rsidRPr="00D807F6">
        <w:t>Scenario Analysis</w:t>
      </w:r>
      <w:r w:rsidR="00913518" w:rsidRPr="00D807F6">
        <w:t xml:space="preserve">, scheduled for 2017, will supplement the Phase I analysis by </w:t>
      </w:r>
      <w:r w:rsidR="00D807F6">
        <w:t>assessing</w:t>
      </w:r>
      <w:r w:rsidR="00913518" w:rsidRPr="00D807F6">
        <w:t xml:space="preserve"> several market and operational issues</w:t>
      </w:r>
      <w:r w:rsidR="00BB671F" w:rsidRPr="00D807F6">
        <w:t>:</w:t>
      </w:r>
    </w:p>
    <w:p w:rsidR="00913518" w:rsidRPr="00D807F6" w:rsidRDefault="00D807F6" w:rsidP="00EA49AC">
      <w:pPr>
        <w:numPr>
          <w:ilvl w:val="0"/>
          <w:numId w:val="28"/>
        </w:numPr>
        <w:spacing w:after="120"/>
      </w:pPr>
      <w:r w:rsidRPr="003E329C">
        <w:t>R</w:t>
      </w:r>
      <w:r w:rsidR="00913518" w:rsidRPr="00D807F6">
        <w:t>epresentative Forward Capacity Auction clearing prices for several scenarios</w:t>
      </w:r>
    </w:p>
    <w:p w:rsidR="00913518" w:rsidRPr="00D807F6" w:rsidRDefault="00D807F6" w:rsidP="00EA49AC">
      <w:pPr>
        <w:numPr>
          <w:ilvl w:val="0"/>
          <w:numId w:val="28"/>
        </w:numPr>
        <w:spacing w:after="120"/>
      </w:pPr>
      <w:r w:rsidRPr="003E329C">
        <w:t>I</w:t>
      </w:r>
      <w:r w:rsidR="00913518" w:rsidRPr="00D807F6">
        <w:t>ntrahour ramping, regulation, and reserve requirements</w:t>
      </w:r>
    </w:p>
    <w:p w:rsidR="00913518" w:rsidRPr="00D807F6" w:rsidRDefault="00D807F6" w:rsidP="000A4048">
      <w:pPr>
        <w:numPr>
          <w:ilvl w:val="0"/>
          <w:numId w:val="28"/>
        </w:numPr>
      </w:pPr>
      <w:r w:rsidRPr="000A4048">
        <w:t>N</w:t>
      </w:r>
      <w:r w:rsidR="00913518" w:rsidRPr="00D807F6">
        <w:t>atural gas system deliverability issues</w:t>
      </w:r>
    </w:p>
    <w:p w:rsidR="009E28C2" w:rsidRDefault="00276FEA" w:rsidP="00E9310E">
      <w:pPr>
        <w:sectPr w:rsidR="009E28C2" w:rsidSect="00532809">
          <w:headerReference w:type="even" r:id="rId24"/>
          <w:footerReference w:type="default" r:id="rId25"/>
          <w:pgSz w:w="12240" w:h="15840" w:code="1"/>
          <w:pgMar w:top="1440" w:right="1440" w:bottom="1440" w:left="1440" w:header="720" w:footer="720" w:gutter="0"/>
          <w:pgNumType w:start="1"/>
          <w:cols w:space="720"/>
          <w:docGrid w:linePitch="360"/>
        </w:sectPr>
      </w:pPr>
      <w:r w:rsidRPr="00216B32">
        <w:t>Other regional initiatives, such as Integrating Markets and Public Policy (IMAPP)</w:t>
      </w:r>
      <w:r w:rsidR="000079CF" w:rsidRPr="00216B32">
        <w:t xml:space="preserve"> and a framework for competitive auctions with s</w:t>
      </w:r>
      <w:r w:rsidR="00324D11">
        <w:t>ponsored</w:t>
      </w:r>
      <w:r w:rsidR="000079CF" w:rsidRPr="00216B32">
        <w:t xml:space="preserve"> policy resources (CASPR)</w:t>
      </w:r>
      <w:r w:rsidRPr="00216B32">
        <w:t xml:space="preserve"> </w:t>
      </w:r>
      <w:r w:rsidR="0014543E" w:rsidRPr="00216B32">
        <w:t xml:space="preserve">will </w:t>
      </w:r>
      <w:r w:rsidRPr="00216B32">
        <w:t>exami</w:t>
      </w:r>
      <w:r w:rsidR="0014543E" w:rsidRPr="00216B32">
        <w:t>ne</w:t>
      </w:r>
      <w:r w:rsidRPr="00216B32">
        <w:t xml:space="preserve"> possible improvements to the wholesale electric markets</w:t>
      </w:r>
      <w:r w:rsidR="00F251DA" w:rsidRPr="00216B32">
        <w:t xml:space="preserve">. The goal of these initiatives is </w:t>
      </w:r>
      <w:r w:rsidR="00E9310E" w:rsidRPr="00216B32">
        <w:t>to accommodate New England</w:t>
      </w:r>
      <w:r w:rsidR="00E9310E">
        <w:t xml:space="preserve"> states’ energy and environmental policies at the lowest reasonable cost without unduly diminishing the benefits of competitive organized markets or amplifying the cost to consumers of implementing state policies to maintain markets.</w:t>
      </w:r>
    </w:p>
    <w:p w:rsidR="00F565D2" w:rsidRPr="00946F0E" w:rsidRDefault="00F565D2" w:rsidP="002F71DB">
      <w:pPr>
        <w:pStyle w:val="Heading1"/>
      </w:pPr>
      <w:r w:rsidRPr="00607262">
        <w:lastRenderedPageBreak/>
        <w:br/>
      </w:r>
      <w:bookmarkStart w:id="25" w:name="_Toc173682259"/>
      <w:bookmarkStart w:id="26" w:name="_Toc486405957"/>
      <w:r w:rsidRPr="00946F0E">
        <w:t>Introduction</w:t>
      </w:r>
      <w:bookmarkEnd w:id="25"/>
      <w:bookmarkEnd w:id="26"/>
    </w:p>
    <w:p w:rsidR="002E5621" w:rsidRDefault="002E5621" w:rsidP="002E5621">
      <w:r>
        <w:t xml:space="preserve">This report presents the results of </w:t>
      </w:r>
      <w:r w:rsidR="00E9310E" w:rsidRPr="00866345">
        <w:t>Phase I of the</w:t>
      </w:r>
      <w:r w:rsidR="00E9310E">
        <w:t xml:space="preserve"> </w:t>
      </w:r>
      <w:r>
        <w:t>2016 ISO economic stud</w:t>
      </w:r>
      <w:r w:rsidR="000C503E">
        <w:t>y</w:t>
      </w:r>
      <w:r>
        <w:t xml:space="preserve"> conducted in </w:t>
      </w:r>
      <w:r w:rsidRPr="00731C19">
        <w:t>response to a request submitted by the New England Power Pool (NEPOOL</w:t>
      </w:r>
      <w:r w:rsidRPr="00F45812">
        <w:t>)</w:t>
      </w:r>
      <w:r w:rsidRPr="00731C19">
        <w:t xml:space="preserve"> to the</w:t>
      </w:r>
      <w:r>
        <w:t xml:space="preserve"> Planning Advisory Committee (PAC)</w:t>
      </w:r>
      <w:r w:rsidR="000C503E">
        <w:t xml:space="preserve"> </w:t>
      </w:r>
      <w:r w:rsidR="000C503E" w:rsidRPr="0089164E">
        <w:t>(2016 NEPOOL Scenario Analysis)</w:t>
      </w:r>
      <w:r w:rsidRPr="0089164E">
        <w:t>.</w:t>
      </w:r>
      <w:r w:rsidR="00866345">
        <w:rPr>
          <w:rStyle w:val="FootnoteReference"/>
        </w:rPr>
        <w:footnoteReference w:id="20"/>
      </w:r>
      <w:r>
        <w:t xml:space="preserve"> The report documents the methodologies, data and assumptions, simulation results, and observations of an economic study </w:t>
      </w:r>
      <w:r w:rsidR="000C503E">
        <w:t xml:space="preserve">of </w:t>
      </w:r>
      <w:r>
        <w:t xml:space="preserve">the </w:t>
      </w:r>
      <w:r w:rsidRPr="002E5621">
        <w:t>ISO</w:t>
      </w:r>
      <w:r>
        <w:t xml:space="preserve"> </w:t>
      </w:r>
      <w:r w:rsidRPr="002E5621">
        <w:t>N</w:t>
      </w:r>
      <w:r>
        <w:t xml:space="preserve">ew </w:t>
      </w:r>
      <w:r w:rsidRPr="002E5621">
        <w:t>E</w:t>
      </w:r>
      <w:r>
        <w:t>ngland</w:t>
      </w:r>
      <w:r w:rsidRPr="002E5621">
        <w:t xml:space="preserve"> </w:t>
      </w:r>
      <w:r w:rsidR="00B05A4B">
        <w:t xml:space="preserve">power system that stakeholders </w:t>
      </w:r>
      <w:r w:rsidR="00877A27">
        <w:t xml:space="preserve">can </w:t>
      </w:r>
      <w:r w:rsidR="00877A27" w:rsidRPr="00F45812">
        <w:t xml:space="preserve">use </w:t>
      </w:r>
      <w:r w:rsidR="00B05A4B" w:rsidRPr="00F45812">
        <w:t xml:space="preserve">to assess the implications of public policy </w:t>
      </w:r>
      <w:r w:rsidR="00877A27" w:rsidRPr="00F45812">
        <w:t>on</w:t>
      </w:r>
      <w:r w:rsidR="00DB2897" w:rsidRPr="00F45812">
        <w:t xml:space="preserve"> </w:t>
      </w:r>
      <w:r w:rsidRPr="00F45812">
        <w:t xml:space="preserve">market design, </w:t>
      </w:r>
      <w:r w:rsidR="00731C19" w:rsidRPr="00F45812">
        <w:t xml:space="preserve">system </w:t>
      </w:r>
      <w:r w:rsidRPr="00F45812">
        <w:t>reliability</w:t>
      </w:r>
      <w:r w:rsidR="00731C19" w:rsidRPr="00F45812">
        <w:t xml:space="preserve"> and operability</w:t>
      </w:r>
      <w:r w:rsidRPr="00F45812">
        <w:t>, resource</w:t>
      </w:r>
      <w:r w:rsidRPr="000A4048">
        <w:t xml:space="preserve"> </w:t>
      </w:r>
      <w:r w:rsidR="00731C19" w:rsidRPr="000A4048">
        <w:t>costs and revenues for new generation</w:t>
      </w:r>
      <w:r w:rsidRPr="000A4048">
        <w:t xml:space="preserve">, </w:t>
      </w:r>
      <w:r w:rsidR="00F251DA" w:rsidRPr="000A4048">
        <w:t>relative</w:t>
      </w:r>
      <w:r w:rsidRPr="000A4048">
        <w:t xml:space="preserve"> cost, </w:t>
      </w:r>
      <w:r w:rsidR="00731C19" w:rsidRPr="000A4048">
        <w:t xml:space="preserve">and </w:t>
      </w:r>
      <w:r w:rsidRPr="000A4048">
        <w:t>emissions.</w:t>
      </w:r>
      <w:r>
        <w:t xml:space="preserve"> </w:t>
      </w:r>
    </w:p>
    <w:p w:rsidR="00336BFF" w:rsidRPr="000D75FE" w:rsidRDefault="00336BFF" w:rsidP="0053379A">
      <w:pPr>
        <w:pStyle w:val="Heading2"/>
      </w:pPr>
      <w:bookmarkStart w:id="27" w:name="_Toc459884082"/>
      <w:bookmarkStart w:id="28" w:name="_Toc486405958"/>
      <w:r w:rsidRPr="000D75FE">
        <w:t>Economic Study Process</w:t>
      </w:r>
      <w:bookmarkEnd w:id="27"/>
      <w:bookmarkEnd w:id="28"/>
      <w:r w:rsidRPr="000D75FE">
        <w:t xml:space="preserve"> </w:t>
      </w:r>
    </w:p>
    <w:p w:rsidR="00D13707" w:rsidRDefault="00D13707" w:rsidP="00336BFF">
      <w:r w:rsidRPr="00D13707">
        <w:t xml:space="preserve">As a part of the regional system planning effort, ISO New England (ISO) conducts economic planning studies each year, as specified in Attachment K of its </w:t>
      </w:r>
      <w:r w:rsidRPr="000A4048">
        <w:rPr>
          <w:i/>
        </w:rPr>
        <w:t>Open-Access Transmission Tariff</w:t>
      </w:r>
      <w:r w:rsidRPr="00D13707">
        <w:t xml:space="preserve"> (OATT).</w:t>
      </w:r>
      <w:r w:rsidR="008519C0">
        <w:rPr>
          <w:rStyle w:val="FootnoteReference"/>
        </w:rPr>
        <w:footnoteReference w:id="21"/>
      </w:r>
      <w:r w:rsidRPr="00D13707">
        <w:t xml:space="preserve"> The economic studies provide information on system performance, such as estimated production costs, load-serving entity (LSE) energy expenses, transmission congestion, and environmental emission levels.</w:t>
      </w:r>
      <w:r w:rsidR="0070159E">
        <w:rPr>
          <w:rStyle w:val="FootnoteReference"/>
        </w:rPr>
        <w:footnoteReference w:id="22"/>
      </w:r>
      <w:r w:rsidRPr="00D13707">
        <w:t xml:space="preserve"> The ISO annually performs studies requested by participants that analyze various future scenarios. This information can assist stakeholders in evaluating various resource and transmission options that can affect New England’s wholesale electricity markets. The studies may also assist policymakers who formulate strategic visions of the future New England power system.</w:t>
      </w:r>
    </w:p>
    <w:p w:rsidR="00F479A8" w:rsidRDefault="00336BFF" w:rsidP="00336BFF">
      <w:r>
        <w:t xml:space="preserve">Attachment K states that the ISO must conduct economic studies </w:t>
      </w:r>
      <w:r w:rsidR="00A5790E">
        <w:t>annually</w:t>
      </w:r>
      <w:r w:rsidR="005A1789">
        <w:t xml:space="preserve"> </w:t>
      </w:r>
      <w:r>
        <w:t>arising from stakeholder</w:t>
      </w:r>
      <w:r w:rsidR="005A1789">
        <w:t>s</w:t>
      </w:r>
      <w:r w:rsidR="00A5790E">
        <w:t>’</w:t>
      </w:r>
      <w:r>
        <w:t xml:space="preserve"> requests submitted by April 1 of each year through the PAC. These may be requests to study the general locations for the expansion of various types of resources, resource retirements, and possible changes to transmission interface limits. By May 1 of each year, the proponents of these studies are provided an opportunity to present the PAC with the reasons for the suggested studies. The ISO discusses the draft scope(s) of work with the PAC by June 1 and reviews the study assumptions with the PAC at later meetings. The role of the PAC in the economic study process is to discuss, identify, and prioritize proposed studies.</w:t>
      </w:r>
      <w:r>
        <w:rPr>
          <w:rStyle w:val="FootnoteReference"/>
        </w:rPr>
        <w:footnoteReference w:id="23"/>
      </w:r>
      <w:r>
        <w:t xml:space="preserve"> The ISO then performs up to three economic studies and subsequently reviews all results and findings with the PAC.</w:t>
      </w:r>
    </w:p>
    <w:p w:rsidR="000C5445" w:rsidRPr="00675A2D" w:rsidRDefault="000C5445" w:rsidP="0053379A">
      <w:pPr>
        <w:pStyle w:val="Heading2"/>
      </w:pPr>
      <w:bookmarkStart w:id="29" w:name="_Toc486405959"/>
      <w:r w:rsidRPr="00675A2D">
        <w:lastRenderedPageBreak/>
        <w:t xml:space="preserve">2016 NEPOOL </w:t>
      </w:r>
      <w:r w:rsidR="00F9528A">
        <w:t>Scenario Analysis</w:t>
      </w:r>
      <w:r w:rsidR="004A2FF8">
        <w:t xml:space="preserve"> Process and Goals</w:t>
      </w:r>
      <w:bookmarkEnd w:id="29"/>
    </w:p>
    <w:p w:rsidR="00393352" w:rsidRDefault="00B24F99" w:rsidP="00393352">
      <w:r w:rsidRPr="00D13707">
        <w:t xml:space="preserve">In April 2016, </w:t>
      </w:r>
      <w:r w:rsidR="004167F9">
        <w:t xml:space="preserve">NEPOOL submitted its </w:t>
      </w:r>
      <w:r w:rsidRPr="00D13707">
        <w:t xml:space="preserve">request </w:t>
      </w:r>
      <w:r w:rsidR="004167F9">
        <w:t xml:space="preserve">to </w:t>
      </w:r>
      <w:r w:rsidRPr="00D13707">
        <w:t xml:space="preserve">the ISO </w:t>
      </w:r>
      <w:r w:rsidR="004167F9">
        <w:t xml:space="preserve">for a </w:t>
      </w:r>
      <w:r w:rsidRPr="00D13707">
        <w:t>scenario</w:t>
      </w:r>
      <w:r w:rsidR="004167F9">
        <w:t xml:space="preserve"> analysi</w:t>
      </w:r>
      <w:r w:rsidRPr="00D13707">
        <w:t>s of the ISO New England system</w:t>
      </w:r>
      <w:r w:rsidR="004167F9">
        <w:t xml:space="preserve"> </w:t>
      </w:r>
      <w:r w:rsidR="004167F9" w:rsidRPr="00924838">
        <w:t>under a range of assumptions</w:t>
      </w:r>
      <w:r w:rsidR="00393352" w:rsidRPr="00821E90">
        <w:t>.</w:t>
      </w:r>
      <w:r w:rsidR="00B170B9" w:rsidRPr="00821E90">
        <w:rPr>
          <w:rStyle w:val="FootnoteReference"/>
        </w:rPr>
        <w:footnoteReference w:id="24"/>
      </w:r>
      <w:r w:rsidR="004167F9" w:rsidRPr="00924838">
        <w:t xml:space="preserve"> </w:t>
      </w:r>
      <w:r w:rsidR="00393352" w:rsidRPr="00924838">
        <w:t xml:space="preserve">The </w:t>
      </w:r>
      <w:r w:rsidR="00E27D7F" w:rsidRPr="00924838">
        <w:t xml:space="preserve">request was for </w:t>
      </w:r>
      <w:r w:rsidR="00393352" w:rsidRPr="00924838">
        <w:t xml:space="preserve">the </w:t>
      </w:r>
      <w:r w:rsidR="001E7CB8" w:rsidRPr="00924838">
        <w:t xml:space="preserve">2016 </w:t>
      </w:r>
      <w:r w:rsidR="00393352" w:rsidRPr="00924838">
        <w:t>NEPOOL Scenario Analysis</w:t>
      </w:r>
      <w:r w:rsidR="00E27D7F" w:rsidRPr="00924838">
        <w:t xml:space="preserve"> </w:t>
      </w:r>
      <w:r w:rsidR="00393352" w:rsidRPr="00D13707">
        <w:t xml:space="preserve">to provide </w:t>
      </w:r>
      <w:r w:rsidR="00985535" w:rsidRPr="000A4048">
        <w:t>NEPOOL participants</w:t>
      </w:r>
      <w:r w:rsidR="001E7CB8" w:rsidRPr="000A4048">
        <w:t>,</w:t>
      </w:r>
      <w:r w:rsidR="00985535" w:rsidRPr="000A4048">
        <w:t xml:space="preserve"> </w:t>
      </w:r>
      <w:r w:rsidR="00985535" w:rsidRPr="00D13707">
        <w:t xml:space="preserve">regional </w:t>
      </w:r>
      <w:r w:rsidR="00FA62EC" w:rsidRPr="00D13707">
        <w:t>electricity</w:t>
      </w:r>
      <w:r w:rsidR="00985535" w:rsidRPr="00D13707">
        <w:t xml:space="preserve"> market </w:t>
      </w:r>
      <w:r w:rsidR="00985535" w:rsidRPr="000A4048">
        <w:t>stakeholders</w:t>
      </w:r>
      <w:r w:rsidR="001E7CB8" w:rsidRPr="000A4048">
        <w:t xml:space="preserve">, </w:t>
      </w:r>
      <w:r w:rsidR="00985535" w:rsidRPr="000A4048">
        <w:t>policymakers, and consumers,</w:t>
      </w:r>
      <w:r w:rsidR="008720C5" w:rsidRPr="00D13707">
        <w:t xml:space="preserve"> </w:t>
      </w:r>
      <w:r w:rsidR="00393352" w:rsidRPr="00D13707">
        <w:t>information, analyses, and observations on the following:</w:t>
      </w:r>
      <w:r w:rsidR="00393352" w:rsidRPr="000E4BAE">
        <w:t xml:space="preserve"> </w:t>
      </w:r>
    </w:p>
    <w:p w:rsidR="00393352" w:rsidRDefault="00393352" w:rsidP="004A6EFB">
      <w:pPr>
        <w:numPr>
          <w:ilvl w:val="0"/>
          <w:numId w:val="11"/>
        </w:numPr>
        <w:spacing w:after="120"/>
      </w:pPr>
      <w:r w:rsidRPr="00F45812">
        <w:t>The potential  impacts on the ISO New England markets of implementing public policies in the New</w:t>
      </w:r>
      <w:r w:rsidRPr="000E4BAE">
        <w:t xml:space="preserve"> England states</w:t>
      </w:r>
    </w:p>
    <w:p w:rsidR="00393352" w:rsidRDefault="00207A82" w:rsidP="004A6EFB">
      <w:pPr>
        <w:numPr>
          <w:ilvl w:val="0"/>
          <w:numId w:val="11"/>
        </w:numPr>
        <w:spacing w:after="120"/>
      </w:pPr>
      <w:r>
        <w:t>P</w:t>
      </w:r>
      <w:r w:rsidR="00393352">
        <w:t xml:space="preserve">rojected energy market revenues, and the contribution of these revenues to the generic fixed costs of new generation, for </w:t>
      </w:r>
      <w:r w:rsidR="00393352" w:rsidRPr="00BF3800">
        <w:t xml:space="preserve">various </w:t>
      </w:r>
      <w:r w:rsidR="00393352">
        <w:t>generation types under particular sets of assumptions</w:t>
      </w:r>
      <w:r w:rsidR="00393352" w:rsidRPr="000E4BAE">
        <w:t xml:space="preserve"> </w:t>
      </w:r>
    </w:p>
    <w:p w:rsidR="00393352" w:rsidRDefault="00393352" w:rsidP="00E27D7F">
      <w:pPr>
        <w:numPr>
          <w:ilvl w:val="0"/>
          <w:numId w:val="11"/>
        </w:numPr>
      </w:pPr>
      <w:r>
        <w:t>T</w:t>
      </w:r>
      <w:r w:rsidRPr="000E4BAE">
        <w:t>he potential impacts</w:t>
      </w:r>
      <w:r w:rsidR="00431CC2">
        <w:t>,</w:t>
      </w:r>
      <w:r w:rsidRPr="000E4BAE">
        <w:t xml:space="preserve"> und</w:t>
      </w:r>
      <w:r>
        <w:t>er the status</w:t>
      </w:r>
      <w:r w:rsidR="00EC6307">
        <w:t>-</w:t>
      </w:r>
      <w:r>
        <w:t xml:space="preserve">quo </w:t>
      </w:r>
      <w:r w:rsidRPr="000A4048">
        <w:t xml:space="preserve">forecast </w:t>
      </w:r>
      <w:r w:rsidR="00431CC2" w:rsidRPr="000A4048">
        <w:t>and</w:t>
      </w:r>
      <w:r w:rsidR="00431CC2">
        <w:t xml:space="preserve"> </w:t>
      </w:r>
      <w:r>
        <w:t xml:space="preserve">compared with </w:t>
      </w:r>
      <w:r w:rsidRPr="000E4BAE">
        <w:t>the public policy overlay</w:t>
      </w:r>
      <w:r w:rsidR="00431CC2">
        <w:t>,</w:t>
      </w:r>
      <w:r>
        <w:t xml:space="preserve"> on</w:t>
      </w:r>
      <w:r w:rsidRPr="000E4BAE">
        <w:t xml:space="preserve"> </w:t>
      </w:r>
      <w:r w:rsidR="00431CC2">
        <w:t xml:space="preserve">system </w:t>
      </w:r>
      <w:r w:rsidRPr="000E4BAE">
        <w:t>reliability</w:t>
      </w:r>
      <w:r w:rsidR="00431CC2">
        <w:t xml:space="preserve"> and operability</w:t>
      </w:r>
      <w:r w:rsidRPr="000A4048">
        <w:t xml:space="preserve">, resource </w:t>
      </w:r>
      <w:r w:rsidR="00010076" w:rsidRPr="000A4048">
        <w:t>costs and revenues</w:t>
      </w:r>
      <w:r w:rsidRPr="000A4048">
        <w:t>, total</w:t>
      </w:r>
      <w:r>
        <w:t xml:space="preserve"> </w:t>
      </w:r>
      <w:r w:rsidRPr="000979CA">
        <w:t>cost</w:t>
      </w:r>
      <w:r>
        <w:t xml:space="preserve"> of supplying load,</w:t>
      </w:r>
      <w:r w:rsidRPr="000E4BAE">
        <w:t xml:space="preserve"> </w:t>
      </w:r>
      <w:r w:rsidR="00431CC2">
        <w:t xml:space="preserve">and </w:t>
      </w:r>
      <w:r w:rsidRPr="000E4BAE">
        <w:t>emissions in New England</w:t>
      </w:r>
      <w:r>
        <w:t xml:space="preserve"> </w:t>
      </w:r>
    </w:p>
    <w:p w:rsidR="00BA7A9A" w:rsidRPr="00BA7A9A" w:rsidRDefault="004167F9" w:rsidP="00256CE8">
      <w:r w:rsidRPr="00B17D43">
        <w:t xml:space="preserve">The PAC worked with the ISO to collaboratively identify the mixes of additional conventional and renewable technology resources to be included in each scenario, the respective operating profiles or drivers, operating costs, and environmental goals. In fulfillment of its tariff obligations, the ISO presented the scope of work, </w:t>
      </w:r>
      <w:r w:rsidRPr="00B170B9">
        <w:t>assumptions, and results to the PAC, who provided input on draft items at every stage of the study during 12</w:t>
      </w:r>
      <w:r w:rsidR="00B17D43">
        <w:t xml:space="preserve"> </w:t>
      </w:r>
      <w:r w:rsidRPr="00B17D43">
        <w:t xml:space="preserve">PAC meetings held from April 2016 through </w:t>
      </w:r>
      <w:r w:rsidR="00D311C8" w:rsidRPr="00B17D43">
        <w:t>January</w:t>
      </w:r>
      <w:r w:rsidRPr="00B17D43">
        <w:t xml:space="preserve"> 2017.</w:t>
      </w:r>
      <w:r w:rsidRPr="00B17D43">
        <w:rPr>
          <w:rStyle w:val="FootnoteReference"/>
        </w:rPr>
        <w:footnoteReference w:id="25"/>
      </w:r>
    </w:p>
    <w:p w:rsidR="001C537B" w:rsidRPr="00256CE8" w:rsidRDefault="00F832D4" w:rsidP="001C537B">
      <w:pPr>
        <w:pStyle w:val="Heading2"/>
      </w:pPr>
      <w:bookmarkStart w:id="30" w:name="_Toc162256767"/>
      <w:bookmarkStart w:id="31" w:name="_Toc162257090"/>
      <w:bookmarkStart w:id="32" w:name="_Toc162257282"/>
      <w:bookmarkStart w:id="33" w:name="_Toc162258372"/>
      <w:bookmarkStart w:id="34" w:name="_Toc162258448"/>
      <w:bookmarkStart w:id="35" w:name="_Toc162779946"/>
      <w:bookmarkStart w:id="36" w:name="_Toc163032225"/>
      <w:bookmarkStart w:id="37" w:name="_Toc163032813"/>
      <w:bookmarkStart w:id="38" w:name="_Toc163032940"/>
      <w:bookmarkStart w:id="39" w:name="_Toc162256768"/>
      <w:bookmarkStart w:id="40" w:name="_Toc162257091"/>
      <w:bookmarkStart w:id="41" w:name="_Toc162257283"/>
      <w:bookmarkStart w:id="42" w:name="_Toc162258373"/>
      <w:bookmarkStart w:id="43" w:name="_Toc162258449"/>
      <w:bookmarkStart w:id="44" w:name="_Toc162779947"/>
      <w:bookmarkStart w:id="45" w:name="_Toc163032226"/>
      <w:bookmarkStart w:id="46" w:name="_Toc163032814"/>
      <w:bookmarkStart w:id="47" w:name="_Toc163032941"/>
      <w:bookmarkStart w:id="48" w:name="_Toc162256769"/>
      <w:bookmarkStart w:id="49" w:name="_Toc162257092"/>
      <w:bookmarkStart w:id="50" w:name="_Toc162257284"/>
      <w:bookmarkStart w:id="51" w:name="_Toc162258374"/>
      <w:bookmarkStart w:id="52" w:name="_Toc162258450"/>
      <w:bookmarkStart w:id="53" w:name="_Toc162779948"/>
      <w:bookmarkStart w:id="54" w:name="_Toc163032815"/>
      <w:bookmarkStart w:id="55" w:name="_Toc163032942"/>
      <w:bookmarkStart w:id="56" w:name="_Toc162256770"/>
      <w:bookmarkStart w:id="57" w:name="_Toc162257093"/>
      <w:bookmarkStart w:id="58" w:name="_Toc162257285"/>
      <w:bookmarkStart w:id="59" w:name="_Toc162258375"/>
      <w:bookmarkStart w:id="60" w:name="_Toc162258451"/>
      <w:bookmarkStart w:id="61" w:name="_Toc162779949"/>
      <w:bookmarkStart w:id="62" w:name="_Toc163032228"/>
      <w:bookmarkStart w:id="63" w:name="_Toc163032816"/>
      <w:bookmarkStart w:id="64" w:name="_Toc163032943"/>
      <w:bookmarkStart w:id="65" w:name="_Toc486405960"/>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Pr="00256CE8">
        <w:t>Topics Addressed</w:t>
      </w:r>
      <w:bookmarkEnd w:id="65"/>
    </w:p>
    <w:p w:rsidR="001C537B" w:rsidRPr="00BA7A9A" w:rsidRDefault="001C537B" w:rsidP="001C537B">
      <w:r w:rsidRPr="00513625">
        <w:t>The sections that follow describe the</w:t>
      </w:r>
      <w:r w:rsidR="00513625" w:rsidRPr="00256CE8">
        <w:t xml:space="preserve"> scenarios (</w:t>
      </w:r>
      <w:r w:rsidR="00513625" w:rsidRPr="00256CE8">
        <w:fldChar w:fldCharType="begin"/>
      </w:r>
      <w:r w:rsidR="00513625" w:rsidRPr="00256CE8">
        <w:instrText xml:space="preserve"> REF _Ref477520229 \r \h </w:instrText>
      </w:r>
      <w:r w:rsidR="00513625">
        <w:instrText xml:space="preserve"> \* MERGEFORMAT </w:instrText>
      </w:r>
      <w:r w:rsidR="00513625" w:rsidRPr="00256CE8">
        <w:fldChar w:fldCharType="separate"/>
      </w:r>
      <w:r w:rsidR="00742B49">
        <w:t>Section 3</w:t>
      </w:r>
      <w:r w:rsidR="00513625" w:rsidRPr="00256CE8">
        <w:fldChar w:fldCharType="end"/>
      </w:r>
      <w:r w:rsidR="00513625" w:rsidRPr="00256CE8">
        <w:t>)</w:t>
      </w:r>
      <w:r w:rsidR="00B17D43">
        <w:t>, t</w:t>
      </w:r>
      <w:r w:rsidR="00513625" w:rsidRPr="00256CE8">
        <w:t xml:space="preserve">he methodology used and </w:t>
      </w:r>
      <w:r w:rsidRPr="00513625">
        <w:t>metrics</w:t>
      </w:r>
      <w:r w:rsidR="00513625" w:rsidRPr="00256CE8">
        <w:t xml:space="preserve"> analyzed (</w:t>
      </w:r>
      <w:r w:rsidR="00513625" w:rsidRPr="00256CE8">
        <w:fldChar w:fldCharType="begin"/>
      </w:r>
      <w:r w:rsidR="00513625" w:rsidRPr="00256CE8">
        <w:instrText xml:space="preserve"> REF _Ref162681656 \r \h </w:instrText>
      </w:r>
      <w:r w:rsidR="00513625">
        <w:instrText xml:space="preserve"> \* MERGEFORMAT </w:instrText>
      </w:r>
      <w:r w:rsidR="00513625" w:rsidRPr="00256CE8">
        <w:fldChar w:fldCharType="separate"/>
      </w:r>
      <w:r w:rsidR="00742B49">
        <w:t>Section 4</w:t>
      </w:r>
      <w:r w:rsidR="00513625" w:rsidRPr="00256CE8">
        <w:fldChar w:fldCharType="end"/>
      </w:r>
      <w:r w:rsidR="00513625" w:rsidRPr="00256CE8">
        <w:t>)</w:t>
      </w:r>
      <w:r w:rsidRPr="00513625">
        <w:t xml:space="preserve">, </w:t>
      </w:r>
      <w:r w:rsidR="00513625" w:rsidRPr="00256CE8">
        <w:t xml:space="preserve">the assumptions applied </w:t>
      </w:r>
      <w:r w:rsidRPr="00513625">
        <w:t>(</w:t>
      </w:r>
      <w:r w:rsidR="00513625" w:rsidRPr="00256CE8">
        <w:fldChar w:fldCharType="begin"/>
      </w:r>
      <w:r w:rsidR="00513625" w:rsidRPr="00256CE8">
        <w:instrText xml:space="preserve"> REF _Ref477520325 \r \h </w:instrText>
      </w:r>
      <w:r w:rsidR="00513625">
        <w:instrText xml:space="preserve"> \* MERGEFORMAT </w:instrText>
      </w:r>
      <w:r w:rsidR="00513625" w:rsidRPr="00256CE8">
        <w:fldChar w:fldCharType="separate"/>
      </w:r>
      <w:r w:rsidR="00742B49">
        <w:t>Section 5</w:t>
      </w:r>
      <w:r w:rsidR="00513625" w:rsidRPr="00256CE8">
        <w:fldChar w:fldCharType="end"/>
      </w:r>
      <w:r w:rsidRPr="00513625">
        <w:t xml:space="preserve">), </w:t>
      </w:r>
      <w:r w:rsidR="00513625" w:rsidRPr="00256CE8">
        <w:t>and</w:t>
      </w:r>
      <w:r w:rsidRPr="00513625">
        <w:t xml:space="preserve"> the main results and observations (</w:t>
      </w:r>
      <w:r w:rsidRPr="00256CE8">
        <w:fldChar w:fldCharType="begin"/>
      </w:r>
      <w:r w:rsidRPr="00256CE8">
        <w:instrText xml:space="preserve"> REF _Ref166224567 \r \h  \* MERGEFORMAT </w:instrText>
      </w:r>
      <w:r w:rsidRPr="00256CE8">
        <w:fldChar w:fldCharType="separate"/>
      </w:r>
      <w:r w:rsidR="00742B49">
        <w:t>Section 6</w:t>
      </w:r>
      <w:r w:rsidRPr="00256CE8">
        <w:fldChar w:fldCharType="end"/>
      </w:r>
      <w:r w:rsidRPr="00513625">
        <w:t>)</w:t>
      </w:r>
      <w:r w:rsidR="009D3DDD">
        <w:t xml:space="preserve">. </w:t>
      </w:r>
      <w:r w:rsidR="00513625" w:rsidRPr="00256CE8">
        <w:fldChar w:fldCharType="begin"/>
      </w:r>
      <w:r w:rsidR="00513625" w:rsidRPr="00256CE8">
        <w:instrText xml:space="preserve"> REF _Ref476319046 \r \h </w:instrText>
      </w:r>
      <w:r w:rsidR="00513625">
        <w:instrText xml:space="preserve"> \* MERGEFORMAT </w:instrText>
      </w:r>
      <w:r w:rsidR="00513625" w:rsidRPr="00256CE8">
        <w:fldChar w:fldCharType="separate"/>
      </w:r>
      <w:r w:rsidR="00742B49">
        <w:t>Section 7</w:t>
      </w:r>
      <w:r w:rsidR="00513625" w:rsidRPr="00256CE8">
        <w:fldChar w:fldCharType="end"/>
      </w:r>
      <w:r w:rsidR="00513625" w:rsidRPr="00256CE8">
        <w:t xml:space="preserve"> </w:t>
      </w:r>
      <w:r w:rsidRPr="00513625">
        <w:t>discusses the key conclusions and next steps and how policymakers and other stakeholders might be able to use this information and data</w:t>
      </w:r>
      <w:r w:rsidR="00BA7A9A">
        <w:t>.</w:t>
      </w:r>
    </w:p>
    <w:p w:rsidR="001C537B" w:rsidRPr="005B4D9E" w:rsidRDefault="001C537B" w:rsidP="001C537B">
      <w:r w:rsidRPr="00513625">
        <w:t>The report includes hyperlinks throughout to presentations and other materials that contain more detailed information. These links are to PAC presentations on the background and scope of the analysis; the development of the scenarios, assumptions, methodology, and metrics used; and the draft and final results. The links also reference the draft reports, stakeholder comments, and data spreadsheets.</w:t>
      </w:r>
      <w:r>
        <w:t xml:space="preserve"> </w:t>
      </w:r>
      <w:r w:rsidR="00513625">
        <w:t>The links are up to date as of the publication of the report.</w:t>
      </w:r>
    </w:p>
    <w:p w:rsidR="0049252C" w:rsidRPr="00256CE8" w:rsidRDefault="001C537B" w:rsidP="002F71DB">
      <w:pPr>
        <w:pStyle w:val="Heading1"/>
      </w:pPr>
      <w:bookmarkStart w:id="66" w:name="_Toc477794607"/>
      <w:bookmarkEnd w:id="66"/>
      <w:r>
        <w:lastRenderedPageBreak/>
        <w:br/>
      </w:r>
      <w:bookmarkStart w:id="67" w:name="_Ref477520229"/>
      <w:bookmarkStart w:id="68" w:name="_Toc486405961"/>
      <w:r>
        <w:t xml:space="preserve">Description of </w:t>
      </w:r>
      <w:r w:rsidR="0049252C" w:rsidRPr="00256CE8">
        <w:t>the Scenarios</w:t>
      </w:r>
      <w:bookmarkEnd w:id="67"/>
      <w:bookmarkEnd w:id="68"/>
    </w:p>
    <w:p w:rsidR="00B500A8" w:rsidRDefault="00D71F78" w:rsidP="00080FC7">
      <w:pPr>
        <w:rPr>
          <w:szCs w:val="20"/>
        </w:rPr>
      </w:pPr>
      <w:r w:rsidRPr="0049252C">
        <w:rPr>
          <w:szCs w:val="20"/>
        </w:rPr>
        <w:t xml:space="preserve">The </w:t>
      </w:r>
      <w:r w:rsidR="006E182C">
        <w:rPr>
          <w:szCs w:val="20"/>
        </w:rPr>
        <w:t>a</w:t>
      </w:r>
      <w:r w:rsidR="00D8497C" w:rsidRPr="0049252C">
        <w:rPr>
          <w:szCs w:val="20"/>
        </w:rPr>
        <w:t xml:space="preserve">nalysis </w:t>
      </w:r>
      <w:r w:rsidRPr="0049252C">
        <w:rPr>
          <w:szCs w:val="20"/>
        </w:rPr>
        <w:t xml:space="preserve">examined </w:t>
      </w:r>
      <w:r w:rsidR="00066542" w:rsidRPr="0049252C">
        <w:rPr>
          <w:szCs w:val="20"/>
        </w:rPr>
        <w:t xml:space="preserve">six </w:t>
      </w:r>
      <w:r w:rsidRPr="0049252C">
        <w:rPr>
          <w:szCs w:val="20"/>
        </w:rPr>
        <w:t xml:space="preserve">scenarios </w:t>
      </w:r>
      <w:r w:rsidR="006E182C">
        <w:rPr>
          <w:szCs w:val="20"/>
        </w:rPr>
        <w:t xml:space="preserve">with </w:t>
      </w:r>
      <w:r w:rsidRPr="0049252C">
        <w:rPr>
          <w:szCs w:val="20"/>
        </w:rPr>
        <w:t>various combinations of the assumed parameters</w:t>
      </w:r>
      <w:r w:rsidR="00D8497C" w:rsidRPr="0049252C">
        <w:rPr>
          <w:szCs w:val="20"/>
        </w:rPr>
        <w:t>, as summarized in the following sections</w:t>
      </w:r>
      <w:r w:rsidRPr="0049252C">
        <w:rPr>
          <w:szCs w:val="20"/>
        </w:rPr>
        <w:t xml:space="preserve">. </w:t>
      </w:r>
      <w:r w:rsidR="00C01532">
        <w:rPr>
          <w:szCs w:val="20"/>
        </w:rPr>
        <w:fldChar w:fldCharType="begin"/>
      </w:r>
      <w:r w:rsidR="00C01532">
        <w:rPr>
          <w:szCs w:val="20"/>
        </w:rPr>
        <w:instrText xml:space="preserve"> REF _Ref477520325 \r \h </w:instrText>
      </w:r>
      <w:r w:rsidR="00C01532">
        <w:rPr>
          <w:szCs w:val="20"/>
        </w:rPr>
      </w:r>
      <w:r w:rsidR="00C01532">
        <w:rPr>
          <w:szCs w:val="20"/>
        </w:rPr>
        <w:fldChar w:fldCharType="separate"/>
      </w:r>
      <w:r w:rsidR="00742B49">
        <w:rPr>
          <w:szCs w:val="20"/>
        </w:rPr>
        <w:t>Section 5</w:t>
      </w:r>
      <w:r w:rsidR="00C01532">
        <w:rPr>
          <w:szCs w:val="20"/>
        </w:rPr>
        <w:fldChar w:fldCharType="end"/>
      </w:r>
      <w:r w:rsidR="00C01532">
        <w:rPr>
          <w:szCs w:val="20"/>
        </w:rPr>
        <w:t xml:space="preserve"> discusses the assumptions in more detail. </w:t>
      </w:r>
    </w:p>
    <w:p w:rsidR="00D63097" w:rsidRPr="001B3ACB" w:rsidRDefault="0078269A" w:rsidP="001B3ACB">
      <w:pPr>
        <w:pStyle w:val="Heading2"/>
      </w:pPr>
      <w:bookmarkStart w:id="69" w:name="_Toc486405962"/>
      <w:r w:rsidRPr="001C537B">
        <w:t>Scenario 1—</w:t>
      </w:r>
      <w:r w:rsidR="001B3ACB" w:rsidRPr="001B3ACB">
        <w:t>“RPS</w:t>
      </w:r>
      <w:r w:rsidR="003852EA">
        <w:t>s</w:t>
      </w:r>
      <w:r w:rsidR="001B3ACB" w:rsidRPr="001B3ACB">
        <w:t xml:space="preserve"> + Gas”</w:t>
      </w:r>
      <w:r w:rsidR="001B3ACB" w:rsidRPr="001C537B">
        <w:t>—</w:t>
      </w:r>
      <w:r w:rsidRPr="001C537B">
        <w:t>Generation Fleet Meet</w:t>
      </w:r>
      <w:r w:rsidR="00204FC1" w:rsidRPr="001C537B">
        <w:t>s</w:t>
      </w:r>
      <w:r w:rsidRPr="001C537B">
        <w:t xml:space="preserve"> Existing RPS</w:t>
      </w:r>
      <w:r w:rsidR="00D6158B" w:rsidRPr="001C537B">
        <w:t>s</w:t>
      </w:r>
      <w:r w:rsidR="002F45F6">
        <w:t>,</w:t>
      </w:r>
      <w:r w:rsidR="00E72E14" w:rsidRPr="001C537B">
        <w:t xml:space="preserve"> and Natural Gas Combined-Cycle Units</w:t>
      </w:r>
      <w:r w:rsidR="00204FC1" w:rsidRPr="001C537B">
        <w:t xml:space="preserve"> </w:t>
      </w:r>
      <w:r w:rsidR="00204FC1" w:rsidRPr="001B3ACB">
        <w:t>Replace Retired Units</w:t>
      </w:r>
      <w:bookmarkEnd w:id="69"/>
      <w:r w:rsidR="0033755F" w:rsidRPr="001B3ACB">
        <w:t xml:space="preserve"> </w:t>
      </w:r>
    </w:p>
    <w:p w:rsidR="004F5192" w:rsidRPr="00792E1B" w:rsidRDefault="00D941BC" w:rsidP="004F5192">
      <w:pPr>
        <w:rPr>
          <w:szCs w:val="20"/>
        </w:rPr>
      </w:pPr>
      <w:r>
        <w:t>S</w:t>
      </w:r>
      <w:r w:rsidR="00E4172A">
        <w:t xml:space="preserve">cenario 1 </w:t>
      </w:r>
      <w:r>
        <w:t>b</w:t>
      </w:r>
      <w:r w:rsidRPr="006A20AC">
        <w:rPr>
          <w:szCs w:val="20"/>
        </w:rPr>
        <w:t>egin</w:t>
      </w:r>
      <w:r>
        <w:rPr>
          <w:szCs w:val="20"/>
        </w:rPr>
        <w:t xml:space="preserve">s </w:t>
      </w:r>
      <w:r w:rsidRPr="006A20AC">
        <w:rPr>
          <w:szCs w:val="20"/>
        </w:rPr>
        <w:t>with the fleet of generation expected as of 2019/2020</w:t>
      </w:r>
      <w:r w:rsidR="004F5192">
        <w:rPr>
          <w:szCs w:val="20"/>
        </w:rPr>
        <w:t xml:space="preserve"> </w:t>
      </w:r>
      <w:r w:rsidR="004F5192" w:rsidRPr="001B3ACB">
        <w:rPr>
          <w:szCs w:val="20"/>
        </w:rPr>
        <w:t xml:space="preserve">and the </w:t>
      </w:r>
      <w:r w:rsidR="004F5192" w:rsidRPr="00256CE8">
        <w:rPr>
          <w:szCs w:val="20"/>
        </w:rPr>
        <w:t xml:space="preserve">gross </w:t>
      </w:r>
      <w:r w:rsidR="00F41C4D">
        <w:rPr>
          <w:szCs w:val="20"/>
        </w:rPr>
        <w:t>demand</w:t>
      </w:r>
      <w:r w:rsidR="00BA5F0D">
        <w:rPr>
          <w:szCs w:val="20"/>
        </w:rPr>
        <w:t xml:space="preserve"> </w:t>
      </w:r>
      <w:r w:rsidR="004F5192" w:rsidRPr="00256CE8">
        <w:rPr>
          <w:szCs w:val="20"/>
        </w:rPr>
        <w:t xml:space="preserve">and amounts </w:t>
      </w:r>
      <w:r w:rsidR="004F5192" w:rsidRPr="00A522BF">
        <w:rPr>
          <w:szCs w:val="20"/>
        </w:rPr>
        <w:t xml:space="preserve">of </w:t>
      </w:r>
      <w:r w:rsidR="002F45F6" w:rsidRPr="00A522BF">
        <w:rPr>
          <w:szCs w:val="20"/>
        </w:rPr>
        <w:t>photovoltaic (</w:t>
      </w:r>
      <w:r w:rsidR="004F5192" w:rsidRPr="00A522BF">
        <w:rPr>
          <w:szCs w:val="20"/>
        </w:rPr>
        <w:t>PV</w:t>
      </w:r>
      <w:r w:rsidR="002F45F6" w:rsidRPr="00A522BF">
        <w:rPr>
          <w:szCs w:val="20"/>
        </w:rPr>
        <w:t>)</w:t>
      </w:r>
      <w:r w:rsidR="004F5192" w:rsidRPr="00A522BF">
        <w:rPr>
          <w:szCs w:val="20"/>
        </w:rPr>
        <w:t xml:space="preserve"> and </w:t>
      </w:r>
      <w:r w:rsidR="002F45F6" w:rsidRPr="00A522BF">
        <w:rPr>
          <w:szCs w:val="20"/>
        </w:rPr>
        <w:t>energy efficiency (</w:t>
      </w:r>
      <w:r w:rsidR="004F5192" w:rsidRPr="00A522BF">
        <w:rPr>
          <w:szCs w:val="20"/>
        </w:rPr>
        <w:t>EE</w:t>
      </w:r>
      <w:r w:rsidR="002F45F6" w:rsidRPr="00A522BF">
        <w:rPr>
          <w:szCs w:val="20"/>
        </w:rPr>
        <w:t>)</w:t>
      </w:r>
      <w:r w:rsidR="004F5192" w:rsidRPr="00A522BF">
        <w:rPr>
          <w:szCs w:val="20"/>
        </w:rPr>
        <w:t xml:space="preserve"> based on the </w:t>
      </w:r>
      <w:r w:rsidR="00A522BF" w:rsidRPr="00A522BF">
        <w:rPr>
          <w:szCs w:val="20"/>
        </w:rPr>
        <w:t xml:space="preserve">ISO’s </w:t>
      </w:r>
      <w:r w:rsidR="004F5192" w:rsidRPr="00431087">
        <w:rPr>
          <w:i/>
          <w:szCs w:val="20"/>
        </w:rPr>
        <w:t xml:space="preserve">2016 </w:t>
      </w:r>
      <w:r w:rsidR="00A522BF" w:rsidRPr="00431087">
        <w:rPr>
          <w:i/>
          <w:szCs w:val="20"/>
        </w:rPr>
        <w:t>Report on Capacity, Energy, Load, and Transmission</w:t>
      </w:r>
      <w:r w:rsidR="00A522BF" w:rsidRPr="00A522BF">
        <w:rPr>
          <w:szCs w:val="20"/>
        </w:rPr>
        <w:t xml:space="preserve"> (2016 </w:t>
      </w:r>
      <w:r w:rsidR="004F5192" w:rsidRPr="00A522BF">
        <w:rPr>
          <w:szCs w:val="20"/>
        </w:rPr>
        <w:t>CELT Report</w:t>
      </w:r>
      <w:r w:rsidR="00A522BF" w:rsidRPr="00A522BF">
        <w:rPr>
          <w:szCs w:val="20"/>
        </w:rPr>
        <w:t>)</w:t>
      </w:r>
      <w:r w:rsidR="004F5192" w:rsidRPr="00A522BF">
        <w:rPr>
          <w:szCs w:val="20"/>
        </w:rPr>
        <w:t>.</w:t>
      </w:r>
      <w:r w:rsidR="00020E5D" w:rsidRPr="00A522BF">
        <w:rPr>
          <w:rStyle w:val="FootnoteReference"/>
        </w:rPr>
        <w:footnoteReference w:id="26"/>
      </w:r>
      <w:r w:rsidR="004F5192" w:rsidRPr="00A522BF">
        <w:rPr>
          <w:szCs w:val="20"/>
        </w:rPr>
        <w:t xml:space="preserve"> </w:t>
      </w:r>
      <w:r w:rsidR="00E4172A" w:rsidRPr="00A522BF">
        <w:t>It assumes that p</w:t>
      </w:r>
      <w:r w:rsidR="00FB31C5" w:rsidRPr="00A522BF">
        <w:rPr>
          <w:szCs w:val="20"/>
        </w:rPr>
        <w:t xml:space="preserve">hysical renewable/clean energy resources </w:t>
      </w:r>
      <w:r w:rsidR="002C7399" w:rsidRPr="00A522BF">
        <w:rPr>
          <w:szCs w:val="20"/>
        </w:rPr>
        <w:t>(e.g.</w:t>
      </w:r>
      <w:r w:rsidR="00ED066C" w:rsidRPr="00A522BF">
        <w:rPr>
          <w:szCs w:val="20"/>
        </w:rPr>
        <w:t>,</w:t>
      </w:r>
      <w:r w:rsidR="002C7399" w:rsidRPr="00A522BF">
        <w:rPr>
          <w:szCs w:val="20"/>
        </w:rPr>
        <w:t xml:space="preserve"> wind resources) </w:t>
      </w:r>
      <w:r w:rsidR="000B2921" w:rsidRPr="00A522BF">
        <w:rPr>
          <w:szCs w:val="20"/>
        </w:rPr>
        <w:t xml:space="preserve">are </w:t>
      </w:r>
      <w:r w:rsidR="00FB31C5" w:rsidRPr="00A522BF">
        <w:rPr>
          <w:szCs w:val="20"/>
        </w:rPr>
        <w:t>used to meet the total</w:t>
      </w:r>
      <w:r w:rsidR="00811B39" w:rsidRPr="00A522BF">
        <w:rPr>
          <w:szCs w:val="20"/>
        </w:rPr>
        <w:t xml:space="preserve"> </w:t>
      </w:r>
      <w:r w:rsidR="00FB31C5" w:rsidRPr="00A522BF">
        <w:rPr>
          <w:szCs w:val="20"/>
        </w:rPr>
        <w:t xml:space="preserve">energy </w:t>
      </w:r>
      <w:r w:rsidR="000B2921" w:rsidRPr="00A522BF">
        <w:rPr>
          <w:szCs w:val="20"/>
        </w:rPr>
        <w:t xml:space="preserve">growth </w:t>
      </w:r>
      <w:r w:rsidR="00FB31C5" w:rsidRPr="00A522BF">
        <w:rPr>
          <w:szCs w:val="20"/>
        </w:rPr>
        <w:t xml:space="preserve">requirement for the New England states’ </w:t>
      </w:r>
      <w:r w:rsidR="00A522BF">
        <w:rPr>
          <w:szCs w:val="20"/>
        </w:rPr>
        <w:t xml:space="preserve">goals for their </w:t>
      </w:r>
      <w:r w:rsidR="002F45F6" w:rsidRPr="00A522BF">
        <w:rPr>
          <w:szCs w:val="20"/>
        </w:rPr>
        <w:t>Renewable</w:t>
      </w:r>
      <w:r w:rsidR="002F45F6">
        <w:rPr>
          <w:szCs w:val="20"/>
        </w:rPr>
        <w:t xml:space="preserve"> Portfolio Standard</w:t>
      </w:r>
      <w:r w:rsidR="00A522BF">
        <w:rPr>
          <w:szCs w:val="20"/>
        </w:rPr>
        <w:t>s</w:t>
      </w:r>
      <w:r w:rsidR="002F45F6">
        <w:rPr>
          <w:szCs w:val="20"/>
        </w:rPr>
        <w:t xml:space="preserve"> (</w:t>
      </w:r>
      <w:r w:rsidR="00FB31C5" w:rsidRPr="00266284">
        <w:rPr>
          <w:szCs w:val="20"/>
        </w:rPr>
        <w:t>RPS</w:t>
      </w:r>
      <w:r w:rsidR="00A522BF">
        <w:rPr>
          <w:szCs w:val="20"/>
        </w:rPr>
        <w:t>s</w:t>
      </w:r>
      <w:r w:rsidR="002F45F6">
        <w:rPr>
          <w:szCs w:val="20"/>
        </w:rPr>
        <w:t>)</w:t>
      </w:r>
      <w:r w:rsidR="00FB31C5" w:rsidRPr="00266284">
        <w:rPr>
          <w:szCs w:val="20"/>
        </w:rPr>
        <w:t xml:space="preserve"> </w:t>
      </w:r>
      <w:r w:rsidR="00FB31C5">
        <w:rPr>
          <w:szCs w:val="20"/>
        </w:rPr>
        <w:t>as of April 1, 2016</w:t>
      </w:r>
      <w:r w:rsidR="00266284">
        <w:rPr>
          <w:szCs w:val="20"/>
        </w:rPr>
        <w:t>.</w:t>
      </w:r>
      <w:r w:rsidR="00B914E2">
        <w:rPr>
          <w:rStyle w:val="FootnoteReference"/>
        </w:rPr>
        <w:footnoteReference w:id="27"/>
      </w:r>
      <w:r w:rsidR="00313725" w:rsidRPr="00313725">
        <w:rPr>
          <w:szCs w:val="20"/>
        </w:rPr>
        <w:t xml:space="preserve"> </w:t>
      </w:r>
      <w:r w:rsidR="00E4172A">
        <w:rPr>
          <w:szCs w:val="20"/>
        </w:rPr>
        <w:t xml:space="preserve">In this scenario, </w:t>
      </w:r>
      <w:r w:rsidR="004F5192">
        <w:rPr>
          <w:szCs w:val="20"/>
        </w:rPr>
        <w:t xml:space="preserve">half the retirements </w:t>
      </w:r>
      <w:r w:rsidR="00CD41A3">
        <w:rPr>
          <w:szCs w:val="20"/>
        </w:rPr>
        <w:t xml:space="preserve">of the oldest oil and coal units </w:t>
      </w:r>
      <w:r w:rsidR="004F5192">
        <w:rPr>
          <w:szCs w:val="20"/>
        </w:rPr>
        <w:t>occur in 20</w:t>
      </w:r>
      <w:r w:rsidR="002C7399">
        <w:rPr>
          <w:szCs w:val="20"/>
        </w:rPr>
        <w:t>2</w:t>
      </w:r>
      <w:r w:rsidR="004F5192">
        <w:rPr>
          <w:szCs w:val="20"/>
        </w:rPr>
        <w:t xml:space="preserve">5 and half in 2030, </w:t>
      </w:r>
      <w:r w:rsidR="002C7399">
        <w:rPr>
          <w:szCs w:val="20"/>
        </w:rPr>
        <w:t xml:space="preserve">with </w:t>
      </w:r>
      <w:r w:rsidR="00E4172A">
        <w:rPr>
          <w:szCs w:val="20"/>
        </w:rPr>
        <w:t>n</w:t>
      </w:r>
      <w:r w:rsidR="00236C8A">
        <w:rPr>
          <w:szCs w:val="20"/>
        </w:rPr>
        <w:t xml:space="preserve">atural gas combined-cycle </w:t>
      </w:r>
      <w:r w:rsidR="002C7399">
        <w:rPr>
          <w:szCs w:val="20"/>
        </w:rPr>
        <w:t xml:space="preserve">(NGCC) </w:t>
      </w:r>
      <w:r w:rsidR="00236C8A">
        <w:rPr>
          <w:szCs w:val="20"/>
        </w:rPr>
        <w:t>units replac</w:t>
      </w:r>
      <w:r w:rsidR="002C7399">
        <w:rPr>
          <w:szCs w:val="20"/>
        </w:rPr>
        <w:t>ing</w:t>
      </w:r>
      <w:r w:rsidR="00236C8A">
        <w:rPr>
          <w:szCs w:val="20"/>
        </w:rPr>
        <w:t xml:space="preserve"> </w:t>
      </w:r>
      <w:r w:rsidR="004F5192">
        <w:rPr>
          <w:szCs w:val="20"/>
        </w:rPr>
        <w:t xml:space="preserve">the </w:t>
      </w:r>
      <w:r w:rsidR="00236C8A" w:rsidRPr="00924838">
        <w:rPr>
          <w:szCs w:val="20"/>
        </w:rPr>
        <w:t>retired units</w:t>
      </w:r>
      <w:r w:rsidR="00704827" w:rsidRPr="00924838">
        <w:rPr>
          <w:szCs w:val="20"/>
        </w:rPr>
        <w:t xml:space="preserve"> built at the same site</w:t>
      </w:r>
      <w:r w:rsidR="006E182C" w:rsidRPr="00924838">
        <w:rPr>
          <w:szCs w:val="20"/>
        </w:rPr>
        <w:t>s as</w:t>
      </w:r>
      <w:r w:rsidR="00704827" w:rsidRPr="00924838">
        <w:rPr>
          <w:szCs w:val="20"/>
        </w:rPr>
        <w:t xml:space="preserve"> the retired units</w:t>
      </w:r>
      <w:r w:rsidR="004F5192" w:rsidRPr="00924838">
        <w:rPr>
          <w:szCs w:val="20"/>
        </w:rPr>
        <w:t>.</w:t>
      </w:r>
      <w:r w:rsidR="00E4172A" w:rsidRPr="00924838">
        <w:rPr>
          <w:szCs w:val="20"/>
        </w:rPr>
        <w:t xml:space="preserve"> </w:t>
      </w:r>
      <w:r w:rsidR="00066542" w:rsidRPr="00924838">
        <w:rPr>
          <w:szCs w:val="20"/>
        </w:rPr>
        <w:t>The amount of a</w:t>
      </w:r>
      <w:r w:rsidR="00236C8A" w:rsidRPr="00924838">
        <w:t xml:space="preserve">dditional NGCC units </w:t>
      </w:r>
      <w:r w:rsidR="00066542" w:rsidRPr="00924838">
        <w:t>was adjusted</w:t>
      </w:r>
      <w:r w:rsidR="00236C8A" w:rsidRPr="00924838">
        <w:t xml:space="preserve"> to </w:t>
      </w:r>
      <w:r w:rsidR="00066542" w:rsidRPr="00924838">
        <w:t>exactly</w:t>
      </w:r>
      <w:r w:rsidR="00066542">
        <w:t xml:space="preserve"> </w:t>
      </w:r>
      <w:r w:rsidR="00236C8A" w:rsidRPr="000B637D">
        <w:t xml:space="preserve">meet </w:t>
      </w:r>
      <w:r w:rsidR="00066542">
        <w:t>the assumed</w:t>
      </w:r>
      <w:r w:rsidR="00236C8A" w:rsidRPr="000B637D">
        <w:t xml:space="preserve"> net </w:t>
      </w:r>
      <w:r w:rsidR="002F45F6">
        <w:t>I</w:t>
      </w:r>
      <w:r w:rsidR="00236C8A" w:rsidRPr="000B637D">
        <w:t xml:space="preserve">nstalled </w:t>
      </w:r>
      <w:r w:rsidR="002F45F6">
        <w:t>C</w:t>
      </w:r>
      <w:r w:rsidR="00236C8A" w:rsidRPr="000B637D">
        <w:t xml:space="preserve">apacity </w:t>
      </w:r>
      <w:r w:rsidR="002F45F6">
        <w:t>R</w:t>
      </w:r>
      <w:r w:rsidR="00236C8A" w:rsidRPr="000B637D">
        <w:t>equirement</w:t>
      </w:r>
      <w:r w:rsidR="002F45F6">
        <w:t xml:space="preserve"> (</w:t>
      </w:r>
      <w:r w:rsidR="008C338F">
        <w:t>N</w:t>
      </w:r>
      <w:r w:rsidR="002F45F6">
        <w:t>ICR)</w:t>
      </w:r>
      <w:r w:rsidR="00E4172A" w:rsidRPr="000B637D">
        <w:t>.</w:t>
      </w:r>
      <w:r w:rsidR="000B637D">
        <w:rPr>
          <w:rStyle w:val="FootnoteReference"/>
        </w:rPr>
        <w:footnoteReference w:id="28"/>
      </w:r>
      <w:r w:rsidR="002C7399">
        <w:t xml:space="preserve"> </w:t>
      </w:r>
      <w:r w:rsidR="00266284">
        <w:t xml:space="preserve"> </w:t>
      </w:r>
    </w:p>
    <w:p w:rsidR="00D63097" w:rsidRPr="001B3ACB" w:rsidRDefault="0078269A" w:rsidP="00256CE8">
      <w:pPr>
        <w:pStyle w:val="Heading2"/>
      </w:pPr>
      <w:bookmarkStart w:id="70" w:name="_Toc486405963"/>
      <w:r w:rsidRPr="001B3ACB">
        <w:t>Scenario 2—</w:t>
      </w:r>
      <w:r w:rsidR="001B3ACB" w:rsidRPr="001B3ACB">
        <w:t>“ISO Queue”—</w:t>
      </w:r>
      <w:r w:rsidRPr="001B3ACB">
        <w:t>Generation Fleet Meet</w:t>
      </w:r>
      <w:r w:rsidR="00204FC1" w:rsidRPr="001B3ACB">
        <w:t xml:space="preserve">s </w:t>
      </w:r>
      <w:r w:rsidRPr="001B3ACB">
        <w:t>Existing RPS</w:t>
      </w:r>
      <w:r w:rsidR="00D6158B" w:rsidRPr="001B3ACB">
        <w:t>s</w:t>
      </w:r>
      <w:r w:rsidR="00B55B30" w:rsidRPr="001B3ACB">
        <w:t>,</w:t>
      </w:r>
      <w:r w:rsidRPr="001B3ACB">
        <w:t xml:space="preserve"> and </w:t>
      </w:r>
      <w:r w:rsidR="00313725" w:rsidRPr="001B3ACB">
        <w:t>New Renewable/Clean Energy Resour</w:t>
      </w:r>
      <w:r w:rsidR="00FB31C5" w:rsidRPr="001B3ACB">
        <w:t>c</w:t>
      </w:r>
      <w:r w:rsidR="00313725" w:rsidRPr="001B3ACB">
        <w:t>es Meet All Future Needs</w:t>
      </w:r>
      <w:r w:rsidR="00941E12" w:rsidRPr="001B3ACB">
        <w:t>, Including the Replacement of Retir</w:t>
      </w:r>
      <w:r w:rsidR="00042D88" w:rsidRPr="001B3ACB">
        <w:t>e</w:t>
      </w:r>
      <w:r w:rsidR="00204FC1" w:rsidRPr="001B3ACB">
        <w:t xml:space="preserve">d </w:t>
      </w:r>
      <w:r w:rsidR="00042D88" w:rsidRPr="001B3ACB">
        <w:t>Units</w:t>
      </w:r>
      <w:bookmarkEnd w:id="70"/>
      <w:r w:rsidR="00313725" w:rsidRPr="001B3ACB">
        <w:t xml:space="preserve"> </w:t>
      </w:r>
    </w:p>
    <w:p w:rsidR="00D63097" w:rsidRPr="005B4D9E" w:rsidRDefault="00FB31C5" w:rsidP="000B2921">
      <w:r w:rsidRPr="000B637D">
        <w:t>Scenario 2</w:t>
      </w:r>
      <w:r w:rsidR="002C7399" w:rsidRPr="000B637D">
        <w:t xml:space="preserve"> is the same as</w:t>
      </w:r>
      <w:r w:rsidRPr="000B637D">
        <w:t xml:space="preserve"> Scenario 1</w:t>
      </w:r>
      <w:r w:rsidR="002C7399" w:rsidRPr="000B637D">
        <w:t xml:space="preserve"> in terms of the gross </w:t>
      </w:r>
      <w:r w:rsidR="00F41C4D">
        <w:t>demand</w:t>
      </w:r>
      <w:r w:rsidR="00EF6D71" w:rsidRPr="000B637D">
        <w:t xml:space="preserve">, </w:t>
      </w:r>
      <w:r w:rsidR="000B637D" w:rsidRPr="000B637D">
        <w:t xml:space="preserve">the </w:t>
      </w:r>
      <w:r w:rsidR="00EF6D71" w:rsidRPr="000B637D">
        <w:t xml:space="preserve">generation fleet meeting existing RPSs, </w:t>
      </w:r>
      <w:r w:rsidR="000B637D" w:rsidRPr="00924838">
        <w:t xml:space="preserve">the </w:t>
      </w:r>
      <w:r w:rsidR="00EF6D71" w:rsidRPr="00924838">
        <w:t>levels of PV and EE resources based on the 2016 CELT forecast, retirement</w:t>
      </w:r>
      <w:r w:rsidR="000B637D" w:rsidRPr="00924838">
        <w:t xml:space="preserve"> dates</w:t>
      </w:r>
      <w:r w:rsidR="00CD41A3" w:rsidRPr="00924838">
        <w:t xml:space="preserve">, and </w:t>
      </w:r>
      <w:r w:rsidR="00266284" w:rsidRPr="00924838">
        <w:t>energy</w:t>
      </w:r>
      <w:r w:rsidR="00F41C4D" w:rsidRPr="00924838">
        <w:t xml:space="preserve"> </w:t>
      </w:r>
      <w:r w:rsidR="00266284" w:rsidRPr="00924838">
        <w:t>imports from Hydro-Qu</w:t>
      </w:r>
      <w:r w:rsidR="00D62B62" w:rsidRPr="00924838">
        <w:t>é</w:t>
      </w:r>
      <w:r w:rsidR="00266284" w:rsidRPr="00924838">
        <w:t>bec and New Brunswick</w:t>
      </w:r>
      <w:r w:rsidR="00EF6D71" w:rsidRPr="00924838">
        <w:t xml:space="preserve">. For Scenario 2, however, </w:t>
      </w:r>
      <w:r w:rsidRPr="00924838">
        <w:t>new</w:t>
      </w:r>
      <w:r w:rsidRPr="00FB31C5">
        <w:t xml:space="preserve"> renewable/clean energy units </w:t>
      </w:r>
      <w:r w:rsidR="00CA63BD">
        <w:t xml:space="preserve">are </w:t>
      </w:r>
      <w:r w:rsidR="005E13F2">
        <w:t xml:space="preserve">used to meet all needed capacity and </w:t>
      </w:r>
      <w:r w:rsidRPr="00FB31C5">
        <w:t>replace retired units</w:t>
      </w:r>
      <w:r>
        <w:t xml:space="preserve"> </w:t>
      </w:r>
      <w:r w:rsidRPr="000B2921">
        <w:t>(instead of N</w:t>
      </w:r>
      <w:r w:rsidR="00CB78D1">
        <w:t>GCC</w:t>
      </w:r>
      <w:r w:rsidRPr="000B2921">
        <w:t xml:space="preserve"> meeting these needs).</w:t>
      </w:r>
      <w:r w:rsidR="005E13F2">
        <w:t xml:space="preserve"> </w:t>
      </w:r>
      <w:r w:rsidR="006E6925" w:rsidRPr="006E6925">
        <w:t xml:space="preserve">The amount of </w:t>
      </w:r>
      <w:r w:rsidR="006E6925">
        <w:t xml:space="preserve">renewable resources added was sufficient to </w:t>
      </w:r>
      <w:r w:rsidR="006E6925" w:rsidRPr="006E6925">
        <w:t>exactly meet the assumed NICR.</w:t>
      </w:r>
      <w:r w:rsidR="00D62B62">
        <w:t xml:space="preserve"> </w:t>
      </w:r>
      <w:r w:rsidR="00B96EDD">
        <w:t xml:space="preserve">The renewable </w:t>
      </w:r>
      <w:r w:rsidR="00B96EDD" w:rsidRPr="003117CF">
        <w:t xml:space="preserve">resource locations were consistent with the ISO Interconnection Queue </w:t>
      </w:r>
      <w:r w:rsidR="00584D32" w:rsidRPr="003117CF">
        <w:t xml:space="preserve">(the queue) </w:t>
      </w:r>
      <w:r w:rsidR="00B96EDD" w:rsidRPr="003117CF">
        <w:t>as of April 1, 2016.</w:t>
      </w:r>
      <w:r w:rsidR="002B3EA9" w:rsidRPr="003117CF">
        <w:rPr>
          <w:rStyle w:val="FootnoteReference"/>
        </w:rPr>
        <w:footnoteReference w:id="29"/>
      </w:r>
      <w:r w:rsidR="00B96EDD">
        <w:t xml:space="preserve"> </w:t>
      </w:r>
    </w:p>
    <w:p w:rsidR="00D63097" w:rsidRPr="002F45F6" w:rsidRDefault="0078269A" w:rsidP="00256CE8">
      <w:pPr>
        <w:pStyle w:val="Heading2"/>
      </w:pPr>
      <w:bookmarkStart w:id="71" w:name="_Toc486405964"/>
      <w:r w:rsidRPr="002F45F6">
        <w:lastRenderedPageBreak/>
        <w:t>Scenario 3—</w:t>
      </w:r>
      <w:r w:rsidR="001B3ACB" w:rsidRPr="002F45F6">
        <w:t>“</w:t>
      </w:r>
      <w:r w:rsidR="001B3ACB" w:rsidRPr="0060060E">
        <w:t xml:space="preserve">Renewables </w:t>
      </w:r>
      <w:r w:rsidR="001B3ACB" w:rsidRPr="002F45F6">
        <w:t>Plus”</w:t>
      </w:r>
      <w:r w:rsidR="001D53F4">
        <w:t xml:space="preserve"> (also “Renew Plus”)</w:t>
      </w:r>
      <w:r w:rsidR="001B3ACB" w:rsidRPr="002F45F6">
        <w:t>—</w:t>
      </w:r>
      <w:r w:rsidRPr="002F45F6">
        <w:t>Generation Fleet Meet</w:t>
      </w:r>
      <w:r w:rsidR="00204FC1" w:rsidRPr="002F45F6">
        <w:t xml:space="preserve">s </w:t>
      </w:r>
      <w:r w:rsidRPr="002F45F6">
        <w:t>Existing RPS</w:t>
      </w:r>
      <w:r w:rsidR="00EA4DDA" w:rsidRPr="002F45F6">
        <w:t>s</w:t>
      </w:r>
      <w:r w:rsidR="006F0DB2" w:rsidRPr="002F45F6">
        <w:t>,</w:t>
      </w:r>
      <w:r w:rsidRPr="002F45F6">
        <w:t xml:space="preserve"> </w:t>
      </w:r>
      <w:r w:rsidR="00B55B30" w:rsidRPr="002F45F6">
        <w:t>and</w:t>
      </w:r>
      <w:r w:rsidRPr="002F45F6">
        <w:t xml:space="preserve"> </w:t>
      </w:r>
      <w:r w:rsidR="00925D80" w:rsidRPr="002F45F6">
        <w:t xml:space="preserve">Additional Renewable/Clean Energy Resources Are Used Above the Existing RPS </w:t>
      </w:r>
      <w:r w:rsidR="00042D88" w:rsidRPr="002F45F6">
        <w:t>T</w:t>
      </w:r>
      <w:r w:rsidR="00925D80" w:rsidRPr="002F45F6">
        <w:t>argets</w:t>
      </w:r>
      <w:bookmarkEnd w:id="71"/>
      <w:r w:rsidR="00925D80" w:rsidRPr="002F45F6">
        <w:t xml:space="preserve"> </w:t>
      </w:r>
    </w:p>
    <w:p w:rsidR="00D63097" w:rsidRPr="005B4D9E" w:rsidRDefault="0060321B" w:rsidP="005F0665">
      <w:r w:rsidRPr="00924838">
        <w:t xml:space="preserve">In </w:t>
      </w:r>
      <w:r w:rsidR="001A2220" w:rsidRPr="00924838">
        <w:t>S</w:t>
      </w:r>
      <w:r w:rsidR="00D63097" w:rsidRPr="00924838">
        <w:t>cenario</w:t>
      </w:r>
      <w:r w:rsidR="001A2220" w:rsidRPr="00924838">
        <w:t xml:space="preserve"> 3</w:t>
      </w:r>
      <w:r w:rsidR="00D63097" w:rsidRPr="00924838">
        <w:t xml:space="preserve">, the generation fleet plus additional renewable/clean energy resources </w:t>
      </w:r>
      <w:r w:rsidR="00CD41A3" w:rsidRPr="00924838">
        <w:t xml:space="preserve">(i.e., </w:t>
      </w:r>
      <w:r w:rsidR="00567108" w:rsidRPr="00924838">
        <w:t xml:space="preserve">behind-the meter [BTM] and utility-scale </w:t>
      </w:r>
      <w:r w:rsidR="00CD41A3" w:rsidRPr="00924838">
        <w:t xml:space="preserve">PV, EE, </w:t>
      </w:r>
      <w:r w:rsidR="004B5EE1" w:rsidRPr="00924838">
        <w:t xml:space="preserve">and </w:t>
      </w:r>
      <w:r w:rsidR="00CD41A3" w:rsidRPr="00924838">
        <w:t>wind, and hydro</w:t>
      </w:r>
      <w:r w:rsidR="0060060E" w:rsidRPr="00924838">
        <w:t>electric</w:t>
      </w:r>
      <w:r w:rsidR="004B5EE1" w:rsidRPr="00924838">
        <w:t xml:space="preserve"> imports</w:t>
      </w:r>
      <w:r w:rsidR="00CD41A3" w:rsidRPr="00924838">
        <w:t xml:space="preserve">) </w:t>
      </w:r>
      <w:r w:rsidR="00CA63BD" w:rsidRPr="00924838">
        <w:t xml:space="preserve">are </w:t>
      </w:r>
      <w:r w:rsidR="006F0DB2" w:rsidRPr="00924838">
        <w:t xml:space="preserve">used </w:t>
      </w:r>
      <w:r w:rsidR="001A2220" w:rsidRPr="00924838">
        <w:t>for</w:t>
      </w:r>
      <w:r w:rsidR="006F0DB2" w:rsidRPr="00924838">
        <w:t xml:space="preserve"> </w:t>
      </w:r>
      <w:r w:rsidR="00D63097" w:rsidRPr="00924838">
        <w:t>meet</w:t>
      </w:r>
      <w:r w:rsidR="001A2220" w:rsidRPr="00924838">
        <w:t>ing</w:t>
      </w:r>
      <w:r w:rsidRPr="00924838">
        <w:t xml:space="preserve"> </w:t>
      </w:r>
      <w:r w:rsidR="004E0FE3">
        <w:t>or</w:t>
      </w:r>
      <w:r w:rsidR="00C96B72" w:rsidRPr="00924838">
        <w:t xml:space="preserve"> exceeding the</w:t>
      </w:r>
      <w:r w:rsidR="00C96B72" w:rsidRPr="00266284">
        <w:t xml:space="preserve"> </w:t>
      </w:r>
      <w:r w:rsidR="00D63097" w:rsidRPr="00266284">
        <w:t>existing RPS</w:t>
      </w:r>
      <w:r w:rsidR="00C96B72" w:rsidRPr="00266284">
        <w:t>s, replacing retirements, and providing zero</w:t>
      </w:r>
      <w:r w:rsidR="00B5615D">
        <w:t>-</w:t>
      </w:r>
      <w:r w:rsidR="00C96B72" w:rsidRPr="00266284">
        <w:t>emitting energy</w:t>
      </w:r>
      <w:r w:rsidR="006F0DB2" w:rsidRPr="00266284">
        <w:t>.</w:t>
      </w:r>
      <w:r w:rsidR="005D1EAD">
        <w:rPr>
          <w:rStyle w:val="FootnoteReference"/>
        </w:rPr>
        <w:footnoteReference w:id="30"/>
      </w:r>
      <w:r w:rsidR="006F0DB2" w:rsidRPr="00266284">
        <w:t xml:space="preserve"> </w:t>
      </w:r>
      <w:r w:rsidR="00C96B72" w:rsidRPr="00266284">
        <w:t>T</w:t>
      </w:r>
      <w:r w:rsidR="00CD41A3" w:rsidRPr="00266284">
        <w:t>his scenario</w:t>
      </w:r>
      <w:r w:rsidR="00C96B72" w:rsidRPr="00266284">
        <w:t xml:space="preserve"> also adds</w:t>
      </w:r>
      <w:r w:rsidR="00D63097" w:rsidRPr="00266284">
        <w:t xml:space="preserve"> </w:t>
      </w:r>
      <w:r w:rsidR="00EE28A4" w:rsidRPr="0060060E">
        <w:t xml:space="preserve">two new tie </w:t>
      </w:r>
      <w:r w:rsidR="00EE28A4" w:rsidRPr="006F2233">
        <w:t>lines</w:t>
      </w:r>
      <w:r w:rsidR="00266284" w:rsidRPr="006F2233">
        <w:t xml:space="preserve"> with capacity contracts</w:t>
      </w:r>
      <w:r w:rsidR="00C96B72" w:rsidRPr="006F2233">
        <w:t xml:space="preserve">, </w:t>
      </w:r>
      <w:r w:rsidR="00C96B72" w:rsidRPr="00924838">
        <w:t xml:space="preserve">plug-in </w:t>
      </w:r>
      <w:r w:rsidR="009D1738" w:rsidRPr="00924838">
        <w:t xml:space="preserve">hybrid </w:t>
      </w:r>
      <w:r w:rsidR="00C96B72" w:rsidRPr="00924838">
        <w:t>electric vehicles</w:t>
      </w:r>
      <w:r w:rsidR="0060060E" w:rsidRPr="00924838">
        <w:t xml:space="preserve"> (PHEVs)</w:t>
      </w:r>
      <w:r w:rsidR="00C96B72" w:rsidRPr="00924838">
        <w:t>,</w:t>
      </w:r>
      <w:r w:rsidR="00C96B72" w:rsidRPr="006F2233">
        <w:t xml:space="preserve"> and battery energy systems</w:t>
      </w:r>
      <w:r w:rsidR="006F0DB2" w:rsidRPr="006F2233">
        <w:t>. The</w:t>
      </w:r>
      <w:r w:rsidR="00D63097" w:rsidRPr="00266284">
        <w:t xml:space="preserve"> </w:t>
      </w:r>
      <w:r w:rsidR="006F0DB2" w:rsidRPr="00266284">
        <w:t>r</w:t>
      </w:r>
      <w:r w:rsidR="00D63097" w:rsidRPr="00266284">
        <w:t>esource mix and demand differ markedly from historic</w:t>
      </w:r>
      <w:r w:rsidR="00D63097" w:rsidRPr="005B4D9E">
        <w:t xml:space="preserve"> trends</w:t>
      </w:r>
      <w:r>
        <w:t>.</w:t>
      </w:r>
      <w:r w:rsidR="00D63097" w:rsidRPr="005B4D9E">
        <w:t xml:space="preserve"> </w:t>
      </w:r>
      <w:r w:rsidR="006E6925" w:rsidRPr="006E6925">
        <w:t xml:space="preserve">The amount of </w:t>
      </w:r>
      <w:r w:rsidR="006E6925">
        <w:t>resources added exceeded</w:t>
      </w:r>
      <w:r w:rsidR="006E6925" w:rsidRPr="006E6925">
        <w:t xml:space="preserve"> </w:t>
      </w:r>
      <w:r w:rsidR="006E6925">
        <w:t xml:space="preserve">the assumed </w:t>
      </w:r>
      <w:r w:rsidR="006E6925" w:rsidRPr="006E6925">
        <w:t>NICR.</w:t>
      </w:r>
    </w:p>
    <w:p w:rsidR="00D63097" w:rsidRPr="006F0DB2" w:rsidRDefault="0078269A" w:rsidP="00256CE8">
      <w:pPr>
        <w:pStyle w:val="Heading2"/>
      </w:pPr>
      <w:bookmarkStart w:id="72" w:name="_Toc486405965"/>
      <w:r w:rsidRPr="006F0DB2">
        <w:t>Scenario 4—</w:t>
      </w:r>
      <w:r w:rsidR="001B3ACB">
        <w:t xml:space="preserve">“No Retirements </w:t>
      </w:r>
      <w:r w:rsidR="000F0286">
        <w:t>b</w:t>
      </w:r>
      <w:r w:rsidR="001B3ACB">
        <w:t>eyond FCA #10”</w:t>
      </w:r>
      <w:r w:rsidR="001B3ACB" w:rsidRPr="001C537B">
        <w:t>—</w:t>
      </w:r>
      <w:r w:rsidRPr="006F0DB2">
        <w:t xml:space="preserve">Generation Fleet </w:t>
      </w:r>
      <w:r w:rsidR="00D83007">
        <w:t>Meet</w:t>
      </w:r>
      <w:r w:rsidR="00204FC1">
        <w:t xml:space="preserve">s </w:t>
      </w:r>
      <w:r w:rsidR="00D83007">
        <w:t>Existing RPSs in Part with Alternative Compliance Payments</w:t>
      </w:r>
      <w:r w:rsidR="00204FC1">
        <w:t>,</w:t>
      </w:r>
      <w:r w:rsidR="00D83007">
        <w:t xml:space="preserve"> </w:t>
      </w:r>
      <w:r w:rsidRPr="006F0DB2">
        <w:t>NGCC</w:t>
      </w:r>
      <w:r w:rsidR="006F0DB2" w:rsidRPr="006F0DB2">
        <w:t xml:space="preserve"> </w:t>
      </w:r>
      <w:r w:rsidR="00B55B30">
        <w:t xml:space="preserve">Units </w:t>
      </w:r>
      <w:r w:rsidR="00204FC1">
        <w:t xml:space="preserve">Are </w:t>
      </w:r>
      <w:r w:rsidRPr="006F0DB2">
        <w:t>Add</w:t>
      </w:r>
      <w:r w:rsidR="00204FC1">
        <w:t>ed,</w:t>
      </w:r>
      <w:r w:rsidR="00D83007">
        <w:t xml:space="preserve"> and No </w:t>
      </w:r>
      <w:r w:rsidR="00204FC1">
        <w:t xml:space="preserve">Units </w:t>
      </w:r>
      <w:r w:rsidR="00D83007">
        <w:t>Retire</w:t>
      </w:r>
      <w:bookmarkEnd w:id="72"/>
      <w:r w:rsidR="00042D88">
        <w:t xml:space="preserve"> </w:t>
      </w:r>
    </w:p>
    <w:p w:rsidR="00D83007" w:rsidRPr="00CA63BD" w:rsidRDefault="00EE28A4" w:rsidP="00B55B30">
      <w:r>
        <w:t>S</w:t>
      </w:r>
      <w:r w:rsidR="00AE174A">
        <w:t xml:space="preserve">cenario </w:t>
      </w:r>
      <w:r>
        <w:t xml:space="preserve">4 </w:t>
      </w:r>
      <w:r w:rsidR="00D83007">
        <w:t>uses the same assumptions as Scenario 1</w:t>
      </w:r>
      <w:r>
        <w:t xml:space="preserve"> for gross </w:t>
      </w:r>
      <w:r w:rsidR="00F41C4D">
        <w:t>demand</w:t>
      </w:r>
      <w:r>
        <w:t xml:space="preserve"> and the levels of PV and EE</w:t>
      </w:r>
      <w:r w:rsidR="003852EA">
        <w:t>,</w:t>
      </w:r>
      <w:r>
        <w:t xml:space="preserve"> as based on the 2016 CELT forecast</w:t>
      </w:r>
      <w:r w:rsidR="003852EA">
        <w:t>,</w:t>
      </w:r>
      <w:r>
        <w:t xml:space="preserve"> and the </w:t>
      </w:r>
      <w:r w:rsidR="008C1386">
        <w:t xml:space="preserve">imports over the </w:t>
      </w:r>
      <w:r>
        <w:t>tie lines based on historical profiles. But in this scenario,</w:t>
      </w:r>
      <w:r w:rsidR="00D83007">
        <w:t xml:space="preserve"> </w:t>
      </w:r>
      <w:r w:rsidR="00B55B30">
        <w:t>a</w:t>
      </w:r>
      <w:r w:rsidR="00D83007" w:rsidRPr="005F0665">
        <w:t xml:space="preserve">ll </w:t>
      </w:r>
      <w:r w:rsidR="00B55B30">
        <w:t xml:space="preserve">physical </w:t>
      </w:r>
      <w:r w:rsidR="00D83007" w:rsidRPr="005F0665">
        <w:t>renewable/clean energy</w:t>
      </w:r>
      <w:r w:rsidR="00D83007" w:rsidRPr="005B4D9E">
        <w:t xml:space="preserve"> resources</w:t>
      </w:r>
      <w:r w:rsidR="00B55B30">
        <w:t xml:space="preserve"> as of April 1, 2016—interconnected, under construction, or with </w:t>
      </w:r>
      <w:r w:rsidR="006B2D49">
        <w:t>“</w:t>
      </w:r>
      <w:r w:rsidR="00B55B30" w:rsidRPr="001B3ACB">
        <w:t>I.3.9</w:t>
      </w:r>
      <w:r w:rsidR="006B2D49">
        <w:t>”</w:t>
      </w:r>
      <w:r w:rsidR="00B55B30">
        <w:t xml:space="preserve"> approval—are used to meet the RPS </w:t>
      </w:r>
      <w:r w:rsidR="00B55B30" w:rsidRPr="00392602">
        <w:t>requirements</w:t>
      </w:r>
      <w:r w:rsidR="00280262" w:rsidRPr="00392602">
        <w:t>.</w:t>
      </w:r>
      <w:r w:rsidR="001A2220" w:rsidRPr="00392602">
        <w:rPr>
          <w:rStyle w:val="FootnoteReference"/>
        </w:rPr>
        <w:footnoteReference w:id="31"/>
      </w:r>
      <w:r w:rsidR="00B55B30" w:rsidRPr="00392602">
        <w:t xml:space="preserve"> </w:t>
      </w:r>
      <w:r w:rsidR="00B55B30" w:rsidRPr="00B5615D">
        <w:t xml:space="preserve">Additionally, </w:t>
      </w:r>
      <w:r w:rsidR="00D83007" w:rsidRPr="001B3ACB">
        <w:t xml:space="preserve">LSEs </w:t>
      </w:r>
      <w:r w:rsidR="00D83007" w:rsidRPr="0060060E">
        <w:t xml:space="preserve">use alternative compliance payments </w:t>
      </w:r>
      <w:r w:rsidR="0060060E" w:rsidRPr="0060060E">
        <w:t xml:space="preserve">(ACPs) </w:t>
      </w:r>
      <w:r w:rsidR="00D83007" w:rsidRPr="0060060E">
        <w:t>to meet remaining RPS requirements not physically met</w:t>
      </w:r>
      <w:r w:rsidR="00B55B30" w:rsidRPr="0060060E">
        <w:t>.</w:t>
      </w:r>
      <w:r w:rsidR="0060060E" w:rsidRPr="0060060E">
        <w:rPr>
          <w:rStyle w:val="FootnoteReference"/>
        </w:rPr>
        <w:footnoteReference w:id="32"/>
      </w:r>
      <w:r w:rsidR="00B55B30" w:rsidRPr="0060060E">
        <w:t xml:space="preserve"> No units</w:t>
      </w:r>
      <w:r w:rsidR="00B55B30">
        <w:t xml:space="preserve"> retire</w:t>
      </w:r>
      <w:r w:rsidR="00C96B72">
        <w:t xml:space="preserve"> beyond known FCA resources</w:t>
      </w:r>
      <w:r w:rsidR="00B55B30">
        <w:t xml:space="preserve">, and </w:t>
      </w:r>
      <w:r w:rsidR="00B55B30" w:rsidRPr="00B5615D">
        <w:t>a</w:t>
      </w:r>
      <w:r w:rsidR="00D83007" w:rsidRPr="00B5615D">
        <w:t xml:space="preserve">ny new generation resources </w:t>
      </w:r>
      <w:r w:rsidR="006E6925" w:rsidRPr="00B5615D">
        <w:t>needed</w:t>
      </w:r>
      <w:r w:rsidR="00D83007" w:rsidRPr="00B5615D">
        <w:t xml:space="preserve"> to meet the </w:t>
      </w:r>
      <w:r w:rsidR="006E6925" w:rsidRPr="00B5615D">
        <w:t xml:space="preserve">NICR would be </w:t>
      </w:r>
      <w:r w:rsidR="00D83007" w:rsidRPr="00B5615D">
        <w:t>NGCC units</w:t>
      </w:r>
      <w:r w:rsidR="00280262" w:rsidRPr="00B5615D">
        <w:t xml:space="preserve"> </w:t>
      </w:r>
      <w:r w:rsidR="00280262" w:rsidRPr="0060060E">
        <w:t>at the Hub</w:t>
      </w:r>
      <w:r w:rsidR="00B55B30" w:rsidRPr="0060060E">
        <w:t>.</w:t>
      </w:r>
      <w:r w:rsidR="00E2466C" w:rsidRPr="0060060E">
        <w:rPr>
          <w:rStyle w:val="FootnoteReference"/>
        </w:rPr>
        <w:footnoteReference w:id="33"/>
      </w:r>
    </w:p>
    <w:p w:rsidR="00D63097" w:rsidRPr="001B3ACB" w:rsidRDefault="0078269A" w:rsidP="00256CE8">
      <w:pPr>
        <w:pStyle w:val="Heading2"/>
      </w:pPr>
      <w:bookmarkStart w:id="73" w:name="_Toc486405966"/>
      <w:r w:rsidRPr="00924838">
        <w:t>Scenario 5—</w:t>
      </w:r>
      <w:r w:rsidR="001B3ACB" w:rsidRPr="00924838">
        <w:t>“ACPs + Gas”—</w:t>
      </w:r>
      <w:r w:rsidRPr="00924838">
        <w:t xml:space="preserve">Existing Fleet </w:t>
      </w:r>
      <w:r w:rsidR="00280262" w:rsidRPr="00924838">
        <w:t>Meet</w:t>
      </w:r>
      <w:r w:rsidR="00204FC1" w:rsidRPr="00924838">
        <w:t xml:space="preserve">s </w:t>
      </w:r>
      <w:r w:rsidR="00280262" w:rsidRPr="00924838">
        <w:t>RPSs in Part with Alternative Compliance</w:t>
      </w:r>
      <w:r w:rsidR="00280262" w:rsidRPr="001B3ACB">
        <w:t xml:space="preserve"> Payments</w:t>
      </w:r>
      <w:r w:rsidR="00B55B30" w:rsidRPr="001B3ACB">
        <w:t>,</w:t>
      </w:r>
      <w:r w:rsidR="00280262" w:rsidRPr="001B3ACB">
        <w:t xml:space="preserve"> </w:t>
      </w:r>
      <w:r w:rsidRPr="001B3ACB">
        <w:t xml:space="preserve">and </w:t>
      </w:r>
      <w:r w:rsidR="00204FC1" w:rsidRPr="001B3ACB">
        <w:t xml:space="preserve">NGCC Additions Replace </w:t>
      </w:r>
      <w:r w:rsidRPr="001B3ACB">
        <w:t>Retire</w:t>
      </w:r>
      <w:r w:rsidR="00204FC1" w:rsidRPr="001B3ACB">
        <w:t>d Units</w:t>
      </w:r>
      <w:bookmarkEnd w:id="73"/>
      <w:r w:rsidR="0033755F" w:rsidRPr="001B3ACB">
        <w:t xml:space="preserve"> </w:t>
      </w:r>
    </w:p>
    <w:p w:rsidR="00E72E14" w:rsidRDefault="00392602" w:rsidP="00280262">
      <w:r>
        <w:t xml:space="preserve">Scenario 5 uses the same assumptions as Scenario 4 for gross </w:t>
      </w:r>
      <w:r w:rsidR="00F41C4D">
        <w:t>demand</w:t>
      </w:r>
      <w:r>
        <w:t>; the levels of PV, EE, and wind; and tie</w:t>
      </w:r>
      <w:r w:rsidR="002B2D3B">
        <w:t>-</w:t>
      </w:r>
      <w:r w:rsidRPr="00924838">
        <w:t>line</w:t>
      </w:r>
      <w:r w:rsidR="008C1386" w:rsidRPr="00924838">
        <w:t xml:space="preserve"> tran</w:t>
      </w:r>
      <w:r w:rsidR="0060060E" w:rsidRPr="00924838">
        <w:t>s</w:t>
      </w:r>
      <w:r w:rsidR="008C1386" w:rsidRPr="00924838">
        <w:t>fer</w:t>
      </w:r>
      <w:r w:rsidRPr="00924838">
        <w:t xml:space="preserve">s, except that half the older coal and oil units retire in 2025 and half in 2030 and are replaced as needed with NGCC generation to meet the NICR. </w:t>
      </w:r>
      <w:r w:rsidRPr="00924838">
        <w:rPr>
          <w:szCs w:val="20"/>
        </w:rPr>
        <w:t xml:space="preserve">The assumed NGCC proxy units are </w:t>
      </w:r>
      <w:r w:rsidR="006E6925" w:rsidRPr="00924838">
        <w:rPr>
          <w:szCs w:val="20"/>
        </w:rPr>
        <w:t>at</w:t>
      </w:r>
      <w:r w:rsidRPr="00924838">
        <w:rPr>
          <w:szCs w:val="20"/>
        </w:rPr>
        <w:t xml:space="preserve"> sites where generators have been assumed to retire.</w:t>
      </w:r>
      <w:r w:rsidRPr="00924838">
        <w:t xml:space="preserve"> In this scenario,</w:t>
      </w:r>
      <w:r>
        <w:t xml:space="preserve"> </w:t>
      </w:r>
      <w:r w:rsidR="005C6A08">
        <w:t xml:space="preserve">the </w:t>
      </w:r>
      <w:r w:rsidR="005C6A08" w:rsidRPr="005B4D9E">
        <w:t xml:space="preserve">existing fleet meets </w:t>
      </w:r>
      <w:r w:rsidR="005C6A08">
        <w:t xml:space="preserve">the </w:t>
      </w:r>
      <w:r w:rsidR="005C6A08" w:rsidRPr="005B4D9E">
        <w:t>existing RPS</w:t>
      </w:r>
      <w:r w:rsidR="005C6A08">
        <w:t>s,</w:t>
      </w:r>
      <w:r w:rsidR="005C6A08" w:rsidRPr="005B4D9E">
        <w:t xml:space="preserve"> partly through alternative compliance payments</w:t>
      </w:r>
      <w:r w:rsidR="005C6A08">
        <w:t>.</w:t>
      </w:r>
      <w:r w:rsidR="00D63097" w:rsidRPr="005B4D9E">
        <w:t xml:space="preserve"> </w:t>
      </w:r>
    </w:p>
    <w:p w:rsidR="006A6997" w:rsidRPr="00924838" w:rsidRDefault="006A6997" w:rsidP="00256CE8">
      <w:pPr>
        <w:pStyle w:val="Heading2"/>
      </w:pPr>
      <w:bookmarkStart w:id="74" w:name="_Toc486405967"/>
      <w:r w:rsidRPr="00924838">
        <w:lastRenderedPageBreak/>
        <w:t>Scenario 6—</w:t>
      </w:r>
      <w:r w:rsidR="001B3ACB" w:rsidRPr="00924838">
        <w:t>“RPS</w:t>
      </w:r>
      <w:r w:rsidR="003852EA" w:rsidRPr="00924838">
        <w:t>s</w:t>
      </w:r>
      <w:r w:rsidR="001B3ACB" w:rsidRPr="00924838">
        <w:t xml:space="preserve"> + Geodiverse Renewables”—</w:t>
      </w:r>
      <w:r w:rsidRPr="00924838">
        <w:t xml:space="preserve">Generation Fleet Meets Existing RPSs, and New Renewable/Clean Energy Resources </w:t>
      </w:r>
      <w:r w:rsidR="00567108" w:rsidRPr="00924838">
        <w:t xml:space="preserve">around the Region </w:t>
      </w:r>
      <w:r w:rsidRPr="00924838">
        <w:t>Meet All Future Needs, Including the Replacement of Retired Units</w:t>
      </w:r>
      <w:bookmarkEnd w:id="74"/>
      <w:r w:rsidRPr="00924838">
        <w:t xml:space="preserve"> </w:t>
      </w:r>
    </w:p>
    <w:p w:rsidR="006A6997" w:rsidRPr="00355F94" w:rsidRDefault="006A6997" w:rsidP="006A6997">
      <w:pPr>
        <w:rPr>
          <w:highlight w:val="yellow"/>
        </w:rPr>
      </w:pPr>
      <w:r>
        <w:t>Scenario 6</w:t>
      </w:r>
      <w:r w:rsidRPr="000B637D">
        <w:t xml:space="preserve"> is the same as Scen</w:t>
      </w:r>
      <w:r>
        <w:t>ario 2</w:t>
      </w:r>
      <w:r w:rsidRPr="000B637D">
        <w:t xml:space="preserve"> in terms of the gross </w:t>
      </w:r>
      <w:r w:rsidR="00F41C4D">
        <w:t>demand</w:t>
      </w:r>
      <w:r w:rsidRPr="000B637D">
        <w:t xml:space="preserve">, the generation fleet meeting existing RPSs, </w:t>
      </w:r>
      <w:r w:rsidRPr="00924838">
        <w:t xml:space="preserve">the levels of PV and EE resources based on the 2016 CELT forecast, retirement dates, and </w:t>
      </w:r>
      <w:r w:rsidR="00D73622" w:rsidRPr="00924838">
        <w:t xml:space="preserve">energy imports from </w:t>
      </w:r>
      <w:r w:rsidR="004E0FE3" w:rsidRPr="00924838">
        <w:t>Hydro-Québec and New Brunswick</w:t>
      </w:r>
      <w:r w:rsidRPr="00924838">
        <w:t xml:space="preserve">. </w:t>
      </w:r>
      <w:r w:rsidR="00B5615D" w:rsidRPr="00924838">
        <w:t xml:space="preserve">Also, </w:t>
      </w:r>
      <w:r w:rsidRPr="00924838">
        <w:t>new renewable/clean energy units are used to meet all</w:t>
      </w:r>
      <w:r>
        <w:t xml:space="preserve"> needed capacity and </w:t>
      </w:r>
      <w:r w:rsidRPr="00FB31C5">
        <w:t>replace retired units</w:t>
      </w:r>
      <w:r w:rsidR="00B5615D">
        <w:t>, and t</w:t>
      </w:r>
      <w:r w:rsidRPr="006E6925">
        <w:t xml:space="preserve">he amount of </w:t>
      </w:r>
      <w:r>
        <w:t xml:space="preserve">renewable resources added was sufficient to </w:t>
      </w:r>
      <w:r w:rsidRPr="006E6925">
        <w:t xml:space="preserve">exactly meet the </w:t>
      </w:r>
      <w:r w:rsidRPr="00C918E4">
        <w:t xml:space="preserve">assumed NICR. </w:t>
      </w:r>
      <w:r w:rsidR="00B5615D" w:rsidRPr="00C918E4">
        <w:t>However, in Scenario</w:t>
      </w:r>
      <w:r w:rsidR="00A36927" w:rsidRPr="00C918E4">
        <w:t> </w:t>
      </w:r>
      <w:r w:rsidR="00B5615D" w:rsidRPr="00C918E4">
        <w:t>6, t</w:t>
      </w:r>
      <w:r w:rsidRPr="00C918E4">
        <w:t xml:space="preserve">he </w:t>
      </w:r>
      <w:r w:rsidR="0097243A" w:rsidRPr="00C918E4">
        <w:t xml:space="preserve">capacity associated with the added wind resources </w:t>
      </w:r>
      <w:r w:rsidRPr="00C918E4">
        <w:t>are split into three groups with equal amounts of capacity value</w:t>
      </w:r>
      <w:r w:rsidR="00B5615D" w:rsidRPr="00C918E4">
        <w:t>:</w:t>
      </w:r>
      <w:r w:rsidRPr="00C918E4">
        <w:t xml:space="preserve"> one third is additional photovoltaics</w:t>
      </w:r>
      <w:r w:rsidR="00CE776F" w:rsidRPr="00C918E4">
        <w:t xml:space="preserve"> predominantly in southern New England</w:t>
      </w:r>
      <w:r w:rsidRPr="00C918E4">
        <w:t>, one third is onshore wind in Maine</w:t>
      </w:r>
      <w:r w:rsidR="00EF2CA3" w:rsidRPr="00C918E4">
        <w:t>,</w:t>
      </w:r>
      <w:r w:rsidR="00B5615D" w:rsidRPr="00C918E4">
        <w:t xml:space="preserve"> </w:t>
      </w:r>
      <w:r w:rsidRPr="00C918E4">
        <w:t>and one-third is offshore wind</w:t>
      </w:r>
      <w:r w:rsidR="00E32637" w:rsidRPr="00C918E4">
        <w:t xml:space="preserve"> connected to</w:t>
      </w:r>
      <w:r w:rsidR="00C918E4" w:rsidRPr="00C918E4">
        <w:t xml:space="preserve"> southeastern Massachusetts/Newport, Rhode Island, and Rhode Island bordering Massachusetts</w:t>
      </w:r>
      <w:r w:rsidR="00E32637" w:rsidRPr="00C918E4">
        <w:t xml:space="preserve"> </w:t>
      </w:r>
      <w:r w:rsidR="00C918E4" w:rsidRPr="00C918E4">
        <w:t>(</w:t>
      </w:r>
      <w:r w:rsidR="00E32637" w:rsidRPr="00C918E4">
        <w:t>SEMA/R</w:t>
      </w:r>
      <w:r w:rsidR="00C918E4" w:rsidRPr="00C918E4">
        <w:t>I)</w:t>
      </w:r>
      <w:r w:rsidR="00E32637" w:rsidRPr="00C918E4">
        <w:t xml:space="preserve"> and Connecticut</w:t>
      </w:r>
      <w:r w:rsidR="009E7B29" w:rsidRPr="00C918E4">
        <w:t>.</w:t>
      </w:r>
      <w:r w:rsidR="00C918E4" w:rsidRPr="00C918E4">
        <w:t xml:space="preserve"> </w:t>
      </w:r>
      <w:r w:rsidR="00AA4AE9" w:rsidRPr="00C918E4">
        <w:t>The</w:t>
      </w:r>
      <w:r w:rsidR="00AA4AE9">
        <w:t xml:space="preserve"> photovoltaics and offshore wind resources are well situated near the load centers of southern New England. The onshore wind in Maine is remotely located. </w:t>
      </w:r>
    </w:p>
    <w:p w:rsidR="00044B8A" w:rsidRDefault="00D41FBC" w:rsidP="001C537B">
      <w:pPr>
        <w:pStyle w:val="Heading2"/>
      </w:pPr>
      <w:bookmarkStart w:id="75" w:name="_Toc486405968"/>
      <w:bookmarkStart w:id="76" w:name="_Toc165018187"/>
      <w:bookmarkStart w:id="77" w:name="_Toc173682264"/>
      <w:r>
        <w:t xml:space="preserve">Overview of </w:t>
      </w:r>
      <w:r w:rsidR="006253E7">
        <w:t xml:space="preserve">Scenario </w:t>
      </w:r>
      <w:r>
        <w:t>Parameters</w:t>
      </w:r>
      <w:bookmarkEnd w:id="75"/>
    </w:p>
    <w:p w:rsidR="006253E7" w:rsidRDefault="00256CE8" w:rsidP="006253E7">
      <w:r>
        <w:rPr>
          <w:szCs w:val="20"/>
        </w:rPr>
        <w:fldChar w:fldCharType="begin"/>
      </w:r>
      <w:r>
        <w:rPr>
          <w:szCs w:val="20"/>
        </w:rPr>
        <w:instrText xml:space="preserve"> REF _Ref480209232 \h </w:instrText>
      </w:r>
      <w:r>
        <w:rPr>
          <w:szCs w:val="20"/>
        </w:rPr>
      </w:r>
      <w:r>
        <w:rPr>
          <w:szCs w:val="20"/>
        </w:rPr>
        <w:fldChar w:fldCharType="separate"/>
      </w:r>
      <w:r w:rsidR="00742B49" w:rsidRPr="00256CE8">
        <w:t xml:space="preserve">Table </w:t>
      </w:r>
      <w:r w:rsidR="00742B49">
        <w:rPr>
          <w:noProof/>
        </w:rPr>
        <w:t>3</w:t>
      </w:r>
      <w:r w:rsidR="00742B49">
        <w:noBreakHyphen/>
      </w:r>
      <w:r w:rsidR="00742B49">
        <w:rPr>
          <w:noProof/>
        </w:rPr>
        <w:t>1</w:t>
      </w:r>
      <w:r>
        <w:rPr>
          <w:szCs w:val="20"/>
        </w:rPr>
        <w:fldChar w:fldCharType="end"/>
      </w:r>
      <w:r w:rsidR="00567108">
        <w:rPr>
          <w:szCs w:val="20"/>
        </w:rPr>
        <w:t xml:space="preserve"> </w:t>
      </w:r>
      <w:r w:rsidR="006253E7" w:rsidRPr="006B2D49">
        <w:rPr>
          <w:szCs w:val="20"/>
        </w:rPr>
        <w:t xml:space="preserve">provides an overview of the </w:t>
      </w:r>
      <w:r w:rsidR="006253E7" w:rsidRPr="00EF60FA">
        <w:rPr>
          <w:szCs w:val="20"/>
        </w:rPr>
        <w:t xml:space="preserve">main </w:t>
      </w:r>
      <w:r w:rsidR="0063026C">
        <w:rPr>
          <w:szCs w:val="20"/>
        </w:rPr>
        <w:t xml:space="preserve">parameters </w:t>
      </w:r>
      <w:r w:rsidR="006253E7" w:rsidRPr="006B2D49">
        <w:rPr>
          <w:szCs w:val="20"/>
        </w:rPr>
        <w:t>used in the simulations for retirements, load, resource capacity, and external ties and transfer limits.</w:t>
      </w:r>
      <w:r w:rsidR="006253E7" w:rsidRPr="00EF60FA">
        <w:t xml:space="preserve"> </w:t>
      </w:r>
      <w:r w:rsidR="000357EE">
        <w:fldChar w:fldCharType="begin"/>
      </w:r>
      <w:r w:rsidR="000357EE">
        <w:instrText xml:space="preserve"> REF _Ref477520325 \r \h </w:instrText>
      </w:r>
      <w:r w:rsidR="000357EE">
        <w:fldChar w:fldCharType="separate"/>
      </w:r>
      <w:r w:rsidR="00742B49">
        <w:t>Section 5</w:t>
      </w:r>
      <w:r w:rsidR="000357EE">
        <w:fldChar w:fldCharType="end"/>
      </w:r>
      <w:r w:rsidR="000357EE">
        <w:t xml:space="preserve"> describes the assumptions used in greater detail.</w:t>
      </w:r>
    </w:p>
    <w:p w:rsidR="006253E7" w:rsidRDefault="006253E7" w:rsidP="006253E7">
      <w:pPr>
        <w:pStyle w:val="Caption"/>
        <w:jc w:val="center"/>
      </w:pPr>
      <w:bookmarkStart w:id="78" w:name="_Ref480209232"/>
      <w:bookmarkStart w:id="79" w:name="_Toc486406013"/>
      <w:r w:rsidRPr="00256CE8">
        <w:lastRenderedPageBreak/>
        <w:t xml:space="preserve">Table </w:t>
      </w:r>
      <w:fldSimple w:instr=" STYLEREF 1 \s ">
        <w:r w:rsidR="004248FE">
          <w:rPr>
            <w:noProof/>
          </w:rPr>
          <w:t>3</w:t>
        </w:r>
      </w:fldSimple>
      <w:r w:rsidR="004248FE">
        <w:noBreakHyphen/>
      </w:r>
      <w:fldSimple w:instr=" SEQ Table \* ARABIC \s 1 ">
        <w:r w:rsidR="004248FE">
          <w:rPr>
            <w:noProof/>
          </w:rPr>
          <w:t>1</w:t>
        </w:r>
      </w:fldSimple>
      <w:bookmarkEnd w:id="78"/>
      <w:r w:rsidRPr="00256CE8">
        <w:br/>
        <w:t>Overview of Scenario</w:t>
      </w:r>
      <w:r w:rsidR="00BA5F0D" w:rsidRPr="00256CE8">
        <w:t>s’</w:t>
      </w:r>
      <w:r w:rsidRPr="00256CE8">
        <w:t xml:space="preserve"> Main Parameters</w:t>
      </w:r>
      <w:bookmarkEnd w:id="79"/>
    </w:p>
    <w:tbl>
      <w:tblPr>
        <w:tblW w:w="111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114"/>
        <w:gridCol w:w="1195"/>
        <w:gridCol w:w="1440"/>
        <w:gridCol w:w="1530"/>
        <w:gridCol w:w="1440"/>
        <w:gridCol w:w="1440"/>
        <w:gridCol w:w="1260"/>
        <w:gridCol w:w="1710"/>
      </w:tblGrid>
      <w:tr w:rsidR="006253E7" w:rsidRPr="00C7222C" w:rsidTr="00C7222C">
        <w:trPr>
          <w:trHeight w:val="408"/>
          <w:jc w:val="center"/>
        </w:trPr>
        <w:tc>
          <w:tcPr>
            <w:tcW w:w="1114" w:type="dxa"/>
            <w:shd w:val="clear" w:color="auto" w:fill="4F81BD" w:themeFill="accent1"/>
            <w:tcMar>
              <w:top w:w="58" w:type="dxa"/>
              <w:left w:w="58" w:type="dxa"/>
              <w:bottom w:w="58" w:type="dxa"/>
              <w:right w:w="58" w:type="dxa"/>
            </w:tcMar>
            <w:vAlign w:val="center"/>
          </w:tcPr>
          <w:p w:rsidR="006253E7" w:rsidRPr="00C7222C" w:rsidRDefault="006253E7" w:rsidP="00256CE8">
            <w:pPr>
              <w:keepNext/>
              <w:keepLines/>
              <w:autoSpaceDE w:val="0"/>
              <w:autoSpaceDN w:val="0"/>
              <w:spacing w:after="0" w:line="240" w:lineRule="auto"/>
              <w:jc w:val="center"/>
              <w:rPr>
                <w:rFonts w:asciiTheme="minorHAnsi" w:hAnsiTheme="minorHAnsi" w:cstheme="minorHAnsi"/>
                <w:color w:val="FFFFFF" w:themeColor="background1"/>
                <w:sz w:val="18"/>
                <w:szCs w:val="18"/>
              </w:rPr>
            </w:pPr>
            <w:r w:rsidRPr="00C7222C">
              <w:rPr>
                <w:rFonts w:asciiTheme="minorHAnsi" w:hAnsiTheme="minorHAnsi" w:cstheme="minorHAnsi"/>
                <w:b/>
                <w:bCs/>
                <w:color w:val="FFFFFF" w:themeColor="background1"/>
                <w:sz w:val="18"/>
                <w:szCs w:val="18"/>
              </w:rPr>
              <w:t>Scenario</w:t>
            </w:r>
          </w:p>
        </w:tc>
        <w:tc>
          <w:tcPr>
            <w:tcW w:w="1195" w:type="dxa"/>
            <w:shd w:val="clear" w:color="auto" w:fill="4F81BD" w:themeFill="accent1"/>
            <w:tcMar>
              <w:top w:w="58" w:type="dxa"/>
              <w:left w:w="58" w:type="dxa"/>
              <w:bottom w:w="58" w:type="dxa"/>
              <w:right w:w="58" w:type="dxa"/>
            </w:tcMar>
            <w:vAlign w:val="center"/>
          </w:tcPr>
          <w:p w:rsidR="006253E7" w:rsidRPr="00C7222C" w:rsidRDefault="006253E7" w:rsidP="00256CE8">
            <w:pPr>
              <w:keepNext/>
              <w:keepLines/>
              <w:autoSpaceDE w:val="0"/>
              <w:autoSpaceDN w:val="0"/>
              <w:spacing w:after="0" w:line="240" w:lineRule="auto"/>
              <w:jc w:val="center"/>
              <w:rPr>
                <w:rFonts w:asciiTheme="minorHAnsi" w:hAnsiTheme="minorHAnsi" w:cstheme="minorHAnsi"/>
                <w:color w:val="FFFFFF" w:themeColor="background1"/>
                <w:sz w:val="18"/>
                <w:szCs w:val="18"/>
              </w:rPr>
            </w:pPr>
            <w:r w:rsidRPr="00C7222C">
              <w:rPr>
                <w:rFonts w:asciiTheme="minorHAnsi" w:hAnsiTheme="minorHAnsi" w:cstheme="minorHAnsi"/>
                <w:b/>
                <w:bCs/>
                <w:color w:val="FFFFFF" w:themeColor="background1"/>
                <w:sz w:val="18"/>
                <w:szCs w:val="18"/>
              </w:rPr>
              <w:t>Retire Oldest Oil/Coal Units</w:t>
            </w:r>
            <w:r w:rsidRPr="00C7222C">
              <w:rPr>
                <w:rFonts w:asciiTheme="minorHAnsi" w:hAnsiTheme="minorHAnsi" w:cstheme="minorHAnsi"/>
                <w:b/>
                <w:bCs/>
                <w:color w:val="FFFFFF" w:themeColor="background1"/>
                <w:sz w:val="18"/>
                <w:szCs w:val="18"/>
                <w:vertAlign w:val="superscript"/>
              </w:rPr>
              <w:t>(a)</w:t>
            </w:r>
          </w:p>
        </w:tc>
        <w:tc>
          <w:tcPr>
            <w:tcW w:w="1440" w:type="dxa"/>
            <w:shd w:val="clear" w:color="auto" w:fill="4F81BD" w:themeFill="accent1"/>
            <w:tcMar>
              <w:top w:w="58" w:type="dxa"/>
              <w:left w:w="58" w:type="dxa"/>
              <w:bottom w:w="58" w:type="dxa"/>
              <w:right w:w="58" w:type="dxa"/>
            </w:tcMar>
            <w:vAlign w:val="center"/>
          </w:tcPr>
          <w:p w:rsidR="006253E7" w:rsidRPr="00C7222C" w:rsidRDefault="006253E7" w:rsidP="00256CE8">
            <w:pPr>
              <w:keepNext/>
              <w:keepLines/>
              <w:autoSpaceDE w:val="0"/>
              <w:autoSpaceDN w:val="0"/>
              <w:spacing w:after="0" w:line="240" w:lineRule="auto"/>
              <w:jc w:val="center"/>
              <w:rPr>
                <w:rFonts w:asciiTheme="minorHAnsi" w:hAnsiTheme="minorHAnsi" w:cstheme="minorHAnsi"/>
                <w:color w:val="FFFFFF" w:themeColor="background1"/>
                <w:sz w:val="18"/>
                <w:szCs w:val="18"/>
              </w:rPr>
            </w:pPr>
            <w:r w:rsidRPr="00C7222C">
              <w:rPr>
                <w:rFonts w:asciiTheme="minorHAnsi" w:hAnsiTheme="minorHAnsi" w:cstheme="minorHAnsi"/>
                <w:b/>
                <w:bCs/>
                <w:color w:val="FFFFFF" w:themeColor="background1"/>
                <w:sz w:val="18"/>
                <w:szCs w:val="18"/>
              </w:rPr>
              <w:t xml:space="preserve">Gross </w:t>
            </w:r>
            <w:r w:rsidR="00F41C4D" w:rsidRPr="00C7222C">
              <w:rPr>
                <w:rFonts w:asciiTheme="minorHAnsi" w:hAnsiTheme="minorHAnsi" w:cstheme="minorHAnsi"/>
                <w:b/>
                <w:bCs/>
                <w:color w:val="FFFFFF" w:themeColor="background1"/>
                <w:sz w:val="18"/>
                <w:szCs w:val="18"/>
              </w:rPr>
              <w:t xml:space="preserve"> </w:t>
            </w:r>
            <w:r w:rsidR="000357EE" w:rsidRPr="00C7222C">
              <w:rPr>
                <w:rFonts w:asciiTheme="minorHAnsi" w:hAnsiTheme="minorHAnsi" w:cstheme="minorHAnsi"/>
                <w:b/>
                <w:bCs/>
                <w:color w:val="FFFFFF" w:themeColor="background1"/>
                <w:sz w:val="18"/>
                <w:szCs w:val="18"/>
              </w:rPr>
              <w:t>D</w:t>
            </w:r>
            <w:r w:rsidR="00F41C4D" w:rsidRPr="00C7222C">
              <w:rPr>
                <w:rFonts w:asciiTheme="minorHAnsi" w:hAnsiTheme="minorHAnsi" w:cstheme="minorHAnsi"/>
                <w:b/>
                <w:bCs/>
                <w:color w:val="FFFFFF" w:themeColor="background1"/>
                <w:sz w:val="18"/>
                <w:szCs w:val="18"/>
              </w:rPr>
              <w:t>emand</w:t>
            </w:r>
          </w:p>
        </w:tc>
        <w:tc>
          <w:tcPr>
            <w:tcW w:w="1530" w:type="dxa"/>
            <w:shd w:val="clear" w:color="auto" w:fill="4F81BD" w:themeFill="accent1"/>
            <w:tcMar>
              <w:top w:w="58" w:type="dxa"/>
              <w:left w:w="58" w:type="dxa"/>
              <w:bottom w:w="58" w:type="dxa"/>
              <w:right w:w="58" w:type="dxa"/>
            </w:tcMar>
            <w:vAlign w:val="center"/>
          </w:tcPr>
          <w:p w:rsidR="006253E7" w:rsidRPr="00C7222C" w:rsidRDefault="006253E7" w:rsidP="00F606BE">
            <w:pPr>
              <w:keepNext/>
              <w:keepLines/>
              <w:autoSpaceDE w:val="0"/>
              <w:autoSpaceDN w:val="0"/>
              <w:spacing w:after="0" w:line="240" w:lineRule="auto"/>
              <w:jc w:val="center"/>
              <w:rPr>
                <w:rFonts w:asciiTheme="minorHAnsi" w:hAnsiTheme="minorHAnsi" w:cstheme="minorHAnsi"/>
                <w:color w:val="FFFFFF" w:themeColor="background1"/>
                <w:sz w:val="18"/>
                <w:szCs w:val="18"/>
              </w:rPr>
            </w:pPr>
            <w:r w:rsidRPr="00C7222C">
              <w:rPr>
                <w:rFonts w:asciiTheme="minorHAnsi" w:hAnsiTheme="minorHAnsi" w:cstheme="minorHAnsi"/>
                <w:b/>
                <w:bCs/>
                <w:color w:val="FFFFFF" w:themeColor="background1"/>
                <w:sz w:val="18"/>
                <w:szCs w:val="18"/>
              </w:rPr>
              <w:t>PV</w:t>
            </w:r>
            <w:r w:rsidR="00453EBB" w:rsidRPr="00F606BE">
              <w:rPr>
                <w:rFonts w:asciiTheme="minorHAnsi" w:hAnsiTheme="minorHAnsi" w:cstheme="minorHAnsi"/>
                <w:b/>
                <w:bCs/>
                <w:color w:val="FFFFFF" w:themeColor="background1"/>
                <w:sz w:val="18"/>
                <w:szCs w:val="18"/>
                <w:vertAlign w:val="superscript"/>
              </w:rPr>
              <w:t>(</w:t>
            </w:r>
            <w:r w:rsidR="00F606BE" w:rsidRPr="00F606BE">
              <w:rPr>
                <w:rFonts w:asciiTheme="minorHAnsi" w:hAnsiTheme="minorHAnsi" w:cstheme="minorHAnsi"/>
                <w:b/>
                <w:bCs/>
                <w:color w:val="FFFFFF" w:themeColor="background1"/>
                <w:sz w:val="18"/>
                <w:szCs w:val="18"/>
                <w:vertAlign w:val="superscript"/>
              </w:rPr>
              <w:t>b</w:t>
            </w:r>
            <w:r w:rsidR="00453EBB" w:rsidRPr="00F606BE">
              <w:rPr>
                <w:rFonts w:asciiTheme="minorHAnsi" w:hAnsiTheme="minorHAnsi" w:cstheme="minorHAnsi"/>
                <w:b/>
                <w:bCs/>
                <w:color w:val="FFFFFF" w:themeColor="background1"/>
                <w:sz w:val="18"/>
                <w:szCs w:val="18"/>
                <w:vertAlign w:val="superscript"/>
              </w:rPr>
              <w:t>)</w:t>
            </w:r>
          </w:p>
        </w:tc>
        <w:tc>
          <w:tcPr>
            <w:tcW w:w="1440" w:type="dxa"/>
            <w:shd w:val="clear" w:color="auto" w:fill="4F81BD" w:themeFill="accent1"/>
            <w:tcMar>
              <w:top w:w="58" w:type="dxa"/>
              <w:left w:w="58" w:type="dxa"/>
              <w:bottom w:w="58" w:type="dxa"/>
              <w:right w:w="58" w:type="dxa"/>
            </w:tcMar>
            <w:vAlign w:val="center"/>
          </w:tcPr>
          <w:p w:rsidR="006253E7" w:rsidRPr="00C7222C" w:rsidRDefault="006253E7" w:rsidP="00256CE8">
            <w:pPr>
              <w:keepNext/>
              <w:keepLines/>
              <w:autoSpaceDE w:val="0"/>
              <w:autoSpaceDN w:val="0"/>
              <w:spacing w:after="0" w:line="240" w:lineRule="auto"/>
              <w:jc w:val="center"/>
              <w:rPr>
                <w:rFonts w:asciiTheme="minorHAnsi" w:hAnsiTheme="minorHAnsi" w:cstheme="minorHAnsi"/>
                <w:color w:val="FFFFFF" w:themeColor="background1"/>
                <w:sz w:val="18"/>
                <w:szCs w:val="18"/>
              </w:rPr>
            </w:pPr>
            <w:r w:rsidRPr="00C7222C">
              <w:rPr>
                <w:rFonts w:asciiTheme="minorHAnsi" w:hAnsiTheme="minorHAnsi" w:cstheme="minorHAnsi"/>
                <w:b/>
                <w:bCs/>
                <w:color w:val="FFFFFF" w:themeColor="background1"/>
                <w:sz w:val="18"/>
                <w:szCs w:val="18"/>
              </w:rPr>
              <w:t>Energy Efficiency</w:t>
            </w:r>
          </w:p>
        </w:tc>
        <w:tc>
          <w:tcPr>
            <w:tcW w:w="1440" w:type="dxa"/>
            <w:shd w:val="clear" w:color="auto" w:fill="4F81BD" w:themeFill="accent1"/>
            <w:tcMar>
              <w:top w:w="58" w:type="dxa"/>
              <w:left w:w="58" w:type="dxa"/>
              <w:bottom w:w="58" w:type="dxa"/>
              <w:right w:w="58" w:type="dxa"/>
            </w:tcMar>
            <w:vAlign w:val="center"/>
          </w:tcPr>
          <w:p w:rsidR="006253E7" w:rsidRPr="00C7222C" w:rsidRDefault="006253E7" w:rsidP="00453EBB">
            <w:pPr>
              <w:keepNext/>
              <w:keepLines/>
              <w:autoSpaceDE w:val="0"/>
              <w:autoSpaceDN w:val="0"/>
              <w:spacing w:after="0" w:line="240" w:lineRule="auto"/>
              <w:jc w:val="center"/>
              <w:rPr>
                <w:rFonts w:asciiTheme="minorHAnsi" w:hAnsiTheme="minorHAnsi" w:cstheme="minorHAnsi"/>
                <w:color w:val="FFFFFF" w:themeColor="background1"/>
                <w:sz w:val="18"/>
                <w:szCs w:val="18"/>
              </w:rPr>
            </w:pPr>
            <w:r w:rsidRPr="00C7222C">
              <w:rPr>
                <w:rFonts w:asciiTheme="minorHAnsi" w:hAnsiTheme="minorHAnsi" w:cstheme="minorHAnsi"/>
                <w:b/>
                <w:bCs/>
                <w:color w:val="FFFFFF" w:themeColor="background1"/>
                <w:sz w:val="18"/>
                <w:szCs w:val="18"/>
              </w:rPr>
              <w:t>Wind</w:t>
            </w:r>
            <w:r w:rsidR="00453EBB" w:rsidRPr="00F606BE">
              <w:rPr>
                <w:rFonts w:asciiTheme="minorHAnsi" w:hAnsiTheme="minorHAnsi" w:cstheme="minorHAnsi"/>
                <w:b/>
                <w:bCs/>
                <w:color w:val="FFFFFF" w:themeColor="background1"/>
                <w:sz w:val="18"/>
                <w:szCs w:val="18"/>
                <w:vertAlign w:val="superscript"/>
              </w:rPr>
              <w:t>(</w:t>
            </w:r>
            <w:r w:rsidR="00F606BE" w:rsidRPr="00F606BE">
              <w:rPr>
                <w:rFonts w:asciiTheme="minorHAnsi" w:hAnsiTheme="minorHAnsi" w:cstheme="minorHAnsi"/>
                <w:b/>
                <w:bCs/>
                <w:color w:val="FFFFFF" w:themeColor="background1"/>
                <w:sz w:val="18"/>
                <w:szCs w:val="18"/>
                <w:vertAlign w:val="superscript"/>
              </w:rPr>
              <w:t>b</w:t>
            </w:r>
            <w:r w:rsidR="00453EBB" w:rsidRPr="00F606BE">
              <w:rPr>
                <w:rFonts w:asciiTheme="minorHAnsi" w:hAnsiTheme="minorHAnsi" w:cstheme="minorHAnsi"/>
                <w:b/>
                <w:bCs/>
                <w:color w:val="FFFFFF" w:themeColor="background1"/>
                <w:sz w:val="18"/>
                <w:szCs w:val="18"/>
                <w:vertAlign w:val="superscript"/>
              </w:rPr>
              <w:t>)</w:t>
            </w:r>
          </w:p>
        </w:tc>
        <w:tc>
          <w:tcPr>
            <w:tcW w:w="1260" w:type="dxa"/>
            <w:shd w:val="clear" w:color="auto" w:fill="4F81BD" w:themeFill="accent1"/>
            <w:tcMar>
              <w:top w:w="58" w:type="dxa"/>
              <w:left w:w="58" w:type="dxa"/>
              <w:bottom w:w="58" w:type="dxa"/>
              <w:right w:w="58" w:type="dxa"/>
            </w:tcMar>
            <w:vAlign w:val="center"/>
          </w:tcPr>
          <w:p w:rsidR="006253E7" w:rsidRPr="00C7222C" w:rsidRDefault="006253E7" w:rsidP="00256CE8">
            <w:pPr>
              <w:keepNext/>
              <w:keepLines/>
              <w:autoSpaceDE w:val="0"/>
              <w:autoSpaceDN w:val="0"/>
              <w:spacing w:after="0" w:line="240" w:lineRule="auto"/>
              <w:jc w:val="center"/>
              <w:rPr>
                <w:rFonts w:asciiTheme="minorHAnsi" w:hAnsiTheme="minorHAnsi" w:cstheme="minorHAnsi"/>
                <w:color w:val="FFFFFF" w:themeColor="background1"/>
                <w:sz w:val="18"/>
                <w:szCs w:val="18"/>
              </w:rPr>
            </w:pPr>
            <w:r w:rsidRPr="00C7222C">
              <w:rPr>
                <w:rFonts w:asciiTheme="minorHAnsi" w:hAnsiTheme="minorHAnsi" w:cstheme="minorHAnsi"/>
                <w:b/>
                <w:bCs/>
                <w:color w:val="FFFFFF" w:themeColor="background1"/>
                <w:sz w:val="18"/>
                <w:szCs w:val="18"/>
              </w:rPr>
              <w:t>New Natural Gas Units</w:t>
            </w:r>
          </w:p>
        </w:tc>
        <w:tc>
          <w:tcPr>
            <w:tcW w:w="1710" w:type="dxa"/>
            <w:shd w:val="clear" w:color="auto" w:fill="4F81BD" w:themeFill="accent1"/>
            <w:tcMar>
              <w:top w:w="58" w:type="dxa"/>
              <w:left w:w="58" w:type="dxa"/>
              <w:bottom w:w="58" w:type="dxa"/>
              <w:right w:w="58" w:type="dxa"/>
            </w:tcMar>
            <w:vAlign w:val="center"/>
          </w:tcPr>
          <w:p w:rsidR="006253E7" w:rsidRPr="00C7222C" w:rsidRDefault="006253E7" w:rsidP="00256CE8">
            <w:pPr>
              <w:keepNext/>
              <w:keepLines/>
              <w:autoSpaceDE w:val="0"/>
              <w:autoSpaceDN w:val="0"/>
              <w:spacing w:after="0" w:line="240" w:lineRule="auto"/>
              <w:jc w:val="center"/>
              <w:rPr>
                <w:rFonts w:asciiTheme="minorHAnsi" w:hAnsiTheme="minorHAnsi" w:cstheme="minorHAnsi"/>
                <w:color w:val="FFFFFF" w:themeColor="background1"/>
                <w:sz w:val="18"/>
                <w:szCs w:val="18"/>
              </w:rPr>
            </w:pPr>
            <w:r w:rsidRPr="00C7222C">
              <w:rPr>
                <w:rFonts w:asciiTheme="minorHAnsi" w:hAnsiTheme="minorHAnsi" w:cstheme="minorHAnsi"/>
                <w:b/>
                <w:bCs/>
                <w:color w:val="FFFFFF" w:themeColor="background1"/>
                <w:sz w:val="18"/>
                <w:szCs w:val="18"/>
              </w:rPr>
              <w:t>Hydro-Québec and New Brunswick</w:t>
            </w:r>
          </w:p>
          <w:p w:rsidR="006253E7" w:rsidRPr="00C7222C" w:rsidRDefault="006253E7" w:rsidP="00F606BE">
            <w:pPr>
              <w:keepNext/>
              <w:keepLines/>
              <w:autoSpaceDE w:val="0"/>
              <w:autoSpaceDN w:val="0"/>
              <w:spacing w:after="0" w:line="240" w:lineRule="auto"/>
              <w:jc w:val="center"/>
              <w:rPr>
                <w:rFonts w:asciiTheme="minorHAnsi" w:hAnsiTheme="minorHAnsi" w:cstheme="minorHAnsi"/>
                <w:color w:val="FFFFFF" w:themeColor="background1"/>
                <w:sz w:val="18"/>
                <w:szCs w:val="18"/>
              </w:rPr>
            </w:pPr>
            <w:r w:rsidRPr="00C7222C">
              <w:rPr>
                <w:rFonts w:asciiTheme="minorHAnsi" w:hAnsiTheme="minorHAnsi" w:cstheme="minorHAnsi"/>
                <w:b/>
                <w:bCs/>
                <w:color w:val="FFFFFF" w:themeColor="background1"/>
                <w:sz w:val="18"/>
                <w:szCs w:val="18"/>
              </w:rPr>
              <w:t>External Ties and Transfer Limits</w:t>
            </w:r>
            <w:r w:rsidRPr="00C7222C">
              <w:rPr>
                <w:rFonts w:asciiTheme="minorHAnsi" w:hAnsiTheme="minorHAnsi" w:cstheme="minorHAnsi"/>
                <w:b/>
                <w:bCs/>
                <w:color w:val="FFFFFF" w:themeColor="background1"/>
                <w:sz w:val="18"/>
                <w:szCs w:val="18"/>
                <w:vertAlign w:val="superscript"/>
              </w:rPr>
              <w:t>(</w:t>
            </w:r>
            <w:r w:rsidR="00F606BE">
              <w:rPr>
                <w:rFonts w:asciiTheme="minorHAnsi" w:hAnsiTheme="minorHAnsi" w:cstheme="minorHAnsi"/>
                <w:b/>
                <w:bCs/>
                <w:color w:val="FFFFFF" w:themeColor="background1"/>
                <w:sz w:val="18"/>
                <w:szCs w:val="18"/>
                <w:vertAlign w:val="superscript"/>
              </w:rPr>
              <w:t>c</w:t>
            </w:r>
            <w:r w:rsidRPr="00C7222C">
              <w:rPr>
                <w:rFonts w:asciiTheme="minorHAnsi" w:hAnsiTheme="minorHAnsi" w:cstheme="minorHAnsi"/>
                <w:b/>
                <w:bCs/>
                <w:color w:val="FFFFFF" w:themeColor="background1"/>
                <w:sz w:val="18"/>
                <w:szCs w:val="18"/>
                <w:vertAlign w:val="superscript"/>
              </w:rPr>
              <w:t>)</w:t>
            </w:r>
          </w:p>
        </w:tc>
      </w:tr>
      <w:tr w:rsidR="006253E7" w:rsidRPr="00C7222C" w:rsidTr="00C7222C">
        <w:trPr>
          <w:trHeight w:val="374"/>
          <w:jc w:val="center"/>
        </w:trPr>
        <w:tc>
          <w:tcPr>
            <w:tcW w:w="1114" w:type="dxa"/>
            <w:tcMar>
              <w:top w:w="58" w:type="dxa"/>
              <w:left w:w="115" w:type="dxa"/>
              <w:bottom w:w="58" w:type="dxa"/>
              <w:right w:w="58" w:type="dxa"/>
            </w:tcMar>
            <w:vAlign w:val="center"/>
          </w:tcPr>
          <w:p w:rsidR="006253E7" w:rsidRPr="00C7222C" w:rsidRDefault="006253E7" w:rsidP="00567108">
            <w:pPr>
              <w:keepNext/>
              <w:keepLines/>
              <w:autoSpaceDE w:val="0"/>
              <w:autoSpaceDN w:val="0"/>
              <w:spacing w:after="0" w:line="240" w:lineRule="auto"/>
              <w:rPr>
                <w:rFonts w:asciiTheme="minorHAnsi" w:hAnsiTheme="minorHAnsi" w:cstheme="minorHAnsi"/>
                <w:b/>
                <w:color w:val="000000"/>
                <w:sz w:val="18"/>
                <w:szCs w:val="18"/>
              </w:rPr>
            </w:pPr>
            <w:r w:rsidRPr="00C7222C">
              <w:rPr>
                <w:rFonts w:asciiTheme="minorHAnsi" w:hAnsiTheme="minorHAnsi" w:cstheme="minorHAnsi"/>
                <w:b/>
                <w:color w:val="000000"/>
                <w:sz w:val="18"/>
                <w:szCs w:val="18"/>
              </w:rPr>
              <w:t>1</w:t>
            </w:r>
            <w:r w:rsidR="00DE1AE5" w:rsidRPr="00C7222C">
              <w:rPr>
                <w:rFonts w:asciiTheme="minorHAnsi" w:hAnsiTheme="minorHAnsi" w:cstheme="minorHAnsi"/>
                <w:b/>
                <w:color w:val="000000"/>
                <w:sz w:val="18"/>
                <w:szCs w:val="18"/>
              </w:rPr>
              <w:t>.</w:t>
            </w:r>
            <w:r w:rsidRPr="00C7222C">
              <w:rPr>
                <w:rFonts w:asciiTheme="minorHAnsi" w:hAnsiTheme="minorHAnsi" w:cstheme="minorHAnsi"/>
                <w:b/>
                <w:color w:val="000000"/>
                <w:sz w:val="18"/>
                <w:szCs w:val="18"/>
              </w:rPr>
              <w:t xml:space="preserve"> </w:t>
            </w:r>
            <w:r w:rsidR="00DE1AE5" w:rsidRPr="00C7222C">
              <w:rPr>
                <w:rFonts w:asciiTheme="minorHAnsi" w:hAnsiTheme="minorHAnsi" w:cstheme="minorHAnsi"/>
                <w:b/>
                <w:color w:val="000000"/>
                <w:sz w:val="18"/>
                <w:szCs w:val="18"/>
              </w:rPr>
              <w:t>RPS + Gas</w:t>
            </w:r>
          </w:p>
        </w:tc>
        <w:tc>
          <w:tcPr>
            <w:tcW w:w="1195" w:type="dxa"/>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½ in 2025</w:t>
            </w:r>
          </w:p>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½ in 2030</w:t>
            </w:r>
          </w:p>
        </w:tc>
        <w:tc>
          <w:tcPr>
            <w:tcW w:w="1440" w:type="dxa"/>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Based on 2016 CELT forecast</w:t>
            </w:r>
          </w:p>
        </w:tc>
        <w:tc>
          <w:tcPr>
            <w:tcW w:w="1530" w:type="dxa"/>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Based on 2016 CELT forecast</w:t>
            </w:r>
          </w:p>
        </w:tc>
        <w:tc>
          <w:tcPr>
            <w:tcW w:w="1440" w:type="dxa"/>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Based on 2016 CELT forecast</w:t>
            </w:r>
          </w:p>
        </w:tc>
        <w:tc>
          <w:tcPr>
            <w:tcW w:w="1440" w:type="dxa"/>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As needed to meet RPSs</w:t>
            </w:r>
          </w:p>
        </w:tc>
        <w:tc>
          <w:tcPr>
            <w:tcW w:w="1260" w:type="dxa"/>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NGCC</w:t>
            </w:r>
          </w:p>
        </w:tc>
        <w:tc>
          <w:tcPr>
            <w:tcW w:w="1710" w:type="dxa"/>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Based on historical profiles</w:t>
            </w:r>
          </w:p>
        </w:tc>
      </w:tr>
      <w:tr w:rsidR="006253E7" w:rsidRPr="00C7222C" w:rsidTr="00C7222C">
        <w:trPr>
          <w:trHeight w:val="374"/>
          <w:jc w:val="center"/>
        </w:trPr>
        <w:tc>
          <w:tcPr>
            <w:tcW w:w="1114" w:type="dxa"/>
            <w:shd w:val="clear" w:color="auto" w:fill="DBE5F1" w:themeFill="accent1" w:themeFillTint="33"/>
            <w:tcMar>
              <w:top w:w="58" w:type="dxa"/>
              <w:left w:w="115" w:type="dxa"/>
              <w:bottom w:w="58" w:type="dxa"/>
              <w:right w:w="58" w:type="dxa"/>
            </w:tcMar>
            <w:vAlign w:val="center"/>
          </w:tcPr>
          <w:p w:rsidR="006253E7" w:rsidRPr="00C7222C" w:rsidRDefault="006253E7" w:rsidP="00C7222C">
            <w:pPr>
              <w:keepNext/>
              <w:keepLines/>
              <w:autoSpaceDE w:val="0"/>
              <w:autoSpaceDN w:val="0"/>
              <w:spacing w:after="0" w:line="240" w:lineRule="auto"/>
              <w:rPr>
                <w:rFonts w:asciiTheme="minorHAnsi" w:hAnsiTheme="minorHAnsi" w:cstheme="minorHAnsi"/>
                <w:b/>
                <w:color w:val="000000"/>
                <w:sz w:val="18"/>
                <w:szCs w:val="18"/>
              </w:rPr>
            </w:pPr>
            <w:r w:rsidRPr="00C7222C">
              <w:rPr>
                <w:rFonts w:asciiTheme="minorHAnsi" w:hAnsiTheme="minorHAnsi" w:cstheme="minorHAnsi"/>
                <w:b/>
                <w:color w:val="000000"/>
                <w:sz w:val="18"/>
                <w:szCs w:val="18"/>
              </w:rPr>
              <w:t>2</w:t>
            </w:r>
            <w:r w:rsidR="00DE1AE5" w:rsidRPr="00C7222C">
              <w:rPr>
                <w:rFonts w:asciiTheme="minorHAnsi" w:hAnsiTheme="minorHAnsi" w:cstheme="minorHAnsi"/>
                <w:b/>
                <w:color w:val="000000"/>
                <w:sz w:val="18"/>
                <w:szCs w:val="18"/>
              </w:rPr>
              <w:t>. ISO Queue</w:t>
            </w:r>
          </w:p>
        </w:tc>
        <w:tc>
          <w:tcPr>
            <w:tcW w:w="1195" w:type="dxa"/>
            <w:shd w:val="clear" w:color="auto" w:fill="DBE5F1" w:themeFill="accent1" w:themeFillTint="33"/>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½ in 2025</w:t>
            </w:r>
          </w:p>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½ in 2030</w:t>
            </w:r>
          </w:p>
        </w:tc>
        <w:tc>
          <w:tcPr>
            <w:tcW w:w="1440" w:type="dxa"/>
            <w:shd w:val="clear" w:color="auto" w:fill="DBE5F1" w:themeFill="accent1" w:themeFillTint="33"/>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Based on 2016 CELT forecast</w:t>
            </w:r>
          </w:p>
        </w:tc>
        <w:tc>
          <w:tcPr>
            <w:tcW w:w="1530" w:type="dxa"/>
            <w:shd w:val="clear" w:color="auto" w:fill="DBE5F1" w:themeFill="accent1" w:themeFillTint="33"/>
            <w:tcMar>
              <w:top w:w="58" w:type="dxa"/>
              <w:left w:w="58" w:type="dxa"/>
              <w:bottom w:w="58" w:type="dxa"/>
              <w:right w:w="58" w:type="dxa"/>
            </w:tcMar>
            <w:vAlign w:val="center"/>
          </w:tcPr>
          <w:p w:rsidR="006253E7" w:rsidRPr="00C7222C" w:rsidRDefault="004329B8"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BTM b</w:t>
            </w:r>
            <w:r w:rsidR="006253E7" w:rsidRPr="00C7222C">
              <w:rPr>
                <w:rFonts w:asciiTheme="minorHAnsi" w:hAnsiTheme="minorHAnsi" w:cstheme="minorHAnsi"/>
                <w:color w:val="000000"/>
                <w:sz w:val="18"/>
                <w:szCs w:val="18"/>
              </w:rPr>
              <w:t>ased on 2016 CELT forecast</w:t>
            </w:r>
            <w:r w:rsidRPr="00C7222C">
              <w:rPr>
                <w:rFonts w:asciiTheme="minorHAnsi" w:hAnsiTheme="minorHAnsi" w:cstheme="minorHAnsi"/>
                <w:color w:val="000000"/>
                <w:sz w:val="18"/>
                <w:szCs w:val="18"/>
              </w:rPr>
              <w:t>; non-BTM same as wind</w:t>
            </w:r>
          </w:p>
        </w:tc>
        <w:tc>
          <w:tcPr>
            <w:tcW w:w="1440" w:type="dxa"/>
            <w:shd w:val="clear" w:color="auto" w:fill="DBE5F1" w:themeFill="accent1" w:themeFillTint="33"/>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Based on 2016 CELT forecast</w:t>
            </w:r>
          </w:p>
        </w:tc>
        <w:tc>
          <w:tcPr>
            <w:tcW w:w="1440" w:type="dxa"/>
            <w:shd w:val="clear" w:color="auto" w:fill="DBE5F1" w:themeFill="accent1" w:themeFillTint="33"/>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Used to satisfy net ICR</w:t>
            </w:r>
          </w:p>
        </w:tc>
        <w:tc>
          <w:tcPr>
            <w:tcW w:w="1260" w:type="dxa"/>
            <w:shd w:val="clear" w:color="auto" w:fill="DBE5F1" w:themeFill="accent1" w:themeFillTint="33"/>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None</w:t>
            </w:r>
          </w:p>
        </w:tc>
        <w:tc>
          <w:tcPr>
            <w:tcW w:w="1710" w:type="dxa"/>
            <w:shd w:val="clear" w:color="auto" w:fill="DBE5F1" w:themeFill="accent1" w:themeFillTint="33"/>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Based on historical profiles</w:t>
            </w:r>
          </w:p>
        </w:tc>
      </w:tr>
      <w:tr w:rsidR="006253E7" w:rsidRPr="00C7222C" w:rsidTr="00C7222C">
        <w:trPr>
          <w:trHeight w:val="638"/>
          <w:jc w:val="center"/>
        </w:trPr>
        <w:tc>
          <w:tcPr>
            <w:tcW w:w="1114" w:type="dxa"/>
            <w:tcMar>
              <w:top w:w="58" w:type="dxa"/>
              <w:left w:w="115" w:type="dxa"/>
              <w:bottom w:w="58" w:type="dxa"/>
              <w:right w:w="58" w:type="dxa"/>
            </w:tcMar>
            <w:vAlign w:val="center"/>
          </w:tcPr>
          <w:p w:rsidR="006253E7" w:rsidRPr="00C7222C" w:rsidRDefault="006253E7" w:rsidP="00F606BE">
            <w:pPr>
              <w:keepNext/>
              <w:keepLines/>
              <w:autoSpaceDE w:val="0"/>
              <w:autoSpaceDN w:val="0"/>
              <w:spacing w:after="0" w:line="240" w:lineRule="auto"/>
              <w:rPr>
                <w:rFonts w:asciiTheme="minorHAnsi" w:hAnsiTheme="minorHAnsi" w:cstheme="minorHAnsi"/>
                <w:b/>
                <w:color w:val="000000"/>
                <w:sz w:val="18"/>
                <w:szCs w:val="18"/>
              </w:rPr>
            </w:pPr>
            <w:r w:rsidRPr="00C7222C">
              <w:rPr>
                <w:rFonts w:asciiTheme="minorHAnsi" w:hAnsiTheme="minorHAnsi" w:cstheme="minorHAnsi"/>
                <w:b/>
                <w:color w:val="000000"/>
                <w:sz w:val="18"/>
                <w:szCs w:val="18"/>
              </w:rPr>
              <w:t>3</w:t>
            </w:r>
            <w:r w:rsidR="00DE1AE5" w:rsidRPr="00C7222C">
              <w:rPr>
                <w:rFonts w:asciiTheme="minorHAnsi" w:hAnsiTheme="minorHAnsi" w:cstheme="minorHAnsi"/>
                <w:b/>
                <w:color w:val="000000"/>
                <w:sz w:val="18"/>
                <w:szCs w:val="18"/>
              </w:rPr>
              <w:t xml:space="preserve">. </w:t>
            </w:r>
            <w:r w:rsidR="00DE1AE5" w:rsidRPr="00C7222C">
              <w:rPr>
                <w:rFonts w:asciiTheme="minorHAnsi" w:hAnsiTheme="minorHAnsi" w:cstheme="minorHAnsi"/>
                <w:b/>
                <w:sz w:val="18"/>
                <w:szCs w:val="18"/>
              </w:rPr>
              <w:t>Renewables Plus</w:t>
            </w:r>
            <w:r w:rsidRPr="00C7222C">
              <w:rPr>
                <w:rFonts w:asciiTheme="minorHAnsi" w:hAnsiTheme="minorHAnsi" w:cstheme="minorHAnsi"/>
                <w:b/>
                <w:color w:val="000000"/>
                <w:sz w:val="18"/>
                <w:szCs w:val="18"/>
                <w:vertAlign w:val="superscript"/>
              </w:rPr>
              <w:t>(</w:t>
            </w:r>
            <w:r w:rsidR="00F606BE">
              <w:rPr>
                <w:rFonts w:asciiTheme="minorHAnsi" w:hAnsiTheme="minorHAnsi" w:cstheme="minorHAnsi"/>
                <w:b/>
                <w:color w:val="000000"/>
                <w:sz w:val="18"/>
                <w:szCs w:val="18"/>
                <w:vertAlign w:val="superscript"/>
              </w:rPr>
              <w:t>d</w:t>
            </w:r>
            <w:r w:rsidRPr="00C7222C">
              <w:rPr>
                <w:rFonts w:asciiTheme="minorHAnsi" w:hAnsiTheme="minorHAnsi" w:cstheme="minorHAnsi"/>
                <w:b/>
                <w:color w:val="000000"/>
                <w:sz w:val="18"/>
                <w:szCs w:val="18"/>
                <w:vertAlign w:val="superscript"/>
              </w:rPr>
              <w:t>)</w:t>
            </w:r>
            <w:r w:rsidRPr="00C7222C">
              <w:rPr>
                <w:rFonts w:asciiTheme="minorHAnsi" w:hAnsiTheme="minorHAnsi" w:cstheme="minorHAnsi"/>
                <w:b/>
                <w:color w:val="000000"/>
                <w:sz w:val="18"/>
                <w:szCs w:val="18"/>
              </w:rPr>
              <w:t xml:space="preserve"> </w:t>
            </w:r>
          </w:p>
        </w:tc>
        <w:tc>
          <w:tcPr>
            <w:tcW w:w="1195" w:type="dxa"/>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½ in 2025</w:t>
            </w:r>
          </w:p>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½ in 2030</w:t>
            </w:r>
          </w:p>
        </w:tc>
        <w:tc>
          <w:tcPr>
            <w:tcW w:w="1440" w:type="dxa"/>
            <w:tcMar>
              <w:top w:w="58" w:type="dxa"/>
              <w:left w:w="58" w:type="dxa"/>
              <w:bottom w:w="58" w:type="dxa"/>
              <w:right w:w="58" w:type="dxa"/>
            </w:tcMar>
            <w:vAlign w:val="center"/>
          </w:tcPr>
          <w:p w:rsidR="00F66FB1" w:rsidRPr="00C7222C" w:rsidRDefault="00F66FB1" w:rsidP="000D4B7A">
            <w:pPr>
              <w:keepNext/>
              <w:keepLines/>
              <w:autoSpaceDE w:val="0"/>
              <w:autoSpaceDN w:val="0"/>
              <w:spacing w:before="40" w:after="4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Based on 2016 CELT forecast</w:t>
            </w:r>
          </w:p>
        </w:tc>
        <w:tc>
          <w:tcPr>
            <w:tcW w:w="1530" w:type="dxa"/>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8,000 MW (2025)</w:t>
            </w:r>
          </w:p>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12,000 MW (2030)</w:t>
            </w:r>
          </w:p>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p>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BTM PV 4,000 (2025)</w:t>
            </w:r>
          </w:p>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6,000 (2030)</w:t>
            </w:r>
          </w:p>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p>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Utility PV 4,000 (2025)</w:t>
            </w:r>
          </w:p>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6,000 (2030)</w:t>
            </w:r>
          </w:p>
          <w:p w:rsidR="00F66FB1" w:rsidRPr="00C7222C" w:rsidRDefault="00F66FB1" w:rsidP="000D4B7A">
            <w:pPr>
              <w:keepNext/>
              <w:keepLines/>
              <w:autoSpaceDE w:val="0"/>
              <w:autoSpaceDN w:val="0"/>
              <w:spacing w:after="0" w:line="240" w:lineRule="auto"/>
              <w:jc w:val="center"/>
              <w:rPr>
                <w:rFonts w:asciiTheme="minorHAnsi" w:hAnsiTheme="minorHAnsi" w:cstheme="minorHAnsi"/>
                <w:color w:val="000000"/>
                <w:sz w:val="18"/>
                <w:szCs w:val="18"/>
              </w:rPr>
            </w:pPr>
          </w:p>
          <w:p w:rsidR="00F66FB1" w:rsidRPr="00C7222C" w:rsidRDefault="00F66FB1"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Provided by</w:t>
            </w:r>
          </w:p>
          <w:p w:rsidR="00F66FB1" w:rsidRPr="00C7222C" w:rsidRDefault="00F66FB1"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NEPOOL</w:t>
            </w:r>
          </w:p>
        </w:tc>
        <w:tc>
          <w:tcPr>
            <w:tcW w:w="1440" w:type="dxa"/>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4,844 MW (2025)</w:t>
            </w:r>
          </w:p>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7,009 MW (2030)</w:t>
            </w:r>
          </w:p>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p>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Provided by NEPOOL end</w:t>
            </w:r>
          </w:p>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users</w:t>
            </w:r>
          </w:p>
        </w:tc>
        <w:tc>
          <w:tcPr>
            <w:tcW w:w="1440" w:type="dxa"/>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5,733 MW (2025)</w:t>
            </w:r>
          </w:p>
          <w:p w:rsidR="00F66FB1"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7,283 MW (2030)</w:t>
            </w:r>
          </w:p>
          <w:p w:rsidR="00F66FB1" w:rsidRPr="00C7222C" w:rsidRDefault="00F66FB1" w:rsidP="000D4B7A">
            <w:pPr>
              <w:keepNext/>
              <w:keepLines/>
              <w:autoSpaceDE w:val="0"/>
              <w:autoSpaceDN w:val="0"/>
              <w:spacing w:after="0" w:line="240" w:lineRule="auto"/>
              <w:jc w:val="center"/>
              <w:rPr>
                <w:rFonts w:asciiTheme="minorHAnsi" w:hAnsiTheme="minorHAnsi" w:cstheme="minorHAnsi"/>
                <w:color w:val="000000"/>
                <w:sz w:val="18"/>
                <w:szCs w:val="18"/>
              </w:rPr>
            </w:pPr>
          </w:p>
          <w:p w:rsidR="00F66FB1" w:rsidRPr="00C7222C" w:rsidRDefault="00F66FB1"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Provided by</w:t>
            </w:r>
          </w:p>
          <w:p w:rsidR="006253E7" w:rsidRPr="00C7222C" w:rsidRDefault="00F66FB1"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NEPOOL</w:t>
            </w:r>
          </w:p>
        </w:tc>
        <w:tc>
          <w:tcPr>
            <w:tcW w:w="1260" w:type="dxa"/>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None</w:t>
            </w:r>
          </w:p>
        </w:tc>
        <w:tc>
          <w:tcPr>
            <w:tcW w:w="1710" w:type="dxa"/>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Based on historical profiles plus additional imports</w:t>
            </w:r>
            <w:r w:rsidRPr="00C7222C">
              <w:rPr>
                <w:rFonts w:asciiTheme="minorHAnsi" w:hAnsiTheme="minorHAnsi" w:cstheme="minorHAnsi"/>
                <w:color w:val="000000"/>
                <w:sz w:val="18"/>
                <w:szCs w:val="18"/>
                <w:vertAlign w:val="superscript"/>
              </w:rPr>
              <w:t>(</w:t>
            </w:r>
            <w:r w:rsidR="00F606BE">
              <w:rPr>
                <w:rFonts w:asciiTheme="minorHAnsi" w:hAnsiTheme="minorHAnsi" w:cstheme="minorHAnsi"/>
                <w:color w:val="000000"/>
                <w:sz w:val="18"/>
                <w:szCs w:val="18"/>
                <w:vertAlign w:val="superscript"/>
              </w:rPr>
              <w:t>e</w:t>
            </w:r>
            <w:r w:rsidRPr="00C7222C">
              <w:rPr>
                <w:rFonts w:asciiTheme="minorHAnsi" w:hAnsiTheme="minorHAnsi" w:cstheme="minorHAnsi"/>
                <w:color w:val="000000"/>
                <w:sz w:val="18"/>
                <w:szCs w:val="18"/>
                <w:vertAlign w:val="superscript"/>
              </w:rPr>
              <w:t>)</w:t>
            </w:r>
          </w:p>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p>
        </w:tc>
      </w:tr>
      <w:tr w:rsidR="006253E7" w:rsidRPr="00C7222C" w:rsidTr="00C7222C">
        <w:trPr>
          <w:trHeight w:val="374"/>
          <w:jc w:val="center"/>
        </w:trPr>
        <w:tc>
          <w:tcPr>
            <w:tcW w:w="1114" w:type="dxa"/>
            <w:shd w:val="clear" w:color="auto" w:fill="DBE5F1" w:themeFill="accent1" w:themeFillTint="33"/>
            <w:tcMar>
              <w:top w:w="58" w:type="dxa"/>
              <w:left w:w="115" w:type="dxa"/>
              <w:bottom w:w="58" w:type="dxa"/>
              <w:right w:w="58" w:type="dxa"/>
            </w:tcMar>
            <w:vAlign w:val="center"/>
          </w:tcPr>
          <w:p w:rsidR="006253E7" w:rsidRPr="00C7222C" w:rsidRDefault="006253E7" w:rsidP="00C7222C">
            <w:pPr>
              <w:keepNext/>
              <w:keepLines/>
              <w:autoSpaceDE w:val="0"/>
              <w:autoSpaceDN w:val="0"/>
              <w:spacing w:after="0" w:line="240" w:lineRule="auto"/>
              <w:rPr>
                <w:rFonts w:asciiTheme="minorHAnsi" w:hAnsiTheme="minorHAnsi" w:cstheme="minorHAnsi"/>
                <w:b/>
                <w:color w:val="000000"/>
                <w:sz w:val="18"/>
                <w:szCs w:val="18"/>
              </w:rPr>
            </w:pPr>
            <w:r w:rsidRPr="00C7222C">
              <w:rPr>
                <w:rFonts w:asciiTheme="minorHAnsi" w:hAnsiTheme="minorHAnsi" w:cstheme="minorHAnsi"/>
                <w:b/>
                <w:color w:val="000000"/>
                <w:sz w:val="18"/>
                <w:szCs w:val="18"/>
              </w:rPr>
              <w:t>4</w:t>
            </w:r>
            <w:r w:rsidR="00C7222C" w:rsidRPr="00C7222C">
              <w:rPr>
                <w:rFonts w:asciiTheme="minorHAnsi" w:hAnsiTheme="minorHAnsi" w:cstheme="minorHAnsi"/>
                <w:b/>
                <w:color w:val="000000"/>
                <w:sz w:val="18"/>
                <w:szCs w:val="18"/>
              </w:rPr>
              <w:t>. No Retirements beyond FCA #10</w:t>
            </w:r>
          </w:p>
        </w:tc>
        <w:tc>
          <w:tcPr>
            <w:tcW w:w="1195" w:type="dxa"/>
            <w:shd w:val="clear" w:color="auto" w:fill="DBE5F1" w:themeFill="accent1" w:themeFillTint="33"/>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No retirements</w:t>
            </w:r>
            <w:r w:rsidR="000F0286" w:rsidRPr="00C7222C">
              <w:rPr>
                <w:rFonts w:asciiTheme="minorHAnsi" w:hAnsiTheme="minorHAnsi" w:cstheme="minorHAnsi"/>
                <w:color w:val="000000"/>
                <w:sz w:val="18"/>
                <w:szCs w:val="18"/>
              </w:rPr>
              <w:t xml:space="preserve"> beyond FCA #10</w:t>
            </w:r>
          </w:p>
        </w:tc>
        <w:tc>
          <w:tcPr>
            <w:tcW w:w="1440" w:type="dxa"/>
            <w:shd w:val="clear" w:color="auto" w:fill="DBE5F1" w:themeFill="accent1" w:themeFillTint="33"/>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Based on 2016 CELT forecast</w:t>
            </w:r>
          </w:p>
        </w:tc>
        <w:tc>
          <w:tcPr>
            <w:tcW w:w="1530" w:type="dxa"/>
            <w:shd w:val="clear" w:color="auto" w:fill="DBE5F1" w:themeFill="accent1" w:themeFillTint="33"/>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Based on 2016 forecast</w:t>
            </w:r>
          </w:p>
        </w:tc>
        <w:tc>
          <w:tcPr>
            <w:tcW w:w="1440" w:type="dxa"/>
            <w:shd w:val="clear" w:color="auto" w:fill="DBE5F1" w:themeFill="accent1" w:themeFillTint="33"/>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Based on 2016 forecast</w:t>
            </w:r>
          </w:p>
        </w:tc>
        <w:tc>
          <w:tcPr>
            <w:tcW w:w="1440" w:type="dxa"/>
            <w:shd w:val="clear" w:color="auto" w:fill="DBE5F1" w:themeFill="accent1" w:themeFillTint="33"/>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Existing plus those with I.3.9 approval</w:t>
            </w:r>
          </w:p>
        </w:tc>
        <w:tc>
          <w:tcPr>
            <w:tcW w:w="1260" w:type="dxa"/>
            <w:shd w:val="clear" w:color="auto" w:fill="DBE5F1" w:themeFill="accent1" w:themeFillTint="33"/>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NGCC</w:t>
            </w:r>
          </w:p>
        </w:tc>
        <w:tc>
          <w:tcPr>
            <w:tcW w:w="1710" w:type="dxa"/>
            <w:shd w:val="clear" w:color="auto" w:fill="DBE5F1" w:themeFill="accent1" w:themeFillTint="33"/>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Based on historical profiles</w:t>
            </w:r>
          </w:p>
        </w:tc>
      </w:tr>
      <w:tr w:rsidR="006253E7" w:rsidRPr="00C7222C" w:rsidTr="00C7222C">
        <w:trPr>
          <w:trHeight w:val="374"/>
          <w:jc w:val="center"/>
        </w:trPr>
        <w:tc>
          <w:tcPr>
            <w:tcW w:w="1114" w:type="dxa"/>
            <w:tcMar>
              <w:top w:w="58" w:type="dxa"/>
              <w:left w:w="115" w:type="dxa"/>
              <w:bottom w:w="58" w:type="dxa"/>
              <w:right w:w="58" w:type="dxa"/>
            </w:tcMar>
            <w:vAlign w:val="center"/>
          </w:tcPr>
          <w:p w:rsidR="006253E7" w:rsidRPr="00C7222C" w:rsidRDefault="006253E7" w:rsidP="00567108">
            <w:pPr>
              <w:keepNext/>
              <w:keepLines/>
              <w:autoSpaceDE w:val="0"/>
              <w:autoSpaceDN w:val="0"/>
              <w:spacing w:after="0" w:line="240" w:lineRule="auto"/>
              <w:rPr>
                <w:rFonts w:asciiTheme="minorHAnsi" w:hAnsiTheme="minorHAnsi" w:cstheme="minorHAnsi"/>
                <w:b/>
                <w:color w:val="000000"/>
                <w:sz w:val="18"/>
                <w:szCs w:val="18"/>
              </w:rPr>
            </w:pPr>
            <w:r w:rsidRPr="00C7222C">
              <w:rPr>
                <w:rFonts w:asciiTheme="minorHAnsi" w:hAnsiTheme="minorHAnsi" w:cstheme="minorHAnsi"/>
                <w:b/>
                <w:color w:val="000000"/>
                <w:sz w:val="18"/>
                <w:szCs w:val="18"/>
              </w:rPr>
              <w:t>5</w:t>
            </w:r>
            <w:r w:rsidR="00C7222C" w:rsidRPr="00C7222C">
              <w:rPr>
                <w:rFonts w:asciiTheme="minorHAnsi" w:hAnsiTheme="minorHAnsi" w:cstheme="minorHAnsi"/>
                <w:b/>
                <w:color w:val="000000"/>
                <w:sz w:val="18"/>
                <w:szCs w:val="18"/>
              </w:rPr>
              <w:t>.</w:t>
            </w:r>
            <w:r w:rsidRPr="00C7222C">
              <w:rPr>
                <w:rFonts w:asciiTheme="minorHAnsi" w:hAnsiTheme="minorHAnsi" w:cstheme="minorHAnsi"/>
                <w:b/>
                <w:color w:val="000000"/>
                <w:sz w:val="18"/>
                <w:szCs w:val="18"/>
              </w:rPr>
              <w:t xml:space="preserve"> </w:t>
            </w:r>
            <w:r w:rsidR="00C7222C" w:rsidRPr="00C7222C">
              <w:rPr>
                <w:rFonts w:asciiTheme="minorHAnsi" w:hAnsiTheme="minorHAnsi" w:cstheme="minorHAnsi"/>
                <w:b/>
                <w:color w:val="000000"/>
                <w:sz w:val="18"/>
                <w:szCs w:val="18"/>
              </w:rPr>
              <w:t>ACPs + Gas</w:t>
            </w:r>
          </w:p>
        </w:tc>
        <w:tc>
          <w:tcPr>
            <w:tcW w:w="1195" w:type="dxa"/>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½ in 2025</w:t>
            </w:r>
          </w:p>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½ in 2030</w:t>
            </w:r>
          </w:p>
        </w:tc>
        <w:tc>
          <w:tcPr>
            <w:tcW w:w="1440" w:type="dxa"/>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Based on 2016 CELT forecast</w:t>
            </w:r>
          </w:p>
        </w:tc>
        <w:tc>
          <w:tcPr>
            <w:tcW w:w="1530" w:type="dxa"/>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Based on 2016 CELT forecast</w:t>
            </w:r>
          </w:p>
        </w:tc>
        <w:tc>
          <w:tcPr>
            <w:tcW w:w="1440" w:type="dxa"/>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Based on 2016 CELT forecast</w:t>
            </w:r>
          </w:p>
        </w:tc>
        <w:tc>
          <w:tcPr>
            <w:tcW w:w="1440" w:type="dxa"/>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Existing plus those with I.3.9 approval</w:t>
            </w:r>
          </w:p>
        </w:tc>
        <w:tc>
          <w:tcPr>
            <w:tcW w:w="1260" w:type="dxa"/>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NGCC</w:t>
            </w:r>
          </w:p>
        </w:tc>
        <w:tc>
          <w:tcPr>
            <w:tcW w:w="1710" w:type="dxa"/>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Based on historical profiles</w:t>
            </w:r>
          </w:p>
        </w:tc>
      </w:tr>
      <w:tr w:rsidR="006253E7" w:rsidRPr="00C7222C" w:rsidTr="00C7222C">
        <w:trPr>
          <w:trHeight w:val="2313"/>
          <w:jc w:val="center"/>
        </w:trPr>
        <w:tc>
          <w:tcPr>
            <w:tcW w:w="1114" w:type="dxa"/>
            <w:shd w:val="clear" w:color="auto" w:fill="DBE5F1" w:themeFill="accent1" w:themeFillTint="33"/>
            <w:tcMar>
              <w:top w:w="58" w:type="dxa"/>
              <w:left w:w="115" w:type="dxa"/>
              <w:bottom w:w="58" w:type="dxa"/>
              <w:right w:w="58" w:type="dxa"/>
            </w:tcMar>
            <w:vAlign w:val="center"/>
          </w:tcPr>
          <w:p w:rsidR="006253E7" w:rsidRPr="00C7222C" w:rsidRDefault="006253E7" w:rsidP="00662F30">
            <w:pPr>
              <w:keepNext/>
              <w:keepLines/>
              <w:autoSpaceDE w:val="0"/>
              <w:autoSpaceDN w:val="0"/>
              <w:spacing w:after="0" w:line="240" w:lineRule="auto"/>
              <w:rPr>
                <w:rFonts w:asciiTheme="minorHAnsi" w:hAnsiTheme="minorHAnsi" w:cstheme="minorHAnsi"/>
                <w:b/>
                <w:color w:val="000000"/>
                <w:sz w:val="18"/>
                <w:szCs w:val="18"/>
              </w:rPr>
            </w:pPr>
            <w:r w:rsidRPr="00C7222C">
              <w:rPr>
                <w:rFonts w:asciiTheme="minorHAnsi" w:hAnsiTheme="minorHAnsi" w:cstheme="minorHAnsi"/>
                <w:b/>
                <w:color w:val="000000"/>
                <w:sz w:val="18"/>
                <w:szCs w:val="18"/>
              </w:rPr>
              <w:t>6</w:t>
            </w:r>
            <w:r w:rsidR="00C7222C" w:rsidRPr="00C7222C">
              <w:rPr>
                <w:rFonts w:asciiTheme="minorHAnsi" w:hAnsiTheme="minorHAnsi" w:cstheme="minorHAnsi"/>
                <w:b/>
                <w:color w:val="000000"/>
                <w:sz w:val="18"/>
                <w:szCs w:val="18"/>
              </w:rPr>
              <w:t>.</w:t>
            </w:r>
            <w:r w:rsidR="00C7222C" w:rsidRPr="00C7222C">
              <w:rPr>
                <w:rFonts w:asciiTheme="minorHAnsi" w:hAnsiTheme="minorHAnsi" w:cstheme="minorHAnsi"/>
                <w:sz w:val="18"/>
                <w:szCs w:val="18"/>
              </w:rPr>
              <w:t xml:space="preserve"> </w:t>
            </w:r>
            <w:r w:rsidR="00C7222C" w:rsidRPr="00C7222C">
              <w:rPr>
                <w:rFonts w:asciiTheme="minorHAnsi" w:hAnsiTheme="minorHAnsi" w:cstheme="minorHAnsi"/>
                <w:b/>
                <w:color w:val="000000"/>
                <w:sz w:val="18"/>
                <w:szCs w:val="18"/>
              </w:rPr>
              <w:t>RPSs + Geodiverse Renewables</w:t>
            </w:r>
          </w:p>
        </w:tc>
        <w:tc>
          <w:tcPr>
            <w:tcW w:w="1195" w:type="dxa"/>
            <w:shd w:val="clear" w:color="auto" w:fill="DBE5F1" w:themeFill="accent1" w:themeFillTint="33"/>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½ in 2025</w:t>
            </w:r>
          </w:p>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½ in 2030</w:t>
            </w:r>
          </w:p>
        </w:tc>
        <w:tc>
          <w:tcPr>
            <w:tcW w:w="1440" w:type="dxa"/>
            <w:shd w:val="clear" w:color="auto" w:fill="DBE5F1" w:themeFill="accent1" w:themeFillTint="33"/>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Based on 2016 CELT forecast</w:t>
            </w:r>
          </w:p>
        </w:tc>
        <w:tc>
          <w:tcPr>
            <w:tcW w:w="1530" w:type="dxa"/>
            <w:shd w:val="clear" w:color="auto" w:fill="DBE5F1" w:themeFill="accent1" w:themeFillTint="33"/>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p>
        </w:tc>
        <w:tc>
          <w:tcPr>
            <w:tcW w:w="1440" w:type="dxa"/>
            <w:shd w:val="clear" w:color="auto" w:fill="DBE5F1" w:themeFill="accent1" w:themeFillTint="33"/>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Based on 2016 CELT forecast</w:t>
            </w:r>
          </w:p>
        </w:tc>
        <w:tc>
          <w:tcPr>
            <w:tcW w:w="1440" w:type="dxa"/>
            <w:shd w:val="clear" w:color="auto" w:fill="DBE5F1" w:themeFill="accent1" w:themeFillTint="33"/>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Onshore wind</w:t>
            </w:r>
            <w:r w:rsidR="00355F94" w:rsidRPr="00C7222C">
              <w:rPr>
                <w:rFonts w:asciiTheme="minorHAnsi" w:hAnsiTheme="minorHAnsi" w:cstheme="minorHAnsi"/>
                <w:color w:val="000000"/>
                <w:sz w:val="18"/>
                <w:szCs w:val="18"/>
              </w:rPr>
              <w:t>:</w:t>
            </w:r>
            <w:r w:rsidR="00E318ED" w:rsidRPr="00C7222C">
              <w:rPr>
                <w:rFonts w:asciiTheme="minorHAnsi" w:hAnsiTheme="minorHAnsi" w:cstheme="minorHAnsi"/>
                <w:color w:val="000000"/>
                <w:sz w:val="18"/>
                <w:szCs w:val="18"/>
              </w:rPr>
              <w:t>2,509</w:t>
            </w:r>
            <w:r w:rsidR="000B1C7F" w:rsidRPr="00C7222C">
              <w:rPr>
                <w:rFonts w:asciiTheme="minorHAnsi" w:hAnsiTheme="minorHAnsi" w:cstheme="minorHAnsi"/>
                <w:color w:val="000000"/>
                <w:sz w:val="18"/>
                <w:szCs w:val="18"/>
              </w:rPr>
              <w:t xml:space="preserve"> </w:t>
            </w:r>
            <w:r w:rsidRPr="00C7222C">
              <w:rPr>
                <w:rFonts w:asciiTheme="minorHAnsi" w:hAnsiTheme="minorHAnsi" w:cstheme="minorHAnsi"/>
                <w:color w:val="000000"/>
                <w:sz w:val="18"/>
                <w:szCs w:val="18"/>
              </w:rPr>
              <w:t>MW</w:t>
            </w:r>
          </w:p>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(2025)</w:t>
            </w:r>
          </w:p>
          <w:p w:rsidR="006253E7" w:rsidRPr="00C7222C" w:rsidRDefault="00E318ED"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7,237</w:t>
            </w:r>
            <w:r w:rsidR="000B1C7F" w:rsidRPr="00C7222C">
              <w:rPr>
                <w:rFonts w:asciiTheme="minorHAnsi" w:hAnsiTheme="minorHAnsi" w:cstheme="minorHAnsi"/>
                <w:color w:val="000000"/>
                <w:sz w:val="18"/>
                <w:szCs w:val="18"/>
              </w:rPr>
              <w:t xml:space="preserve"> </w:t>
            </w:r>
            <w:r w:rsidR="006253E7" w:rsidRPr="00C7222C">
              <w:rPr>
                <w:rFonts w:asciiTheme="minorHAnsi" w:hAnsiTheme="minorHAnsi" w:cstheme="minorHAnsi"/>
                <w:color w:val="000000"/>
                <w:sz w:val="18"/>
                <w:szCs w:val="18"/>
              </w:rPr>
              <w:t>MW</w:t>
            </w:r>
          </w:p>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(2030)</w:t>
            </w:r>
          </w:p>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p>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Offshore wind:</w:t>
            </w:r>
          </w:p>
          <w:p w:rsidR="006253E7" w:rsidRPr="00C7222C" w:rsidRDefault="00E318ED"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1,753</w:t>
            </w:r>
            <w:r w:rsidR="000B1C7F" w:rsidRPr="00C7222C">
              <w:rPr>
                <w:rFonts w:asciiTheme="minorHAnsi" w:hAnsiTheme="minorHAnsi" w:cstheme="minorHAnsi"/>
                <w:color w:val="000000"/>
                <w:sz w:val="18"/>
                <w:szCs w:val="18"/>
              </w:rPr>
              <w:t xml:space="preserve"> </w:t>
            </w:r>
            <w:r w:rsidR="006253E7" w:rsidRPr="00C7222C">
              <w:rPr>
                <w:rFonts w:asciiTheme="minorHAnsi" w:hAnsiTheme="minorHAnsi" w:cstheme="minorHAnsi"/>
                <w:color w:val="000000"/>
                <w:sz w:val="18"/>
                <w:szCs w:val="18"/>
              </w:rPr>
              <w:t>MW</w:t>
            </w:r>
          </w:p>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(2025)</w:t>
            </w:r>
          </w:p>
          <w:p w:rsidR="006253E7" w:rsidRPr="00C7222C" w:rsidRDefault="00E318ED"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 xml:space="preserve">5,553 </w:t>
            </w:r>
            <w:r w:rsidR="006253E7" w:rsidRPr="00C7222C">
              <w:rPr>
                <w:rFonts w:asciiTheme="minorHAnsi" w:hAnsiTheme="minorHAnsi" w:cstheme="minorHAnsi"/>
                <w:color w:val="000000"/>
                <w:sz w:val="18"/>
                <w:szCs w:val="18"/>
              </w:rPr>
              <w:t>MW</w:t>
            </w:r>
          </w:p>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(2030)</w:t>
            </w:r>
          </w:p>
        </w:tc>
        <w:tc>
          <w:tcPr>
            <w:tcW w:w="1260" w:type="dxa"/>
            <w:shd w:val="clear" w:color="auto" w:fill="DBE5F1" w:themeFill="accent1" w:themeFillTint="33"/>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None</w:t>
            </w:r>
          </w:p>
        </w:tc>
        <w:tc>
          <w:tcPr>
            <w:tcW w:w="1710" w:type="dxa"/>
            <w:shd w:val="clear" w:color="auto" w:fill="DBE5F1" w:themeFill="accent1" w:themeFillTint="33"/>
            <w:tcMar>
              <w:top w:w="58" w:type="dxa"/>
              <w:left w:w="58" w:type="dxa"/>
              <w:bottom w:w="58" w:type="dxa"/>
              <w:right w:w="58" w:type="dxa"/>
            </w:tcMar>
            <w:vAlign w:val="center"/>
          </w:tcPr>
          <w:p w:rsidR="006253E7" w:rsidRPr="00C7222C" w:rsidRDefault="006253E7" w:rsidP="000D4B7A">
            <w:pPr>
              <w:keepNext/>
              <w:keepLines/>
              <w:autoSpaceDE w:val="0"/>
              <w:autoSpaceDN w:val="0"/>
              <w:spacing w:after="0" w:line="240" w:lineRule="auto"/>
              <w:jc w:val="center"/>
              <w:rPr>
                <w:rFonts w:asciiTheme="minorHAnsi" w:hAnsiTheme="minorHAnsi" w:cstheme="minorHAnsi"/>
                <w:color w:val="000000"/>
                <w:sz w:val="18"/>
                <w:szCs w:val="18"/>
              </w:rPr>
            </w:pPr>
            <w:r w:rsidRPr="00C7222C">
              <w:rPr>
                <w:rFonts w:asciiTheme="minorHAnsi" w:hAnsiTheme="minorHAnsi" w:cstheme="minorHAnsi"/>
                <w:color w:val="000000"/>
                <w:sz w:val="18"/>
                <w:szCs w:val="18"/>
              </w:rPr>
              <w:t>Based on historical profiles</w:t>
            </w:r>
          </w:p>
        </w:tc>
      </w:tr>
    </w:tbl>
    <w:p w:rsidR="006253E7" w:rsidRPr="00F606BE" w:rsidRDefault="006253E7" w:rsidP="006253E7">
      <w:pPr>
        <w:spacing w:before="120" w:after="80" w:line="240" w:lineRule="auto"/>
        <w:ind w:left="-540" w:hanging="270"/>
        <w:rPr>
          <w:rFonts w:ascii="Calibri" w:hAnsi="Calibri"/>
          <w:sz w:val="16"/>
          <w:szCs w:val="16"/>
        </w:rPr>
      </w:pPr>
      <w:r w:rsidRPr="00F606BE">
        <w:rPr>
          <w:rFonts w:ascii="Calibri" w:hAnsi="Calibri"/>
          <w:sz w:val="16"/>
          <w:szCs w:val="16"/>
        </w:rPr>
        <w:t xml:space="preserve">(a) </w:t>
      </w:r>
      <w:r w:rsidRPr="00F606BE">
        <w:rPr>
          <w:rFonts w:ascii="Calibri" w:hAnsi="Calibri"/>
          <w:sz w:val="16"/>
          <w:szCs w:val="16"/>
        </w:rPr>
        <w:tab/>
        <w:t xml:space="preserve">The study assumed that half the oldest oil and coal units will retire in 2025 and </w:t>
      </w:r>
      <w:r w:rsidR="00C15DF4" w:rsidRPr="00F606BE">
        <w:rPr>
          <w:rFonts w:ascii="Calibri" w:hAnsi="Calibri"/>
          <w:sz w:val="16"/>
          <w:szCs w:val="16"/>
        </w:rPr>
        <w:t xml:space="preserve">the </w:t>
      </w:r>
      <w:r w:rsidRPr="00F606BE">
        <w:rPr>
          <w:rFonts w:ascii="Calibri" w:hAnsi="Calibri"/>
          <w:sz w:val="16"/>
          <w:szCs w:val="16"/>
        </w:rPr>
        <w:t>remaining units will retire in 2030.</w:t>
      </w:r>
    </w:p>
    <w:p w:rsidR="00F606BE" w:rsidRPr="00F606BE" w:rsidRDefault="00F606BE" w:rsidP="006253E7">
      <w:pPr>
        <w:spacing w:before="120" w:after="80" w:line="240" w:lineRule="auto"/>
        <w:ind w:left="-540" w:hanging="270"/>
        <w:rPr>
          <w:rFonts w:ascii="Calibri" w:hAnsi="Calibri"/>
          <w:sz w:val="16"/>
          <w:szCs w:val="16"/>
        </w:rPr>
      </w:pPr>
      <w:r w:rsidRPr="00F606BE">
        <w:rPr>
          <w:rFonts w:ascii="Calibri" w:hAnsi="Calibri"/>
          <w:sz w:val="16"/>
          <w:szCs w:val="16"/>
        </w:rPr>
        <w:t xml:space="preserve">(b) </w:t>
      </w:r>
      <w:r w:rsidRPr="00F606BE">
        <w:rPr>
          <w:rFonts w:ascii="Calibri" w:hAnsi="Calibri"/>
          <w:sz w:val="16"/>
          <w:szCs w:val="16"/>
        </w:rPr>
        <w:tab/>
        <w:t>All megawatt values shown</w:t>
      </w:r>
      <w:r>
        <w:rPr>
          <w:rFonts w:ascii="Calibri" w:hAnsi="Calibri"/>
          <w:sz w:val="16"/>
          <w:szCs w:val="16"/>
        </w:rPr>
        <w:t>, including those for PV and wind,</w:t>
      </w:r>
      <w:r w:rsidRPr="00F606BE">
        <w:rPr>
          <w:rFonts w:ascii="Calibri" w:hAnsi="Calibri"/>
          <w:sz w:val="16"/>
          <w:szCs w:val="16"/>
        </w:rPr>
        <w:t xml:space="preserve"> are total nameplate values.</w:t>
      </w:r>
    </w:p>
    <w:p w:rsidR="00662F30" w:rsidRPr="00F606BE" w:rsidRDefault="006253E7" w:rsidP="006253E7">
      <w:pPr>
        <w:spacing w:after="80" w:line="240" w:lineRule="auto"/>
        <w:ind w:left="-540" w:hanging="270"/>
        <w:rPr>
          <w:rFonts w:asciiTheme="minorHAnsi" w:hAnsiTheme="minorHAnsi"/>
          <w:sz w:val="16"/>
          <w:szCs w:val="16"/>
        </w:rPr>
      </w:pPr>
      <w:r w:rsidRPr="00F606BE">
        <w:rPr>
          <w:rFonts w:ascii="Calibri" w:hAnsi="Calibri"/>
          <w:sz w:val="16"/>
          <w:szCs w:val="16"/>
        </w:rPr>
        <w:t>(</w:t>
      </w:r>
      <w:r w:rsidR="00F606BE" w:rsidRPr="00F606BE">
        <w:rPr>
          <w:rFonts w:ascii="Calibri" w:hAnsi="Calibri"/>
          <w:sz w:val="16"/>
          <w:szCs w:val="16"/>
        </w:rPr>
        <w:t>c</w:t>
      </w:r>
      <w:r w:rsidRPr="00F606BE">
        <w:rPr>
          <w:rFonts w:ascii="Calibri" w:hAnsi="Calibri"/>
          <w:sz w:val="16"/>
          <w:szCs w:val="16"/>
        </w:rPr>
        <w:t xml:space="preserve">) </w:t>
      </w:r>
      <w:r w:rsidRPr="00F606BE">
        <w:rPr>
          <w:rFonts w:ascii="Calibri" w:hAnsi="Calibri"/>
          <w:sz w:val="16"/>
          <w:szCs w:val="16"/>
        </w:rPr>
        <w:tab/>
      </w:r>
      <w:r w:rsidRPr="00F606BE">
        <w:rPr>
          <w:rFonts w:asciiTheme="minorHAnsi" w:hAnsiTheme="minorHAnsi"/>
          <w:sz w:val="16"/>
          <w:szCs w:val="16"/>
        </w:rPr>
        <w:t xml:space="preserve">The study assumed no </w:t>
      </w:r>
      <w:r w:rsidR="00CB52F6" w:rsidRPr="00F606BE">
        <w:rPr>
          <w:rFonts w:asciiTheme="minorHAnsi" w:hAnsiTheme="minorHAnsi"/>
          <w:sz w:val="16"/>
          <w:szCs w:val="16"/>
        </w:rPr>
        <w:t xml:space="preserve">energy </w:t>
      </w:r>
      <w:r w:rsidRPr="00F606BE">
        <w:rPr>
          <w:rFonts w:asciiTheme="minorHAnsi" w:hAnsiTheme="minorHAnsi"/>
          <w:sz w:val="16"/>
          <w:szCs w:val="16"/>
        </w:rPr>
        <w:t>transfer</w:t>
      </w:r>
      <w:r w:rsidR="00CB52F6" w:rsidRPr="00F606BE">
        <w:rPr>
          <w:rFonts w:asciiTheme="minorHAnsi" w:hAnsiTheme="minorHAnsi"/>
          <w:sz w:val="16"/>
          <w:szCs w:val="16"/>
        </w:rPr>
        <w:t>s</w:t>
      </w:r>
      <w:r w:rsidRPr="00F606BE">
        <w:rPr>
          <w:rFonts w:asciiTheme="minorHAnsi" w:hAnsiTheme="minorHAnsi"/>
          <w:sz w:val="16"/>
          <w:szCs w:val="16"/>
        </w:rPr>
        <w:t xml:space="preserve"> with New York</w:t>
      </w:r>
      <w:r w:rsidR="007073F2" w:rsidRPr="00F606BE">
        <w:rPr>
          <w:rFonts w:asciiTheme="minorHAnsi" w:hAnsiTheme="minorHAnsi"/>
          <w:sz w:val="16"/>
          <w:szCs w:val="16"/>
        </w:rPr>
        <w:t xml:space="preserve"> via the Cross-Sound Cable </w:t>
      </w:r>
      <w:r w:rsidR="000D4B7A">
        <w:rPr>
          <w:rFonts w:asciiTheme="minorHAnsi" w:hAnsiTheme="minorHAnsi"/>
          <w:sz w:val="16"/>
          <w:szCs w:val="16"/>
        </w:rPr>
        <w:t xml:space="preserve">(CSC) </w:t>
      </w:r>
      <w:r w:rsidR="007073F2" w:rsidRPr="00F606BE">
        <w:rPr>
          <w:rFonts w:asciiTheme="minorHAnsi" w:hAnsiTheme="minorHAnsi"/>
          <w:sz w:val="16"/>
          <w:szCs w:val="16"/>
        </w:rPr>
        <w:t>or New York AC interconnections</w:t>
      </w:r>
      <w:r w:rsidRPr="00F606BE">
        <w:rPr>
          <w:rFonts w:asciiTheme="minorHAnsi" w:hAnsiTheme="minorHAnsi"/>
          <w:sz w:val="16"/>
          <w:szCs w:val="16"/>
        </w:rPr>
        <w:t>.</w:t>
      </w:r>
      <w:r w:rsidR="007073F2" w:rsidRPr="00F606BE">
        <w:rPr>
          <w:rFonts w:asciiTheme="minorHAnsi" w:hAnsiTheme="minorHAnsi"/>
          <w:sz w:val="16"/>
          <w:szCs w:val="16"/>
        </w:rPr>
        <w:t xml:space="preserve"> </w:t>
      </w:r>
      <w:r w:rsidR="00CB52F6" w:rsidRPr="00F606BE">
        <w:rPr>
          <w:rFonts w:asciiTheme="minorHAnsi" w:hAnsiTheme="minorHAnsi"/>
          <w:sz w:val="16"/>
          <w:szCs w:val="16"/>
        </w:rPr>
        <w:t>But</w:t>
      </w:r>
      <w:r w:rsidR="007073F2" w:rsidRPr="00F606BE">
        <w:rPr>
          <w:rFonts w:asciiTheme="minorHAnsi" w:hAnsiTheme="minorHAnsi"/>
          <w:sz w:val="16"/>
          <w:szCs w:val="16"/>
        </w:rPr>
        <w:t xml:space="preserve"> import capacity include</w:t>
      </w:r>
      <w:r w:rsidR="00CB52F6" w:rsidRPr="00F606BE">
        <w:rPr>
          <w:rFonts w:asciiTheme="minorHAnsi" w:hAnsiTheme="minorHAnsi"/>
          <w:sz w:val="16"/>
          <w:szCs w:val="16"/>
        </w:rPr>
        <w:t>d</w:t>
      </w:r>
      <w:r w:rsidR="007073F2" w:rsidRPr="00F606BE">
        <w:rPr>
          <w:rFonts w:asciiTheme="minorHAnsi" w:hAnsiTheme="minorHAnsi"/>
          <w:sz w:val="16"/>
          <w:szCs w:val="16"/>
        </w:rPr>
        <w:t xml:space="preserve"> New York Power Authority imports under a long-term contract</w:t>
      </w:r>
      <w:r w:rsidR="005B3C04" w:rsidRPr="00F606BE">
        <w:rPr>
          <w:rFonts w:asciiTheme="minorHAnsi" w:hAnsiTheme="minorHAnsi"/>
          <w:sz w:val="16"/>
          <w:szCs w:val="16"/>
        </w:rPr>
        <w:t xml:space="preserve"> </w:t>
      </w:r>
      <w:r w:rsidR="00CB52F6" w:rsidRPr="00F606BE">
        <w:rPr>
          <w:rFonts w:asciiTheme="minorHAnsi" w:hAnsiTheme="minorHAnsi"/>
          <w:sz w:val="16"/>
          <w:szCs w:val="16"/>
        </w:rPr>
        <w:t>as part of the capacity mix of resources.</w:t>
      </w:r>
    </w:p>
    <w:p w:rsidR="006253E7" w:rsidRPr="00F606BE" w:rsidRDefault="006253E7" w:rsidP="006253E7">
      <w:pPr>
        <w:spacing w:after="80" w:line="240" w:lineRule="auto"/>
        <w:ind w:left="-540" w:hanging="270"/>
        <w:rPr>
          <w:rFonts w:ascii="Calibri" w:hAnsi="Calibri"/>
          <w:sz w:val="16"/>
          <w:szCs w:val="16"/>
        </w:rPr>
      </w:pPr>
      <w:r w:rsidRPr="00F606BE">
        <w:rPr>
          <w:rFonts w:ascii="Calibri" w:hAnsi="Calibri"/>
          <w:sz w:val="16"/>
          <w:szCs w:val="16"/>
        </w:rPr>
        <w:t>(</w:t>
      </w:r>
      <w:r w:rsidR="00F606BE" w:rsidRPr="00F606BE">
        <w:rPr>
          <w:rFonts w:ascii="Calibri" w:hAnsi="Calibri"/>
          <w:sz w:val="16"/>
          <w:szCs w:val="16"/>
        </w:rPr>
        <w:t>d</w:t>
      </w:r>
      <w:r w:rsidRPr="00F606BE">
        <w:rPr>
          <w:rFonts w:ascii="Calibri" w:hAnsi="Calibri"/>
          <w:sz w:val="16"/>
          <w:szCs w:val="16"/>
        </w:rPr>
        <w:t xml:space="preserve">) </w:t>
      </w:r>
      <w:r w:rsidRPr="00F606BE">
        <w:rPr>
          <w:rFonts w:ascii="Calibri" w:hAnsi="Calibri"/>
          <w:sz w:val="16"/>
          <w:szCs w:val="16"/>
        </w:rPr>
        <w:tab/>
        <w:t>For Scenario 3, the study used standard ISO models for the load-duration curves and locations of gross</w:t>
      </w:r>
      <w:r w:rsidR="00F41C4D" w:rsidRPr="00F606BE">
        <w:rPr>
          <w:rFonts w:ascii="Calibri" w:hAnsi="Calibri"/>
          <w:sz w:val="16"/>
          <w:szCs w:val="16"/>
        </w:rPr>
        <w:t xml:space="preserve"> demand</w:t>
      </w:r>
      <w:r w:rsidRPr="00F606BE">
        <w:rPr>
          <w:rFonts w:ascii="Calibri" w:hAnsi="Calibri"/>
          <w:sz w:val="16"/>
          <w:szCs w:val="16"/>
        </w:rPr>
        <w:t>, EE, and PV, consistent with Scenarios 1,</w:t>
      </w:r>
      <w:r w:rsidR="00662F30" w:rsidRPr="00F606BE">
        <w:rPr>
          <w:rFonts w:ascii="Calibri" w:hAnsi="Calibri"/>
          <w:sz w:val="16"/>
          <w:szCs w:val="16"/>
        </w:rPr>
        <w:t xml:space="preserve"> </w:t>
      </w:r>
      <w:r w:rsidRPr="00F606BE">
        <w:rPr>
          <w:rFonts w:ascii="Calibri" w:hAnsi="Calibri"/>
          <w:sz w:val="16"/>
          <w:szCs w:val="16"/>
        </w:rPr>
        <w:t>2, 4, 5</w:t>
      </w:r>
      <w:r w:rsidR="00C15DF4" w:rsidRPr="00F606BE">
        <w:rPr>
          <w:rFonts w:ascii="Calibri" w:hAnsi="Calibri"/>
          <w:sz w:val="16"/>
          <w:szCs w:val="16"/>
        </w:rPr>
        <w:t>,</w:t>
      </w:r>
      <w:r w:rsidRPr="00F606BE">
        <w:rPr>
          <w:rFonts w:ascii="Calibri" w:hAnsi="Calibri"/>
          <w:sz w:val="16"/>
          <w:szCs w:val="16"/>
        </w:rPr>
        <w:t xml:space="preserve"> and 6</w:t>
      </w:r>
      <w:r w:rsidR="00A36927" w:rsidRPr="00F606BE">
        <w:rPr>
          <w:rFonts w:ascii="Calibri" w:hAnsi="Calibri"/>
          <w:sz w:val="16"/>
          <w:szCs w:val="16"/>
        </w:rPr>
        <w:t xml:space="preserve"> (refer to Section </w:t>
      </w:r>
      <w:r w:rsidR="00A36927" w:rsidRPr="00F606BE">
        <w:rPr>
          <w:rFonts w:ascii="Calibri" w:hAnsi="Calibri"/>
          <w:sz w:val="16"/>
          <w:szCs w:val="16"/>
        </w:rPr>
        <w:fldChar w:fldCharType="begin"/>
      </w:r>
      <w:r w:rsidR="00A36927" w:rsidRPr="00F606BE">
        <w:rPr>
          <w:rFonts w:ascii="Calibri" w:hAnsi="Calibri"/>
          <w:sz w:val="16"/>
          <w:szCs w:val="16"/>
        </w:rPr>
        <w:instrText xml:space="preserve"> REF _Ref477778497 \r \h  \* MERGEFORMAT </w:instrText>
      </w:r>
      <w:r w:rsidR="00A36927" w:rsidRPr="00F606BE">
        <w:rPr>
          <w:rFonts w:ascii="Calibri" w:hAnsi="Calibri"/>
          <w:sz w:val="16"/>
          <w:szCs w:val="16"/>
        </w:rPr>
      </w:r>
      <w:r w:rsidR="00A36927" w:rsidRPr="00F606BE">
        <w:rPr>
          <w:rFonts w:ascii="Calibri" w:hAnsi="Calibri"/>
          <w:sz w:val="16"/>
          <w:szCs w:val="16"/>
        </w:rPr>
        <w:fldChar w:fldCharType="separate"/>
      </w:r>
      <w:r w:rsidR="00742B49" w:rsidRPr="00F606BE">
        <w:rPr>
          <w:rFonts w:ascii="Calibri" w:hAnsi="Calibri"/>
          <w:sz w:val="16"/>
          <w:szCs w:val="16"/>
        </w:rPr>
        <w:t>5.2</w:t>
      </w:r>
      <w:r w:rsidR="00A36927" w:rsidRPr="00F606BE">
        <w:rPr>
          <w:rFonts w:ascii="Calibri" w:hAnsi="Calibri"/>
          <w:sz w:val="16"/>
          <w:szCs w:val="16"/>
        </w:rPr>
        <w:fldChar w:fldCharType="end"/>
      </w:r>
      <w:r w:rsidR="00A36927" w:rsidRPr="00F606BE">
        <w:rPr>
          <w:rFonts w:ascii="Calibri" w:hAnsi="Calibri"/>
          <w:sz w:val="16"/>
          <w:szCs w:val="16"/>
        </w:rPr>
        <w:t>)</w:t>
      </w:r>
      <w:r w:rsidRPr="00F606BE">
        <w:rPr>
          <w:rFonts w:ascii="Calibri" w:hAnsi="Calibri"/>
          <w:sz w:val="16"/>
          <w:szCs w:val="16"/>
        </w:rPr>
        <w:t>.</w:t>
      </w:r>
      <w:r w:rsidR="00F66FB1" w:rsidRPr="00F606BE">
        <w:rPr>
          <w:rFonts w:ascii="Calibri" w:hAnsi="Calibri"/>
          <w:sz w:val="16"/>
          <w:szCs w:val="16"/>
        </w:rPr>
        <w:t xml:space="preserve"> Scenario 3 also reflects the addition of plug-in hybrid electric vehicles and distributed energy storage systems. </w:t>
      </w:r>
    </w:p>
    <w:p w:rsidR="006253E7" w:rsidRDefault="006253E7" w:rsidP="006253E7">
      <w:pPr>
        <w:spacing w:after="80" w:line="240" w:lineRule="auto"/>
        <w:ind w:left="-532" w:hanging="274"/>
        <w:rPr>
          <w:rFonts w:ascii="Calibri" w:hAnsi="Calibri"/>
          <w:sz w:val="16"/>
          <w:szCs w:val="16"/>
        </w:rPr>
      </w:pPr>
      <w:r w:rsidRPr="00F606BE">
        <w:rPr>
          <w:rFonts w:ascii="Calibri" w:hAnsi="Calibri"/>
          <w:sz w:val="16"/>
          <w:szCs w:val="16"/>
        </w:rPr>
        <w:t>(</w:t>
      </w:r>
      <w:r w:rsidR="00F606BE" w:rsidRPr="00F606BE">
        <w:rPr>
          <w:rFonts w:ascii="Calibri" w:hAnsi="Calibri"/>
          <w:sz w:val="16"/>
          <w:szCs w:val="16"/>
        </w:rPr>
        <w:t>e</w:t>
      </w:r>
      <w:r w:rsidRPr="00F606BE">
        <w:rPr>
          <w:rFonts w:ascii="Calibri" w:hAnsi="Calibri"/>
          <w:sz w:val="16"/>
          <w:szCs w:val="16"/>
        </w:rPr>
        <w:t xml:space="preserve">) </w:t>
      </w:r>
      <w:r w:rsidRPr="00F606BE">
        <w:rPr>
          <w:rFonts w:ascii="Calibri" w:hAnsi="Calibri"/>
          <w:sz w:val="16"/>
          <w:szCs w:val="16"/>
        </w:rPr>
        <w:tab/>
        <w:t>Scenario 3 assumes that two new tie lines between New England and Québec were added for importing hydroelectricity.</w:t>
      </w:r>
    </w:p>
    <w:p w:rsidR="006253E7" w:rsidRPr="00355F94" w:rsidRDefault="006253E7" w:rsidP="00F606BE">
      <w:pPr>
        <w:spacing w:after="80" w:line="240" w:lineRule="auto"/>
        <w:rPr>
          <w:rFonts w:asciiTheme="minorHAnsi" w:hAnsiTheme="minorHAnsi"/>
          <w:sz w:val="18"/>
          <w:szCs w:val="18"/>
        </w:rPr>
      </w:pPr>
    </w:p>
    <w:p w:rsidR="00F565D2" w:rsidRPr="00EA53ED" w:rsidRDefault="00F565D2" w:rsidP="002F71DB">
      <w:pPr>
        <w:pStyle w:val="Heading1"/>
      </w:pPr>
      <w:bookmarkStart w:id="80" w:name="_Toc477794617"/>
      <w:bookmarkStart w:id="81" w:name="_Toc477794618"/>
      <w:bookmarkEnd w:id="76"/>
      <w:bookmarkEnd w:id="77"/>
      <w:bookmarkEnd w:id="80"/>
      <w:bookmarkEnd w:id="81"/>
      <w:r>
        <w:lastRenderedPageBreak/>
        <w:br/>
      </w:r>
      <w:bookmarkStart w:id="82" w:name="_Ref162681656"/>
      <w:bookmarkStart w:id="83" w:name="_Toc165018188"/>
      <w:bookmarkStart w:id="84" w:name="_Ref166132635"/>
      <w:bookmarkStart w:id="85" w:name="_Ref166224497"/>
      <w:bookmarkStart w:id="86" w:name="_Toc173682265"/>
      <w:bookmarkStart w:id="87" w:name="_Ref476319012"/>
      <w:bookmarkStart w:id="88" w:name="_Toc486405969"/>
      <w:r w:rsidR="00A60F9F">
        <w:t>Methodology</w:t>
      </w:r>
      <w:r w:rsidR="000760E1">
        <w:t xml:space="preserve"> and</w:t>
      </w:r>
      <w:r w:rsidR="00A60F9F">
        <w:t xml:space="preserve"> Metrics</w:t>
      </w:r>
      <w:bookmarkEnd w:id="82"/>
      <w:bookmarkEnd w:id="83"/>
      <w:bookmarkEnd w:id="84"/>
      <w:bookmarkEnd w:id="85"/>
      <w:bookmarkEnd w:id="86"/>
      <w:bookmarkEnd w:id="87"/>
      <w:bookmarkEnd w:id="88"/>
    </w:p>
    <w:p w:rsidR="00C723E7" w:rsidRDefault="00BD7441" w:rsidP="00C723E7">
      <w:r w:rsidRPr="003A0CF2">
        <w:t>Th</w:t>
      </w:r>
      <w:r w:rsidR="00893A27">
        <w:t xml:space="preserve">is section </w:t>
      </w:r>
      <w:r w:rsidR="00D13B5B">
        <w:t xml:space="preserve">discusses the </w:t>
      </w:r>
      <w:r w:rsidR="00A60F9F">
        <w:t xml:space="preserve">methodology </w:t>
      </w:r>
      <w:r w:rsidR="00D13B5B">
        <w:t>used</w:t>
      </w:r>
      <w:r w:rsidR="00D13B5B" w:rsidRPr="003A0CF2">
        <w:t xml:space="preserve"> </w:t>
      </w:r>
      <w:r w:rsidR="005F3C4F">
        <w:t>in the 2016 NEPOOL Scenario Analysis</w:t>
      </w:r>
      <w:r w:rsidR="00A60F9F">
        <w:t xml:space="preserve"> </w:t>
      </w:r>
      <w:r w:rsidR="00A60F9F" w:rsidRPr="001A11D5">
        <w:t>to simulate</w:t>
      </w:r>
      <w:r w:rsidR="0097243A">
        <w:t xml:space="preserve"> the various futures</w:t>
      </w:r>
      <w:r w:rsidR="00A60F9F" w:rsidRPr="001A11D5">
        <w:t xml:space="preserve"> and </w:t>
      </w:r>
      <w:r w:rsidR="0097243A">
        <w:t xml:space="preserve">the metrics used to </w:t>
      </w:r>
      <w:r w:rsidR="00A60F9F" w:rsidRPr="001A11D5">
        <w:t>study the different scenarios</w:t>
      </w:r>
      <w:r w:rsidR="000357EE">
        <w:t>.</w:t>
      </w:r>
      <w:r w:rsidR="00A60F9F" w:rsidRPr="001A11D5">
        <w:t xml:space="preserve"> </w:t>
      </w:r>
    </w:p>
    <w:p w:rsidR="003E0BC0" w:rsidRPr="001A11D5" w:rsidRDefault="00C52E23" w:rsidP="001A11D5">
      <w:pPr>
        <w:pStyle w:val="Heading2"/>
      </w:pPr>
      <w:bookmarkStart w:id="89" w:name="_Toc486405970"/>
      <w:r w:rsidRPr="001A11D5">
        <w:t>Meth</w:t>
      </w:r>
      <w:r w:rsidR="00567108">
        <w:t>o</w:t>
      </w:r>
      <w:r w:rsidRPr="001A11D5">
        <w:t>dology</w:t>
      </w:r>
      <w:bookmarkEnd w:id="89"/>
    </w:p>
    <w:p w:rsidR="00E5063C" w:rsidRDefault="00A60F9F" w:rsidP="003E0BC0">
      <w:r w:rsidRPr="00A60F9F">
        <w:t xml:space="preserve">ABB’s GridView </w:t>
      </w:r>
      <w:r w:rsidR="003433E5">
        <w:t>program</w:t>
      </w:r>
      <w:r w:rsidR="009C437E">
        <w:t xml:space="preserve">, </w:t>
      </w:r>
      <w:r w:rsidR="009C437E" w:rsidRPr="001A11D5">
        <w:t xml:space="preserve">a </w:t>
      </w:r>
      <w:r w:rsidR="009C437E" w:rsidRPr="00E5063C">
        <w:t xml:space="preserve">common </w:t>
      </w:r>
      <w:r w:rsidR="003433E5" w:rsidRPr="00E5063C">
        <w:t>simulation</w:t>
      </w:r>
      <w:r w:rsidR="009C437E" w:rsidRPr="00E5063C">
        <w:t xml:space="preserve"> tool vetted before stakeholders</w:t>
      </w:r>
      <w:r w:rsidR="009C437E" w:rsidRPr="001A11D5">
        <w:t>,</w:t>
      </w:r>
      <w:r w:rsidR="009C437E" w:rsidRPr="00A60F9F">
        <w:t xml:space="preserve"> </w:t>
      </w:r>
      <w:r w:rsidR="003433E5">
        <w:t>calculate</w:t>
      </w:r>
      <w:r w:rsidR="009922B5">
        <w:t xml:space="preserve">s least-cost </w:t>
      </w:r>
      <w:r w:rsidR="009922B5" w:rsidRPr="00F43291">
        <w:t>transmission</w:t>
      </w:r>
      <w:r w:rsidR="009922B5" w:rsidRPr="00241D31">
        <w:t>-</w:t>
      </w:r>
      <w:r w:rsidR="009922B5" w:rsidRPr="00F43291">
        <w:t>security</w:t>
      </w:r>
      <w:r w:rsidR="009922B5">
        <w:t>-</w:t>
      </w:r>
      <w:r w:rsidR="009922B5" w:rsidRPr="00241D31">
        <w:t>c</w:t>
      </w:r>
      <w:r w:rsidR="009922B5" w:rsidRPr="00F43291">
        <w:t>onstrain</w:t>
      </w:r>
      <w:r w:rsidR="009922B5" w:rsidRPr="00241D31">
        <w:t xml:space="preserve">ed </w:t>
      </w:r>
      <w:r w:rsidR="009922B5" w:rsidRPr="00F43291">
        <w:t>unit</w:t>
      </w:r>
      <w:r w:rsidR="009922B5">
        <w:t xml:space="preserve"> commitment and economic dispatch under differing sets of assumptions and </w:t>
      </w:r>
      <w:r w:rsidR="009922B5" w:rsidRPr="00147DA2">
        <w:t>minimize</w:t>
      </w:r>
      <w:r w:rsidR="009922B5">
        <w:t>s</w:t>
      </w:r>
      <w:r w:rsidR="009922B5" w:rsidRPr="00147DA2">
        <w:t xml:space="preserve"> production costs </w:t>
      </w:r>
      <w:r w:rsidR="009922B5">
        <w:t xml:space="preserve">for a </w:t>
      </w:r>
      <w:r w:rsidR="009922B5" w:rsidRPr="00147DA2">
        <w:t>given set of unit characteristics</w:t>
      </w:r>
      <w:r w:rsidR="009922B5">
        <w:t xml:space="preserve">. The </w:t>
      </w:r>
      <w:r w:rsidR="00EF6097">
        <w:t xml:space="preserve">program can explicitly model a full network, but the New England </w:t>
      </w:r>
      <w:r w:rsidR="00056618">
        <w:t xml:space="preserve">study </w:t>
      </w:r>
      <w:r w:rsidR="009922B5">
        <w:t>model use</w:t>
      </w:r>
      <w:r w:rsidR="00EF6097">
        <w:t>d</w:t>
      </w:r>
      <w:r w:rsidR="009922B5">
        <w:t xml:space="preserve"> </w:t>
      </w:r>
      <w:r w:rsidR="00EF6097" w:rsidRPr="00E5063C">
        <w:t>a</w:t>
      </w:r>
      <w:r w:rsidR="009922B5" w:rsidRPr="00E5063C">
        <w:t xml:space="preserve"> “pipe and bubble” format, with “pipes” </w:t>
      </w:r>
      <w:r w:rsidR="009922B5" w:rsidRPr="00431087">
        <w:t xml:space="preserve">representing transmission </w:t>
      </w:r>
      <w:r w:rsidR="003433E5" w:rsidRPr="00431087">
        <w:t xml:space="preserve">interfaces connecting the </w:t>
      </w:r>
      <w:r w:rsidR="009922B5" w:rsidRPr="00431087">
        <w:t>“bubbles” representing the various planning areas.</w:t>
      </w:r>
      <w:r w:rsidR="009922B5" w:rsidRPr="00E5063C">
        <w:t xml:space="preserve"> </w:t>
      </w:r>
      <w:r w:rsidR="00EF6097">
        <w:t xml:space="preserve"> </w:t>
      </w:r>
    </w:p>
    <w:p w:rsidR="009922B5" w:rsidRDefault="00EF6097" w:rsidP="003E0BC0">
      <w:r>
        <w:t xml:space="preserve">The ISO system </w:t>
      </w:r>
      <w:r w:rsidR="009922B5" w:rsidRPr="00241D31">
        <w:t xml:space="preserve">was modeled as a constrained single area for unit commitment, and regional resources were economically dispatched in the simulations to respect the assumed </w:t>
      </w:r>
      <w:r w:rsidR="009922B5" w:rsidRPr="00E5063C">
        <w:t xml:space="preserve">transmission system security constraints </w:t>
      </w:r>
      <w:r w:rsidR="009922B5" w:rsidRPr="00447FC5">
        <w:t xml:space="preserve">under normal </w:t>
      </w:r>
      <w:r w:rsidR="009922B5">
        <w:t>and</w:t>
      </w:r>
      <w:r w:rsidR="009922B5" w:rsidRPr="00447FC5">
        <w:t xml:space="preserve"> contingency conditions.</w:t>
      </w:r>
      <w:r w:rsidR="009922B5">
        <w:t xml:space="preserve"> Depending on the case, the model dispatched </w:t>
      </w:r>
      <w:r w:rsidR="009922B5" w:rsidRPr="00147DA2">
        <w:t>up to 900 units (new</w:t>
      </w:r>
      <w:r w:rsidR="009922B5" w:rsidRPr="00447FC5">
        <w:t xml:space="preserve"> and existing) in New England</w:t>
      </w:r>
      <w:r w:rsidR="009922B5">
        <w:t xml:space="preserve">. </w:t>
      </w:r>
      <w:r w:rsidR="009922B5" w:rsidRPr="00241D31">
        <w:t xml:space="preserve">For each scenario’s set of </w:t>
      </w:r>
      <w:r w:rsidR="009922B5" w:rsidRPr="004F586B">
        <w:t xml:space="preserve">resources </w:t>
      </w:r>
      <w:r w:rsidR="009922B5" w:rsidRPr="00241D31">
        <w:t xml:space="preserve">(with their various operating characteristics), the simulation “dispatched” power plants to meet different levels of customer demand in every hour of the year being analyzed. These simulations established </w:t>
      </w:r>
      <w:r>
        <w:t xml:space="preserve">a </w:t>
      </w:r>
      <w:r w:rsidR="009922B5" w:rsidRPr="00241D31">
        <w:t xml:space="preserve">wide array of </w:t>
      </w:r>
      <w:r w:rsidR="009922B5" w:rsidRPr="004F586B">
        <w:t xml:space="preserve">hypothetical data </w:t>
      </w:r>
      <w:r w:rsidR="009922B5" w:rsidRPr="00241D31">
        <w:t>about how the electric power system “performed” in terms of reliability, economics, and environmental indicators and the effects of transmission system constraints.</w:t>
      </w:r>
      <w:r w:rsidR="009922B5">
        <w:t xml:space="preserve"> </w:t>
      </w:r>
    </w:p>
    <w:p w:rsidR="003E0BC0" w:rsidRDefault="003E0BC0" w:rsidP="003E0BC0">
      <w:r w:rsidRPr="00A60F9F">
        <w:t>The simulations created data sets for two separate years, 2025 and 2030. The year 2025 was selected because it represents the end of the current regional system planning horizon. The year 2030 was selected to show longer-term strategic results.</w:t>
      </w:r>
      <w:r w:rsidRPr="003E0BC0">
        <w:t xml:space="preserve"> </w:t>
      </w:r>
    </w:p>
    <w:p w:rsidR="000760E1" w:rsidRPr="00386A98" w:rsidRDefault="000760E1" w:rsidP="000760E1">
      <w:pPr>
        <w:pStyle w:val="Heading2"/>
      </w:pPr>
      <w:bookmarkStart w:id="90" w:name="_Toc486405971"/>
      <w:r w:rsidRPr="00386A98">
        <w:t>Metrics Analyzed</w:t>
      </w:r>
      <w:bookmarkEnd w:id="90"/>
    </w:p>
    <w:p w:rsidR="000760E1" w:rsidRDefault="006E23F2" w:rsidP="000760E1">
      <w:r w:rsidRPr="00386A98">
        <w:t>Grid</w:t>
      </w:r>
      <w:r w:rsidR="002C0C8F">
        <w:t>V</w:t>
      </w:r>
      <w:r w:rsidRPr="00386A98">
        <w:t>iew simulated regional electricity production, the costs to produce and purchase it, energy interchange profiles with neighboring systems, and some of the potential environmental impacts</w:t>
      </w:r>
      <w:r w:rsidR="00386A98" w:rsidRPr="00386A98">
        <w:t xml:space="preserve">, </w:t>
      </w:r>
      <w:r w:rsidRPr="00386A98">
        <w:t xml:space="preserve">taking into account the set of assumptions applied for each scenario (as described in </w:t>
      </w:r>
      <w:r w:rsidRPr="00386A98">
        <w:fldChar w:fldCharType="begin"/>
      </w:r>
      <w:r w:rsidRPr="00386A98">
        <w:instrText xml:space="preserve"> REF _Ref477520325 \r \h </w:instrText>
      </w:r>
      <w:r w:rsidR="00386A98">
        <w:instrText xml:space="preserve"> \* MERGEFORMAT </w:instrText>
      </w:r>
      <w:r w:rsidRPr="00386A98">
        <w:fldChar w:fldCharType="separate"/>
      </w:r>
      <w:r w:rsidR="00742B49">
        <w:t>Section 5</w:t>
      </w:r>
      <w:r w:rsidRPr="00386A98">
        <w:fldChar w:fldCharType="end"/>
      </w:r>
      <w:r w:rsidRPr="00386A98">
        <w:t>).</w:t>
      </w:r>
      <w:r w:rsidR="00F61B07">
        <w:t xml:space="preserve"> </w:t>
      </w:r>
      <w:r w:rsidR="00505693">
        <w:t>Several metrics</w:t>
      </w:r>
      <w:r w:rsidR="006A00F7">
        <w:t>, such as production cost,</w:t>
      </w:r>
      <w:r w:rsidR="00505693">
        <w:t xml:space="preserve"> are the direct result of the GridView simulation</w:t>
      </w:r>
      <w:r w:rsidR="00066296">
        <w:t xml:space="preserve"> output</w:t>
      </w:r>
      <w:r w:rsidR="00505693">
        <w:t>s</w:t>
      </w:r>
      <w:r w:rsidR="006A00F7">
        <w:t xml:space="preserve">, while others combined GridView metrics with ones that were not direct outputs of the program, such as relative annual resource costs (RARCs) (see </w:t>
      </w:r>
      <w:r w:rsidR="00386A98">
        <w:t>Section </w:t>
      </w:r>
      <w:r w:rsidR="00F61B07">
        <w:fldChar w:fldCharType="begin"/>
      </w:r>
      <w:r w:rsidR="00F61B07">
        <w:instrText xml:space="preserve"> REF _Ref480453086 \r \h </w:instrText>
      </w:r>
      <w:r w:rsidR="00F61B07">
        <w:fldChar w:fldCharType="separate"/>
      </w:r>
      <w:r w:rsidR="00742B49">
        <w:t>6.4</w:t>
      </w:r>
      <w:r w:rsidR="00F61B07">
        <w:fldChar w:fldCharType="end"/>
      </w:r>
      <w:r w:rsidR="006A00F7">
        <w:t xml:space="preserve">). </w:t>
      </w:r>
      <w:r w:rsidR="00C2306E">
        <w:t>The ISO developed</w:t>
      </w:r>
      <w:r w:rsidR="006A00F7">
        <w:t xml:space="preserve"> additional </w:t>
      </w:r>
      <w:r w:rsidR="00092637">
        <w:t>metrics;</w:t>
      </w:r>
      <w:r w:rsidR="006A00F7">
        <w:t xml:space="preserve"> including </w:t>
      </w:r>
      <w:r w:rsidR="0088077F">
        <w:t>high order</w:t>
      </w:r>
      <w:r w:rsidR="00535A3A">
        <w:t>-</w:t>
      </w:r>
      <w:r w:rsidR="0088077F">
        <w:t>of</w:t>
      </w:r>
      <w:r w:rsidR="00535A3A">
        <w:t>-</w:t>
      </w:r>
      <w:r w:rsidR="0088077F">
        <w:t xml:space="preserve">magnitude estimates of </w:t>
      </w:r>
      <w:r w:rsidR="00195218">
        <w:t>transmission-development costs</w:t>
      </w:r>
      <w:r w:rsidR="00F61B07">
        <w:t xml:space="preserve"> (see Section </w:t>
      </w:r>
      <w:r w:rsidR="00F61B07">
        <w:fldChar w:fldCharType="begin"/>
      </w:r>
      <w:r w:rsidR="00F61B07">
        <w:instrText xml:space="preserve"> REF _Ref480453132 \r \h </w:instrText>
      </w:r>
      <w:r w:rsidR="00F61B07">
        <w:fldChar w:fldCharType="separate"/>
      </w:r>
      <w:r w:rsidR="00742B49">
        <w:t>6.3</w:t>
      </w:r>
      <w:r w:rsidR="00F61B07">
        <w:fldChar w:fldCharType="end"/>
      </w:r>
      <w:r w:rsidR="00F61B07">
        <w:t>)</w:t>
      </w:r>
      <w:r w:rsidR="006A00F7">
        <w:t xml:space="preserve">. </w:t>
      </w:r>
      <w:r w:rsidR="00EF6097" w:rsidRPr="00E5063C">
        <w:t xml:space="preserve">Table 4-1 </w:t>
      </w:r>
      <w:r w:rsidR="000760E1" w:rsidRPr="00E5063C">
        <w:t>summarizes the metrics generated for analyzing the scenarios</w:t>
      </w:r>
      <w:r w:rsidR="000760E1">
        <w:t>.</w:t>
      </w:r>
    </w:p>
    <w:p w:rsidR="000760E1" w:rsidRPr="00010076" w:rsidRDefault="000760E1" w:rsidP="000760E1">
      <w:pPr>
        <w:pStyle w:val="Caption"/>
        <w:jc w:val="center"/>
      </w:pPr>
      <w:bookmarkStart w:id="91" w:name="_Toc486406014"/>
      <w:r>
        <w:lastRenderedPageBreak/>
        <w:t xml:space="preserve">Table </w:t>
      </w:r>
      <w:fldSimple w:instr=" STYLEREF 1 \s ">
        <w:r w:rsidR="004248FE">
          <w:rPr>
            <w:noProof/>
          </w:rPr>
          <w:t>4</w:t>
        </w:r>
      </w:fldSimple>
      <w:r w:rsidR="004248FE">
        <w:noBreakHyphen/>
      </w:r>
      <w:fldSimple w:instr=" SEQ Table \* ARABIC \s 1 ">
        <w:r w:rsidR="004248FE">
          <w:rPr>
            <w:noProof/>
          </w:rPr>
          <w:t>1</w:t>
        </w:r>
      </w:fldSimple>
      <w:r>
        <w:br/>
        <w:t>Metrics Analyzed in the 2016 NEPOOL Scenario Analysis</w:t>
      </w:r>
      <w:bookmarkEnd w:id="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0760E1" w:rsidRPr="00431CC2" w:rsidTr="000760E1">
        <w:trPr>
          <w:cantSplit/>
          <w:jc w:val="center"/>
        </w:trPr>
        <w:tc>
          <w:tcPr>
            <w:tcW w:w="2394" w:type="dxa"/>
            <w:shd w:val="clear" w:color="auto" w:fill="4F81BD" w:themeFill="accent1"/>
            <w:vAlign w:val="center"/>
          </w:tcPr>
          <w:p w:rsidR="000760E1" w:rsidRPr="009069E8" w:rsidRDefault="000760E1" w:rsidP="000760E1">
            <w:pPr>
              <w:keepNext/>
              <w:keepLines/>
              <w:widowControl w:val="0"/>
              <w:spacing w:before="40" w:after="40" w:line="240" w:lineRule="auto"/>
              <w:jc w:val="center"/>
              <w:rPr>
                <w:rFonts w:asciiTheme="minorHAnsi" w:hAnsiTheme="minorHAnsi"/>
                <w:b/>
                <w:color w:val="FFFFFF" w:themeColor="background1"/>
                <w:sz w:val="18"/>
                <w:szCs w:val="18"/>
              </w:rPr>
            </w:pPr>
            <w:r w:rsidRPr="009069E8">
              <w:rPr>
                <w:rFonts w:asciiTheme="minorHAnsi" w:hAnsiTheme="minorHAnsi"/>
                <w:b/>
                <w:color w:val="FFFFFF" w:themeColor="background1"/>
                <w:sz w:val="18"/>
                <w:szCs w:val="18"/>
              </w:rPr>
              <w:t>Economic</w:t>
            </w:r>
            <w:r w:rsidR="00C54DD6">
              <w:rPr>
                <w:rFonts w:asciiTheme="minorHAnsi" w:hAnsiTheme="minorHAnsi"/>
                <w:b/>
                <w:color w:val="FFFFFF" w:themeColor="background1"/>
                <w:sz w:val="18"/>
                <w:szCs w:val="18"/>
              </w:rPr>
              <w:t xml:space="preserve"> </w:t>
            </w:r>
          </w:p>
        </w:tc>
        <w:tc>
          <w:tcPr>
            <w:tcW w:w="2394" w:type="dxa"/>
            <w:shd w:val="clear" w:color="auto" w:fill="4F81BD" w:themeFill="accent1"/>
            <w:vAlign w:val="center"/>
          </w:tcPr>
          <w:p w:rsidR="000760E1" w:rsidRPr="009069E8" w:rsidRDefault="000760E1" w:rsidP="000760E1">
            <w:pPr>
              <w:keepNext/>
              <w:keepLines/>
              <w:widowControl w:val="0"/>
              <w:spacing w:before="40" w:after="40" w:line="240" w:lineRule="auto"/>
              <w:jc w:val="center"/>
              <w:rPr>
                <w:rFonts w:asciiTheme="minorHAnsi" w:hAnsiTheme="minorHAnsi"/>
                <w:b/>
                <w:color w:val="FFFFFF" w:themeColor="background1"/>
                <w:sz w:val="18"/>
                <w:szCs w:val="18"/>
              </w:rPr>
            </w:pPr>
            <w:r w:rsidRPr="009069E8">
              <w:rPr>
                <w:rFonts w:asciiTheme="minorHAnsi" w:hAnsiTheme="minorHAnsi"/>
                <w:b/>
                <w:color w:val="FFFFFF" w:themeColor="background1"/>
                <w:sz w:val="18"/>
                <w:szCs w:val="18"/>
              </w:rPr>
              <w:t>Resource</w:t>
            </w:r>
          </w:p>
        </w:tc>
        <w:tc>
          <w:tcPr>
            <w:tcW w:w="2394" w:type="dxa"/>
            <w:shd w:val="clear" w:color="auto" w:fill="4F81BD" w:themeFill="accent1"/>
            <w:vAlign w:val="center"/>
          </w:tcPr>
          <w:p w:rsidR="000760E1" w:rsidRPr="009069E8" w:rsidRDefault="000760E1" w:rsidP="000760E1">
            <w:pPr>
              <w:keepNext/>
              <w:keepLines/>
              <w:widowControl w:val="0"/>
              <w:spacing w:before="40" w:after="40" w:line="240" w:lineRule="auto"/>
              <w:jc w:val="center"/>
              <w:rPr>
                <w:rFonts w:asciiTheme="minorHAnsi" w:hAnsiTheme="minorHAnsi"/>
                <w:b/>
                <w:color w:val="FFFFFF" w:themeColor="background1"/>
                <w:sz w:val="18"/>
                <w:szCs w:val="18"/>
              </w:rPr>
            </w:pPr>
            <w:r w:rsidRPr="009069E8">
              <w:rPr>
                <w:rFonts w:asciiTheme="minorHAnsi" w:hAnsiTheme="minorHAnsi"/>
                <w:b/>
                <w:color w:val="FFFFFF" w:themeColor="background1"/>
                <w:sz w:val="18"/>
                <w:szCs w:val="18"/>
              </w:rPr>
              <w:t>Transmission</w:t>
            </w:r>
            <w:r w:rsidRPr="009069E8">
              <w:rPr>
                <w:rFonts w:asciiTheme="minorHAnsi" w:hAnsiTheme="minorHAnsi"/>
                <w:b/>
                <w:color w:val="FFFFFF" w:themeColor="background1"/>
                <w:sz w:val="18"/>
                <w:szCs w:val="18"/>
                <w:vertAlign w:val="superscript"/>
              </w:rPr>
              <w:t>(</w:t>
            </w:r>
            <w:r>
              <w:rPr>
                <w:rFonts w:asciiTheme="minorHAnsi" w:hAnsiTheme="minorHAnsi"/>
                <w:b/>
                <w:color w:val="FFFFFF" w:themeColor="background1"/>
                <w:sz w:val="18"/>
                <w:szCs w:val="18"/>
                <w:vertAlign w:val="superscript"/>
              </w:rPr>
              <w:t>a</w:t>
            </w:r>
            <w:r w:rsidRPr="009069E8">
              <w:rPr>
                <w:rFonts w:asciiTheme="minorHAnsi" w:hAnsiTheme="minorHAnsi"/>
                <w:b/>
                <w:color w:val="FFFFFF" w:themeColor="background1"/>
                <w:sz w:val="18"/>
                <w:szCs w:val="18"/>
                <w:vertAlign w:val="superscript"/>
              </w:rPr>
              <w:t>)</w:t>
            </w:r>
          </w:p>
        </w:tc>
        <w:tc>
          <w:tcPr>
            <w:tcW w:w="2394" w:type="dxa"/>
            <w:shd w:val="clear" w:color="auto" w:fill="4F81BD" w:themeFill="accent1"/>
            <w:vAlign w:val="center"/>
          </w:tcPr>
          <w:p w:rsidR="000760E1" w:rsidRPr="009069E8" w:rsidRDefault="000760E1" w:rsidP="000760E1">
            <w:pPr>
              <w:keepNext/>
              <w:keepLines/>
              <w:widowControl w:val="0"/>
              <w:spacing w:before="40" w:after="40" w:line="240" w:lineRule="auto"/>
              <w:jc w:val="center"/>
              <w:rPr>
                <w:rFonts w:asciiTheme="minorHAnsi" w:hAnsiTheme="minorHAnsi"/>
                <w:b/>
                <w:color w:val="FFFFFF" w:themeColor="background1"/>
                <w:sz w:val="18"/>
                <w:szCs w:val="18"/>
              </w:rPr>
            </w:pPr>
            <w:r w:rsidRPr="009069E8">
              <w:rPr>
                <w:rFonts w:asciiTheme="minorHAnsi" w:hAnsiTheme="minorHAnsi"/>
                <w:b/>
                <w:color w:val="FFFFFF" w:themeColor="background1"/>
                <w:sz w:val="18"/>
                <w:szCs w:val="18"/>
              </w:rPr>
              <w:t>Environmental</w:t>
            </w:r>
          </w:p>
        </w:tc>
      </w:tr>
      <w:tr w:rsidR="00F3107C" w:rsidRPr="008A5837" w:rsidTr="000760E1">
        <w:trPr>
          <w:cantSplit/>
          <w:jc w:val="center"/>
        </w:trPr>
        <w:tc>
          <w:tcPr>
            <w:tcW w:w="2394" w:type="dxa"/>
            <w:shd w:val="clear" w:color="auto" w:fill="auto"/>
            <w:vAlign w:val="center"/>
          </w:tcPr>
          <w:p w:rsidR="00F3107C" w:rsidRPr="009069E8" w:rsidRDefault="00F3107C" w:rsidP="003369B6">
            <w:pPr>
              <w:keepNext/>
              <w:keepLines/>
              <w:widowControl w:val="0"/>
              <w:spacing w:before="40" w:after="40" w:line="240" w:lineRule="auto"/>
              <w:rPr>
                <w:rFonts w:asciiTheme="minorHAnsi" w:hAnsiTheme="minorHAnsi"/>
                <w:sz w:val="18"/>
                <w:szCs w:val="18"/>
              </w:rPr>
            </w:pPr>
            <w:r w:rsidRPr="009069E8">
              <w:rPr>
                <w:rFonts w:asciiTheme="minorHAnsi" w:hAnsiTheme="minorHAnsi"/>
                <w:sz w:val="18"/>
                <w:szCs w:val="18"/>
              </w:rPr>
              <w:t xml:space="preserve">Systemwide production costs, including energy production costs and unit-commitment </w:t>
            </w:r>
            <w:r w:rsidRPr="003533CD">
              <w:rPr>
                <w:rFonts w:asciiTheme="minorHAnsi" w:hAnsiTheme="minorHAnsi"/>
                <w:sz w:val="18"/>
                <w:szCs w:val="18"/>
              </w:rPr>
              <w:t>costs (</w:t>
            </w:r>
            <w:r w:rsidR="003369B6">
              <w:rPr>
                <w:rFonts w:asciiTheme="minorHAnsi" w:hAnsiTheme="minorHAnsi"/>
                <w:sz w:val="18"/>
                <w:szCs w:val="18"/>
              </w:rPr>
              <w:t xml:space="preserve">million dollars/year; </w:t>
            </w:r>
            <w:r w:rsidRPr="003533CD">
              <w:rPr>
                <w:rFonts w:asciiTheme="minorHAnsi" w:hAnsiTheme="minorHAnsi"/>
                <w:sz w:val="18"/>
                <w:szCs w:val="18"/>
              </w:rPr>
              <w:t>$M/year</w:t>
            </w:r>
            <w:r w:rsidRPr="009069E8">
              <w:rPr>
                <w:rFonts w:asciiTheme="minorHAnsi" w:hAnsiTheme="minorHAnsi"/>
                <w:sz w:val="18"/>
                <w:szCs w:val="18"/>
              </w:rPr>
              <w:t>)</w:t>
            </w:r>
          </w:p>
        </w:tc>
        <w:tc>
          <w:tcPr>
            <w:tcW w:w="2394" w:type="dxa"/>
            <w:shd w:val="clear" w:color="auto" w:fill="DBE5F1" w:themeFill="accent1" w:themeFillTint="33"/>
            <w:vAlign w:val="center"/>
          </w:tcPr>
          <w:p w:rsidR="00F3107C" w:rsidRPr="009069E8" w:rsidRDefault="00F3107C" w:rsidP="000760E1">
            <w:pPr>
              <w:keepNext/>
              <w:keepLines/>
              <w:widowControl w:val="0"/>
              <w:spacing w:before="40" w:after="40" w:line="240" w:lineRule="auto"/>
              <w:rPr>
                <w:rFonts w:asciiTheme="minorHAnsi" w:hAnsiTheme="minorHAnsi"/>
                <w:sz w:val="18"/>
                <w:szCs w:val="18"/>
              </w:rPr>
            </w:pPr>
            <w:r w:rsidRPr="009069E8">
              <w:rPr>
                <w:rFonts w:asciiTheme="minorHAnsi" w:hAnsiTheme="minorHAnsi"/>
                <w:sz w:val="18"/>
                <w:szCs w:val="18"/>
              </w:rPr>
              <w:t xml:space="preserve">Total production </w:t>
            </w:r>
            <w:r w:rsidRPr="00A36927">
              <w:rPr>
                <w:rFonts w:asciiTheme="minorHAnsi" w:hAnsiTheme="minorHAnsi"/>
                <w:sz w:val="18"/>
                <w:szCs w:val="18"/>
              </w:rPr>
              <w:t>in gigawatt-hours (GWh) and p</w:t>
            </w:r>
            <w:r w:rsidRPr="009069E8">
              <w:rPr>
                <w:rFonts w:asciiTheme="minorHAnsi" w:hAnsiTheme="minorHAnsi"/>
                <w:sz w:val="18"/>
                <w:szCs w:val="18"/>
              </w:rPr>
              <w:t>ercent</w:t>
            </w:r>
            <w:r>
              <w:rPr>
                <w:rFonts w:asciiTheme="minorHAnsi" w:hAnsiTheme="minorHAnsi"/>
                <w:sz w:val="18"/>
                <w:szCs w:val="18"/>
              </w:rPr>
              <w:t>age</w:t>
            </w:r>
            <w:r w:rsidRPr="009069E8">
              <w:rPr>
                <w:rFonts w:asciiTheme="minorHAnsi" w:hAnsiTheme="minorHAnsi"/>
                <w:sz w:val="18"/>
                <w:szCs w:val="18"/>
              </w:rPr>
              <w:t xml:space="preserve"> for each resource type, including imports</w:t>
            </w:r>
          </w:p>
        </w:tc>
        <w:tc>
          <w:tcPr>
            <w:tcW w:w="2394" w:type="dxa"/>
            <w:shd w:val="clear" w:color="auto" w:fill="auto"/>
            <w:vAlign w:val="center"/>
          </w:tcPr>
          <w:p w:rsidR="00F3107C" w:rsidRPr="009069E8" w:rsidRDefault="00F3107C" w:rsidP="00D52F93">
            <w:pPr>
              <w:keepNext/>
              <w:keepLines/>
              <w:widowControl w:val="0"/>
              <w:spacing w:before="40" w:after="40" w:line="240" w:lineRule="auto"/>
              <w:rPr>
                <w:rFonts w:asciiTheme="minorHAnsi" w:hAnsiTheme="minorHAnsi"/>
                <w:sz w:val="18"/>
                <w:szCs w:val="18"/>
              </w:rPr>
            </w:pPr>
            <w:r w:rsidRPr="00F3107C">
              <w:rPr>
                <w:rFonts w:asciiTheme="minorHAnsi" w:hAnsiTheme="minorHAnsi"/>
                <w:sz w:val="18"/>
                <w:szCs w:val="18"/>
              </w:rPr>
              <w:t>Megawatt (MW) flow-duration curves where the flows exceed 90% of the interface limit for the unconstrained cases</w:t>
            </w:r>
          </w:p>
        </w:tc>
        <w:tc>
          <w:tcPr>
            <w:tcW w:w="2394" w:type="dxa"/>
            <w:shd w:val="clear" w:color="auto" w:fill="DBE5F1" w:themeFill="accent1" w:themeFillTint="33"/>
            <w:vAlign w:val="center"/>
          </w:tcPr>
          <w:p w:rsidR="00F3107C" w:rsidRPr="009069E8" w:rsidRDefault="00F3107C" w:rsidP="00617796">
            <w:pPr>
              <w:keepNext/>
              <w:keepLines/>
              <w:widowControl w:val="0"/>
              <w:spacing w:before="40" w:after="40" w:line="240" w:lineRule="auto"/>
              <w:rPr>
                <w:rFonts w:asciiTheme="minorHAnsi" w:hAnsiTheme="minorHAnsi"/>
                <w:sz w:val="18"/>
                <w:szCs w:val="18"/>
              </w:rPr>
            </w:pPr>
            <w:r w:rsidRPr="009069E8">
              <w:rPr>
                <w:rFonts w:asciiTheme="minorHAnsi" w:hAnsiTheme="minorHAnsi"/>
                <w:sz w:val="18"/>
                <w:szCs w:val="18"/>
              </w:rPr>
              <w:t xml:space="preserve">Ability of resources to physically meet growth of </w:t>
            </w:r>
            <w:r w:rsidRPr="004451E8">
              <w:rPr>
                <w:rFonts w:asciiTheme="minorHAnsi" w:hAnsiTheme="minorHAnsi"/>
                <w:sz w:val="18"/>
                <w:szCs w:val="18"/>
              </w:rPr>
              <w:t>RPSs (megawatt-hours ;</w:t>
            </w:r>
            <w:r>
              <w:rPr>
                <w:rFonts w:asciiTheme="minorHAnsi" w:hAnsiTheme="minorHAnsi"/>
                <w:sz w:val="18"/>
                <w:szCs w:val="18"/>
              </w:rPr>
              <w:t xml:space="preserve"> </w:t>
            </w:r>
            <w:r w:rsidRPr="00617796">
              <w:rPr>
                <w:rFonts w:asciiTheme="minorHAnsi" w:hAnsiTheme="minorHAnsi"/>
                <w:sz w:val="18"/>
                <w:szCs w:val="18"/>
              </w:rPr>
              <w:t>MWh)</w:t>
            </w:r>
          </w:p>
        </w:tc>
      </w:tr>
      <w:tr w:rsidR="00F3107C" w:rsidRPr="008A5837" w:rsidTr="000760E1">
        <w:trPr>
          <w:cantSplit/>
          <w:jc w:val="center"/>
        </w:trPr>
        <w:tc>
          <w:tcPr>
            <w:tcW w:w="2394" w:type="dxa"/>
            <w:shd w:val="clear" w:color="auto" w:fill="auto"/>
            <w:vAlign w:val="center"/>
          </w:tcPr>
          <w:p w:rsidR="00F3107C" w:rsidRPr="009069E8" w:rsidRDefault="00F3107C" w:rsidP="006E23F2">
            <w:pPr>
              <w:keepNext/>
              <w:keepLines/>
              <w:widowControl w:val="0"/>
              <w:spacing w:before="40" w:after="40" w:line="240" w:lineRule="auto"/>
              <w:rPr>
                <w:rFonts w:asciiTheme="minorHAnsi" w:hAnsiTheme="minorHAnsi"/>
                <w:sz w:val="18"/>
                <w:szCs w:val="18"/>
              </w:rPr>
            </w:pPr>
            <w:r w:rsidRPr="009069E8">
              <w:rPr>
                <w:rFonts w:asciiTheme="minorHAnsi" w:hAnsiTheme="minorHAnsi"/>
                <w:sz w:val="18"/>
                <w:szCs w:val="18"/>
              </w:rPr>
              <w:t xml:space="preserve">Average locational marginal prices </w:t>
            </w:r>
            <w:r w:rsidRPr="00F3107C">
              <w:rPr>
                <w:rFonts w:asciiTheme="minorHAnsi" w:hAnsiTheme="minorHAnsi"/>
                <w:sz w:val="18"/>
                <w:szCs w:val="18"/>
              </w:rPr>
              <w:t>($/MWh)</w:t>
            </w:r>
          </w:p>
        </w:tc>
        <w:tc>
          <w:tcPr>
            <w:tcW w:w="2394" w:type="dxa"/>
            <w:shd w:val="clear" w:color="auto" w:fill="DBE5F1" w:themeFill="accent1" w:themeFillTint="33"/>
            <w:vAlign w:val="center"/>
          </w:tcPr>
          <w:p w:rsidR="00F3107C" w:rsidRPr="009069E8" w:rsidRDefault="00F3107C" w:rsidP="000760E1">
            <w:pPr>
              <w:keepNext/>
              <w:keepLines/>
              <w:widowControl w:val="0"/>
              <w:spacing w:before="40" w:after="40" w:line="240" w:lineRule="auto"/>
              <w:rPr>
                <w:rFonts w:asciiTheme="minorHAnsi" w:hAnsiTheme="minorHAnsi"/>
                <w:sz w:val="18"/>
                <w:szCs w:val="18"/>
              </w:rPr>
            </w:pPr>
            <w:r w:rsidRPr="009069E8">
              <w:rPr>
                <w:rFonts w:asciiTheme="minorHAnsi" w:hAnsiTheme="minorHAnsi"/>
                <w:sz w:val="18"/>
                <w:szCs w:val="18"/>
              </w:rPr>
              <w:t xml:space="preserve">Capacity factors of units that suggest the need for other types of </w:t>
            </w:r>
            <w:r w:rsidRPr="00EC096F">
              <w:rPr>
                <w:rFonts w:asciiTheme="minorHAnsi" w:hAnsiTheme="minorHAnsi"/>
                <w:sz w:val="18"/>
                <w:szCs w:val="18"/>
              </w:rPr>
              <w:t>resources</w:t>
            </w:r>
            <w:r w:rsidR="004451E8" w:rsidRPr="00EC096F">
              <w:rPr>
                <w:rFonts w:asciiTheme="minorHAnsi" w:hAnsiTheme="minorHAnsi"/>
                <w:sz w:val="18"/>
                <w:szCs w:val="18"/>
              </w:rPr>
              <w:t xml:space="preserve"> (%)</w:t>
            </w:r>
          </w:p>
        </w:tc>
        <w:tc>
          <w:tcPr>
            <w:tcW w:w="2394" w:type="dxa"/>
            <w:shd w:val="clear" w:color="auto" w:fill="auto"/>
            <w:vAlign w:val="center"/>
          </w:tcPr>
          <w:p w:rsidR="00F3107C" w:rsidRPr="009069E8" w:rsidRDefault="00F3107C" w:rsidP="000760E1">
            <w:pPr>
              <w:keepNext/>
              <w:keepLines/>
              <w:widowControl w:val="0"/>
              <w:spacing w:before="40" w:after="40" w:line="240" w:lineRule="auto"/>
              <w:rPr>
                <w:rFonts w:asciiTheme="minorHAnsi" w:hAnsiTheme="minorHAnsi"/>
                <w:sz w:val="18"/>
                <w:szCs w:val="18"/>
              </w:rPr>
            </w:pPr>
            <w:r w:rsidRPr="00F3107C">
              <w:rPr>
                <w:rFonts w:asciiTheme="minorHAnsi" w:hAnsiTheme="minorHAnsi"/>
                <w:sz w:val="18"/>
                <w:szCs w:val="18"/>
              </w:rPr>
              <w:t>Percentage of time that flows exceed 100% of the interface limit for unconstrained cases</w:t>
            </w:r>
          </w:p>
        </w:tc>
        <w:tc>
          <w:tcPr>
            <w:tcW w:w="2394" w:type="dxa"/>
            <w:shd w:val="clear" w:color="auto" w:fill="DBE5F1" w:themeFill="accent1" w:themeFillTint="33"/>
            <w:vAlign w:val="center"/>
          </w:tcPr>
          <w:p w:rsidR="00F3107C" w:rsidRPr="009069E8" w:rsidRDefault="00F3107C" w:rsidP="00D94D58">
            <w:pPr>
              <w:keepNext/>
              <w:keepLines/>
              <w:widowControl w:val="0"/>
              <w:spacing w:before="40" w:after="40" w:line="240" w:lineRule="auto"/>
              <w:rPr>
                <w:rFonts w:asciiTheme="minorHAnsi" w:hAnsiTheme="minorHAnsi"/>
                <w:sz w:val="18"/>
                <w:szCs w:val="18"/>
              </w:rPr>
            </w:pPr>
            <w:r w:rsidRPr="009069E8">
              <w:rPr>
                <w:rFonts w:asciiTheme="minorHAnsi" w:hAnsiTheme="minorHAnsi"/>
                <w:sz w:val="18"/>
                <w:szCs w:val="18"/>
              </w:rPr>
              <w:t xml:space="preserve">Total air emissions of </w:t>
            </w:r>
            <w:r>
              <w:rPr>
                <w:rFonts w:asciiTheme="minorHAnsi" w:hAnsiTheme="minorHAnsi"/>
                <w:sz w:val="18"/>
                <w:szCs w:val="18"/>
              </w:rPr>
              <w:t>carbon dioxide (</w:t>
            </w:r>
            <w:r w:rsidRPr="009069E8">
              <w:rPr>
                <w:rFonts w:asciiTheme="minorHAnsi" w:hAnsiTheme="minorHAnsi"/>
                <w:sz w:val="18"/>
                <w:szCs w:val="18"/>
              </w:rPr>
              <w:t>CO</w:t>
            </w:r>
            <w:r w:rsidRPr="009069E8">
              <w:rPr>
                <w:rFonts w:asciiTheme="minorHAnsi" w:hAnsiTheme="minorHAnsi"/>
                <w:sz w:val="18"/>
                <w:szCs w:val="18"/>
                <w:vertAlign w:val="subscript"/>
              </w:rPr>
              <w:t>2</w:t>
            </w:r>
            <w:r>
              <w:rPr>
                <w:rFonts w:asciiTheme="minorHAnsi" w:hAnsiTheme="minorHAnsi"/>
                <w:sz w:val="18"/>
                <w:szCs w:val="18"/>
              </w:rPr>
              <w:t>)</w:t>
            </w:r>
            <w:r w:rsidRPr="009069E8">
              <w:rPr>
                <w:rFonts w:asciiTheme="minorHAnsi" w:hAnsiTheme="minorHAnsi"/>
                <w:sz w:val="18"/>
                <w:szCs w:val="18"/>
              </w:rPr>
              <w:t xml:space="preserve"> compared with </w:t>
            </w:r>
            <w:r>
              <w:rPr>
                <w:rFonts w:asciiTheme="minorHAnsi" w:hAnsiTheme="minorHAnsi"/>
                <w:sz w:val="18"/>
                <w:szCs w:val="18"/>
              </w:rPr>
              <w:t xml:space="preserve">Regional Greenhouse Gas </w:t>
            </w:r>
            <w:r w:rsidRPr="00386A98">
              <w:rPr>
                <w:rFonts w:asciiTheme="minorHAnsi" w:hAnsiTheme="minorHAnsi"/>
                <w:sz w:val="18"/>
                <w:szCs w:val="18"/>
              </w:rPr>
              <w:t>Initiative (RGGI)</w:t>
            </w:r>
            <w:r w:rsidRPr="009069E8">
              <w:rPr>
                <w:rFonts w:asciiTheme="minorHAnsi" w:hAnsiTheme="minorHAnsi"/>
                <w:sz w:val="18"/>
                <w:szCs w:val="18"/>
              </w:rPr>
              <w:t xml:space="preserve"> regional goal (</w:t>
            </w:r>
            <w:r>
              <w:rPr>
                <w:rFonts w:asciiTheme="minorHAnsi" w:hAnsiTheme="minorHAnsi"/>
                <w:sz w:val="18"/>
                <w:szCs w:val="18"/>
              </w:rPr>
              <w:t>kilotons; k</w:t>
            </w:r>
            <w:r w:rsidRPr="009069E8">
              <w:rPr>
                <w:rFonts w:asciiTheme="minorHAnsi" w:hAnsiTheme="minorHAnsi"/>
                <w:sz w:val="18"/>
                <w:szCs w:val="18"/>
              </w:rPr>
              <w:t>tons)</w:t>
            </w:r>
            <w:r w:rsidR="00D94D58" w:rsidRPr="00EC096F">
              <w:rPr>
                <w:rFonts w:asciiTheme="minorHAnsi" w:hAnsiTheme="minorHAnsi"/>
                <w:sz w:val="18"/>
                <w:szCs w:val="18"/>
                <w:vertAlign w:val="superscript"/>
              </w:rPr>
              <w:t>(b)</w:t>
            </w:r>
          </w:p>
        </w:tc>
      </w:tr>
      <w:tr w:rsidR="00F3107C" w:rsidRPr="008A5837" w:rsidTr="000760E1">
        <w:trPr>
          <w:cantSplit/>
          <w:jc w:val="center"/>
        </w:trPr>
        <w:tc>
          <w:tcPr>
            <w:tcW w:w="2394" w:type="dxa"/>
            <w:shd w:val="clear" w:color="auto" w:fill="auto"/>
            <w:vAlign w:val="center"/>
          </w:tcPr>
          <w:p w:rsidR="00F3107C" w:rsidRPr="00F606BE" w:rsidRDefault="00F3107C" w:rsidP="000760E1">
            <w:pPr>
              <w:keepNext/>
              <w:keepLines/>
              <w:widowControl w:val="0"/>
              <w:spacing w:before="40" w:after="40" w:line="240" w:lineRule="auto"/>
              <w:rPr>
                <w:rFonts w:asciiTheme="minorHAnsi" w:hAnsiTheme="minorHAnsi"/>
                <w:sz w:val="18"/>
                <w:szCs w:val="18"/>
              </w:rPr>
            </w:pPr>
            <w:r w:rsidRPr="00F606BE">
              <w:rPr>
                <w:rFonts w:asciiTheme="minorHAnsi" w:hAnsiTheme="minorHAnsi"/>
                <w:sz w:val="18"/>
                <w:szCs w:val="18"/>
              </w:rPr>
              <w:t xml:space="preserve">Load-serving entity energy expenses and uplift </w:t>
            </w:r>
            <w:r w:rsidR="009425C6" w:rsidRPr="00F606BE">
              <w:rPr>
                <w:rFonts w:asciiTheme="minorHAnsi" w:hAnsiTheme="minorHAnsi"/>
                <w:sz w:val="18"/>
                <w:szCs w:val="18"/>
              </w:rPr>
              <w:t xml:space="preserve">(i.e., make-whole payments) </w:t>
            </w:r>
            <w:r w:rsidRPr="00F606BE">
              <w:rPr>
                <w:rFonts w:asciiTheme="minorHAnsi" w:hAnsiTheme="minorHAnsi"/>
                <w:sz w:val="18"/>
                <w:szCs w:val="18"/>
              </w:rPr>
              <w:t>($M/year)</w:t>
            </w:r>
          </w:p>
        </w:tc>
        <w:tc>
          <w:tcPr>
            <w:tcW w:w="2394" w:type="dxa"/>
            <w:shd w:val="clear" w:color="auto" w:fill="DBE5F1" w:themeFill="accent1" w:themeFillTint="33"/>
            <w:vAlign w:val="center"/>
          </w:tcPr>
          <w:p w:rsidR="00F3107C" w:rsidRPr="00F606BE" w:rsidRDefault="00F3107C" w:rsidP="000760E1">
            <w:pPr>
              <w:keepNext/>
              <w:keepLines/>
              <w:widowControl w:val="0"/>
              <w:spacing w:before="40" w:after="40" w:line="240" w:lineRule="auto"/>
              <w:rPr>
                <w:rFonts w:asciiTheme="minorHAnsi" w:hAnsiTheme="minorHAnsi"/>
                <w:sz w:val="18"/>
                <w:szCs w:val="18"/>
              </w:rPr>
            </w:pPr>
            <w:r w:rsidRPr="00F606BE">
              <w:rPr>
                <w:rFonts w:asciiTheme="minorHAnsi" w:hAnsiTheme="minorHAnsi"/>
                <w:sz w:val="18"/>
                <w:szCs w:val="18"/>
              </w:rPr>
              <w:t>The fuel that sets the marginal clearing price, summarized annually</w:t>
            </w:r>
          </w:p>
        </w:tc>
        <w:tc>
          <w:tcPr>
            <w:tcW w:w="2394" w:type="dxa"/>
            <w:shd w:val="clear" w:color="auto" w:fill="auto"/>
            <w:vAlign w:val="center"/>
          </w:tcPr>
          <w:p w:rsidR="00F3107C" w:rsidRPr="00F606BE" w:rsidRDefault="00F3107C" w:rsidP="000760E1">
            <w:pPr>
              <w:keepNext/>
              <w:keepLines/>
              <w:widowControl w:val="0"/>
              <w:spacing w:before="40" w:after="40" w:line="240" w:lineRule="auto"/>
              <w:rPr>
                <w:rFonts w:asciiTheme="minorHAnsi" w:hAnsiTheme="minorHAnsi"/>
                <w:sz w:val="18"/>
                <w:szCs w:val="18"/>
              </w:rPr>
            </w:pPr>
            <w:r w:rsidRPr="00F606BE">
              <w:rPr>
                <w:rFonts w:asciiTheme="minorHAnsi" w:hAnsiTheme="minorHAnsi"/>
                <w:sz w:val="18"/>
                <w:szCs w:val="18"/>
              </w:rPr>
              <w:t>Chronological curves for interface flows above 90% of the limit</w:t>
            </w:r>
          </w:p>
        </w:tc>
        <w:tc>
          <w:tcPr>
            <w:tcW w:w="2394" w:type="dxa"/>
            <w:shd w:val="clear" w:color="auto" w:fill="DBE5F1" w:themeFill="accent1" w:themeFillTint="33"/>
            <w:vAlign w:val="center"/>
          </w:tcPr>
          <w:p w:rsidR="00F3107C" w:rsidRPr="00617796" w:rsidRDefault="00F3107C" w:rsidP="00617796">
            <w:pPr>
              <w:keepNext/>
              <w:keepLines/>
              <w:widowControl w:val="0"/>
              <w:spacing w:before="40" w:after="40" w:line="240" w:lineRule="auto"/>
              <w:rPr>
                <w:rFonts w:asciiTheme="minorHAnsi" w:hAnsiTheme="minorHAnsi"/>
                <w:sz w:val="18"/>
                <w:szCs w:val="18"/>
              </w:rPr>
            </w:pPr>
            <w:r w:rsidRPr="00F606BE">
              <w:rPr>
                <w:rFonts w:asciiTheme="minorHAnsi" w:hAnsiTheme="minorHAnsi"/>
                <w:sz w:val="18"/>
                <w:szCs w:val="18"/>
              </w:rPr>
              <w:t>Total air emissions of nitrogen oxides (NO</w:t>
            </w:r>
            <w:r w:rsidRPr="00F606BE">
              <w:rPr>
                <w:rFonts w:asciiTheme="minorHAnsi" w:hAnsiTheme="minorHAnsi"/>
                <w:sz w:val="18"/>
                <w:szCs w:val="18"/>
                <w:vertAlign w:val="subscript"/>
              </w:rPr>
              <w:t>X</w:t>
            </w:r>
            <w:r w:rsidRPr="00F606BE">
              <w:rPr>
                <w:rFonts w:asciiTheme="minorHAnsi" w:hAnsiTheme="minorHAnsi"/>
                <w:sz w:val="18"/>
                <w:szCs w:val="18"/>
              </w:rPr>
              <w:t>) (tons)</w:t>
            </w:r>
          </w:p>
        </w:tc>
      </w:tr>
      <w:tr w:rsidR="007E02F5" w:rsidRPr="008A5837" w:rsidTr="000760E1">
        <w:trPr>
          <w:cantSplit/>
          <w:jc w:val="center"/>
        </w:trPr>
        <w:tc>
          <w:tcPr>
            <w:tcW w:w="2394" w:type="dxa"/>
            <w:shd w:val="clear" w:color="auto" w:fill="auto"/>
            <w:vAlign w:val="center"/>
          </w:tcPr>
          <w:p w:rsidR="007E02F5" w:rsidRPr="009069E8" w:rsidRDefault="007E02F5" w:rsidP="000760E1">
            <w:pPr>
              <w:keepNext/>
              <w:keepLines/>
              <w:widowControl w:val="0"/>
              <w:spacing w:before="40" w:after="40" w:line="240" w:lineRule="auto"/>
              <w:rPr>
                <w:rFonts w:asciiTheme="minorHAnsi" w:hAnsiTheme="minorHAnsi"/>
                <w:sz w:val="18"/>
                <w:szCs w:val="18"/>
              </w:rPr>
            </w:pPr>
            <w:r w:rsidRPr="009069E8">
              <w:rPr>
                <w:rFonts w:asciiTheme="minorHAnsi" w:hAnsiTheme="minorHAnsi"/>
                <w:sz w:val="18"/>
                <w:szCs w:val="18"/>
              </w:rPr>
              <w:t>Congestion ($M/year)</w:t>
            </w:r>
          </w:p>
        </w:tc>
        <w:tc>
          <w:tcPr>
            <w:tcW w:w="2394" w:type="dxa"/>
            <w:vMerge w:val="restart"/>
            <w:shd w:val="clear" w:color="auto" w:fill="DBE5F1" w:themeFill="accent1" w:themeFillTint="33"/>
            <w:vAlign w:val="center"/>
          </w:tcPr>
          <w:p w:rsidR="007E02F5" w:rsidRPr="009069E8" w:rsidRDefault="007E02F5" w:rsidP="000760E1">
            <w:pPr>
              <w:keepNext/>
              <w:keepLines/>
              <w:widowControl w:val="0"/>
              <w:spacing w:before="40" w:after="40" w:line="240" w:lineRule="auto"/>
              <w:rPr>
                <w:rFonts w:asciiTheme="minorHAnsi" w:hAnsiTheme="minorHAnsi"/>
                <w:sz w:val="18"/>
                <w:szCs w:val="18"/>
              </w:rPr>
            </w:pPr>
          </w:p>
        </w:tc>
        <w:tc>
          <w:tcPr>
            <w:tcW w:w="2394" w:type="dxa"/>
            <w:shd w:val="clear" w:color="auto" w:fill="auto"/>
            <w:vAlign w:val="center"/>
          </w:tcPr>
          <w:p w:rsidR="007E02F5" w:rsidRPr="009069E8" w:rsidRDefault="007E02F5" w:rsidP="000760E1">
            <w:pPr>
              <w:keepNext/>
              <w:keepLines/>
              <w:widowControl w:val="0"/>
              <w:spacing w:before="40" w:after="40" w:line="240" w:lineRule="auto"/>
              <w:rPr>
                <w:rFonts w:asciiTheme="minorHAnsi" w:hAnsiTheme="minorHAnsi"/>
                <w:sz w:val="18"/>
                <w:szCs w:val="18"/>
              </w:rPr>
            </w:pPr>
            <w:r w:rsidRPr="009069E8">
              <w:rPr>
                <w:rFonts w:asciiTheme="minorHAnsi" w:hAnsiTheme="minorHAnsi"/>
                <w:sz w:val="18"/>
                <w:szCs w:val="18"/>
              </w:rPr>
              <w:t>Diurnal flows of interfaces</w:t>
            </w:r>
          </w:p>
        </w:tc>
        <w:tc>
          <w:tcPr>
            <w:tcW w:w="2394" w:type="dxa"/>
            <w:shd w:val="clear" w:color="auto" w:fill="DBE5F1" w:themeFill="accent1" w:themeFillTint="33"/>
            <w:vAlign w:val="center"/>
          </w:tcPr>
          <w:p w:rsidR="007E02F5" w:rsidRPr="009069E8" w:rsidRDefault="007E02F5" w:rsidP="00617796">
            <w:pPr>
              <w:keepNext/>
              <w:keepLines/>
              <w:widowControl w:val="0"/>
              <w:spacing w:before="40" w:after="40" w:line="240" w:lineRule="auto"/>
              <w:rPr>
                <w:rFonts w:asciiTheme="minorHAnsi" w:hAnsiTheme="minorHAnsi"/>
                <w:sz w:val="18"/>
                <w:szCs w:val="18"/>
              </w:rPr>
            </w:pPr>
            <w:r w:rsidRPr="009069E8">
              <w:rPr>
                <w:rFonts w:asciiTheme="minorHAnsi" w:hAnsiTheme="minorHAnsi"/>
                <w:sz w:val="18"/>
                <w:szCs w:val="18"/>
              </w:rPr>
              <w:t xml:space="preserve">Total </w:t>
            </w:r>
            <w:r>
              <w:rPr>
                <w:rFonts w:asciiTheme="minorHAnsi" w:hAnsiTheme="minorHAnsi"/>
                <w:sz w:val="18"/>
                <w:szCs w:val="18"/>
              </w:rPr>
              <w:t>a</w:t>
            </w:r>
            <w:r w:rsidRPr="009069E8">
              <w:rPr>
                <w:rFonts w:asciiTheme="minorHAnsi" w:hAnsiTheme="minorHAnsi"/>
                <w:sz w:val="18"/>
                <w:szCs w:val="18"/>
              </w:rPr>
              <w:t xml:space="preserve">ir </w:t>
            </w:r>
            <w:r>
              <w:rPr>
                <w:rFonts w:asciiTheme="minorHAnsi" w:hAnsiTheme="minorHAnsi"/>
                <w:sz w:val="18"/>
                <w:szCs w:val="18"/>
              </w:rPr>
              <w:t>e</w:t>
            </w:r>
            <w:r w:rsidRPr="009069E8">
              <w:rPr>
                <w:rFonts w:asciiTheme="minorHAnsi" w:hAnsiTheme="minorHAnsi"/>
                <w:sz w:val="18"/>
                <w:szCs w:val="18"/>
              </w:rPr>
              <w:t xml:space="preserve">missions of </w:t>
            </w:r>
            <w:r>
              <w:rPr>
                <w:rFonts w:asciiTheme="minorHAnsi" w:hAnsiTheme="minorHAnsi"/>
                <w:sz w:val="18"/>
                <w:szCs w:val="18"/>
              </w:rPr>
              <w:t>sulfur dioxide (</w:t>
            </w:r>
            <w:r w:rsidRPr="00617796">
              <w:rPr>
                <w:rFonts w:asciiTheme="minorHAnsi" w:hAnsiTheme="minorHAnsi"/>
                <w:sz w:val="18"/>
                <w:szCs w:val="18"/>
              </w:rPr>
              <w:t>SO</w:t>
            </w:r>
            <w:r w:rsidRPr="00617796">
              <w:rPr>
                <w:rFonts w:asciiTheme="minorHAnsi" w:hAnsiTheme="minorHAnsi"/>
                <w:sz w:val="18"/>
                <w:szCs w:val="18"/>
                <w:vertAlign w:val="subscript"/>
              </w:rPr>
              <w:t>2</w:t>
            </w:r>
            <w:r w:rsidRPr="00617796">
              <w:rPr>
                <w:rFonts w:asciiTheme="minorHAnsi" w:hAnsiTheme="minorHAnsi"/>
                <w:sz w:val="18"/>
                <w:szCs w:val="18"/>
              </w:rPr>
              <w:t>) (tons)</w:t>
            </w:r>
          </w:p>
        </w:tc>
      </w:tr>
      <w:tr w:rsidR="007E02F5" w:rsidRPr="008A5837" w:rsidTr="000760E1">
        <w:trPr>
          <w:cantSplit/>
          <w:jc w:val="center"/>
        </w:trPr>
        <w:tc>
          <w:tcPr>
            <w:tcW w:w="2394" w:type="dxa"/>
            <w:shd w:val="clear" w:color="auto" w:fill="auto"/>
            <w:vAlign w:val="center"/>
          </w:tcPr>
          <w:p w:rsidR="007E02F5" w:rsidRDefault="007E02F5" w:rsidP="008B5BB3">
            <w:pPr>
              <w:keepNext/>
              <w:keepLines/>
              <w:widowControl w:val="0"/>
              <w:spacing w:before="40" w:after="40" w:line="240" w:lineRule="auto"/>
              <w:rPr>
                <w:rFonts w:asciiTheme="minorHAnsi" w:hAnsiTheme="minorHAnsi"/>
                <w:sz w:val="18"/>
                <w:szCs w:val="18"/>
              </w:rPr>
            </w:pPr>
            <w:r w:rsidRPr="005C7DD1">
              <w:rPr>
                <w:rFonts w:asciiTheme="minorHAnsi" w:hAnsiTheme="minorHAnsi"/>
                <w:sz w:val="18"/>
                <w:szCs w:val="18"/>
              </w:rPr>
              <w:t>Relative annual resource cost encompassing all</w:t>
            </w:r>
            <w:r>
              <w:rPr>
                <w:rFonts w:asciiTheme="minorHAnsi" w:hAnsiTheme="minorHAnsi"/>
                <w:sz w:val="18"/>
                <w:szCs w:val="18"/>
              </w:rPr>
              <w:t xml:space="preserve"> annual operating costs and annual carrying charges for new resources and high-order-of-</w:t>
            </w:r>
          </w:p>
          <w:p w:rsidR="007E02F5" w:rsidRPr="009069E8" w:rsidRDefault="007E02F5" w:rsidP="00207EA9">
            <w:pPr>
              <w:keepNext/>
              <w:keepLines/>
              <w:widowControl w:val="0"/>
              <w:spacing w:before="40" w:after="40" w:line="240" w:lineRule="auto"/>
              <w:rPr>
                <w:rFonts w:asciiTheme="minorHAnsi" w:hAnsiTheme="minorHAnsi"/>
                <w:sz w:val="18"/>
                <w:szCs w:val="18"/>
              </w:rPr>
            </w:pPr>
            <w:r>
              <w:rPr>
                <w:rFonts w:asciiTheme="minorHAnsi" w:hAnsiTheme="minorHAnsi"/>
                <w:sz w:val="18"/>
                <w:szCs w:val="18"/>
              </w:rPr>
              <w:t>magnitude transmission-development costs</w:t>
            </w:r>
            <w:r w:rsidRPr="005C7DD1">
              <w:rPr>
                <w:rFonts w:asciiTheme="minorHAnsi" w:hAnsiTheme="minorHAnsi"/>
                <w:sz w:val="18"/>
                <w:szCs w:val="18"/>
              </w:rPr>
              <w:t xml:space="preserve"> ($M/year</w:t>
            </w:r>
            <w:r>
              <w:rPr>
                <w:rFonts w:asciiTheme="minorHAnsi" w:hAnsiTheme="minorHAnsi"/>
                <w:sz w:val="18"/>
                <w:szCs w:val="18"/>
              </w:rPr>
              <w:t xml:space="preserve"> and $/kilowatt-hour; kWh</w:t>
            </w:r>
            <w:r w:rsidRPr="005C7DD1">
              <w:rPr>
                <w:rFonts w:asciiTheme="minorHAnsi" w:hAnsiTheme="minorHAnsi"/>
                <w:sz w:val="18"/>
                <w:szCs w:val="18"/>
              </w:rPr>
              <w:t>)</w:t>
            </w:r>
          </w:p>
        </w:tc>
        <w:tc>
          <w:tcPr>
            <w:tcW w:w="2394" w:type="dxa"/>
            <w:vMerge/>
            <w:shd w:val="clear" w:color="auto" w:fill="DBE5F1" w:themeFill="accent1" w:themeFillTint="33"/>
            <w:vAlign w:val="center"/>
          </w:tcPr>
          <w:p w:rsidR="007E02F5" w:rsidRPr="009069E8" w:rsidRDefault="007E02F5" w:rsidP="000760E1">
            <w:pPr>
              <w:keepNext/>
              <w:keepLines/>
              <w:widowControl w:val="0"/>
              <w:spacing w:before="40" w:after="40" w:line="240" w:lineRule="auto"/>
              <w:rPr>
                <w:rFonts w:asciiTheme="minorHAnsi" w:hAnsiTheme="minorHAnsi"/>
                <w:sz w:val="18"/>
                <w:szCs w:val="18"/>
              </w:rPr>
            </w:pPr>
          </w:p>
        </w:tc>
        <w:tc>
          <w:tcPr>
            <w:tcW w:w="2394" w:type="dxa"/>
            <w:shd w:val="clear" w:color="auto" w:fill="auto"/>
            <w:vAlign w:val="center"/>
          </w:tcPr>
          <w:p w:rsidR="007E02F5" w:rsidRPr="009069E8" w:rsidRDefault="007E02F5" w:rsidP="000760E1">
            <w:pPr>
              <w:keepNext/>
              <w:keepLines/>
              <w:widowControl w:val="0"/>
              <w:spacing w:before="40" w:after="40" w:line="240" w:lineRule="auto"/>
              <w:rPr>
                <w:rFonts w:asciiTheme="minorHAnsi" w:hAnsiTheme="minorHAnsi"/>
                <w:sz w:val="18"/>
                <w:szCs w:val="18"/>
              </w:rPr>
            </w:pPr>
            <w:r w:rsidRPr="009069E8">
              <w:rPr>
                <w:rFonts w:asciiTheme="minorHAnsi" w:hAnsiTheme="minorHAnsi"/>
                <w:sz w:val="18"/>
                <w:szCs w:val="18"/>
              </w:rPr>
              <w:t>Seasonal flow</w:t>
            </w:r>
            <w:r>
              <w:rPr>
                <w:rFonts w:asciiTheme="minorHAnsi" w:hAnsiTheme="minorHAnsi"/>
                <w:sz w:val="18"/>
                <w:szCs w:val="18"/>
              </w:rPr>
              <w:t>-</w:t>
            </w:r>
            <w:r w:rsidRPr="009069E8">
              <w:rPr>
                <w:rFonts w:asciiTheme="minorHAnsi" w:hAnsiTheme="minorHAnsi"/>
                <w:sz w:val="18"/>
                <w:szCs w:val="18"/>
              </w:rPr>
              <w:t>duration curves for interfaces</w:t>
            </w:r>
          </w:p>
        </w:tc>
        <w:tc>
          <w:tcPr>
            <w:tcW w:w="2394" w:type="dxa"/>
            <w:shd w:val="clear" w:color="auto" w:fill="DBE5F1" w:themeFill="accent1" w:themeFillTint="33"/>
            <w:vAlign w:val="center"/>
          </w:tcPr>
          <w:p w:rsidR="007E02F5" w:rsidRPr="009069E8" w:rsidRDefault="007E02F5" w:rsidP="00D94D58">
            <w:pPr>
              <w:keepNext/>
              <w:keepLines/>
              <w:widowControl w:val="0"/>
              <w:spacing w:before="40" w:after="40" w:line="240" w:lineRule="auto"/>
              <w:rPr>
                <w:rFonts w:asciiTheme="minorHAnsi" w:hAnsiTheme="minorHAnsi"/>
                <w:sz w:val="18"/>
                <w:szCs w:val="18"/>
              </w:rPr>
            </w:pPr>
            <w:r w:rsidRPr="00B551DE">
              <w:rPr>
                <w:rFonts w:asciiTheme="minorHAnsi" w:hAnsiTheme="minorHAnsi"/>
                <w:sz w:val="18"/>
                <w:szCs w:val="18"/>
              </w:rPr>
              <w:t>Total “bottled,” price-taking</w:t>
            </w:r>
            <w:r w:rsidRPr="00F3107C">
              <w:rPr>
                <w:rFonts w:asciiTheme="minorHAnsi" w:hAnsiTheme="minorHAnsi"/>
                <w:sz w:val="18"/>
                <w:szCs w:val="18"/>
              </w:rPr>
              <w:t xml:space="preserve"> resources (i.e., PV, wind, hydro, and imports) by Regional System Plan</w:t>
            </w:r>
            <w:r>
              <w:rPr>
                <w:rFonts w:asciiTheme="minorHAnsi" w:hAnsiTheme="minorHAnsi"/>
                <w:sz w:val="18"/>
                <w:szCs w:val="18"/>
              </w:rPr>
              <w:t xml:space="preserve"> (RSP)</w:t>
            </w:r>
            <w:r w:rsidRPr="00F3107C">
              <w:rPr>
                <w:rFonts w:asciiTheme="minorHAnsi" w:hAnsiTheme="minorHAnsi"/>
                <w:sz w:val="18"/>
                <w:szCs w:val="18"/>
              </w:rPr>
              <w:t xml:space="preserve"> subarea </w:t>
            </w:r>
            <w:r>
              <w:rPr>
                <w:rFonts w:asciiTheme="minorHAnsi" w:hAnsiTheme="minorHAnsi"/>
                <w:sz w:val="18"/>
                <w:szCs w:val="18"/>
              </w:rPr>
              <w:t>(</w:t>
            </w:r>
            <w:r w:rsidRPr="00F3107C">
              <w:rPr>
                <w:rFonts w:asciiTheme="minorHAnsi" w:hAnsiTheme="minorHAnsi"/>
                <w:sz w:val="18"/>
                <w:szCs w:val="18"/>
              </w:rPr>
              <w:t xml:space="preserve">expressed </w:t>
            </w:r>
            <w:r w:rsidRPr="004451E8">
              <w:rPr>
                <w:rFonts w:asciiTheme="minorHAnsi" w:hAnsiTheme="minorHAnsi"/>
                <w:sz w:val="18"/>
                <w:szCs w:val="18"/>
              </w:rPr>
              <w:t>in MWh</w:t>
            </w:r>
            <w:r>
              <w:rPr>
                <w:rFonts w:asciiTheme="minorHAnsi" w:hAnsiTheme="minorHAnsi"/>
                <w:sz w:val="18"/>
                <w:szCs w:val="18"/>
              </w:rPr>
              <w:t xml:space="preserve"> </w:t>
            </w:r>
            <w:r w:rsidRPr="00F3107C">
              <w:rPr>
                <w:rFonts w:asciiTheme="minorHAnsi" w:hAnsiTheme="minorHAnsi"/>
                <w:sz w:val="18"/>
                <w:szCs w:val="18"/>
              </w:rPr>
              <w:t>and percentage</w:t>
            </w:r>
            <w:r w:rsidRPr="00B551DE">
              <w:rPr>
                <w:rFonts w:asciiTheme="minorHAnsi" w:hAnsiTheme="minorHAnsi"/>
                <w:sz w:val="18"/>
                <w:szCs w:val="18"/>
              </w:rPr>
              <w:t>)</w:t>
            </w:r>
            <w:r w:rsidRPr="00B551DE">
              <w:rPr>
                <w:rFonts w:asciiTheme="minorHAnsi" w:hAnsiTheme="minorHAnsi"/>
                <w:sz w:val="18"/>
                <w:szCs w:val="18"/>
                <w:vertAlign w:val="superscript"/>
              </w:rPr>
              <w:t>(c)</w:t>
            </w:r>
          </w:p>
        </w:tc>
      </w:tr>
      <w:tr w:rsidR="007E02F5" w:rsidRPr="008A5837" w:rsidTr="000760E1">
        <w:trPr>
          <w:cantSplit/>
          <w:jc w:val="center"/>
        </w:trPr>
        <w:tc>
          <w:tcPr>
            <w:tcW w:w="2394" w:type="dxa"/>
            <w:shd w:val="clear" w:color="auto" w:fill="auto"/>
            <w:vAlign w:val="center"/>
          </w:tcPr>
          <w:p w:rsidR="007E02F5" w:rsidRPr="009069E8" w:rsidRDefault="007E02F5" w:rsidP="00BE5DAE">
            <w:pPr>
              <w:keepNext/>
              <w:keepLines/>
              <w:widowControl w:val="0"/>
              <w:spacing w:before="40" w:after="40" w:line="240" w:lineRule="auto"/>
              <w:rPr>
                <w:rFonts w:asciiTheme="minorHAnsi" w:hAnsiTheme="minorHAnsi"/>
                <w:sz w:val="18"/>
                <w:szCs w:val="18"/>
              </w:rPr>
            </w:pPr>
            <w:r w:rsidRPr="00617796">
              <w:rPr>
                <w:rFonts w:asciiTheme="minorHAnsi" w:hAnsiTheme="minorHAnsi"/>
                <w:sz w:val="18"/>
                <w:szCs w:val="18"/>
              </w:rPr>
              <w:t xml:space="preserve">Wholesale energy market revenues and contributions to annual </w:t>
            </w:r>
            <w:r w:rsidRPr="00F3107C">
              <w:rPr>
                <w:rFonts w:asciiTheme="minorHAnsi" w:hAnsiTheme="minorHAnsi"/>
                <w:sz w:val="18"/>
                <w:szCs w:val="18"/>
              </w:rPr>
              <w:t>fixed cost</w:t>
            </w:r>
            <w:r w:rsidRPr="00617796">
              <w:rPr>
                <w:rFonts w:asciiTheme="minorHAnsi" w:hAnsiTheme="minorHAnsi"/>
                <w:sz w:val="18"/>
                <w:szCs w:val="18"/>
              </w:rPr>
              <w:t xml:space="preserve">s by resource </w:t>
            </w:r>
            <w:r w:rsidRPr="00EC096F">
              <w:rPr>
                <w:rFonts w:asciiTheme="minorHAnsi" w:hAnsiTheme="minorHAnsi"/>
                <w:sz w:val="18"/>
                <w:szCs w:val="18"/>
              </w:rPr>
              <w:t xml:space="preserve">type </w:t>
            </w:r>
            <w:r w:rsidR="00BE5DAE">
              <w:rPr>
                <w:rFonts w:asciiTheme="minorHAnsi" w:hAnsiTheme="minorHAnsi"/>
                <w:sz w:val="18"/>
                <w:szCs w:val="18"/>
              </w:rPr>
              <w:t>(</w:t>
            </w:r>
            <w:r w:rsidRPr="00EC096F">
              <w:rPr>
                <w:rFonts w:asciiTheme="minorHAnsi" w:hAnsiTheme="minorHAnsi"/>
                <w:sz w:val="18"/>
                <w:szCs w:val="18"/>
              </w:rPr>
              <w:t>$/kW-year</w:t>
            </w:r>
            <w:r w:rsidR="00BE5DAE">
              <w:rPr>
                <w:rFonts w:asciiTheme="minorHAnsi" w:hAnsiTheme="minorHAnsi"/>
                <w:sz w:val="18"/>
                <w:szCs w:val="18"/>
              </w:rPr>
              <w:t>)</w:t>
            </w:r>
          </w:p>
        </w:tc>
        <w:tc>
          <w:tcPr>
            <w:tcW w:w="2394" w:type="dxa"/>
            <w:vMerge/>
            <w:shd w:val="clear" w:color="auto" w:fill="DBE5F1" w:themeFill="accent1" w:themeFillTint="33"/>
            <w:vAlign w:val="center"/>
          </w:tcPr>
          <w:p w:rsidR="007E02F5" w:rsidRPr="009069E8" w:rsidRDefault="007E02F5" w:rsidP="000760E1">
            <w:pPr>
              <w:keepNext/>
              <w:keepLines/>
              <w:widowControl w:val="0"/>
              <w:spacing w:before="40" w:after="40" w:line="240" w:lineRule="auto"/>
              <w:rPr>
                <w:rFonts w:asciiTheme="minorHAnsi" w:hAnsiTheme="minorHAnsi"/>
                <w:sz w:val="18"/>
                <w:szCs w:val="18"/>
              </w:rPr>
            </w:pPr>
          </w:p>
        </w:tc>
        <w:tc>
          <w:tcPr>
            <w:tcW w:w="2394" w:type="dxa"/>
            <w:shd w:val="clear" w:color="auto" w:fill="auto"/>
            <w:vAlign w:val="center"/>
          </w:tcPr>
          <w:p w:rsidR="007E02F5" w:rsidRPr="009069E8" w:rsidRDefault="007E02F5" w:rsidP="000760E1">
            <w:pPr>
              <w:keepNext/>
              <w:keepLines/>
              <w:widowControl w:val="0"/>
              <w:spacing w:before="40" w:after="40" w:line="240" w:lineRule="auto"/>
              <w:rPr>
                <w:rFonts w:asciiTheme="minorHAnsi" w:hAnsiTheme="minorHAnsi"/>
                <w:sz w:val="18"/>
                <w:szCs w:val="18"/>
              </w:rPr>
            </w:pPr>
            <w:r w:rsidRPr="009069E8">
              <w:rPr>
                <w:rFonts w:asciiTheme="minorHAnsi" w:hAnsiTheme="minorHAnsi"/>
                <w:sz w:val="18"/>
                <w:szCs w:val="18"/>
              </w:rPr>
              <w:t>Interface flows on representative summer and winter days</w:t>
            </w:r>
          </w:p>
        </w:tc>
        <w:tc>
          <w:tcPr>
            <w:tcW w:w="2394" w:type="dxa"/>
            <w:vMerge w:val="restart"/>
            <w:shd w:val="clear" w:color="auto" w:fill="DBE5F1" w:themeFill="accent1" w:themeFillTint="33"/>
            <w:vAlign w:val="center"/>
          </w:tcPr>
          <w:p w:rsidR="007E02F5" w:rsidRPr="009069E8" w:rsidRDefault="007E02F5" w:rsidP="000760E1">
            <w:pPr>
              <w:keepNext/>
              <w:keepLines/>
              <w:widowControl w:val="0"/>
              <w:spacing w:before="40" w:after="40" w:line="240" w:lineRule="auto"/>
              <w:rPr>
                <w:rFonts w:asciiTheme="minorHAnsi" w:hAnsiTheme="minorHAnsi"/>
                <w:sz w:val="18"/>
                <w:szCs w:val="18"/>
              </w:rPr>
            </w:pPr>
          </w:p>
        </w:tc>
      </w:tr>
      <w:tr w:rsidR="007E02F5" w:rsidRPr="008A5837" w:rsidTr="000760E1">
        <w:trPr>
          <w:cantSplit/>
          <w:jc w:val="center"/>
        </w:trPr>
        <w:tc>
          <w:tcPr>
            <w:tcW w:w="2394" w:type="dxa"/>
            <w:shd w:val="clear" w:color="auto" w:fill="auto"/>
            <w:vAlign w:val="center"/>
          </w:tcPr>
          <w:p w:rsidR="007E02F5" w:rsidRPr="009069E8" w:rsidRDefault="007E02F5" w:rsidP="00BE5DAE">
            <w:pPr>
              <w:keepNext/>
              <w:keepLines/>
              <w:widowControl w:val="0"/>
              <w:spacing w:before="40" w:after="40" w:line="240" w:lineRule="auto"/>
              <w:rPr>
                <w:rFonts w:asciiTheme="minorHAnsi" w:hAnsiTheme="minorHAnsi"/>
                <w:sz w:val="18"/>
                <w:szCs w:val="18"/>
              </w:rPr>
            </w:pPr>
            <w:r w:rsidRPr="009069E8">
              <w:rPr>
                <w:rFonts w:asciiTheme="minorHAnsi" w:hAnsiTheme="minorHAnsi"/>
                <w:sz w:val="18"/>
                <w:szCs w:val="18"/>
              </w:rPr>
              <w:t xml:space="preserve">Net revenues for energy </w:t>
            </w:r>
            <w:r w:rsidRPr="00BE5DAE">
              <w:rPr>
                <w:rFonts w:asciiTheme="minorHAnsi" w:hAnsiTheme="minorHAnsi"/>
                <w:sz w:val="18"/>
                <w:szCs w:val="18"/>
              </w:rPr>
              <w:t xml:space="preserve">storage </w:t>
            </w:r>
            <w:r w:rsidR="00BE5DAE">
              <w:rPr>
                <w:rFonts w:asciiTheme="minorHAnsi" w:hAnsiTheme="minorHAnsi"/>
                <w:sz w:val="18"/>
                <w:szCs w:val="18"/>
              </w:rPr>
              <w:t>(</w:t>
            </w:r>
            <w:r w:rsidRPr="00BE5DAE">
              <w:rPr>
                <w:rFonts w:asciiTheme="minorHAnsi" w:hAnsiTheme="minorHAnsi"/>
                <w:sz w:val="18"/>
                <w:szCs w:val="18"/>
              </w:rPr>
              <w:t>$/kW-year</w:t>
            </w:r>
            <w:r w:rsidR="00BE5DAE">
              <w:rPr>
                <w:rFonts w:asciiTheme="minorHAnsi" w:hAnsiTheme="minorHAnsi"/>
                <w:sz w:val="18"/>
                <w:szCs w:val="18"/>
              </w:rPr>
              <w:t>)</w:t>
            </w:r>
          </w:p>
        </w:tc>
        <w:tc>
          <w:tcPr>
            <w:tcW w:w="2394" w:type="dxa"/>
            <w:vMerge/>
            <w:shd w:val="clear" w:color="auto" w:fill="DBE5F1" w:themeFill="accent1" w:themeFillTint="33"/>
            <w:vAlign w:val="center"/>
          </w:tcPr>
          <w:p w:rsidR="007E02F5" w:rsidRPr="009069E8" w:rsidRDefault="007E02F5" w:rsidP="000760E1">
            <w:pPr>
              <w:keepNext/>
              <w:keepLines/>
              <w:widowControl w:val="0"/>
              <w:spacing w:before="40" w:after="40" w:line="240" w:lineRule="auto"/>
              <w:rPr>
                <w:rFonts w:asciiTheme="minorHAnsi" w:hAnsiTheme="minorHAnsi"/>
                <w:sz w:val="18"/>
                <w:szCs w:val="18"/>
              </w:rPr>
            </w:pPr>
          </w:p>
        </w:tc>
        <w:tc>
          <w:tcPr>
            <w:tcW w:w="2394" w:type="dxa"/>
            <w:shd w:val="clear" w:color="auto" w:fill="auto"/>
            <w:vAlign w:val="center"/>
          </w:tcPr>
          <w:p w:rsidR="007E02F5" w:rsidRPr="009069E8" w:rsidRDefault="007E02F5" w:rsidP="003369B6">
            <w:pPr>
              <w:keepNext/>
              <w:keepLines/>
              <w:widowControl w:val="0"/>
              <w:spacing w:before="40" w:after="40" w:line="240" w:lineRule="auto"/>
              <w:rPr>
                <w:rFonts w:asciiTheme="minorHAnsi" w:hAnsiTheme="minorHAnsi"/>
                <w:sz w:val="18"/>
                <w:szCs w:val="18"/>
              </w:rPr>
            </w:pPr>
            <w:r w:rsidRPr="00EC096F">
              <w:rPr>
                <w:rFonts w:asciiTheme="minorHAnsi" w:hAnsiTheme="minorHAnsi"/>
                <w:sz w:val="18"/>
                <w:szCs w:val="18"/>
              </w:rPr>
              <w:t>Preliminary high order-of-magnitude transmission-development costs (</w:t>
            </w:r>
            <w:r w:rsidR="003369B6">
              <w:rPr>
                <w:rFonts w:asciiTheme="minorHAnsi" w:hAnsiTheme="minorHAnsi"/>
                <w:sz w:val="18"/>
                <w:szCs w:val="18"/>
              </w:rPr>
              <w:t>billion dollars [</w:t>
            </w:r>
            <w:r w:rsidRPr="00EC096F">
              <w:rPr>
                <w:rFonts w:asciiTheme="minorHAnsi" w:hAnsiTheme="minorHAnsi"/>
                <w:sz w:val="18"/>
                <w:szCs w:val="18"/>
              </w:rPr>
              <w:t>$B</w:t>
            </w:r>
            <w:r w:rsidR="003369B6">
              <w:rPr>
                <w:rFonts w:asciiTheme="minorHAnsi" w:hAnsiTheme="minorHAnsi"/>
                <w:sz w:val="18"/>
                <w:szCs w:val="18"/>
              </w:rPr>
              <w:t>]</w:t>
            </w:r>
            <w:r w:rsidRPr="00EC096F">
              <w:rPr>
                <w:rFonts w:asciiTheme="minorHAnsi" w:hAnsiTheme="minorHAnsi"/>
                <w:sz w:val="18"/>
                <w:szCs w:val="18"/>
              </w:rPr>
              <w:t xml:space="preserve"> and $B/year)</w:t>
            </w:r>
          </w:p>
        </w:tc>
        <w:tc>
          <w:tcPr>
            <w:tcW w:w="2394" w:type="dxa"/>
            <w:vMerge/>
            <w:shd w:val="clear" w:color="auto" w:fill="DBE5F1" w:themeFill="accent1" w:themeFillTint="33"/>
            <w:vAlign w:val="center"/>
          </w:tcPr>
          <w:p w:rsidR="007E02F5" w:rsidRPr="009069E8" w:rsidRDefault="007E02F5" w:rsidP="000760E1">
            <w:pPr>
              <w:keepNext/>
              <w:keepLines/>
              <w:widowControl w:val="0"/>
              <w:spacing w:before="40" w:after="40" w:line="240" w:lineRule="auto"/>
              <w:rPr>
                <w:rFonts w:asciiTheme="minorHAnsi" w:hAnsiTheme="minorHAnsi"/>
                <w:sz w:val="18"/>
                <w:szCs w:val="18"/>
              </w:rPr>
            </w:pPr>
          </w:p>
        </w:tc>
      </w:tr>
    </w:tbl>
    <w:p w:rsidR="000760E1" w:rsidRPr="003A2CA8" w:rsidRDefault="000760E1" w:rsidP="00B551DE">
      <w:pPr>
        <w:keepNext/>
        <w:keepLines/>
        <w:spacing w:before="120" w:after="80" w:line="240" w:lineRule="auto"/>
        <w:ind w:left="188" w:right="-274" w:hanging="274"/>
        <w:rPr>
          <w:rFonts w:ascii="Calibri" w:hAnsi="Calibri"/>
          <w:sz w:val="16"/>
          <w:szCs w:val="16"/>
        </w:rPr>
      </w:pPr>
      <w:r w:rsidRPr="003A2CA8">
        <w:rPr>
          <w:rFonts w:ascii="Calibri" w:hAnsi="Calibri"/>
          <w:sz w:val="16"/>
          <w:szCs w:val="16"/>
        </w:rPr>
        <w:t xml:space="preserve">(a) </w:t>
      </w:r>
      <w:r w:rsidR="003A2CA8">
        <w:rPr>
          <w:rFonts w:ascii="Calibri" w:hAnsi="Calibri"/>
          <w:sz w:val="16"/>
          <w:szCs w:val="16"/>
        </w:rPr>
        <w:tab/>
      </w:r>
      <w:r w:rsidRPr="003A2CA8">
        <w:rPr>
          <w:rFonts w:ascii="Calibri" w:hAnsi="Calibri"/>
          <w:sz w:val="16"/>
          <w:szCs w:val="16"/>
        </w:rPr>
        <w:t xml:space="preserve">The study does not </w:t>
      </w:r>
      <w:r w:rsidR="005E24C2" w:rsidRPr="003A2CA8">
        <w:rPr>
          <w:rFonts w:ascii="Calibri" w:hAnsi="Calibri"/>
          <w:sz w:val="16"/>
          <w:szCs w:val="16"/>
        </w:rPr>
        <w:t>include</w:t>
      </w:r>
      <w:r w:rsidRPr="003A2CA8">
        <w:rPr>
          <w:rFonts w:ascii="Calibri" w:hAnsi="Calibri"/>
          <w:sz w:val="16"/>
          <w:szCs w:val="16"/>
        </w:rPr>
        <w:t xml:space="preserve"> specific transmission planning studies but identifies </w:t>
      </w:r>
      <w:r w:rsidR="005E24C2" w:rsidRPr="003A2CA8">
        <w:rPr>
          <w:rFonts w:ascii="Calibri" w:hAnsi="Calibri"/>
          <w:sz w:val="16"/>
          <w:szCs w:val="16"/>
        </w:rPr>
        <w:t xml:space="preserve">approximate costs for </w:t>
      </w:r>
      <w:r w:rsidRPr="003A2CA8">
        <w:rPr>
          <w:rFonts w:ascii="Calibri" w:hAnsi="Calibri"/>
          <w:sz w:val="16"/>
          <w:szCs w:val="16"/>
        </w:rPr>
        <w:t xml:space="preserve">transmission </w:t>
      </w:r>
      <w:r w:rsidR="005E24C2" w:rsidRPr="003A2CA8">
        <w:rPr>
          <w:rFonts w:ascii="Calibri" w:hAnsi="Calibri"/>
          <w:sz w:val="16"/>
          <w:szCs w:val="16"/>
        </w:rPr>
        <w:t xml:space="preserve">development </w:t>
      </w:r>
      <w:r w:rsidR="004451E8" w:rsidRPr="003A2CA8">
        <w:rPr>
          <w:rFonts w:ascii="Calibri" w:hAnsi="Calibri"/>
          <w:sz w:val="16"/>
          <w:szCs w:val="16"/>
        </w:rPr>
        <w:t xml:space="preserve">on the </w:t>
      </w:r>
      <w:r w:rsidR="005E24C2" w:rsidRPr="003A2CA8">
        <w:rPr>
          <w:rFonts w:ascii="Calibri" w:hAnsi="Calibri"/>
          <w:sz w:val="16"/>
          <w:szCs w:val="16"/>
        </w:rPr>
        <w:t>bas</w:t>
      </w:r>
      <w:r w:rsidR="004451E8" w:rsidRPr="003A2CA8">
        <w:rPr>
          <w:rFonts w:ascii="Calibri" w:hAnsi="Calibri"/>
          <w:sz w:val="16"/>
          <w:szCs w:val="16"/>
        </w:rPr>
        <w:t xml:space="preserve">is </w:t>
      </w:r>
      <w:r w:rsidR="005E24C2" w:rsidRPr="003A2CA8">
        <w:rPr>
          <w:rFonts w:ascii="Calibri" w:hAnsi="Calibri"/>
          <w:sz w:val="16"/>
          <w:szCs w:val="16"/>
        </w:rPr>
        <w:t>o</w:t>
      </w:r>
      <w:r w:rsidR="004451E8" w:rsidRPr="003A2CA8">
        <w:rPr>
          <w:rFonts w:ascii="Calibri" w:hAnsi="Calibri"/>
          <w:sz w:val="16"/>
          <w:szCs w:val="16"/>
        </w:rPr>
        <w:t>f</w:t>
      </w:r>
      <w:r w:rsidR="005E24C2" w:rsidRPr="003A2CA8">
        <w:rPr>
          <w:rFonts w:ascii="Calibri" w:hAnsi="Calibri"/>
          <w:sz w:val="16"/>
          <w:szCs w:val="16"/>
        </w:rPr>
        <w:t xml:space="preserve"> the interface flows and the extent of their congestion</w:t>
      </w:r>
      <w:r w:rsidRPr="003A2CA8">
        <w:rPr>
          <w:rFonts w:ascii="Calibri" w:hAnsi="Calibri"/>
          <w:sz w:val="16"/>
          <w:szCs w:val="16"/>
        </w:rPr>
        <w:t>.</w:t>
      </w:r>
    </w:p>
    <w:p w:rsidR="00D94D58" w:rsidRPr="003A2CA8" w:rsidRDefault="00D94D58" w:rsidP="00B551DE">
      <w:pPr>
        <w:keepNext/>
        <w:keepLines/>
        <w:spacing w:after="80" w:line="240" w:lineRule="auto"/>
        <w:ind w:left="188" w:right="-274" w:hanging="274"/>
        <w:rPr>
          <w:rFonts w:ascii="Calibri" w:hAnsi="Calibri"/>
          <w:sz w:val="16"/>
          <w:szCs w:val="16"/>
        </w:rPr>
      </w:pPr>
      <w:r w:rsidRPr="003A2CA8">
        <w:rPr>
          <w:rFonts w:ascii="Calibri" w:hAnsi="Calibri"/>
          <w:sz w:val="16"/>
          <w:szCs w:val="16"/>
        </w:rPr>
        <w:t>(b)</w:t>
      </w:r>
      <w:r w:rsidRPr="003A2CA8">
        <w:rPr>
          <w:sz w:val="16"/>
          <w:szCs w:val="16"/>
        </w:rPr>
        <w:t xml:space="preserve"> </w:t>
      </w:r>
      <w:r w:rsidR="003A2CA8">
        <w:rPr>
          <w:sz w:val="16"/>
          <w:szCs w:val="16"/>
        </w:rPr>
        <w:tab/>
      </w:r>
      <w:r w:rsidRPr="003A2CA8">
        <w:rPr>
          <w:rFonts w:ascii="Calibri" w:hAnsi="Calibri"/>
          <w:sz w:val="16"/>
          <w:szCs w:val="16"/>
        </w:rPr>
        <w:t xml:space="preserve">The </w:t>
      </w:r>
      <w:r w:rsidRPr="003A2CA8">
        <w:rPr>
          <w:rFonts w:ascii="Calibri" w:hAnsi="Calibri"/>
          <w:i/>
          <w:sz w:val="16"/>
          <w:szCs w:val="16"/>
        </w:rPr>
        <w:t>Regional Greenhouse Gas Initiative</w:t>
      </w:r>
      <w:r w:rsidRPr="003A2CA8">
        <w:rPr>
          <w:rFonts w:ascii="Calibri" w:hAnsi="Calibri"/>
          <w:sz w:val="16"/>
          <w:szCs w:val="16"/>
        </w:rPr>
        <w:t xml:space="preserve"> is a nine-state program in the Northeast to reduce the CO</w:t>
      </w:r>
      <w:r w:rsidRPr="003A2CA8">
        <w:rPr>
          <w:rFonts w:ascii="Calibri" w:hAnsi="Calibri"/>
          <w:sz w:val="16"/>
          <w:szCs w:val="16"/>
          <w:vertAlign w:val="subscript"/>
        </w:rPr>
        <w:t>2</w:t>
      </w:r>
      <w:r w:rsidRPr="003A2CA8">
        <w:rPr>
          <w:rFonts w:ascii="Calibri" w:hAnsi="Calibri"/>
          <w:sz w:val="16"/>
          <w:szCs w:val="16"/>
        </w:rPr>
        <w:t xml:space="preserve"> emissions from fossil power plants 25 MW and larger in these states. Each state is allocated a share (allowance) of an annual emissions cap on the basis of historical emissions and negotiations; one allowance equals the limited right to emit one ton of CO</w:t>
      </w:r>
      <w:r w:rsidRPr="003A2CA8">
        <w:rPr>
          <w:rFonts w:ascii="Calibri" w:hAnsi="Calibri"/>
          <w:sz w:val="16"/>
          <w:szCs w:val="16"/>
          <w:vertAlign w:val="subscript"/>
        </w:rPr>
        <w:t>2</w:t>
      </w:r>
      <w:r w:rsidRPr="003A2CA8">
        <w:rPr>
          <w:rFonts w:ascii="Calibri" w:hAnsi="Calibri"/>
          <w:sz w:val="16"/>
          <w:szCs w:val="16"/>
        </w:rPr>
        <w:t>.</w:t>
      </w:r>
    </w:p>
    <w:p w:rsidR="000760E1" w:rsidRPr="003A2CA8" w:rsidRDefault="000760E1" w:rsidP="000760E1">
      <w:pPr>
        <w:spacing w:line="240" w:lineRule="auto"/>
        <w:ind w:left="180" w:hanging="270"/>
        <w:rPr>
          <w:rFonts w:ascii="Calibri" w:hAnsi="Calibri"/>
          <w:sz w:val="16"/>
          <w:szCs w:val="16"/>
        </w:rPr>
      </w:pPr>
      <w:r w:rsidRPr="003A2CA8">
        <w:rPr>
          <w:rFonts w:ascii="Calibri" w:hAnsi="Calibri"/>
          <w:sz w:val="16"/>
          <w:szCs w:val="16"/>
        </w:rPr>
        <w:t>(</w:t>
      </w:r>
      <w:r w:rsidR="00D94D58" w:rsidRPr="003A2CA8">
        <w:rPr>
          <w:rFonts w:ascii="Calibri" w:hAnsi="Calibri"/>
          <w:sz w:val="16"/>
          <w:szCs w:val="16"/>
        </w:rPr>
        <w:t>c</w:t>
      </w:r>
      <w:r w:rsidRPr="003A2CA8">
        <w:rPr>
          <w:rFonts w:ascii="Calibri" w:hAnsi="Calibri"/>
          <w:sz w:val="16"/>
          <w:szCs w:val="16"/>
        </w:rPr>
        <w:t xml:space="preserve">) </w:t>
      </w:r>
      <w:r w:rsidR="003A2CA8">
        <w:rPr>
          <w:rFonts w:ascii="Calibri" w:hAnsi="Calibri"/>
          <w:sz w:val="16"/>
          <w:szCs w:val="16"/>
        </w:rPr>
        <w:tab/>
      </w:r>
      <w:r w:rsidRPr="003A2CA8">
        <w:rPr>
          <w:rFonts w:ascii="Calibri" w:hAnsi="Calibri"/>
          <w:sz w:val="16"/>
          <w:szCs w:val="16"/>
        </w:rPr>
        <w:t>“</w:t>
      </w:r>
      <w:r w:rsidR="008C3A4D" w:rsidRPr="003A2CA8">
        <w:rPr>
          <w:rFonts w:ascii="Calibri" w:hAnsi="Calibri"/>
          <w:sz w:val="16"/>
          <w:szCs w:val="16"/>
        </w:rPr>
        <w:t>B</w:t>
      </w:r>
      <w:r w:rsidR="005E24C2" w:rsidRPr="003A2CA8">
        <w:rPr>
          <w:rFonts w:ascii="Calibri" w:hAnsi="Calibri"/>
          <w:sz w:val="16"/>
          <w:szCs w:val="16"/>
        </w:rPr>
        <w:t>ottl</w:t>
      </w:r>
      <w:r w:rsidRPr="003A2CA8">
        <w:rPr>
          <w:rFonts w:ascii="Calibri" w:hAnsi="Calibri"/>
          <w:sz w:val="16"/>
          <w:szCs w:val="16"/>
        </w:rPr>
        <w:t>ed</w:t>
      </w:r>
      <w:r w:rsidR="008C3A4D" w:rsidRPr="003A2CA8">
        <w:rPr>
          <w:rFonts w:ascii="Calibri" w:hAnsi="Calibri"/>
          <w:sz w:val="16"/>
          <w:szCs w:val="16"/>
        </w:rPr>
        <w:t>”</w:t>
      </w:r>
      <w:r w:rsidRPr="003A2CA8">
        <w:rPr>
          <w:rFonts w:ascii="Calibri" w:hAnsi="Calibri"/>
          <w:sz w:val="16"/>
          <w:szCs w:val="16"/>
        </w:rPr>
        <w:t xml:space="preserve"> refers to </w:t>
      </w:r>
      <w:r w:rsidR="008C3A4D" w:rsidRPr="003A2CA8">
        <w:rPr>
          <w:rFonts w:ascii="Calibri" w:hAnsi="Calibri"/>
          <w:sz w:val="16"/>
          <w:szCs w:val="16"/>
        </w:rPr>
        <w:t>price</w:t>
      </w:r>
      <w:r w:rsidR="004451E8" w:rsidRPr="003A2CA8">
        <w:rPr>
          <w:rFonts w:ascii="Calibri" w:hAnsi="Calibri"/>
          <w:sz w:val="16"/>
          <w:szCs w:val="16"/>
        </w:rPr>
        <w:t>-</w:t>
      </w:r>
      <w:r w:rsidR="008C3A4D" w:rsidRPr="003A2CA8">
        <w:rPr>
          <w:rFonts w:ascii="Calibri" w:hAnsi="Calibri"/>
          <w:sz w:val="16"/>
          <w:szCs w:val="16"/>
        </w:rPr>
        <w:t xml:space="preserve">taking resources that cannot produce energy </w:t>
      </w:r>
      <w:r w:rsidR="004451E8" w:rsidRPr="003A2CA8">
        <w:rPr>
          <w:rFonts w:ascii="Calibri" w:hAnsi="Calibri"/>
          <w:sz w:val="16"/>
          <w:szCs w:val="16"/>
        </w:rPr>
        <w:t xml:space="preserve">because </w:t>
      </w:r>
      <w:r w:rsidR="008C3A4D" w:rsidRPr="003A2CA8">
        <w:rPr>
          <w:rFonts w:ascii="Calibri" w:hAnsi="Calibri"/>
          <w:sz w:val="16"/>
          <w:szCs w:val="16"/>
        </w:rPr>
        <w:t xml:space="preserve">of transmission system limitations that constrain production or hours </w:t>
      </w:r>
      <w:r w:rsidR="00A55D8E" w:rsidRPr="003A2CA8">
        <w:rPr>
          <w:rFonts w:ascii="Calibri" w:hAnsi="Calibri"/>
          <w:sz w:val="16"/>
          <w:szCs w:val="16"/>
        </w:rPr>
        <w:t xml:space="preserve">when </w:t>
      </w:r>
      <w:r w:rsidR="008C3A4D" w:rsidRPr="003A2CA8">
        <w:rPr>
          <w:rFonts w:ascii="Calibri" w:hAnsi="Calibri"/>
          <w:sz w:val="16"/>
          <w:szCs w:val="16"/>
        </w:rPr>
        <w:t xml:space="preserve">demand </w:t>
      </w:r>
      <w:r w:rsidR="004451E8" w:rsidRPr="003A2CA8">
        <w:rPr>
          <w:rFonts w:ascii="Calibri" w:hAnsi="Calibri"/>
          <w:sz w:val="16"/>
          <w:szCs w:val="16"/>
        </w:rPr>
        <w:t xml:space="preserve">is insufficient </w:t>
      </w:r>
      <w:r w:rsidR="008C3A4D" w:rsidRPr="003A2CA8">
        <w:rPr>
          <w:rFonts w:ascii="Calibri" w:hAnsi="Calibri"/>
          <w:sz w:val="16"/>
          <w:szCs w:val="16"/>
        </w:rPr>
        <w:t>to consume the full amount of potentially available production.</w:t>
      </w:r>
    </w:p>
    <w:p w:rsidR="000760E1" w:rsidRDefault="000760E1" w:rsidP="000760E1">
      <w:r w:rsidRPr="00C17246">
        <w:t xml:space="preserve">The study does not include detailed transmission analysis that would be required to fully develop </w:t>
      </w:r>
      <w:r w:rsidR="008C3A4D">
        <w:t xml:space="preserve">plans </w:t>
      </w:r>
      <w:r w:rsidR="00A55D8E">
        <w:t>that</w:t>
      </w:r>
      <w:r w:rsidR="008C3A4D">
        <w:t xml:space="preserve"> identify and price </w:t>
      </w:r>
      <w:r>
        <w:t>transmission upgrades. The results, however,</w:t>
      </w:r>
      <w:r w:rsidR="008C3A4D">
        <w:t xml:space="preserve"> provide transmission development costs that are suitable for comparing high</w:t>
      </w:r>
      <w:r w:rsidR="00BC4C0D">
        <w:t>-</w:t>
      </w:r>
      <w:r w:rsidR="008C3A4D">
        <w:t>order</w:t>
      </w:r>
      <w:r w:rsidR="00A55D8E">
        <w:t>-</w:t>
      </w:r>
      <w:r w:rsidR="008C3A4D">
        <w:t>of</w:t>
      </w:r>
      <w:r w:rsidR="00A55D8E">
        <w:t>-</w:t>
      </w:r>
      <w:r w:rsidR="008C3A4D">
        <w:t xml:space="preserve">magnitude </w:t>
      </w:r>
      <w:r w:rsidR="00EA3B42">
        <w:t xml:space="preserve">dollars </w:t>
      </w:r>
      <w:r w:rsidR="008C3A4D">
        <w:t>across the scenarios</w:t>
      </w:r>
      <w:r>
        <w:t>.</w:t>
      </w:r>
    </w:p>
    <w:p w:rsidR="000760E1" w:rsidRDefault="000760E1" w:rsidP="002F71DB">
      <w:pPr>
        <w:pStyle w:val="Heading1"/>
      </w:pPr>
      <w:r>
        <w:lastRenderedPageBreak/>
        <w:br/>
      </w:r>
      <w:bookmarkStart w:id="92" w:name="_Ref477520325"/>
      <w:bookmarkStart w:id="93" w:name="_Toc486405972"/>
      <w:r>
        <w:t>Assumptions</w:t>
      </w:r>
      <w:bookmarkEnd w:id="92"/>
      <w:bookmarkEnd w:id="93"/>
    </w:p>
    <w:p w:rsidR="000760E1" w:rsidRPr="002C2534" w:rsidRDefault="00842F28" w:rsidP="000760E1">
      <w:pPr>
        <w:rPr>
          <w:highlight w:val="green"/>
        </w:rPr>
      </w:pPr>
      <w:r>
        <w:t xml:space="preserve">This section </w:t>
      </w:r>
      <w:r w:rsidRPr="003A0CF2">
        <w:t>summarize</w:t>
      </w:r>
      <w:r>
        <w:t xml:space="preserve">s </w:t>
      </w:r>
      <w:r w:rsidRPr="003A0CF2">
        <w:t>the major assumptions</w:t>
      </w:r>
      <w:r>
        <w:t xml:space="preserve"> applied in the study</w:t>
      </w:r>
      <w:r w:rsidR="00330100">
        <w:t>, all of which were</w:t>
      </w:r>
      <w:r w:rsidR="002C3A34">
        <w:t xml:space="preserve"> </w:t>
      </w:r>
      <w:r>
        <w:t xml:space="preserve">discussed with the PAC. </w:t>
      </w:r>
      <w:r w:rsidR="000760E1">
        <w:t xml:space="preserve">The study made a set of common assumptions of the electric power system and markets </w:t>
      </w:r>
      <w:r w:rsidR="00330100">
        <w:t xml:space="preserve">and several scenario-specific assumptions. Common assumptions were made </w:t>
      </w:r>
      <w:r w:rsidR="000760E1">
        <w:t>for the following parameters for the two study years and the constrained and unconstrained cases</w:t>
      </w:r>
      <w:r w:rsidR="000760E1" w:rsidRPr="00B603F9">
        <w:t>:</w:t>
      </w:r>
      <w:r w:rsidR="000760E1" w:rsidRPr="009069E8">
        <w:rPr>
          <w:rStyle w:val="FootnoteReference"/>
        </w:rPr>
        <w:footnoteReference w:id="34"/>
      </w:r>
    </w:p>
    <w:p w:rsidR="000760E1" w:rsidRPr="00355F94" w:rsidRDefault="000760E1" w:rsidP="000760E1">
      <w:pPr>
        <w:pStyle w:val="ListParagraph"/>
        <w:numPr>
          <w:ilvl w:val="0"/>
          <w:numId w:val="47"/>
        </w:numPr>
      </w:pPr>
      <w:r w:rsidRPr="00355F94">
        <w:t xml:space="preserve">Annual and peak energy use, </w:t>
      </w:r>
      <w:r w:rsidR="00C22EEB" w:rsidRPr="00355F94">
        <w:t xml:space="preserve">active demand </w:t>
      </w:r>
      <w:r w:rsidR="00195B55" w:rsidRPr="00355F94">
        <w:t>resource (ADR</w:t>
      </w:r>
      <w:r w:rsidR="00AA06D8" w:rsidRPr="00355F94">
        <w:t>)</w:t>
      </w:r>
      <w:r w:rsidR="00195B55" w:rsidRPr="00355F94">
        <w:t xml:space="preserve"> </w:t>
      </w:r>
      <w:r w:rsidR="00C22EEB" w:rsidRPr="00355F94">
        <w:t xml:space="preserve">profiles, </w:t>
      </w:r>
      <w:r w:rsidRPr="00355F94">
        <w:t xml:space="preserve">and capacity needs </w:t>
      </w:r>
    </w:p>
    <w:p w:rsidR="000760E1" w:rsidRPr="00E55A77" w:rsidRDefault="000760E1" w:rsidP="000760E1">
      <w:pPr>
        <w:pStyle w:val="ListParagraph"/>
        <w:numPr>
          <w:ilvl w:val="0"/>
          <w:numId w:val="47"/>
        </w:numPr>
      </w:pPr>
      <w:r w:rsidRPr="00E55A77">
        <w:t>Fuel prices</w:t>
      </w:r>
      <w:r w:rsidR="00145071" w:rsidRPr="00E55A77">
        <w:t xml:space="preserve"> </w:t>
      </w:r>
    </w:p>
    <w:p w:rsidR="000760E1" w:rsidRPr="00E55A77" w:rsidRDefault="000760E1" w:rsidP="000760E1">
      <w:pPr>
        <w:pStyle w:val="ListParagraph"/>
        <w:numPr>
          <w:ilvl w:val="0"/>
          <w:numId w:val="47"/>
        </w:numPr>
      </w:pPr>
      <w:r w:rsidRPr="00E55A77">
        <w:t xml:space="preserve">Generating resource capital costs and resource production </w:t>
      </w:r>
      <w:r w:rsidR="00EA3B42" w:rsidRPr="00E55A77">
        <w:t>characteristics (</w:t>
      </w:r>
      <w:r w:rsidR="00E55A77" w:rsidRPr="00E55A77">
        <w:t>e.g.,</w:t>
      </w:r>
      <w:r w:rsidR="00386A98">
        <w:t xml:space="preserve"> </w:t>
      </w:r>
      <w:r w:rsidR="00EA3B42" w:rsidRPr="00E55A77">
        <w:t xml:space="preserve">heat rates, outage rates, maintenance schedules, </w:t>
      </w:r>
      <w:r w:rsidR="00BF64F4" w:rsidRPr="00E55A77">
        <w:t>wind and hydro profiles,</w:t>
      </w:r>
      <w:r w:rsidR="00E55A77" w:rsidRPr="00E55A77">
        <w:t xml:space="preserve"> and others</w:t>
      </w:r>
      <w:r w:rsidR="00EA3B42" w:rsidRPr="00E55A77">
        <w:t>)</w:t>
      </w:r>
    </w:p>
    <w:p w:rsidR="000760E1" w:rsidRPr="00D355D8" w:rsidRDefault="000760E1" w:rsidP="000760E1">
      <w:pPr>
        <w:pStyle w:val="ListParagraph"/>
        <w:numPr>
          <w:ilvl w:val="0"/>
          <w:numId w:val="47"/>
        </w:numPr>
      </w:pPr>
      <w:r w:rsidRPr="00E55A77">
        <w:t xml:space="preserve">Internal and external </w:t>
      </w:r>
      <w:r w:rsidR="00842F28" w:rsidRPr="00E55A77">
        <w:t>t</w:t>
      </w:r>
      <w:r w:rsidRPr="00E55A77">
        <w:t>ransmission</w:t>
      </w:r>
      <w:r w:rsidRPr="00B603F9">
        <w:t xml:space="preserve"> interface </w:t>
      </w:r>
      <w:r w:rsidRPr="009069E8">
        <w:t>transfer limits</w:t>
      </w:r>
      <w:r w:rsidRPr="00B603F9">
        <w:t xml:space="preserve"> and interchanges with neighboring systems</w:t>
      </w:r>
    </w:p>
    <w:p w:rsidR="000760E1" w:rsidRPr="00D355D8" w:rsidRDefault="000760E1" w:rsidP="000760E1">
      <w:pPr>
        <w:pStyle w:val="ListParagraph"/>
        <w:numPr>
          <w:ilvl w:val="0"/>
          <w:numId w:val="47"/>
        </w:numPr>
      </w:pPr>
      <w:r w:rsidRPr="00D355D8">
        <w:t xml:space="preserve">Transmission </w:t>
      </w:r>
      <w:r w:rsidR="00145071">
        <w:t xml:space="preserve">development </w:t>
      </w:r>
      <w:r w:rsidRPr="00D355D8">
        <w:t>capital cost</w:t>
      </w:r>
      <w:r w:rsidR="00145071">
        <w:t xml:space="preserve"> methodology and dollar amounts</w:t>
      </w:r>
      <w:r w:rsidR="003511C9">
        <w:t xml:space="preserve"> </w:t>
      </w:r>
    </w:p>
    <w:p w:rsidR="000760E1" w:rsidRPr="00D355D8" w:rsidRDefault="000760E1" w:rsidP="000760E1">
      <w:pPr>
        <w:pStyle w:val="ListParagraph"/>
        <w:numPr>
          <w:ilvl w:val="0"/>
          <w:numId w:val="47"/>
        </w:numPr>
        <w:spacing w:after="240"/>
      </w:pPr>
      <w:r w:rsidRPr="00D355D8">
        <w:t>A</w:t>
      </w:r>
      <w:r w:rsidRPr="009069E8">
        <w:t>ir emission regulatory targets for CO</w:t>
      </w:r>
      <w:r w:rsidRPr="009069E8">
        <w:rPr>
          <w:vertAlign w:val="subscript"/>
        </w:rPr>
        <w:t>2</w:t>
      </w:r>
      <w:r w:rsidRPr="009069E8">
        <w:t xml:space="preserve"> </w:t>
      </w:r>
      <w:r w:rsidRPr="00D355D8">
        <w:t>and emission allowance costs</w:t>
      </w:r>
      <w:r w:rsidRPr="00CF28AD">
        <w:t xml:space="preserve"> </w:t>
      </w:r>
    </w:p>
    <w:p w:rsidR="00842F28" w:rsidRPr="00E55A77" w:rsidRDefault="000760E1" w:rsidP="00E55A77">
      <w:r w:rsidRPr="009069E8">
        <w:t xml:space="preserve">The study reflected assumptions for </w:t>
      </w:r>
      <w:r w:rsidRPr="00FD4691">
        <w:t xml:space="preserve">the </w:t>
      </w:r>
      <w:r w:rsidRPr="00E55A77">
        <w:t>production profiles</w:t>
      </w:r>
      <w:r w:rsidRPr="00FD4691">
        <w:t xml:space="preserve"> of hydro units, PV, wind generation units</w:t>
      </w:r>
      <w:r w:rsidR="00E55A77">
        <w:t xml:space="preserve">; </w:t>
      </w:r>
      <w:r w:rsidRPr="00E55A77">
        <w:t>pumped-storage generating units, electric batteries, and plug-in hybrid electric vehicles</w:t>
      </w:r>
      <w:r w:rsidR="00E55A77" w:rsidRPr="00E55A77">
        <w:t xml:space="preserve"> and the energy</w:t>
      </w:r>
      <w:r w:rsidR="00E55A77" w:rsidRPr="00910F73">
        <w:t xml:space="preserve"> profiles </w:t>
      </w:r>
      <w:r w:rsidR="00E55A77" w:rsidRPr="00FD4691">
        <w:t>for</w:t>
      </w:r>
      <w:r w:rsidR="00E55A77" w:rsidRPr="00CF28AD">
        <w:t xml:space="preserve"> </w:t>
      </w:r>
      <w:r w:rsidR="00E55A77" w:rsidRPr="00B856A2">
        <w:t xml:space="preserve">imports from neighboring systems. </w:t>
      </w:r>
      <w:r w:rsidRPr="00B856A2">
        <w:t>The assumptions for the overall resource mix</w:t>
      </w:r>
      <w:r w:rsidR="00166054" w:rsidRPr="00B856A2">
        <w:t xml:space="preserve"> based on resource expansions and retirements</w:t>
      </w:r>
      <w:r w:rsidR="00E55A77" w:rsidRPr="00B856A2">
        <w:t xml:space="preserve">, </w:t>
      </w:r>
      <w:r w:rsidRPr="00B856A2">
        <w:t>resource capacity values</w:t>
      </w:r>
      <w:r w:rsidR="00166054" w:rsidRPr="00B856A2">
        <w:t xml:space="preserve"> and locations</w:t>
      </w:r>
      <w:r w:rsidR="00E55A77" w:rsidRPr="00B856A2">
        <w:t xml:space="preserve">, </w:t>
      </w:r>
      <w:r w:rsidRPr="00B856A2">
        <w:t>and external ties varied among the scenarios.</w:t>
      </w:r>
      <w:r w:rsidR="00842F28" w:rsidRPr="00B856A2">
        <w:t xml:space="preserve"> </w:t>
      </w:r>
      <w:r w:rsidR="002C2534" w:rsidRPr="00B856A2">
        <w:t>For all but Scenario 3</w:t>
      </w:r>
      <w:r w:rsidR="00745105" w:rsidRPr="00B856A2">
        <w:t xml:space="preserve"> (Renewables Plus)</w:t>
      </w:r>
      <w:r w:rsidR="002C2534" w:rsidRPr="00B856A2">
        <w:t xml:space="preserve">, the amounts of PV and EE development and hourly profiles were the same; </w:t>
      </w:r>
      <w:r w:rsidR="00745105" w:rsidRPr="00B856A2">
        <w:t>however, for Scenario 3</w:t>
      </w:r>
      <w:r w:rsidR="002C2534" w:rsidRPr="00B856A2">
        <w:t xml:space="preserve"> more PV and EE </w:t>
      </w:r>
      <w:r w:rsidR="00745105" w:rsidRPr="00B856A2">
        <w:t xml:space="preserve">was assumed for </w:t>
      </w:r>
      <w:r w:rsidR="002C2534" w:rsidRPr="00B856A2">
        <w:t xml:space="preserve">the "base" amounts </w:t>
      </w:r>
      <w:r w:rsidR="00745105" w:rsidRPr="00B856A2">
        <w:t xml:space="preserve">of </w:t>
      </w:r>
      <w:r w:rsidR="002C2534" w:rsidRPr="00B856A2">
        <w:t>these resource types.</w:t>
      </w:r>
    </w:p>
    <w:p w:rsidR="0049252C" w:rsidRPr="00E5063C" w:rsidRDefault="0049252C" w:rsidP="00E5063C">
      <w:pPr>
        <w:pStyle w:val="Heading2"/>
      </w:pPr>
      <w:bookmarkStart w:id="94" w:name="_Toc486405973"/>
      <w:r w:rsidRPr="00E5063C">
        <w:t>Public Policies Assumed</w:t>
      </w:r>
      <w:bookmarkEnd w:id="94"/>
    </w:p>
    <w:p w:rsidR="00B25E9A" w:rsidRPr="00745105" w:rsidRDefault="00B25E9A" w:rsidP="00B25E9A">
      <w:r w:rsidRPr="00745105">
        <w:t>The following public policies were assumed to be in effect in various ways in the six New England states throughout the timeframe of the study</w:t>
      </w:r>
      <w:r w:rsidR="00C723E7" w:rsidRPr="00745105">
        <w:t xml:space="preserve"> and could affect the growth of renewable resources and their locations, reductions in net demand, and energy production costs:</w:t>
      </w:r>
    </w:p>
    <w:p w:rsidR="00B25E9A" w:rsidRPr="00B856A2" w:rsidRDefault="0045159A" w:rsidP="00FD6C6A">
      <w:pPr>
        <w:numPr>
          <w:ilvl w:val="0"/>
          <w:numId w:val="14"/>
        </w:numPr>
        <w:spacing w:after="120"/>
      </w:pPr>
      <w:r w:rsidRPr="00B856A2">
        <w:t>The states’ Renewable Portfolio Standards</w:t>
      </w:r>
      <w:r w:rsidR="002E302C" w:rsidRPr="00B856A2">
        <w:t>’</w:t>
      </w:r>
      <w:r w:rsidRPr="00B856A2">
        <w:t xml:space="preserve"> </w:t>
      </w:r>
      <w:r w:rsidR="002E302C" w:rsidRPr="00B856A2">
        <w:t xml:space="preserve">(RPSs) </w:t>
      </w:r>
      <w:r w:rsidR="00A21E96" w:rsidRPr="00B856A2">
        <w:t xml:space="preserve">and other renewable resource goals </w:t>
      </w:r>
      <w:r w:rsidR="002E302C" w:rsidRPr="00B856A2">
        <w:t>a</w:t>
      </w:r>
      <w:r w:rsidRPr="00B856A2">
        <w:t>s of April 1, 2016</w:t>
      </w:r>
      <w:r w:rsidR="003129D6" w:rsidRPr="00B856A2">
        <w:t xml:space="preserve">, which set increasing targets </w:t>
      </w:r>
      <w:r w:rsidR="00FD6C6A" w:rsidRPr="00B856A2">
        <w:t xml:space="preserve">in the six New England states </w:t>
      </w:r>
      <w:r w:rsidR="00A21E96" w:rsidRPr="00B856A2">
        <w:t xml:space="preserve">for </w:t>
      </w:r>
      <w:r w:rsidR="003129D6" w:rsidRPr="00B856A2">
        <w:t xml:space="preserve">the </w:t>
      </w:r>
      <w:r w:rsidR="00A21E96" w:rsidRPr="00B856A2">
        <w:t xml:space="preserve">procurement of renewable </w:t>
      </w:r>
      <w:r w:rsidR="003129D6" w:rsidRPr="00B856A2">
        <w:t>electric</w:t>
      </w:r>
      <w:r w:rsidR="00C22EEB" w:rsidRPr="00B856A2">
        <w:t>al energy</w:t>
      </w:r>
      <w:r w:rsidR="003129D6" w:rsidRPr="00B856A2">
        <w:t xml:space="preserve"> </w:t>
      </w:r>
      <w:r w:rsidR="00A21E96" w:rsidRPr="00B856A2">
        <w:t xml:space="preserve">by </w:t>
      </w:r>
      <w:r w:rsidR="003129D6" w:rsidRPr="00B856A2">
        <w:t>load-serving entities</w:t>
      </w:r>
    </w:p>
    <w:p w:rsidR="00B25E9A" w:rsidRPr="0020432B" w:rsidRDefault="00B25E9A" w:rsidP="002E302C">
      <w:pPr>
        <w:numPr>
          <w:ilvl w:val="0"/>
          <w:numId w:val="12"/>
        </w:numPr>
        <w:spacing w:after="120"/>
      </w:pPr>
      <w:r w:rsidRPr="009D6049">
        <w:lastRenderedPageBreak/>
        <w:t xml:space="preserve">Energy-efficiency </w:t>
      </w:r>
      <w:r w:rsidRPr="00E5063C">
        <w:t>programs</w:t>
      </w:r>
      <w:r w:rsidR="003129D6" w:rsidRPr="00E5063C">
        <w:t xml:space="preserve">, which </w:t>
      </w:r>
      <w:r w:rsidR="00C711FF" w:rsidRPr="00E5063C">
        <w:t xml:space="preserve">lower </w:t>
      </w:r>
      <w:r w:rsidR="003129D6" w:rsidRPr="00E5063C">
        <w:t xml:space="preserve">the </w:t>
      </w:r>
      <w:r w:rsidR="005C0ECA">
        <w:t xml:space="preserve">amount of physical energy that needs to be produced </w:t>
      </w:r>
      <w:r w:rsidR="005C0ECA" w:rsidRPr="0020432B">
        <w:t>and distributed</w:t>
      </w:r>
      <w:r w:rsidR="00E21687" w:rsidRPr="0020432B">
        <w:t>.</w:t>
      </w:r>
      <w:r w:rsidR="00C711FF" w:rsidRPr="0020432B">
        <w:rPr>
          <w:rStyle w:val="FootnoteReference"/>
        </w:rPr>
        <w:footnoteReference w:id="35"/>
      </w:r>
      <w:r w:rsidR="00C711FF" w:rsidRPr="0020432B">
        <w:t xml:space="preserve"> </w:t>
      </w:r>
      <w:r w:rsidR="00E21687" w:rsidRPr="0020432B">
        <w:t xml:space="preserve">The study assumed that EE resources help meet the NICR. </w:t>
      </w:r>
    </w:p>
    <w:p w:rsidR="00B25E9A" w:rsidRPr="00E5063C" w:rsidRDefault="00C711FF" w:rsidP="002E302C">
      <w:pPr>
        <w:numPr>
          <w:ilvl w:val="0"/>
          <w:numId w:val="12"/>
        </w:numPr>
        <w:spacing w:after="120"/>
      </w:pPr>
      <w:r w:rsidRPr="00E5063C">
        <w:t>Behind-the-meter s</w:t>
      </w:r>
      <w:r w:rsidR="00B25E9A" w:rsidRPr="00E5063C">
        <w:t>olar</w:t>
      </w:r>
      <w:r w:rsidR="00B25E9A" w:rsidRPr="00862354">
        <w:t xml:space="preserve"> </w:t>
      </w:r>
      <w:r w:rsidR="00BD7441" w:rsidRPr="00862354">
        <w:t xml:space="preserve">and net-metering </w:t>
      </w:r>
      <w:r w:rsidR="00B25E9A" w:rsidRPr="00E5063C">
        <w:t>programs</w:t>
      </w:r>
      <w:r w:rsidRPr="00E5063C">
        <w:t>, which serve to decrease net load</w:t>
      </w:r>
      <w:r w:rsidR="005C0ECA">
        <w:t xml:space="preserve"> as seen by ISO New England</w:t>
      </w:r>
      <w:r w:rsidRPr="00E5063C">
        <w:t xml:space="preserve"> and </w:t>
      </w:r>
      <w:r w:rsidR="005C0ECA">
        <w:t xml:space="preserve">consequently reduce </w:t>
      </w:r>
      <w:r w:rsidRPr="00E5063C">
        <w:t xml:space="preserve">the </w:t>
      </w:r>
      <w:r w:rsidR="005C0ECA">
        <w:t>amount of</w:t>
      </w:r>
      <w:r w:rsidRPr="00E5063C">
        <w:t xml:space="preserve"> </w:t>
      </w:r>
      <w:r w:rsidR="005C0ECA">
        <w:t>N</w:t>
      </w:r>
      <w:r w:rsidRPr="00E5063C">
        <w:t>ICR</w:t>
      </w:r>
      <w:r w:rsidR="005C0ECA">
        <w:t xml:space="preserve"> needed to reliably serve loads</w:t>
      </w:r>
    </w:p>
    <w:p w:rsidR="00B25E9A" w:rsidRPr="00E5063C" w:rsidRDefault="00B25E9A" w:rsidP="002E302C">
      <w:pPr>
        <w:numPr>
          <w:ilvl w:val="0"/>
          <w:numId w:val="12"/>
        </w:numPr>
      </w:pPr>
      <w:r w:rsidRPr="00E5063C">
        <w:t xml:space="preserve">Regional Greenhous Gas Initiative </w:t>
      </w:r>
      <w:r w:rsidR="00C20561" w:rsidRPr="00E5063C">
        <w:t>CO</w:t>
      </w:r>
      <w:r w:rsidR="00C20561" w:rsidRPr="00E5063C">
        <w:rPr>
          <w:vertAlign w:val="subscript"/>
        </w:rPr>
        <w:t>2</w:t>
      </w:r>
      <w:r w:rsidR="00C20561" w:rsidRPr="00E5063C">
        <w:t xml:space="preserve"> emissions allowance </w:t>
      </w:r>
      <w:r w:rsidRPr="00E5063C">
        <w:t>pricing</w:t>
      </w:r>
      <w:r w:rsidR="00C711FF" w:rsidRPr="00E5063C">
        <w:t xml:space="preserve">, which </w:t>
      </w:r>
      <w:r w:rsidR="00862354" w:rsidRPr="00E5063C">
        <w:t>affects production costs</w:t>
      </w:r>
      <w:r w:rsidR="00A06D46" w:rsidRPr="00E5063C">
        <w:t xml:space="preserve"> </w:t>
      </w:r>
      <w:r w:rsidR="00C711FF" w:rsidRPr="00E5063C">
        <w:t>and regional emission levels</w:t>
      </w:r>
    </w:p>
    <w:p w:rsidR="00BD7441" w:rsidRPr="0020432B" w:rsidRDefault="00CD11A8" w:rsidP="00125170">
      <w:pPr>
        <w:pStyle w:val="Heading2"/>
      </w:pPr>
      <w:bookmarkStart w:id="95" w:name="_Toc477794725"/>
      <w:bookmarkStart w:id="96" w:name="_Toc477794729"/>
      <w:bookmarkStart w:id="97" w:name="_Ref477778497"/>
      <w:bookmarkStart w:id="98" w:name="_Ref480556421"/>
      <w:bookmarkStart w:id="99" w:name="_Toc486405974"/>
      <w:bookmarkEnd w:id="95"/>
      <w:bookmarkEnd w:id="96"/>
      <w:r w:rsidRPr="0020432B">
        <w:t xml:space="preserve">Peak </w:t>
      </w:r>
      <w:r w:rsidRPr="0020432B">
        <w:rPr>
          <w:iCs/>
        </w:rPr>
        <w:t>Demand</w:t>
      </w:r>
      <w:r w:rsidR="00FC34C5" w:rsidRPr="0020432B">
        <w:rPr>
          <w:iCs/>
        </w:rPr>
        <w:t>,</w:t>
      </w:r>
      <w:r w:rsidR="00BD7441" w:rsidRPr="0020432B">
        <w:t xml:space="preserve"> Annual Energy</w:t>
      </w:r>
      <w:r w:rsidR="00894A0B" w:rsidRPr="0020432B">
        <w:t xml:space="preserve"> Use</w:t>
      </w:r>
      <w:r w:rsidR="00FC34C5" w:rsidRPr="0020432B">
        <w:t>, and</w:t>
      </w:r>
      <w:r w:rsidR="00FC34C5" w:rsidRPr="00E80869">
        <w:t xml:space="preserve"> </w:t>
      </w:r>
      <w:r w:rsidR="00033404" w:rsidRPr="0020432B">
        <w:t>Demand</w:t>
      </w:r>
      <w:r w:rsidR="00FC34C5" w:rsidRPr="0020432B">
        <w:t xml:space="preserve"> Modifiers</w:t>
      </w:r>
      <w:bookmarkEnd w:id="97"/>
      <w:bookmarkEnd w:id="98"/>
      <w:bookmarkEnd w:id="99"/>
    </w:p>
    <w:p w:rsidR="006F31DE" w:rsidRDefault="0060641C" w:rsidP="002C61F3">
      <w:r w:rsidRPr="00E5063C">
        <w:t xml:space="preserve">The </w:t>
      </w:r>
      <w:r w:rsidR="0074147F" w:rsidRPr="00E5063C">
        <w:t xml:space="preserve">study used </w:t>
      </w:r>
      <w:r w:rsidR="00F64FED" w:rsidRPr="00E5063C">
        <w:t xml:space="preserve">a 2006 load shape and </w:t>
      </w:r>
      <w:r w:rsidR="0074147F" w:rsidRPr="00E5063C">
        <w:t xml:space="preserve">readily available </w:t>
      </w:r>
      <w:r w:rsidRPr="00E5063C">
        <w:t xml:space="preserve">standard </w:t>
      </w:r>
      <w:r w:rsidR="00F25578" w:rsidRPr="00E5063C">
        <w:t xml:space="preserve">models for </w:t>
      </w:r>
      <w:r w:rsidR="00826BB7" w:rsidRPr="00E5063C">
        <w:t xml:space="preserve">creating </w:t>
      </w:r>
      <w:r w:rsidR="006D0D61">
        <w:t xml:space="preserve">a </w:t>
      </w:r>
      <w:r w:rsidR="00F64FED" w:rsidRPr="00E5063C">
        <w:t xml:space="preserve">time-synchronized </w:t>
      </w:r>
      <w:r w:rsidR="00F25578" w:rsidRPr="005A6DEA">
        <w:t xml:space="preserve">gross </w:t>
      </w:r>
      <w:r w:rsidR="00F41C4D" w:rsidRPr="005A6DEA">
        <w:t>demand</w:t>
      </w:r>
      <w:r w:rsidR="00F25578" w:rsidRPr="005A6DEA">
        <w:t xml:space="preserve"> </w:t>
      </w:r>
      <w:r w:rsidR="006D0D61">
        <w:t xml:space="preserve">load profile </w:t>
      </w:r>
      <w:r w:rsidR="00C61C02" w:rsidRPr="005A6DEA">
        <w:t xml:space="preserve">and </w:t>
      </w:r>
      <w:r w:rsidR="006D0D61">
        <w:t xml:space="preserve">2006 solar insolation patterns to represent </w:t>
      </w:r>
      <w:r w:rsidR="003A70E5" w:rsidRPr="005A6DEA">
        <w:t xml:space="preserve">BTM </w:t>
      </w:r>
      <w:r w:rsidR="00F25578" w:rsidRPr="0020432B">
        <w:t>PV</w:t>
      </w:r>
      <w:r w:rsidR="004D3C82" w:rsidRPr="0020432B">
        <w:t>.</w:t>
      </w:r>
      <w:r w:rsidR="00331422" w:rsidRPr="0020432B">
        <w:rPr>
          <w:rStyle w:val="FootnoteReference"/>
        </w:rPr>
        <w:footnoteReference w:id="36"/>
      </w:r>
      <w:r w:rsidR="004D3C82" w:rsidRPr="000D242F">
        <w:t xml:space="preserve"> </w:t>
      </w:r>
      <w:r w:rsidR="00C61C02" w:rsidRPr="00331422">
        <w:t xml:space="preserve">The model for demand </w:t>
      </w:r>
      <w:r w:rsidR="006D0D61">
        <w:t xml:space="preserve">after BTM </w:t>
      </w:r>
      <w:r w:rsidR="006D0D61" w:rsidRPr="0020432B">
        <w:t xml:space="preserve">PV </w:t>
      </w:r>
      <w:r w:rsidR="00C61C02" w:rsidRPr="0020432B">
        <w:t xml:space="preserve">was determined by reducing the gross system demand </w:t>
      </w:r>
      <w:r w:rsidR="003A70E5" w:rsidRPr="0020432B">
        <w:t xml:space="preserve">by the assumptions </w:t>
      </w:r>
      <w:r w:rsidR="005A6DEA" w:rsidRPr="0020432B">
        <w:t>for</w:t>
      </w:r>
      <w:r w:rsidR="003A70E5" w:rsidRPr="0020432B">
        <w:t xml:space="preserve"> </w:t>
      </w:r>
      <w:r w:rsidR="00C61C02" w:rsidRPr="0020432B">
        <w:t>BTM PV</w:t>
      </w:r>
      <w:r w:rsidR="00844977" w:rsidRPr="0020432B">
        <w:t xml:space="preserve"> production for every hour of the year</w:t>
      </w:r>
      <w:r w:rsidR="00844977" w:rsidRPr="009C7834">
        <w:t xml:space="preserve">. </w:t>
      </w:r>
      <w:r w:rsidR="00C61C02" w:rsidRPr="009C7834">
        <w:t xml:space="preserve">The </w:t>
      </w:r>
      <w:r w:rsidR="00004025" w:rsidRPr="009C7834">
        <w:t xml:space="preserve">gross peak demand and the </w:t>
      </w:r>
      <w:r w:rsidR="009C7834" w:rsidRPr="009C7834">
        <w:t xml:space="preserve">megawatt </w:t>
      </w:r>
      <w:r w:rsidR="00004025" w:rsidRPr="009C7834">
        <w:t xml:space="preserve">amounts of </w:t>
      </w:r>
      <w:r w:rsidR="00FB0A1C" w:rsidRPr="009C7834">
        <w:t xml:space="preserve">BTM PV </w:t>
      </w:r>
      <w:r w:rsidR="00004025" w:rsidRPr="009C7834">
        <w:t>were based on ISO’s projections for 2025</w:t>
      </w:r>
      <w:r w:rsidR="00004025" w:rsidRPr="00E1506D">
        <w:t xml:space="preserve">, </w:t>
      </w:r>
      <w:r w:rsidR="00004025" w:rsidRPr="0020432B">
        <w:t xml:space="preserve">but additional amounts of PV were </w:t>
      </w:r>
      <w:r w:rsidR="00FB0A1C" w:rsidRPr="0020432B">
        <w:t>add</w:t>
      </w:r>
      <w:r w:rsidR="00004025" w:rsidRPr="0020432B">
        <w:t xml:space="preserve">ed </w:t>
      </w:r>
      <w:r w:rsidR="00FB0A1C" w:rsidRPr="0020432B">
        <w:t>in Scenario</w:t>
      </w:r>
      <w:r w:rsidR="00E1506D" w:rsidRPr="0020432B">
        <w:t xml:space="preserve"> </w:t>
      </w:r>
      <w:r w:rsidR="00FB0A1C" w:rsidRPr="0020432B">
        <w:t xml:space="preserve">6, and </w:t>
      </w:r>
      <w:r w:rsidR="00E1506D" w:rsidRPr="0020432B">
        <w:t xml:space="preserve">additional amounts of PV, </w:t>
      </w:r>
      <w:r w:rsidR="005A6DEA" w:rsidRPr="0020432B">
        <w:t>PHEVs</w:t>
      </w:r>
      <w:r w:rsidR="00E1506D" w:rsidRPr="0020432B">
        <w:t>,</w:t>
      </w:r>
      <w:r w:rsidR="00C61C02" w:rsidRPr="0020432B">
        <w:t xml:space="preserve"> and distributed batteries</w:t>
      </w:r>
      <w:r w:rsidR="00E1506D" w:rsidRPr="0020432B">
        <w:t xml:space="preserve"> were added in Scenario 3</w:t>
      </w:r>
      <w:r w:rsidR="0020432B" w:rsidRPr="0020432B">
        <w:t>.</w:t>
      </w:r>
    </w:p>
    <w:p w:rsidR="00125170" w:rsidRPr="000D242F" w:rsidRDefault="009B3531" w:rsidP="002C61F3">
      <w:r w:rsidRPr="00062538">
        <w:t xml:space="preserve">The scenarios </w:t>
      </w:r>
      <w:r w:rsidR="00E1506D" w:rsidRPr="00062538">
        <w:t xml:space="preserve">also </w:t>
      </w:r>
      <w:r w:rsidRPr="00062538">
        <w:t xml:space="preserve">modeled </w:t>
      </w:r>
      <w:r w:rsidR="00C61C02" w:rsidRPr="00062538">
        <w:t xml:space="preserve">several </w:t>
      </w:r>
      <w:r w:rsidRPr="00062538">
        <w:t xml:space="preserve">resources </w:t>
      </w:r>
      <w:r w:rsidR="00C61C02" w:rsidRPr="00062538">
        <w:t xml:space="preserve">as negative loads </w:t>
      </w:r>
      <w:r w:rsidR="000C3FC8" w:rsidRPr="00062538">
        <w:t xml:space="preserve">to simulate </w:t>
      </w:r>
      <w:r w:rsidRPr="00062538">
        <w:t xml:space="preserve">an overall </w:t>
      </w:r>
      <w:r w:rsidR="00C61C02" w:rsidRPr="00062538">
        <w:t xml:space="preserve">reduced </w:t>
      </w:r>
      <w:r w:rsidRPr="00062538">
        <w:t>hourly demand</w:t>
      </w:r>
      <w:r w:rsidR="00C61C02" w:rsidRPr="00062538">
        <w:t xml:space="preserve"> that served as an input to the dispatch of generating resources</w:t>
      </w:r>
      <w:r w:rsidRPr="00062538">
        <w:t xml:space="preserve">. These included </w:t>
      </w:r>
      <w:r w:rsidR="006F31DE" w:rsidRPr="00062538">
        <w:t xml:space="preserve">energy efficiency, </w:t>
      </w:r>
      <w:r w:rsidR="00C61C02" w:rsidRPr="00062538">
        <w:t>non-BTM</w:t>
      </w:r>
      <w:r w:rsidR="00004025" w:rsidRPr="00062538">
        <w:t xml:space="preserve"> PV</w:t>
      </w:r>
      <w:r w:rsidR="00C61C02" w:rsidRPr="00062538">
        <w:t xml:space="preserve">, wind generation, </w:t>
      </w:r>
      <w:r w:rsidRPr="00062538">
        <w:t>pumped</w:t>
      </w:r>
      <w:r w:rsidR="000C0B6D" w:rsidRPr="00062538">
        <w:t>-</w:t>
      </w:r>
      <w:r w:rsidRPr="00062538">
        <w:t>storage hydro, and hydro generation.</w:t>
      </w:r>
      <w:r w:rsidR="00125170" w:rsidRPr="00EF60FA">
        <w:t xml:space="preserve"> </w:t>
      </w:r>
    </w:p>
    <w:p w:rsidR="00827DB9" w:rsidRPr="00840B01" w:rsidRDefault="00827DB9" w:rsidP="00AF716F">
      <w:pPr>
        <w:pStyle w:val="Heading3"/>
      </w:pPr>
      <w:bookmarkStart w:id="100" w:name="_Toc486405975"/>
      <w:r w:rsidRPr="00383BDC">
        <w:rPr>
          <w:bCs/>
        </w:rPr>
        <w:t>Peak Demand</w:t>
      </w:r>
      <w:r w:rsidRPr="00840B01">
        <w:t xml:space="preserve"> and Annual Energy Use</w:t>
      </w:r>
      <w:bookmarkEnd w:id="100"/>
    </w:p>
    <w:p w:rsidR="0060641C" w:rsidRDefault="009B7D4F" w:rsidP="00254C80">
      <w:r>
        <w:t>Table 5-1</w:t>
      </w:r>
      <w:r w:rsidR="003533CD">
        <w:t xml:space="preserve"> </w:t>
      </w:r>
      <w:r w:rsidR="00455BD1">
        <w:t xml:space="preserve">shows the assumptions </w:t>
      </w:r>
      <w:r w:rsidR="00196BE6">
        <w:t xml:space="preserve">used </w:t>
      </w:r>
      <w:r w:rsidR="00455BD1">
        <w:t xml:space="preserve">for </w:t>
      </w:r>
      <w:r w:rsidR="00455BD1" w:rsidRPr="005A6DEA">
        <w:t xml:space="preserve">gross </w:t>
      </w:r>
      <w:r w:rsidR="006B6330">
        <w:t xml:space="preserve">50/50 peak </w:t>
      </w:r>
      <w:r w:rsidR="007A1838" w:rsidRPr="00F64FED">
        <w:t xml:space="preserve">demand </w:t>
      </w:r>
      <w:r w:rsidR="00455BD1" w:rsidRPr="00F64FED">
        <w:t>and</w:t>
      </w:r>
      <w:r w:rsidR="00455BD1">
        <w:t xml:space="preserve"> annual energy use for all scenarios for 2025 and 2030.</w:t>
      </w:r>
      <w:r w:rsidR="006B6330">
        <w:rPr>
          <w:rStyle w:val="FootnoteReference"/>
        </w:rPr>
        <w:footnoteReference w:id="37"/>
      </w:r>
      <w:r w:rsidR="00386A98">
        <w:t xml:space="preserve"> </w:t>
      </w:r>
      <w:r>
        <w:t>The values for 2025 are consistent with the CELT 2016 report. The values for 2030 were extrapolated from 2025 using the rate of growth of 2025</w:t>
      </w:r>
      <w:r w:rsidR="005A6DEA">
        <w:t xml:space="preserve"> </w:t>
      </w:r>
      <w:r>
        <w:t>values compared with values for 2024, which are the</w:t>
      </w:r>
      <w:r w:rsidR="00C61C02">
        <w:t xml:space="preserve"> </w:t>
      </w:r>
      <w:r>
        <w:t xml:space="preserve">last two years of the ISO’s forecast. </w:t>
      </w:r>
    </w:p>
    <w:p w:rsidR="005F3C4F" w:rsidRPr="005F3C4F" w:rsidRDefault="005F3C4F" w:rsidP="00EF45CF">
      <w:pPr>
        <w:pStyle w:val="Caption"/>
        <w:jc w:val="center"/>
      </w:pPr>
      <w:bookmarkStart w:id="101" w:name="_Toc486406015"/>
      <w:r w:rsidRPr="005F3C4F">
        <w:lastRenderedPageBreak/>
        <w:t xml:space="preserve">Table </w:t>
      </w:r>
      <w:fldSimple w:instr=" STYLEREF 1 \s ">
        <w:r w:rsidR="004248FE">
          <w:rPr>
            <w:noProof/>
          </w:rPr>
          <w:t>5</w:t>
        </w:r>
      </w:fldSimple>
      <w:r w:rsidR="004248FE">
        <w:noBreakHyphen/>
      </w:r>
      <w:fldSimple w:instr=" SEQ Table \* ARABIC \s 1 ">
        <w:r w:rsidR="004248FE">
          <w:rPr>
            <w:noProof/>
          </w:rPr>
          <w:t>1</w:t>
        </w:r>
      </w:fldSimple>
      <w:r w:rsidRPr="005F3C4F">
        <w:br/>
      </w:r>
      <w:r w:rsidRPr="005F3C4F">
        <w:rPr>
          <w:bCs w:val="0"/>
        </w:rPr>
        <w:t xml:space="preserve">Gross New </w:t>
      </w:r>
      <w:r w:rsidRPr="00F64FED">
        <w:rPr>
          <w:bCs w:val="0"/>
        </w:rPr>
        <w:t>England 50/50 Peak</w:t>
      </w:r>
      <w:r w:rsidRPr="005F3C4F">
        <w:rPr>
          <w:bCs w:val="0"/>
        </w:rPr>
        <w:t xml:space="preserve"> Demand and </w:t>
      </w:r>
      <w:r w:rsidRPr="00E36597">
        <w:rPr>
          <w:bCs w:val="0"/>
        </w:rPr>
        <w:t>Annual Energy</w:t>
      </w:r>
      <w:r w:rsidRPr="005F3C4F">
        <w:rPr>
          <w:bCs w:val="0"/>
        </w:rPr>
        <w:t xml:space="preserve"> </w:t>
      </w:r>
      <w:r w:rsidRPr="00904C1D">
        <w:rPr>
          <w:bCs w:val="0"/>
        </w:rPr>
        <w:t>Use for All Scenarios</w:t>
      </w:r>
      <w:bookmarkEnd w:id="101"/>
    </w:p>
    <w:tbl>
      <w:tblPr>
        <w:tblW w:w="6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7"/>
        <w:gridCol w:w="1063"/>
        <w:gridCol w:w="17"/>
        <w:gridCol w:w="1549"/>
      </w:tblGrid>
      <w:tr w:rsidR="000014F1" w:rsidRPr="000014F1" w:rsidTr="00904C1D">
        <w:trPr>
          <w:trHeight w:val="288"/>
          <w:jc w:val="center"/>
        </w:trPr>
        <w:tc>
          <w:tcPr>
            <w:tcW w:w="4157" w:type="dxa"/>
            <w:shd w:val="clear" w:color="auto" w:fill="4F81BD" w:themeFill="accent1"/>
            <w:vAlign w:val="center"/>
          </w:tcPr>
          <w:p w:rsidR="000014F1" w:rsidRPr="00904C1D" w:rsidRDefault="000014F1" w:rsidP="00EF45CF">
            <w:pPr>
              <w:keepNext/>
              <w:keepLines/>
              <w:widowControl w:val="0"/>
              <w:spacing w:before="40" w:after="40" w:line="240" w:lineRule="auto"/>
              <w:jc w:val="center"/>
              <w:rPr>
                <w:rFonts w:ascii="Calibri" w:hAnsi="Calibri"/>
                <w:b/>
                <w:color w:val="FFFFFF" w:themeColor="background1"/>
                <w:sz w:val="18"/>
                <w:szCs w:val="18"/>
              </w:rPr>
            </w:pPr>
            <w:r w:rsidRPr="00904C1D">
              <w:rPr>
                <w:rFonts w:ascii="Calibri" w:hAnsi="Calibri"/>
                <w:b/>
                <w:color w:val="FFFFFF" w:themeColor="background1"/>
                <w:sz w:val="18"/>
                <w:szCs w:val="18"/>
              </w:rPr>
              <w:t>Parameter</w:t>
            </w:r>
          </w:p>
        </w:tc>
        <w:tc>
          <w:tcPr>
            <w:tcW w:w="1063" w:type="dxa"/>
            <w:shd w:val="clear" w:color="auto" w:fill="4F81BD" w:themeFill="accent1"/>
            <w:vAlign w:val="center"/>
          </w:tcPr>
          <w:p w:rsidR="000014F1" w:rsidRPr="00904C1D" w:rsidRDefault="000014F1" w:rsidP="000014F1">
            <w:pPr>
              <w:keepNext/>
              <w:keepLines/>
              <w:widowControl w:val="0"/>
              <w:spacing w:before="40" w:after="40" w:line="240" w:lineRule="auto"/>
              <w:jc w:val="center"/>
              <w:rPr>
                <w:rFonts w:ascii="Calibri" w:hAnsi="Calibri"/>
                <w:b/>
                <w:color w:val="FFFFFF" w:themeColor="background1"/>
                <w:sz w:val="18"/>
                <w:szCs w:val="18"/>
              </w:rPr>
            </w:pPr>
            <w:r w:rsidRPr="00904C1D">
              <w:rPr>
                <w:rFonts w:ascii="Calibri" w:hAnsi="Calibri"/>
                <w:b/>
                <w:color w:val="FFFFFF" w:themeColor="background1"/>
                <w:sz w:val="18"/>
                <w:szCs w:val="18"/>
              </w:rPr>
              <w:t>2025</w:t>
            </w:r>
          </w:p>
        </w:tc>
        <w:tc>
          <w:tcPr>
            <w:tcW w:w="1566" w:type="dxa"/>
            <w:gridSpan w:val="2"/>
            <w:shd w:val="clear" w:color="auto" w:fill="4F81BD" w:themeFill="accent1"/>
            <w:vAlign w:val="center"/>
          </w:tcPr>
          <w:p w:rsidR="000014F1" w:rsidRPr="00904C1D" w:rsidRDefault="000014F1" w:rsidP="00EF45CF">
            <w:pPr>
              <w:keepNext/>
              <w:keepLines/>
              <w:widowControl w:val="0"/>
              <w:spacing w:before="40" w:after="40" w:line="240" w:lineRule="auto"/>
              <w:jc w:val="center"/>
              <w:rPr>
                <w:rFonts w:ascii="Calibri" w:hAnsi="Calibri"/>
                <w:b/>
                <w:color w:val="FFFFFF" w:themeColor="background1"/>
                <w:sz w:val="18"/>
                <w:szCs w:val="18"/>
              </w:rPr>
            </w:pPr>
            <w:r w:rsidRPr="00904C1D">
              <w:rPr>
                <w:rFonts w:ascii="Calibri" w:hAnsi="Calibri"/>
                <w:b/>
                <w:color w:val="FFFFFF" w:themeColor="background1"/>
                <w:sz w:val="18"/>
                <w:szCs w:val="18"/>
              </w:rPr>
              <w:t>2030</w:t>
            </w:r>
          </w:p>
        </w:tc>
      </w:tr>
      <w:tr w:rsidR="000F14B9" w:rsidRPr="00C40A1D" w:rsidTr="00904C1D">
        <w:trPr>
          <w:jc w:val="center"/>
        </w:trPr>
        <w:tc>
          <w:tcPr>
            <w:tcW w:w="4157" w:type="dxa"/>
            <w:shd w:val="clear" w:color="auto" w:fill="auto"/>
            <w:vAlign w:val="center"/>
          </w:tcPr>
          <w:p w:rsidR="000F14B9" w:rsidRPr="00904C1D" w:rsidRDefault="000F14B9" w:rsidP="00EF45CF">
            <w:pPr>
              <w:keepNext/>
              <w:keepLines/>
              <w:widowControl w:val="0"/>
              <w:spacing w:before="40" w:after="40" w:line="240" w:lineRule="auto"/>
              <w:rPr>
                <w:rFonts w:ascii="Calibri" w:hAnsi="Calibri"/>
                <w:b/>
                <w:sz w:val="18"/>
                <w:szCs w:val="18"/>
              </w:rPr>
            </w:pPr>
            <w:r w:rsidRPr="00904C1D">
              <w:rPr>
                <w:rFonts w:ascii="Calibri" w:hAnsi="Calibri"/>
                <w:b/>
                <w:sz w:val="18"/>
                <w:szCs w:val="18"/>
              </w:rPr>
              <w:t>Gross New England 50/50 peak demand (MW)</w:t>
            </w:r>
          </w:p>
        </w:tc>
        <w:tc>
          <w:tcPr>
            <w:tcW w:w="1080" w:type="dxa"/>
            <w:gridSpan w:val="2"/>
          </w:tcPr>
          <w:p w:rsidR="000F14B9" w:rsidRPr="00C40A1D" w:rsidRDefault="000F14B9" w:rsidP="00EC6739">
            <w:pPr>
              <w:keepNext/>
              <w:keepLines/>
              <w:widowControl w:val="0"/>
              <w:spacing w:before="40" w:after="40" w:line="240" w:lineRule="auto"/>
              <w:jc w:val="center"/>
              <w:rPr>
                <w:rFonts w:ascii="Calibri" w:hAnsi="Calibri"/>
                <w:sz w:val="18"/>
                <w:szCs w:val="18"/>
              </w:rPr>
            </w:pPr>
            <w:r w:rsidRPr="00C40A1D">
              <w:rPr>
                <w:rFonts w:ascii="Calibri" w:hAnsi="Calibri"/>
                <w:sz w:val="18"/>
                <w:szCs w:val="18"/>
              </w:rPr>
              <w:t>31,7</w:t>
            </w:r>
            <w:r w:rsidR="00EC6739" w:rsidRPr="00C40A1D">
              <w:rPr>
                <w:rFonts w:ascii="Calibri" w:hAnsi="Calibri"/>
                <w:sz w:val="18"/>
                <w:szCs w:val="18"/>
              </w:rPr>
              <w:t>94</w:t>
            </w:r>
          </w:p>
        </w:tc>
        <w:tc>
          <w:tcPr>
            <w:tcW w:w="1549" w:type="dxa"/>
          </w:tcPr>
          <w:p w:rsidR="000F14B9" w:rsidRPr="00C40A1D" w:rsidRDefault="00EC6739" w:rsidP="00EF45CF">
            <w:pPr>
              <w:keepNext/>
              <w:keepLines/>
              <w:widowControl w:val="0"/>
              <w:spacing w:before="40" w:after="40" w:line="240" w:lineRule="auto"/>
              <w:jc w:val="center"/>
              <w:rPr>
                <w:rFonts w:ascii="Calibri" w:hAnsi="Calibri"/>
                <w:sz w:val="18"/>
                <w:szCs w:val="18"/>
              </w:rPr>
            </w:pPr>
            <w:r w:rsidRPr="00C40A1D">
              <w:rPr>
                <w:rFonts w:ascii="Calibri" w:hAnsi="Calibri"/>
                <w:sz w:val="18"/>
                <w:szCs w:val="18"/>
              </w:rPr>
              <w:t>33,34</w:t>
            </w:r>
            <w:r w:rsidR="000F14B9" w:rsidRPr="00C40A1D">
              <w:rPr>
                <w:rFonts w:ascii="Calibri" w:hAnsi="Calibri"/>
                <w:sz w:val="18"/>
                <w:szCs w:val="18"/>
              </w:rPr>
              <w:t>3</w:t>
            </w:r>
            <w:r w:rsidR="000F14B9" w:rsidRPr="00C40A1D">
              <w:rPr>
                <w:rFonts w:ascii="Calibri" w:hAnsi="Calibri"/>
                <w:sz w:val="18"/>
                <w:szCs w:val="18"/>
                <w:vertAlign w:val="superscript"/>
              </w:rPr>
              <w:t>(a)</w:t>
            </w:r>
          </w:p>
        </w:tc>
      </w:tr>
      <w:tr w:rsidR="000F14B9" w:rsidRPr="00C40A1D" w:rsidTr="00737F69">
        <w:trPr>
          <w:jc w:val="center"/>
        </w:trPr>
        <w:tc>
          <w:tcPr>
            <w:tcW w:w="4157" w:type="dxa"/>
            <w:shd w:val="clear" w:color="auto" w:fill="DBE5F1" w:themeFill="accent1" w:themeFillTint="33"/>
            <w:vAlign w:val="center"/>
          </w:tcPr>
          <w:p w:rsidR="000F14B9" w:rsidRPr="00904C1D" w:rsidRDefault="000F14B9" w:rsidP="00EF45CF">
            <w:pPr>
              <w:keepNext/>
              <w:keepLines/>
              <w:widowControl w:val="0"/>
              <w:spacing w:before="40" w:after="40" w:line="240" w:lineRule="auto"/>
              <w:rPr>
                <w:rFonts w:ascii="Calibri" w:hAnsi="Calibri"/>
                <w:b/>
                <w:sz w:val="18"/>
                <w:szCs w:val="18"/>
              </w:rPr>
            </w:pPr>
            <w:r w:rsidRPr="00904C1D">
              <w:rPr>
                <w:rFonts w:ascii="Calibri" w:hAnsi="Calibri"/>
                <w:b/>
                <w:sz w:val="18"/>
                <w:szCs w:val="18"/>
              </w:rPr>
              <w:t>Gross New England 50/50 annual energy use (GWh)</w:t>
            </w:r>
          </w:p>
        </w:tc>
        <w:tc>
          <w:tcPr>
            <w:tcW w:w="1080" w:type="dxa"/>
            <w:gridSpan w:val="2"/>
            <w:shd w:val="clear" w:color="auto" w:fill="DBE5F1" w:themeFill="accent1" w:themeFillTint="33"/>
          </w:tcPr>
          <w:p w:rsidR="000F14B9" w:rsidRPr="00C40A1D" w:rsidRDefault="00EC6739" w:rsidP="00EF45CF">
            <w:pPr>
              <w:keepNext/>
              <w:keepLines/>
              <w:widowControl w:val="0"/>
              <w:spacing w:before="40" w:after="40" w:line="240" w:lineRule="auto"/>
              <w:jc w:val="center"/>
              <w:rPr>
                <w:rFonts w:ascii="Calibri" w:hAnsi="Calibri"/>
                <w:sz w:val="18"/>
                <w:szCs w:val="18"/>
              </w:rPr>
            </w:pPr>
            <w:r w:rsidRPr="00C40A1D">
              <w:rPr>
                <w:rFonts w:ascii="Calibri" w:hAnsi="Calibri"/>
                <w:sz w:val="18"/>
                <w:szCs w:val="18"/>
              </w:rPr>
              <w:t>152</w:t>
            </w:r>
            <w:r w:rsidR="000F14B9" w:rsidRPr="00C40A1D">
              <w:rPr>
                <w:rFonts w:ascii="Calibri" w:hAnsi="Calibri"/>
                <w:sz w:val="18"/>
                <w:szCs w:val="18"/>
              </w:rPr>
              <w:t>,</w:t>
            </w:r>
            <w:r w:rsidRPr="00C40A1D">
              <w:rPr>
                <w:rFonts w:ascii="Calibri" w:hAnsi="Calibri"/>
                <w:sz w:val="18"/>
                <w:szCs w:val="18"/>
              </w:rPr>
              <w:t>731</w:t>
            </w:r>
          </w:p>
        </w:tc>
        <w:tc>
          <w:tcPr>
            <w:tcW w:w="1549" w:type="dxa"/>
            <w:shd w:val="clear" w:color="auto" w:fill="DBE5F1" w:themeFill="accent1" w:themeFillTint="33"/>
          </w:tcPr>
          <w:p w:rsidR="000F14B9" w:rsidRPr="00C40A1D" w:rsidRDefault="00EC6739" w:rsidP="00EF45CF">
            <w:pPr>
              <w:keepNext/>
              <w:keepLines/>
              <w:widowControl w:val="0"/>
              <w:spacing w:before="40" w:after="40" w:line="240" w:lineRule="auto"/>
              <w:jc w:val="center"/>
              <w:rPr>
                <w:rFonts w:ascii="Calibri" w:hAnsi="Calibri"/>
                <w:sz w:val="18"/>
                <w:szCs w:val="18"/>
              </w:rPr>
            </w:pPr>
            <w:r w:rsidRPr="00C40A1D">
              <w:rPr>
                <w:rFonts w:ascii="Calibri" w:hAnsi="Calibri"/>
                <w:sz w:val="18"/>
                <w:szCs w:val="18"/>
              </w:rPr>
              <w:t>158</w:t>
            </w:r>
            <w:r w:rsidR="000F14B9" w:rsidRPr="00C40A1D">
              <w:rPr>
                <w:rFonts w:ascii="Calibri" w:hAnsi="Calibri"/>
                <w:sz w:val="18"/>
                <w:szCs w:val="18"/>
              </w:rPr>
              <w:t>,</w:t>
            </w:r>
            <w:r w:rsidRPr="00C40A1D">
              <w:rPr>
                <w:rFonts w:ascii="Calibri" w:hAnsi="Calibri"/>
                <w:sz w:val="18"/>
                <w:szCs w:val="18"/>
              </w:rPr>
              <w:t>969</w:t>
            </w:r>
            <w:r w:rsidR="000F14B9" w:rsidRPr="00C40A1D">
              <w:rPr>
                <w:rFonts w:ascii="Calibri" w:hAnsi="Calibri"/>
                <w:sz w:val="18"/>
                <w:szCs w:val="18"/>
                <w:vertAlign w:val="superscript"/>
              </w:rPr>
              <w:t>(b)</w:t>
            </w:r>
          </w:p>
        </w:tc>
      </w:tr>
    </w:tbl>
    <w:p w:rsidR="00BE079A" w:rsidRPr="003A2CA8" w:rsidRDefault="00BE079A" w:rsidP="00904C1D">
      <w:pPr>
        <w:keepNext/>
        <w:keepLines/>
        <w:tabs>
          <w:tab w:val="left" w:pos="-180"/>
        </w:tabs>
        <w:spacing w:before="120" w:after="80" w:line="240" w:lineRule="auto"/>
        <w:ind w:left="1620" w:right="1080" w:hanging="360"/>
        <w:rPr>
          <w:rFonts w:ascii="Calibri" w:hAnsi="Calibri"/>
          <w:sz w:val="16"/>
          <w:szCs w:val="16"/>
        </w:rPr>
      </w:pPr>
      <w:r w:rsidRPr="003A2CA8">
        <w:rPr>
          <w:rFonts w:ascii="Calibri" w:hAnsi="Calibri"/>
          <w:sz w:val="16"/>
          <w:szCs w:val="16"/>
        </w:rPr>
        <w:t xml:space="preserve">(a) Gross 50/50 </w:t>
      </w:r>
      <w:r w:rsidR="00E36597" w:rsidRPr="003A2CA8">
        <w:rPr>
          <w:rFonts w:ascii="Calibri" w:hAnsi="Calibri"/>
          <w:sz w:val="16"/>
          <w:szCs w:val="16"/>
        </w:rPr>
        <w:t>p</w:t>
      </w:r>
      <w:r w:rsidRPr="003A2CA8">
        <w:rPr>
          <w:rFonts w:ascii="Calibri" w:hAnsi="Calibri"/>
          <w:sz w:val="16"/>
          <w:szCs w:val="16"/>
        </w:rPr>
        <w:t xml:space="preserve">eak </w:t>
      </w:r>
      <w:r w:rsidR="007A1838" w:rsidRPr="003A2CA8">
        <w:rPr>
          <w:rFonts w:ascii="Calibri" w:hAnsi="Calibri"/>
          <w:sz w:val="16"/>
          <w:szCs w:val="16"/>
        </w:rPr>
        <w:t xml:space="preserve">demand </w:t>
      </w:r>
      <w:r w:rsidRPr="003A2CA8">
        <w:rPr>
          <w:rFonts w:ascii="Calibri" w:hAnsi="Calibri"/>
          <w:sz w:val="16"/>
          <w:szCs w:val="16"/>
        </w:rPr>
        <w:t xml:space="preserve">for 2030 = </w:t>
      </w:r>
      <w:r w:rsidR="009A5E9F" w:rsidRPr="003A2CA8">
        <w:rPr>
          <w:rFonts w:ascii="Calibri" w:hAnsi="Calibri"/>
          <w:sz w:val="16"/>
          <w:szCs w:val="16"/>
        </w:rPr>
        <w:t>(</w:t>
      </w:r>
      <w:r w:rsidRPr="003A2CA8">
        <w:rPr>
          <w:rFonts w:ascii="Calibri" w:hAnsi="Calibri"/>
          <w:sz w:val="16"/>
          <w:szCs w:val="16"/>
        </w:rPr>
        <w:t>31,794 MW</w:t>
      </w:r>
      <w:r w:rsidR="009A5E9F" w:rsidRPr="003A2CA8">
        <w:rPr>
          <w:rFonts w:ascii="Calibri" w:hAnsi="Calibri"/>
          <w:sz w:val="16"/>
          <w:szCs w:val="16"/>
        </w:rPr>
        <w:t>)</w:t>
      </w:r>
      <w:r w:rsidRPr="003A2CA8">
        <w:rPr>
          <w:rFonts w:ascii="Calibri" w:hAnsi="Calibri"/>
          <w:sz w:val="16"/>
          <w:szCs w:val="16"/>
        </w:rPr>
        <w:t xml:space="preserve"> </w:t>
      </w:r>
      <w:r w:rsidR="009A5E9F" w:rsidRPr="003A2CA8">
        <w:rPr>
          <w:rFonts w:ascii="Calibri" w:hAnsi="Calibri"/>
          <w:sz w:val="16"/>
          <w:szCs w:val="16"/>
        </w:rPr>
        <w:t>×</w:t>
      </w:r>
      <w:r w:rsidRPr="003A2CA8">
        <w:rPr>
          <w:rFonts w:ascii="Calibri" w:hAnsi="Calibri"/>
          <w:sz w:val="16"/>
          <w:szCs w:val="16"/>
        </w:rPr>
        <w:t xml:space="preserve"> </w:t>
      </w:r>
      <w:r w:rsidR="009A5E9F" w:rsidRPr="003A2CA8">
        <w:rPr>
          <w:rFonts w:ascii="Calibri" w:hAnsi="Calibri"/>
          <w:sz w:val="16"/>
          <w:szCs w:val="16"/>
        </w:rPr>
        <w:t>{</w:t>
      </w:r>
      <w:r w:rsidRPr="003A2CA8">
        <w:rPr>
          <w:rFonts w:ascii="Calibri" w:hAnsi="Calibri"/>
          <w:sz w:val="16"/>
          <w:szCs w:val="16"/>
        </w:rPr>
        <w:t>(31,794</w:t>
      </w:r>
      <w:r w:rsidR="009A5E9F" w:rsidRPr="003A2CA8">
        <w:rPr>
          <w:rFonts w:ascii="Calibri" w:hAnsi="Calibri"/>
          <w:sz w:val="16"/>
          <w:szCs w:val="16"/>
        </w:rPr>
        <w:t xml:space="preserve"> ÷ </w:t>
      </w:r>
      <w:r w:rsidRPr="003A2CA8">
        <w:rPr>
          <w:rFonts w:ascii="Calibri" w:hAnsi="Calibri"/>
          <w:sz w:val="16"/>
          <w:szCs w:val="16"/>
        </w:rPr>
        <w:t>31,493)</w:t>
      </w:r>
      <w:r w:rsidR="009A5E9F" w:rsidRPr="003A2CA8">
        <w:rPr>
          <w:rFonts w:ascii="Calibri" w:hAnsi="Calibri"/>
          <w:sz w:val="16"/>
          <w:szCs w:val="16"/>
        </w:rPr>
        <w:t xml:space="preserve"> </w:t>
      </w:r>
      <w:r w:rsidR="00722113" w:rsidRPr="003A2CA8">
        <w:rPr>
          <w:rFonts w:ascii="Calibri" w:hAnsi="Calibri"/>
          <w:sz w:val="16"/>
          <w:szCs w:val="16"/>
        </w:rPr>
        <w:t>**</w:t>
      </w:r>
      <w:r w:rsidR="009A5E9F" w:rsidRPr="003A2CA8">
        <w:rPr>
          <w:rFonts w:ascii="Calibri" w:hAnsi="Calibri"/>
          <w:sz w:val="16"/>
          <w:szCs w:val="16"/>
        </w:rPr>
        <w:t xml:space="preserve"> </w:t>
      </w:r>
      <w:r w:rsidRPr="003A2CA8">
        <w:rPr>
          <w:rFonts w:ascii="Calibri" w:hAnsi="Calibri"/>
          <w:sz w:val="16"/>
          <w:szCs w:val="16"/>
        </w:rPr>
        <w:t>5</w:t>
      </w:r>
      <w:r w:rsidR="009A5E9F" w:rsidRPr="003A2CA8">
        <w:rPr>
          <w:rFonts w:ascii="Calibri" w:hAnsi="Calibri"/>
          <w:sz w:val="16"/>
          <w:szCs w:val="16"/>
        </w:rPr>
        <w:t>}</w:t>
      </w:r>
      <w:r w:rsidRPr="003A2CA8">
        <w:rPr>
          <w:rFonts w:ascii="Calibri" w:hAnsi="Calibri"/>
          <w:sz w:val="16"/>
          <w:szCs w:val="16"/>
        </w:rPr>
        <w:t xml:space="preserve"> = 33,343 MW</w:t>
      </w:r>
      <w:r w:rsidR="005F3C4F" w:rsidRPr="003A2CA8">
        <w:rPr>
          <w:rFonts w:ascii="Calibri" w:hAnsi="Calibri"/>
          <w:sz w:val="16"/>
          <w:szCs w:val="16"/>
        </w:rPr>
        <w:t>.</w:t>
      </w:r>
    </w:p>
    <w:p w:rsidR="00BE079A" w:rsidRPr="0020432B" w:rsidRDefault="00BE079A" w:rsidP="00904C1D">
      <w:pPr>
        <w:keepNext/>
        <w:keepLines/>
        <w:tabs>
          <w:tab w:val="left" w:pos="-180"/>
        </w:tabs>
        <w:spacing w:line="240" w:lineRule="auto"/>
        <w:ind w:left="1620" w:right="1080" w:hanging="360"/>
        <w:rPr>
          <w:rFonts w:ascii="Calibri" w:hAnsi="Calibri"/>
          <w:sz w:val="16"/>
          <w:szCs w:val="16"/>
        </w:rPr>
      </w:pPr>
      <w:r w:rsidRPr="00BE5DAE">
        <w:rPr>
          <w:rFonts w:ascii="Calibri" w:hAnsi="Calibri"/>
          <w:sz w:val="16"/>
          <w:szCs w:val="16"/>
        </w:rPr>
        <w:t xml:space="preserve">(b) Gross </w:t>
      </w:r>
      <w:r w:rsidR="00E36597" w:rsidRPr="00BE5DAE">
        <w:rPr>
          <w:rFonts w:ascii="Calibri" w:hAnsi="Calibri"/>
          <w:sz w:val="16"/>
          <w:szCs w:val="16"/>
        </w:rPr>
        <w:t>a</w:t>
      </w:r>
      <w:r w:rsidRPr="00BE5DAE">
        <w:rPr>
          <w:rFonts w:ascii="Calibri" w:hAnsi="Calibri"/>
          <w:sz w:val="16"/>
          <w:szCs w:val="16"/>
        </w:rPr>
        <w:t xml:space="preserve">nnual </w:t>
      </w:r>
      <w:r w:rsidR="00E36597" w:rsidRPr="00BE5DAE">
        <w:rPr>
          <w:rFonts w:ascii="Calibri" w:hAnsi="Calibri"/>
          <w:sz w:val="16"/>
          <w:szCs w:val="16"/>
        </w:rPr>
        <w:t>e</w:t>
      </w:r>
      <w:r w:rsidRPr="00BE5DAE">
        <w:rPr>
          <w:rFonts w:ascii="Calibri" w:hAnsi="Calibri"/>
          <w:sz w:val="16"/>
          <w:szCs w:val="16"/>
        </w:rPr>
        <w:t xml:space="preserve">nergy </w:t>
      </w:r>
      <w:r w:rsidR="00E36597" w:rsidRPr="00BE5DAE">
        <w:rPr>
          <w:rFonts w:ascii="Calibri" w:hAnsi="Calibri"/>
          <w:sz w:val="16"/>
          <w:szCs w:val="16"/>
        </w:rPr>
        <w:t xml:space="preserve">use </w:t>
      </w:r>
      <w:r w:rsidRPr="00BE5DAE">
        <w:rPr>
          <w:rFonts w:ascii="Calibri" w:hAnsi="Calibri"/>
          <w:sz w:val="16"/>
          <w:szCs w:val="16"/>
        </w:rPr>
        <w:t xml:space="preserve">for 2030 = </w:t>
      </w:r>
      <w:r w:rsidR="00470B7C" w:rsidRPr="00BE5DAE">
        <w:rPr>
          <w:rFonts w:ascii="Calibri" w:hAnsi="Calibri"/>
          <w:sz w:val="16"/>
          <w:szCs w:val="16"/>
        </w:rPr>
        <w:t>{</w:t>
      </w:r>
      <w:r w:rsidRPr="00BE5DAE">
        <w:rPr>
          <w:rFonts w:ascii="Calibri" w:hAnsi="Calibri"/>
          <w:sz w:val="16"/>
          <w:szCs w:val="16"/>
        </w:rPr>
        <w:t xml:space="preserve">(152,731 GWh </w:t>
      </w:r>
      <w:r w:rsidR="009A5E9F" w:rsidRPr="00BE5DAE">
        <w:rPr>
          <w:rFonts w:ascii="Calibri" w:hAnsi="Calibri"/>
          <w:sz w:val="16"/>
          <w:szCs w:val="16"/>
        </w:rPr>
        <w:t xml:space="preserve">÷ </w:t>
      </w:r>
      <w:r w:rsidRPr="00BE5DAE">
        <w:rPr>
          <w:rFonts w:ascii="Calibri" w:hAnsi="Calibri"/>
          <w:sz w:val="16"/>
          <w:szCs w:val="16"/>
        </w:rPr>
        <w:t>151,513 GWh)</w:t>
      </w:r>
      <w:r w:rsidRPr="00BE5DAE">
        <w:rPr>
          <w:rFonts w:ascii="Calibri" w:hAnsi="Calibri"/>
          <w:sz w:val="16"/>
          <w:szCs w:val="16"/>
          <w:vertAlign w:val="superscript"/>
        </w:rPr>
        <w:t>5</w:t>
      </w:r>
      <w:r w:rsidR="00D44F20" w:rsidRPr="00BE5DAE">
        <w:rPr>
          <w:rFonts w:ascii="Calibri" w:hAnsi="Calibri"/>
          <w:sz w:val="16"/>
          <w:szCs w:val="16"/>
        </w:rPr>
        <w:t>}</w:t>
      </w:r>
      <w:r w:rsidRPr="00BE5DAE">
        <w:rPr>
          <w:rFonts w:ascii="Calibri" w:hAnsi="Calibri"/>
          <w:sz w:val="16"/>
          <w:szCs w:val="16"/>
        </w:rPr>
        <w:t xml:space="preserve"> </w:t>
      </w:r>
      <w:r w:rsidR="009A5E9F" w:rsidRPr="00BE5DAE">
        <w:rPr>
          <w:rFonts w:ascii="Calibri" w:hAnsi="Calibri"/>
          <w:sz w:val="16"/>
          <w:szCs w:val="16"/>
        </w:rPr>
        <w:t>×</w:t>
      </w:r>
      <w:r w:rsidRPr="00BE5DAE">
        <w:rPr>
          <w:rFonts w:ascii="Calibri" w:hAnsi="Calibri"/>
          <w:sz w:val="16"/>
          <w:szCs w:val="16"/>
        </w:rPr>
        <w:t xml:space="preserve"> 152,731 GWh = 158,969 GWh</w:t>
      </w:r>
      <w:r w:rsidR="0020432B" w:rsidRPr="00BE5DAE">
        <w:rPr>
          <w:rFonts w:ascii="Calibri" w:hAnsi="Calibri"/>
          <w:sz w:val="16"/>
          <w:szCs w:val="16"/>
        </w:rPr>
        <w:t>.</w:t>
      </w:r>
    </w:p>
    <w:p w:rsidR="00827DB9" w:rsidRDefault="00827DB9" w:rsidP="00AF716F">
      <w:pPr>
        <w:pStyle w:val="Heading3"/>
      </w:pPr>
      <w:bookmarkStart w:id="102" w:name="_Toc486405976"/>
      <w:r w:rsidRPr="00B97AB2">
        <w:t xml:space="preserve">Passive Demand </w:t>
      </w:r>
      <w:r w:rsidR="00E251CB">
        <w:t xml:space="preserve">and Behind-the Meter PV </w:t>
      </w:r>
      <w:r w:rsidRPr="00B97AB2">
        <w:t>Resources</w:t>
      </w:r>
      <w:bookmarkEnd w:id="102"/>
      <w:r w:rsidR="00E251CB">
        <w:t xml:space="preserve"> </w:t>
      </w:r>
    </w:p>
    <w:p w:rsidR="00466F9E" w:rsidRPr="00AB5E4E" w:rsidRDefault="00466F9E" w:rsidP="00466F9E">
      <w:r w:rsidRPr="005A6DEA">
        <w:t>For Scenarios 1, 2, 4, 5</w:t>
      </w:r>
      <w:r w:rsidR="00480CA6">
        <w:t>,</w:t>
      </w:r>
      <w:r w:rsidR="00021829" w:rsidRPr="005A6DEA">
        <w:t xml:space="preserve"> and 6</w:t>
      </w:r>
      <w:r w:rsidR="000014F1" w:rsidRPr="005A6DEA">
        <w:t xml:space="preserve"> (i.e., all but R</w:t>
      </w:r>
      <w:r w:rsidR="00F832D4" w:rsidRPr="005A6DEA">
        <w:t>enewables</w:t>
      </w:r>
      <w:r w:rsidR="005A6DEA">
        <w:t xml:space="preserve"> </w:t>
      </w:r>
      <w:r w:rsidR="000014F1" w:rsidRPr="005A6DEA">
        <w:t>Plus)</w:t>
      </w:r>
      <w:r w:rsidRPr="005A6DEA">
        <w:t xml:space="preserve">, the annual </w:t>
      </w:r>
      <w:r w:rsidR="00530258" w:rsidRPr="005A6DEA">
        <w:t>increase</w:t>
      </w:r>
      <w:r w:rsidR="00AB5E4E" w:rsidRPr="005A6DEA">
        <w:t xml:space="preserve"> </w:t>
      </w:r>
      <w:r w:rsidR="00904C1D">
        <w:t>in</w:t>
      </w:r>
      <w:r w:rsidRPr="005A6DEA">
        <w:t xml:space="preserve"> passive</w:t>
      </w:r>
      <w:r w:rsidR="00904C1D">
        <w:t xml:space="preserve"> </w:t>
      </w:r>
      <w:r w:rsidRPr="00AB5E4E">
        <w:t>demand</w:t>
      </w:r>
      <w:r w:rsidR="000014F1">
        <w:t>-</w:t>
      </w:r>
      <w:r w:rsidRPr="00AB5E4E">
        <w:t xml:space="preserve">resource </w:t>
      </w:r>
      <w:r w:rsidRPr="003333E0">
        <w:t xml:space="preserve">capacity for 2026 </w:t>
      </w:r>
      <w:r w:rsidR="00AB5E4E" w:rsidRPr="003333E0">
        <w:t>through</w:t>
      </w:r>
      <w:r w:rsidRPr="003333E0">
        <w:t xml:space="preserve"> 2030 </w:t>
      </w:r>
      <w:r w:rsidR="00C759F6" w:rsidRPr="003333E0">
        <w:t>was</w:t>
      </w:r>
      <w:r w:rsidRPr="003333E0">
        <w:t xml:space="preserve"> assumed to be the same </w:t>
      </w:r>
      <w:r w:rsidR="00AB5E4E" w:rsidRPr="003333E0">
        <w:t xml:space="preserve">as the </w:t>
      </w:r>
      <w:r w:rsidRPr="003333E0">
        <w:t xml:space="preserve">incremental </w:t>
      </w:r>
      <w:r w:rsidR="00AB5E4E" w:rsidRPr="003333E0">
        <w:t>amount</w:t>
      </w:r>
      <w:r w:rsidRPr="003333E0">
        <w:t xml:space="preserve"> of passive</w:t>
      </w:r>
      <w:r w:rsidR="00904C1D" w:rsidRPr="003333E0">
        <w:t xml:space="preserve"> </w:t>
      </w:r>
      <w:r w:rsidRPr="003333E0">
        <w:t>demand capacity forecasted for 2025, which is 179 MW.</w:t>
      </w:r>
      <w:r w:rsidR="00FC34C5" w:rsidRPr="003333E0">
        <w:rPr>
          <w:rStyle w:val="FootnoteReference"/>
        </w:rPr>
        <w:footnoteReference w:id="38"/>
      </w:r>
      <w:r w:rsidRPr="003333E0">
        <w:t xml:space="preserve"> The annual growth of passive</w:t>
      </w:r>
      <w:r w:rsidR="00904C1D" w:rsidRPr="003333E0">
        <w:t xml:space="preserve"> </w:t>
      </w:r>
      <w:r w:rsidRPr="003333E0">
        <w:t>demand</w:t>
      </w:r>
      <w:r w:rsidR="000014F1" w:rsidRPr="003333E0">
        <w:t>-</w:t>
      </w:r>
      <w:r w:rsidRPr="003333E0">
        <w:t xml:space="preserve">resource energy </w:t>
      </w:r>
      <w:r w:rsidR="0057126C" w:rsidRPr="003333E0">
        <w:t xml:space="preserve">savings </w:t>
      </w:r>
      <w:r w:rsidRPr="003333E0">
        <w:t xml:space="preserve">for 2026 through 2030 </w:t>
      </w:r>
      <w:r w:rsidR="00C759F6" w:rsidRPr="003333E0">
        <w:t>was</w:t>
      </w:r>
      <w:r w:rsidRPr="003333E0">
        <w:t xml:space="preserve"> assumed to be the same </w:t>
      </w:r>
      <w:r w:rsidR="00AB5E4E" w:rsidRPr="003333E0">
        <w:t xml:space="preserve">as the </w:t>
      </w:r>
      <w:r w:rsidRPr="003333E0">
        <w:t>incremental amount of passive</w:t>
      </w:r>
      <w:r w:rsidR="00904C1D" w:rsidRPr="003333E0">
        <w:t xml:space="preserve"> </w:t>
      </w:r>
      <w:r w:rsidRPr="003333E0">
        <w:t>demand</w:t>
      </w:r>
      <w:r w:rsidRPr="00AB5E4E">
        <w:t xml:space="preserve"> </w:t>
      </w:r>
      <w:r w:rsidRPr="0020432B">
        <w:t xml:space="preserve">energy forecasted for 2025, which is 255 GWh. The same amounts of </w:t>
      </w:r>
      <w:r w:rsidR="00AB5E4E" w:rsidRPr="0020432B">
        <w:t xml:space="preserve">behind-the-meter </w:t>
      </w:r>
      <w:r w:rsidRPr="0020432B">
        <w:t>PV added in 2025 (</w:t>
      </w:r>
      <w:r w:rsidR="00E750A8" w:rsidRPr="0020432B">
        <w:t>94</w:t>
      </w:r>
      <w:r w:rsidR="00657791" w:rsidRPr="0020432B">
        <w:t> </w:t>
      </w:r>
      <w:r w:rsidR="009B7D4F" w:rsidRPr="0020432B">
        <w:t>MW of nameplate</w:t>
      </w:r>
      <w:r w:rsidR="009B7D4F">
        <w:t xml:space="preserve"> value</w:t>
      </w:r>
      <w:r w:rsidRPr="00AB5E4E">
        <w:t xml:space="preserve">) </w:t>
      </w:r>
      <w:r w:rsidR="00C759F6" w:rsidRPr="003333E0">
        <w:t>were</w:t>
      </w:r>
      <w:r w:rsidRPr="003333E0">
        <w:t xml:space="preserve"> assumed</w:t>
      </w:r>
      <w:r w:rsidRPr="00AB5E4E">
        <w:t xml:space="preserve"> to be added annually through 2030.</w:t>
      </w:r>
      <w:r w:rsidR="00020E91">
        <w:t xml:space="preserve"> </w:t>
      </w:r>
      <w:r w:rsidR="00020E91" w:rsidRPr="0020432B">
        <w:t>T</w:t>
      </w:r>
      <w:r w:rsidR="009B7D4F" w:rsidRPr="0020432B">
        <w:t>he</w:t>
      </w:r>
      <w:r w:rsidR="00904C1D" w:rsidRPr="0020432B">
        <w:t xml:space="preserve"> US Department of Energy (DOE</w:t>
      </w:r>
      <w:r w:rsidR="00872B0E" w:rsidRPr="0020432B">
        <w:t>)</w:t>
      </w:r>
      <w:r w:rsidR="00904C1D" w:rsidRPr="0020432B">
        <w:t xml:space="preserve"> National Renewable</w:t>
      </w:r>
      <w:r w:rsidR="009B7D4F" w:rsidRPr="0020432B">
        <w:t xml:space="preserve"> </w:t>
      </w:r>
      <w:r w:rsidR="00904C1D" w:rsidRPr="0020432B">
        <w:t>Energy Laboratory (</w:t>
      </w:r>
      <w:r w:rsidR="00020E91" w:rsidRPr="0020432B">
        <w:t>NREL</w:t>
      </w:r>
      <w:r w:rsidR="00904C1D" w:rsidRPr="0020432B">
        <w:t>)</w:t>
      </w:r>
      <w:r w:rsidR="00020E91" w:rsidRPr="0020432B">
        <w:t xml:space="preserve"> profiles for 2006 were used to synchronize PV production with the gross load profile</w:t>
      </w:r>
      <w:r w:rsidR="005A6DEA" w:rsidRPr="0020432B">
        <w:t xml:space="preserve">, </w:t>
      </w:r>
      <w:r w:rsidR="00020E91" w:rsidRPr="0020432B">
        <w:t>result</w:t>
      </w:r>
      <w:r w:rsidR="005A6DEA" w:rsidRPr="0020432B">
        <w:t>ing</w:t>
      </w:r>
      <w:r w:rsidR="00020E91" w:rsidRPr="0020432B">
        <w:t xml:space="preserve"> in 26 MW of peak-load reduction and 123 GWh of energy production per year.</w:t>
      </w:r>
      <w:r w:rsidR="00904C1D" w:rsidRPr="0020432B">
        <w:rPr>
          <w:rStyle w:val="FootnoteReference"/>
        </w:rPr>
        <w:footnoteReference w:id="39"/>
      </w:r>
    </w:p>
    <w:p w:rsidR="006B6330" w:rsidRDefault="00466F9E" w:rsidP="006B6330">
      <w:pPr>
        <w:pStyle w:val="CommentText"/>
      </w:pPr>
      <w:r w:rsidRPr="00A47845">
        <w:t xml:space="preserve">For </w:t>
      </w:r>
      <w:r w:rsidR="00A47845" w:rsidRPr="00A47845">
        <w:t xml:space="preserve">Scenario </w:t>
      </w:r>
      <w:r w:rsidRPr="00A47845">
        <w:t>3</w:t>
      </w:r>
      <w:r w:rsidR="00A47845" w:rsidRPr="00A47845">
        <w:t>, t</w:t>
      </w:r>
      <w:r w:rsidRPr="00A47845">
        <w:t>he capacity and energy assumptions for passive</w:t>
      </w:r>
      <w:r w:rsidR="00904C1D">
        <w:t xml:space="preserve"> </w:t>
      </w:r>
      <w:r w:rsidRPr="00A47845">
        <w:t xml:space="preserve">demand resources are based on values </w:t>
      </w:r>
      <w:r w:rsidRPr="00924838">
        <w:t xml:space="preserve">provided by NEPOOL. </w:t>
      </w:r>
      <w:r w:rsidR="00A47845" w:rsidRPr="00924838">
        <w:t xml:space="preserve">For 2025, BTM PV nameplate installations totaling 4,000 MW </w:t>
      </w:r>
      <w:r w:rsidR="00C759F6" w:rsidRPr="00924838">
        <w:t>we</w:t>
      </w:r>
      <w:r w:rsidR="00BE2B42" w:rsidRPr="00924838">
        <w:t>re</w:t>
      </w:r>
      <w:r w:rsidR="00872B0E" w:rsidRPr="00924838">
        <w:t xml:space="preserve"> estimated to </w:t>
      </w:r>
      <w:r w:rsidR="00A47845" w:rsidRPr="00924838">
        <w:t>reduc</w:t>
      </w:r>
      <w:r w:rsidR="00021829" w:rsidRPr="00924838">
        <w:t>e</w:t>
      </w:r>
      <w:r w:rsidR="00A47845" w:rsidRPr="00924838">
        <w:t xml:space="preserve"> gross peak loads by 31.6%</w:t>
      </w:r>
      <w:r w:rsidR="005A58F1" w:rsidRPr="00924838">
        <w:t xml:space="preserve"> of nameplate BTM PV</w:t>
      </w:r>
      <w:r w:rsidR="00A47845" w:rsidRPr="00924838">
        <w:t xml:space="preserve">. For 2030, </w:t>
      </w:r>
      <w:r w:rsidRPr="00924838">
        <w:t xml:space="preserve">BTM </w:t>
      </w:r>
      <w:r w:rsidR="00A47845" w:rsidRPr="00924838">
        <w:t xml:space="preserve">PV </w:t>
      </w:r>
      <w:r w:rsidRPr="00924838">
        <w:t xml:space="preserve">nameplate installations totaling </w:t>
      </w:r>
      <w:r w:rsidR="00A47845" w:rsidRPr="00924838">
        <w:t>6</w:t>
      </w:r>
      <w:r w:rsidRPr="00924838">
        <w:t xml:space="preserve">,000 MW </w:t>
      </w:r>
      <w:r w:rsidR="00C759F6" w:rsidRPr="00924838">
        <w:t>were</w:t>
      </w:r>
      <w:r w:rsidR="00872B0E" w:rsidRPr="00924838">
        <w:t xml:space="preserve"> estimated to </w:t>
      </w:r>
      <w:r w:rsidRPr="00924838">
        <w:t>reduce gross peak loads by 25.4%.</w:t>
      </w:r>
      <w:r w:rsidR="002650FD" w:rsidRPr="00924838">
        <w:rPr>
          <w:rStyle w:val="FootnoteReference"/>
        </w:rPr>
        <w:footnoteReference w:id="40"/>
      </w:r>
      <w:r w:rsidR="002C10A8">
        <w:t xml:space="preserve"> </w:t>
      </w:r>
    </w:p>
    <w:p w:rsidR="00E251CB" w:rsidRPr="00E251CB" w:rsidRDefault="00E251CB" w:rsidP="00466F9E">
      <w:r>
        <w:t>The estimates for t</w:t>
      </w:r>
      <w:r w:rsidR="00466F9E" w:rsidRPr="00E251CB">
        <w:t xml:space="preserve">otal </w:t>
      </w:r>
      <w:r w:rsidRPr="00E251CB">
        <w:t xml:space="preserve">behind-the-meter </w:t>
      </w:r>
      <w:r w:rsidR="00466F9E" w:rsidRPr="00E251CB">
        <w:t xml:space="preserve">PV energy production </w:t>
      </w:r>
      <w:r>
        <w:t>w</w:t>
      </w:r>
      <w:r w:rsidR="00B92F24">
        <w:t>ere</w:t>
      </w:r>
      <w:r>
        <w:t xml:space="preserve"> </w:t>
      </w:r>
      <w:r w:rsidR="00466F9E" w:rsidRPr="00E251CB">
        <w:t>bas</w:t>
      </w:r>
      <w:r>
        <w:t xml:space="preserve">ed on </w:t>
      </w:r>
      <w:r w:rsidR="00466F9E" w:rsidRPr="00E251CB">
        <w:t xml:space="preserve">the energy production per nameplate </w:t>
      </w:r>
      <w:r w:rsidRPr="00E251CB">
        <w:t>megawatt</w:t>
      </w:r>
      <w:r w:rsidR="00466F9E" w:rsidRPr="00E251CB">
        <w:t xml:space="preserve"> of </w:t>
      </w:r>
      <w:r>
        <w:t xml:space="preserve">the </w:t>
      </w:r>
      <w:r w:rsidR="00466F9E" w:rsidRPr="00E251CB">
        <w:t xml:space="preserve">BTM PV </w:t>
      </w:r>
      <w:r>
        <w:t xml:space="preserve">for 2025 </w:t>
      </w:r>
      <w:r w:rsidRPr="00E251CB">
        <w:t xml:space="preserve">contained </w:t>
      </w:r>
      <w:r w:rsidR="00466F9E" w:rsidRPr="00E251CB">
        <w:t xml:space="preserve">in the </w:t>
      </w:r>
      <w:r w:rsidRPr="00E5063C">
        <w:t>2016</w:t>
      </w:r>
      <w:r w:rsidRPr="00E251CB">
        <w:t xml:space="preserve"> </w:t>
      </w:r>
      <w:r w:rsidR="00466F9E" w:rsidRPr="00E251CB">
        <w:t>CELT</w:t>
      </w:r>
      <w:r w:rsidRPr="00E251CB">
        <w:t xml:space="preserve"> Report</w:t>
      </w:r>
      <w:r>
        <w:t>:</w:t>
      </w:r>
    </w:p>
    <w:p w:rsidR="00466F9E" w:rsidRPr="00B92F24" w:rsidRDefault="00466F9E" w:rsidP="00EA49AC">
      <w:pPr>
        <w:numPr>
          <w:ilvl w:val="0"/>
          <w:numId w:val="24"/>
        </w:numPr>
        <w:spacing w:after="120"/>
        <w:ind w:left="360"/>
      </w:pPr>
      <w:r w:rsidRPr="00B92F24">
        <w:t xml:space="preserve">Total BTM PV </w:t>
      </w:r>
      <w:r w:rsidR="00E251CB" w:rsidRPr="00B92F24">
        <w:t>e</w:t>
      </w:r>
      <w:r w:rsidRPr="00B92F24">
        <w:t>nergy for 4,000 MW of nameplate rating in 2025:</w:t>
      </w:r>
      <w:r w:rsidR="00FC34C5">
        <w:br/>
      </w:r>
      <w:r w:rsidRPr="00B92F24">
        <w:t>5,130 GWh = (2,959 GWh</w:t>
      </w:r>
      <w:r w:rsidR="009A5E9F">
        <w:t xml:space="preserve"> ÷ </w:t>
      </w:r>
      <w:r w:rsidRPr="00B92F24">
        <w:t xml:space="preserve">2,307 MW) </w:t>
      </w:r>
      <w:r w:rsidR="009A5E9F" w:rsidRPr="00FC34C5">
        <w:rPr>
          <w:rFonts w:ascii="Calibri" w:hAnsi="Calibri"/>
          <w:sz w:val="18"/>
          <w:szCs w:val="18"/>
        </w:rPr>
        <w:t>×</w:t>
      </w:r>
      <w:r w:rsidRPr="00B92F24">
        <w:t xml:space="preserve"> 4,000 MW</w:t>
      </w:r>
    </w:p>
    <w:p w:rsidR="00466F9E" w:rsidRPr="00B92F24" w:rsidRDefault="00466F9E" w:rsidP="00EA49AC">
      <w:pPr>
        <w:numPr>
          <w:ilvl w:val="0"/>
          <w:numId w:val="24"/>
        </w:numPr>
        <w:ind w:left="360"/>
      </w:pPr>
      <w:r w:rsidRPr="00B92F24">
        <w:t xml:space="preserve">Total BTM PV </w:t>
      </w:r>
      <w:r w:rsidR="00B92F24" w:rsidRPr="00B92F24">
        <w:t>e</w:t>
      </w:r>
      <w:r w:rsidRPr="00B92F24">
        <w:t>nergy for 6,000 MW of nameplate rating in 2030:</w:t>
      </w:r>
      <w:r w:rsidR="00FC34C5">
        <w:br/>
      </w:r>
      <w:r w:rsidRPr="00B92F24">
        <w:t xml:space="preserve">7,695 GWh = (2,959 GWh </w:t>
      </w:r>
      <w:r w:rsidR="009A5E9F">
        <w:t xml:space="preserve">÷ </w:t>
      </w:r>
      <w:r w:rsidRPr="00B92F24">
        <w:t xml:space="preserve">2,307 MW) </w:t>
      </w:r>
      <w:r w:rsidR="009A5E9F">
        <w:rPr>
          <w:rFonts w:ascii="Calibri" w:hAnsi="Calibri"/>
          <w:sz w:val="18"/>
          <w:szCs w:val="18"/>
        </w:rPr>
        <w:t>×</w:t>
      </w:r>
      <w:r w:rsidRPr="00B92F24">
        <w:t xml:space="preserve"> 6,000 MW</w:t>
      </w:r>
    </w:p>
    <w:p w:rsidR="00827DB9" w:rsidRDefault="00B92F24" w:rsidP="00827DB9">
      <w:r w:rsidRPr="00B92F24">
        <w:fldChar w:fldCharType="begin"/>
      </w:r>
      <w:r w:rsidRPr="00B92F24">
        <w:instrText xml:space="preserve"> REF _Ref462231949 \h </w:instrText>
      </w:r>
      <w:r>
        <w:instrText xml:space="preserve"> \* MERGEFORMAT </w:instrText>
      </w:r>
      <w:r w:rsidRPr="00B92F24">
        <w:fldChar w:fldCharType="separate"/>
      </w:r>
      <w:r w:rsidR="00742B49" w:rsidRPr="00FC2FC2">
        <w:t xml:space="preserve">Table </w:t>
      </w:r>
      <w:r w:rsidR="00742B49">
        <w:rPr>
          <w:noProof/>
        </w:rPr>
        <w:t>5</w:t>
      </w:r>
      <w:r w:rsidR="00742B49">
        <w:rPr>
          <w:noProof/>
        </w:rPr>
        <w:noBreakHyphen/>
        <w:t>2</w:t>
      </w:r>
      <w:r w:rsidRPr="00B92F24">
        <w:fldChar w:fldCharType="end"/>
      </w:r>
      <w:r w:rsidRPr="00B92F24">
        <w:t xml:space="preserve"> </w:t>
      </w:r>
      <w:r w:rsidR="00466F9E" w:rsidRPr="00B92F24">
        <w:t>summarizes</w:t>
      </w:r>
      <w:r w:rsidRPr="00B92F24">
        <w:t xml:space="preserve"> the assumptions for passive demand and BTM PV resources for all the scenarios for both study years.</w:t>
      </w:r>
    </w:p>
    <w:p w:rsidR="00827DB9" w:rsidRDefault="00827DB9" w:rsidP="005A6DEA">
      <w:pPr>
        <w:pStyle w:val="Caption"/>
        <w:jc w:val="center"/>
      </w:pPr>
      <w:bookmarkStart w:id="103" w:name="_Ref462231949"/>
      <w:bookmarkStart w:id="104" w:name="_Toc486406016"/>
      <w:r w:rsidRPr="00FC2FC2">
        <w:lastRenderedPageBreak/>
        <w:t xml:space="preserve">Table </w:t>
      </w:r>
      <w:fldSimple w:instr=" STYLEREF 1 \s ">
        <w:r w:rsidR="004248FE">
          <w:rPr>
            <w:noProof/>
          </w:rPr>
          <w:t>5</w:t>
        </w:r>
      </w:fldSimple>
      <w:r w:rsidR="004248FE">
        <w:noBreakHyphen/>
      </w:r>
      <w:fldSimple w:instr=" SEQ Table \* ARABIC \s 1 ">
        <w:r w:rsidR="004248FE">
          <w:rPr>
            <w:noProof/>
          </w:rPr>
          <w:t>2</w:t>
        </w:r>
      </w:fldSimple>
      <w:bookmarkEnd w:id="103"/>
      <w:r w:rsidRPr="00FC2FC2">
        <w:br/>
      </w:r>
      <w:r w:rsidR="003F5CB9" w:rsidRPr="00FC2FC2">
        <w:t xml:space="preserve">Capacity and Energy Assumptions for </w:t>
      </w:r>
      <w:r w:rsidRPr="00FC2FC2">
        <w:t xml:space="preserve">Passive Demand </w:t>
      </w:r>
      <w:r w:rsidR="00B92F24" w:rsidRPr="00FC2FC2">
        <w:t xml:space="preserve">and BTM PV </w:t>
      </w:r>
      <w:r w:rsidRPr="00FC2FC2">
        <w:t>Resource</w:t>
      </w:r>
      <w:r w:rsidR="003F5CB9" w:rsidRPr="00FC2FC2">
        <w:t>s, 2025 and 2030</w:t>
      </w:r>
      <w:bookmarkEnd w:id="104"/>
    </w:p>
    <w:tbl>
      <w:tblPr>
        <w:tblW w:w="8888" w:type="dxa"/>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483"/>
        <w:gridCol w:w="1351"/>
        <w:gridCol w:w="1351"/>
        <w:gridCol w:w="1351"/>
        <w:gridCol w:w="1352"/>
      </w:tblGrid>
      <w:tr w:rsidR="0067188F" w:rsidRPr="004A6EFB" w:rsidTr="00FC2FC2">
        <w:trPr>
          <w:jc w:val="center"/>
        </w:trPr>
        <w:tc>
          <w:tcPr>
            <w:tcW w:w="3483" w:type="dxa"/>
            <w:vMerge w:val="restart"/>
            <w:shd w:val="clear" w:color="auto" w:fill="4F81BD" w:themeFill="accent1"/>
            <w:vAlign w:val="center"/>
          </w:tcPr>
          <w:p w:rsidR="0067188F" w:rsidRPr="005A6DEA" w:rsidRDefault="0067188F" w:rsidP="005A6DEA">
            <w:pPr>
              <w:keepNext/>
              <w:keepLines/>
              <w:widowControl w:val="0"/>
              <w:spacing w:before="40" w:after="40" w:line="240" w:lineRule="auto"/>
              <w:jc w:val="center"/>
              <w:rPr>
                <w:rFonts w:ascii="Calibri" w:hAnsi="Calibri"/>
                <w:b/>
                <w:color w:val="FFFFFF" w:themeColor="background1"/>
                <w:sz w:val="18"/>
                <w:szCs w:val="18"/>
              </w:rPr>
            </w:pPr>
            <w:r w:rsidRPr="005A6DEA">
              <w:rPr>
                <w:rFonts w:ascii="Calibri" w:hAnsi="Calibri"/>
                <w:b/>
                <w:color w:val="FFFFFF" w:themeColor="background1"/>
                <w:sz w:val="18"/>
                <w:szCs w:val="18"/>
              </w:rPr>
              <w:t>Parameter</w:t>
            </w:r>
          </w:p>
        </w:tc>
        <w:tc>
          <w:tcPr>
            <w:tcW w:w="2702" w:type="dxa"/>
            <w:gridSpan w:val="2"/>
            <w:shd w:val="clear" w:color="auto" w:fill="4F81BD" w:themeFill="accent1"/>
            <w:vAlign w:val="center"/>
          </w:tcPr>
          <w:p w:rsidR="0067188F" w:rsidRPr="005A6DEA" w:rsidRDefault="0067188F" w:rsidP="005A6DEA">
            <w:pPr>
              <w:keepNext/>
              <w:keepLines/>
              <w:widowControl w:val="0"/>
              <w:spacing w:before="40" w:after="40" w:line="240" w:lineRule="auto"/>
              <w:jc w:val="center"/>
              <w:rPr>
                <w:rFonts w:ascii="Calibri" w:hAnsi="Calibri"/>
                <w:b/>
                <w:color w:val="FFFFFF" w:themeColor="background1"/>
                <w:sz w:val="18"/>
                <w:szCs w:val="18"/>
              </w:rPr>
            </w:pPr>
            <w:r w:rsidRPr="005A6DEA">
              <w:rPr>
                <w:rFonts w:ascii="Calibri" w:hAnsi="Calibri"/>
                <w:b/>
                <w:color w:val="FFFFFF" w:themeColor="background1"/>
                <w:sz w:val="18"/>
                <w:szCs w:val="18"/>
              </w:rPr>
              <w:t xml:space="preserve">Scenarios 1, 2, 4, </w:t>
            </w:r>
            <w:r w:rsidR="00197A73" w:rsidRPr="005A6DEA">
              <w:rPr>
                <w:rFonts w:ascii="Calibri" w:hAnsi="Calibri"/>
                <w:b/>
                <w:color w:val="FFFFFF" w:themeColor="background1"/>
                <w:sz w:val="18"/>
                <w:szCs w:val="18"/>
              </w:rPr>
              <w:t xml:space="preserve">5, </w:t>
            </w:r>
            <w:r w:rsidRPr="005A6DEA">
              <w:rPr>
                <w:rFonts w:ascii="Calibri" w:hAnsi="Calibri"/>
                <w:b/>
                <w:color w:val="FFFFFF" w:themeColor="background1"/>
                <w:sz w:val="18"/>
                <w:szCs w:val="18"/>
              </w:rPr>
              <w:t xml:space="preserve">and </w:t>
            </w:r>
            <w:r w:rsidR="00197A73" w:rsidRPr="005A6DEA">
              <w:rPr>
                <w:rFonts w:ascii="Calibri" w:hAnsi="Calibri"/>
                <w:b/>
                <w:color w:val="FFFFFF" w:themeColor="background1"/>
                <w:sz w:val="18"/>
                <w:szCs w:val="18"/>
              </w:rPr>
              <w:t>6</w:t>
            </w:r>
          </w:p>
        </w:tc>
        <w:tc>
          <w:tcPr>
            <w:tcW w:w="2703" w:type="dxa"/>
            <w:gridSpan w:val="2"/>
            <w:shd w:val="clear" w:color="auto" w:fill="4F81BD" w:themeFill="accent1"/>
            <w:vAlign w:val="center"/>
          </w:tcPr>
          <w:p w:rsidR="0067188F" w:rsidRPr="005A6DEA" w:rsidRDefault="0067188F" w:rsidP="005A6DEA">
            <w:pPr>
              <w:keepNext/>
              <w:keepLines/>
              <w:widowControl w:val="0"/>
              <w:spacing w:before="40" w:after="40" w:line="240" w:lineRule="auto"/>
              <w:jc w:val="center"/>
              <w:rPr>
                <w:rFonts w:ascii="Calibri" w:hAnsi="Calibri"/>
                <w:b/>
                <w:color w:val="FFFFFF" w:themeColor="background1"/>
                <w:sz w:val="18"/>
                <w:szCs w:val="18"/>
              </w:rPr>
            </w:pPr>
            <w:r w:rsidRPr="005A6DEA">
              <w:rPr>
                <w:rFonts w:ascii="Calibri" w:hAnsi="Calibri"/>
                <w:b/>
                <w:color w:val="FFFFFF" w:themeColor="background1"/>
                <w:sz w:val="18"/>
                <w:szCs w:val="18"/>
              </w:rPr>
              <w:t>Scenario 3</w:t>
            </w:r>
          </w:p>
        </w:tc>
      </w:tr>
      <w:tr w:rsidR="0067188F" w:rsidRPr="004A6EFB" w:rsidTr="00FC2FC2">
        <w:trPr>
          <w:jc w:val="center"/>
        </w:trPr>
        <w:tc>
          <w:tcPr>
            <w:tcW w:w="3483" w:type="dxa"/>
            <w:vMerge/>
            <w:shd w:val="clear" w:color="auto" w:fill="4F81BD" w:themeFill="accent1"/>
            <w:vAlign w:val="center"/>
          </w:tcPr>
          <w:p w:rsidR="0067188F" w:rsidRPr="005A6DEA" w:rsidRDefault="0067188F" w:rsidP="005A6DEA">
            <w:pPr>
              <w:keepNext/>
              <w:keepLines/>
              <w:widowControl w:val="0"/>
              <w:spacing w:before="40" w:after="40" w:line="240" w:lineRule="auto"/>
              <w:rPr>
                <w:rFonts w:ascii="Calibri" w:hAnsi="Calibri"/>
                <w:b/>
                <w:color w:val="FFFFFF" w:themeColor="background1"/>
                <w:sz w:val="18"/>
                <w:szCs w:val="18"/>
                <w:highlight w:val="green"/>
              </w:rPr>
            </w:pPr>
          </w:p>
        </w:tc>
        <w:tc>
          <w:tcPr>
            <w:tcW w:w="1351" w:type="dxa"/>
            <w:shd w:val="clear" w:color="auto" w:fill="4F81BD" w:themeFill="accent1"/>
            <w:vAlign w:val="center"/>
          </w:tcPr>
          <w:p w:rsidR="0067188F" w:rsidRPr="005A6DEA" w:rsidRDefault="0067188F" w:rsidP="005A6DEA">
            <w:pPr>
              <w:keepNext/>
              <w:keepLines/>
              <w:widowControl w:val="0"/>
              <w:spacing w:before="40" w:after="40" w:line="240" w:lineRule="auto"/>
              <w:jc w:val="center"/>
              <w:rPr>
                <w:rFonts w:ascii="Calibri" w:hAnsi="Calibri"/>
                <w:b/>
                <w:color w:val="FFFFFF" w:themeColor="background1"/>
                <w:sz w:val="18"/>
                <w:szCs w:val="18"/>
              </w:rPr>
            </w:pPr>
            <w:r w:rsidRPr="005A6DEA">
              <w:rPr>
                <w:rFonts w:ascii="Calibri" w:hAnsi="Calibri"/>
                <w:b/>
                <w:color w:val="FFFFFF" w:themeColor="background1"/>
                <w:sz w:val="18"/>
                <w:szCs w:val="18"/>
              </w:rPr>
              <w:t>2025</w:t>
            </w:r>
          </w:p>
        </w:tc>
        <w:tc>
          <w:tcPr>
            <w:tcW w:w="1351" w:type="dxa"/>
            <w:shd w:val="clear" w:color="auto" w:fill="4F81BD" w:themeFill="accent1"/>
            <w:vAlign w:val="center"/>
          </w:tcPr>
          <w:p w:rsidR="0067188F" w:rsidRPr="005A6DEA" w:rsidRDefault="0067188F" w:rsidP="005A6DEA">
            <w:pPr>
              <w:keepNext/>
              <w:keepLines/>
              <w:widowControl w:val="0"/>
              <w:spacing w:before="40" w:after="40" w:line="240" w:lineRule="auto"/>
              <w:jc w:val="center"/>
              <w:rPr>
                <w:rFonts w:ascii="Calibri" w:hAnsi="Calibri"/>
                <w:b/>
                <w:color w:val="FFFFFF" w:themeColor="background1"/>
                <w:sz w:val="18"/>
                <w:szCs w:val="18"/>
              </w:rPr>
            </w:pPr>
            <w:r w:rsidRPr="005A6DEA">
              <w:rPr>
                <w:rFonts w:ascii="Calibri" w:hAnsi="Calibri"/>
                <w:b/>
                <w:color w:val="FFFFFF" w:themeColor="background1"/>
                <w:sz w:val="18"/>
                <w:szCs w:val="18"/>
              </w:rPr>
              <w:t>2030</w:t>
            </w:r>
          </w:p>
        </w:tc>
        <w:tc>
          <w:tcPr>
            <w:tcW w:w="1351" w:type="dxa"/>
            <w:shd w:val="clear" w:color="auto" w:fill="4F81BD" w:themeFill="accent1"/>
            <w:vAlign w:val="center"/>
          </w:tcPr>
          <w:p w:rsidR="0067188F" w:rsidRPr="005A6DEA" w:rsidRDefault="0067188F" w:rsidP="005A6DEA">
            <w:pPr>
              <w:keepNext/>
              <w:keepLines/>
              <w:widowControl w:val="0"/>
              <w:spacing w:before="40" w:after="40" w:line="240" w:lineRule="auto"/>
              <w:jc w:val="center"/>
              <w:rPr>
                <w:rFonts w:ascii="Calibri" w:hAnsi="Calibri"/>
                <w:b/>
                <w:color w:val="FFFFFF" w:themeColor="background1"/>
                <w:sz w:val="18"/>
                <w:szCs w:val="18"/>
              </w:rPr>
            </w:pPr>
            <w:r w:rsidRPr="005A6DEA">
              <w:rPr>
                <w:rFonts w:ascii="Calibri" w:hAnsi="Calibri"/>
                <w:b/>
                <w:color w:val="FFFFFF" w:themeColor="background1"/>
                <w:sz w:val="18"/>
                <w:szCs w:val="18"/>
              </w:rPr>
              <w:t>2025</w:t>
            </w:r>
          </w:p>
        </w:tc>
        <w:tc>
          <w:tcPr>
            <w:tcW w:w="1352" w:type="dxa"/>
            <w:shd w:val="clear" w:color="auto" w:fill="4F81BD" w:themeFill="accent1"/>
            <w:vAlign w:val="center"/>
          </w:tcPr>
          <w:p w:rsidR="0067188F" w:rsidRPr="005A6DEA" w:rsidRDefault="0067188F" w:rsidP="005A6DEA">
            <w:pPr>
              <w:keepNext/>
              <w:keepLines/>
              <w:widowControl w:val="0"/>
              <w:spacing w:before="40" w:after="40" w:line="240" w:lineRule="auto"/>
              <w:jc w:val="center"/>
              <w:rPr>
                <w:rFonts w:ascii="Calibri" w:hAnsi="Calibri"/>
                <w:b/>
                <w:color w:val="FFFFFF" w:themeColor="background1"/>
                <w:sz w:val="18"/>
                <w:szCs w:val="18"/>
              </w:rPr>
            </w:pPr>
            <w:r w:rsidRPr="005A6DEA">
              <w:rPr>
                <w:rFonts w:ascii="Calibri" w:hAnsi="Calibri"/>
                <w:b/>
                <w:color w:val="FFFFFF" w:themeColor="background1"/>
                <w:sz w:val="18"/>
                <w:szCs w:val="18"/>
              </w:rPr>
              <w:t>2030</w:t>
            </w:r>
          </w:p>
        </w:tc>
      </w:tr>
      <w:tr w:rsidR="00827DB9" w:rsidRPr="004A6EFB" w:rsidTr="00FC2FC2">
        <w:trPr>
          <w:jc w:val="center"/>
        </w:trPr>
        <w:tc>
          <w:tcPr>
            <w:tcW w:w="3483" w:type="dxa"/>
            <w:shd w:val="clear" w:color="auto" w:fill="auto"/>
            <w:vAlign w:val="center"/>
          </w:tcPr>
          <w:p w:rsidR="00827DB9" w:rsidRPr="004A6EFB" w:rsidRDefault="00827DB9" w:rsidP="005A6DEA">
            <w:pPr>
              <w:keepNext/>
              <w:keepLines/>
              <w:widowControl w:val="0"/>
              <w:spacing w:before="40" w:after="40" w:line="240" w:lineRule="auto"/>
              <w:rPr>
                <w:rFonts w:ascii="Calibri" w:hAnsi="Calibri"/>
                <w:b/>
                <w:sz w:val="18"/>
                <w:szCs w:val="18"/>
              </w:rPr>
            </w:pPr>
            <w:r w:rsidRPr="004A6EFB">
              <w:rPr>
                <w:rFonts w:ascii="Calibri" w:hAnsi="Calibri"/>
                <w:b/>
                <w:sz w:val="18"/>
                <w:szCs w:val="18"/>
              </w:rPr>
              <w:t>Passive</w:t>
            </w:r>
            <w:r w:rsidR="00904C1D">
              <w:rPr>
                <w:rFonts w:ascii="Calibri" w:hAnsi="Calibri"/>
                <w:b/>
                <w:sz w:val="18"/>
                <w:szCs w:val="18"/>
              </w:rPr>
              <w:t xml:space="preserve"> </w:t>
            </w:r>
            <w:r w:rsidRPr="004A6EFB">
              <w:rPr>
                <w:rFonts w:ascii="Calibri" w:hAnsi="Calibri"/>
                <w:b/>
                <w:sz w:val="18"/>
                <w:szCs w:val="18"/>
              </w:rPr>
              <w:t>demand</w:t>
            </w:r>
            <w:r w:rsidR="000014F1">
              <w:rPr>
                <w:rFonts w:ascii="Calibri" w:hAnsi="Calibri"/>
                <w:b/>
                <w:sz w:val="18"/>
                <w:szCs w:val="18"/>
              </w:rPr>
              <w:t>-</w:t>
            </w:r>
            <w:r w:rsidRPr="004A6EFB">
              <w:rPr>
                <w:rFonts w:ascii="Calibri" w:hAnsi="Calibri"/>
                <w:b/>
                <w:sz w:val="18"/>
                <w:szCs w:val="18"/>
              </w:rPr>
              <w:t>resource capacity (MW)</w:t>
            </w:r>
          </w:p>
        </w:tc>
        <w:tc>
          <w:tcPr>
            <w:tcW w:w="1351" w:type="dxa"/>
            <w:shd w:val="clear" w:color="auto" w:fill="auto"/>
            <w:vAlign w:val="center"/>
          </w:tcPr>
          <w:p w:rsidR="00827DB9" w:rsidRPr="004A6EFB" w:rsidRDefault="00827DB9" w:rsidP="005A6DEA">
            <w:pPr>
              <w:keepNext/>
              <w:keepLines/>
              <w:widowControl w:val="0"/>
              <w:spacing w:before="40" w:after="40" w:line="240" w:lineRule="auto"/>
              <w:jc w:val="center"/>
              <w:rPr>
                <w:rFonts w:ascii="Calibri" w:hAnsi="Calibri"/>
                <w:sz w:val="18"/>
                <w:szCs w:val="18"/>
              </w:rPr>
            </w:pPr>
            <w:r w:rsidRPr="004A6EFB">
              <w:rPr>
                <w:rFonts w:ascii="Calibri" w:hAnsi="Calibri"/>
                <w:sz w:val="18"/>
                <w:szCs w:val="18"/>
              </w:rPr>
              <w:t>3,844</w:t>
            </w:r>
          </w:p>
        </w:tc>
        <w:tc>
          <w:tcPr>
            <w:tcW w:w="1351" w:type="dxa"/>
            <w:shd w:val="clear" w:color="auto" w:fill="auto"/>
            <w:vAlign w:val="center"/>
          </w:tcPr>
          <w:p w:rsidR="00827DB9" w:rsidRPr="004A6EFB" w:rsidRDefault="00827DB9" w:rsidP="005A6DEA">
            <w:pPr>
              <w:keepNext/>
              <w:keepLines/>
              <w:widowControl w:val="0"/>
              <w:spacing w:before="40" w:after="40" w:line="240" w:lineRule="auto"/>
              <w:jc w:val="center"/>
              <w:rPr>
                <w:rFonts w:ascii="Calibri" w:hAnsi="Calibri"/>
                <w:sz w:val="18"/>
                <w:szCs w:val="18"/>
              </w:rPr>
            </w:pPr>
            <w:r w:rsidRPr="004A6EFB">
              <w:rPr>
                <w:rFonts w:ascii="Calibri" w:hAnsi="Calibri"/>
                <w:sz w:val="18"/>
                <w:szCs w:val="18"/>
              </w:rPr>
              <w:t>4,739</w:t>
            </w:r>
          </w:p>
        </w:tc>
        <w:tc>
          <w:tcPr>
            <w:tcW w:w="1351" w:type="dxa"/>
            <w:shd w:val="clear" w:color="auto" w:fill="auto"/>
            <w:vAlign w:val="center"/>
          </w:tcPr>
          <w:p w:rsidR="00827DB9" w:rsidRPr="004A6EFB" w:rsidRDefault="00827DB9" w:rsidP="005A6DEA">
            <w:pPr>
              <w:keepNext/>
              <w:keepLines/>
              <w:widowControl w:val="0"/>
              <w:spacing w:before="40" w:after="40" w:line="240" w:lineRule="auto"/>
              <w:jc w:val="center"/>
              <w:rPr>
                <w:rFonts w:ascii="Calibri" w:hAnsi="Calibri"/>
                <w:sz w:val="18"/>
                <w:szCs w:val="18"/>
              </w:rPr>
            </w:pPr>
            <w:r w:rsidRPr="004A6EFB">
              <w:rPr>
                <w:rFonts w:ascii="Calibri" w:hAnsi="Calibri"/>
                <w:sz w:val="18"/>
                <w:szCs w:val="18"/>
              </w:rPr>
              <w:t>4,844</w:t>
            </w:r>
          </w:p>
        </w:tc>
        <w:tc>
          <w:tcPr>
            <w:tcW w:w="1352" w:type="dxa"/>
            <w:shd w:val="clear" w:color="auto" w:fill="auto"/>
            <w:vAlign w:val="center"/>
          </w:tcPr>
          <w:p w:rsidR="00827DB9" w:rsidRPr="004A6EFB" w:rsidRDefault="00827DB9" w:rsidP="005A6DEA">
            <w:pPr>
              <w:keepNext/>
              <w:keepLines/>
              <w:widowControl w:val="0"/>
              <w:spacing w:before="40" w:after="40" w:line="240" w:lineRule="auto"/>
              <w:jc w:val="center"/>
              <w:rPr>
                <w:rFonts w:ascii="Calibri" w:hAnsi="Calibri"/>
                <w:sz w:val="18"/>
                <w:szCs w:val="18"/>
              </w:rPr>
            </w:pPr>
            <w:r w:rsidRPr="004A6EFB">
              <w:rPr>
                <w:rFonts w:ascii="Calibri" w:hAnsi="Calibri"/>
                <w:sz w:val="18"/>
                <w:szCs w:val="18"/>
              </w:rPr>
              <w:t>7,009</w:t>
            </w:r>
          </w:p>
        </w:tc>
      </w:tr>
      <w:tr w:rsidR="00827DB9" w:rsidRPr="004A6EFB" w:rsidTr="00FC2FC2">
        <w:trPr>
          <w:jc w:val="center"/>
        </w:trPr>
        <w:tc>
          <w:tcPr>
            <w:tcW w:w="3483" w:type="dxa"/>
            <w:shd w:val="clear" w:color="auto" w:fill="DBE5F1" w:themeFill="accent1" w:themeFillTint="33"/>
            <w:vAlign w:val="center"/>
          </w:tcPr>
          <w:p w:rsidR="00827DB9" w:rsidRPr="004A6EFB" w:rsidRDefault="00827DB9" w:rsidP="00904C1D">
            <w:pPr>
              <w:keepNext/>
              <w:keepLines/>
              <w:widowControl w:val="0"/>
              <w:spacing w:before="40" w:after="40" w:line="240" w:lineRule="auto"/>
              <w:rPr>
                <w:rFonts w:ascii="Calibri" w:hAnsi="Calibri"/>
                <w:b/>
                <w:sz w:val="18"/>
                <w:szCs w:val="18"/>
              </w:rPr>
            </w:pPr>
            <w:r w:rsidRPr="004A6EFB">
              <w:rPr>
                <w:rFonts w:ascii="Calibri" w:hAnsi="Calibri"/>
                <w:b/>
                <w:sz w:val="18"/>
                <w:szCs w:val="18"/>
              </w:rPr>
              <w:t>Passive</w:t>
            </w:r>
            <w:r w:rsidR="00904C1D">
              <w:rPr>
                <w:rFonts w:ascii="Calibri" w:hAnsi="Calibri"/>
                <w:b/>
                <w:sz w:val="18"/>
                <w:szCs w:val="18"/>
              </w:rPr>
              <w:t xml:space="preserve"> </w:t>
            </w:r>
            <w:r>
              <w:rPr>
                <w:rFonts w:ascii="Calibri" w:hAnsi="Calibri"/>
                <w:b/>
                <w:sz w:val="18"/>
                <w:szCs w:val="18"/>
              </w:rPr>
              <w:t>d</w:t>
            </w:r>
            <w:r w:rsidRPr="004A6EFB">
              <w:rPr>
                <w:rFonts w:ascii="Calibri" w:hAnsi="Calibri"/>
                <w:b/>
                <w:sz w:val="18"/>
                <w:szCs w:val="18"/>
              </w:rPr>
              <w:t>emand</w:t>
            </w:r>
            <w:r w:rsidR="000014F1">
              <w:rPr>
                <w:rFonts w:ascii="Calibri" w:hAnsi="Calibri"/>
                <w:b/>
                <w:sz w:val="18"/>
                <w:szCs w:val="18"/>
              </w:rPr>
              <w:t>-</w:t>
            </w:r>
            <w:r>
              <w:rPr>
                <w:rFonts w:ascii="Calibri" w:hAnsi="Calibri"/>
                <w:b/>
                <w:sz w:val="18"/>
                <w:szCs w:val="18"/>
              </w:rPr>
              <w:t>r</w:t>
            </w:r>
            <w:r w:rsidRPr="004A6EFB">
              <w:rPr>
                <w:rFonts w:ascii="Calibri" w:hAnsi="Calibri"/>
                <w:b/>
                <w:sz w:val="18"/>
                <w:szCs w:val="18"/>
              </w:rPr>
              <w:t xml:space="preserve">esource </w:t>
            </w:r>
            <w:r>
              <w:rPr>
                <w:rFonts w:ascii="Calibri" w:hAnsi="Calibri"/>
                <w:b/>
                <w:sz w:val="18"/>
                <w:szCs w:val="18"/>
              </w:rPr>
              <w:t>e</w:t>
            </w:r>
            <w:r w:rsidRPr="004A6EFB">
              <w:rPr>
                <w:rFonts w:ascii="Calibri" w:hAnsi="Calibri"/>
                <w:b/>
                <w:sz w:val="18"/>
                <w:szCs w:val="18"/>
              </w:rPr>
              <w:t>nergy (GWh)</w:t>
            </w:r>
          </w:p>
        </w:tc>
        <w:tc>
          <w:tcPr>
            <w:tcW w:w="1351" w:type="dxa"/>
            <w:shd w:val="clear" w:color="auto" w:fill="DBE5F1" w:themeFill="accent1" w:themeFillTint="33"/>
            <w:vAlign w:val="center"/>
          </w:tcPr>
          <w:p w:rsidR="00827DB9" w:rsidRPr="004A6EFB" w:rsidRDefault="00827DB9" w:rsidP="005A6DEA">
            <w:pPr>
              <w:keepNext/>
              <w:keepLines/>
              <w:widowControl w:val="0"/>
              <w:spacing w:before="40" w:after="40" w:line="240" w:lineRule="auto"/>
              <w:jc w:val="center"/>
              <w:rPr>
                <w:rFonts w:ascii="Calibri" w:hAnsi="Calibri"/>
                <w:sz w:val="18"/>
                <w:szCs w:val="18"/>
              </w:rPr>
            </w:pPr>
            <w:r w:rsidRPr="004A6EFB">
              <w:rPr>
                <w:rFonts w:ascii="Calibri" w:hAnsi="Calibri"/>
                <w:sz w:val="18"/>
                <w:szCs w:val="18"/>
              </w:rPr>
              <w:t>24,559</w:t>
            </w:r>
          </w:p>
        </w:tc>
        <w:tc>
          <w:tcPr>
            <w:tcW w:w="1351" w:type="dxa"/>
            <w:shd w:val="clear" w:color="auto" w:fill="DBE5F1" w:themeFill="accent1" w:themeFillTint="33"/>
            <w:vAlign w:val="center"/>
          </w:tcPr>
          <w:p w:rsidR="00827DB9" w:rsidRPr="004A6EFB" w:rsidRDefault="00827DB9" w:rsidP="005A6DEA">
            <w:pPr>
              <w:keepNext/>
              <w:keepLines/>
              <w:widowControl w:val="0"/>
              <w:spacing w:before="40" w:after="40" w:line="240" w:lineRule="auto"/>
              <w:jc w:val="center"/>
              <w:rPr>
                <w:rFonts w:ascii="Calibri" w:hAnsi="Calibri"/>
                <w:sz w:val="18"/>
                <w:szCs w:val="18"/>
              </w:rPr>
            </w:pPr>
            <w:r w:rsidRPr="004A6EFB">
              <w:rPr>
                <w:rFonts w:ascii="Calibri" w:hAnsi="Calibri"/>
                <w:sz w:val="18"/>
                <w:szCs w:val="18"/>
              </w:rPr>
              <w:t>25,834</w:t>
            </w:r>
          </w:p>
        </w:tc>
        <w:tc>
          <w:tcPr>
            <w:tcW w:w="1351" w:type="dxa"/>
            <w:shd w:val="clear" w:color="auto" w:fill="DBE5F1" w:themeFill="accent1" w:themeFillTint="33"/>
            <w:vAlign w:val="center"/>
          </w:tcPr>
          <w:p w:rsidR="00827DB9" w:rsidRPr="004A6EFB" w:rsidRDefault="00827DB9" w:rsidP="005A6DEA">
            <w:pPr>
              <w:keepNext/>
              <w:keepLines/>
              <w:widowControl w:val="0"/>
              <w:spacing w:before="40" w:after="40" w:line="240" w:lineRule="auto"/>
              <w:jc w:val="center"/>
              <w:rPr>
                <w:rFonts w:ascii="Calibri" w:hAnsi="Calibri"/>
                <w:sz w:val="18"/>
                <w:szCs w:val="18"/>
              </w:rPr>
            </w:pPr>
            <w:r w:rsidRPr="004A6EFB">
              <w:rPr>
                <w:rFonts w:ascii="Calibri" w:hAnsi="Calibri"/>
                <w:sz w:val="18"/>
                <w:szCs w:val="18"/>
              </w:rPr>
              <w:t>36,876</w:t>
            </w:r>
          </w:p>
        </w:tc>
        <w:tc>
          <w:tcPr>
            <w:tcW w:w="1352" w:type="dxa"/>
            <w:shd w:val="clear" w:color="auto" w:fill="DBE5F1" w:themeFill="accent1" w:themeFillTint="33"/>
            <w:vAlign w:val="center"/>
          </w:tcPr>
          <w:p w:rsidR="00827DB9" w:rsidRPr="004A6EFB" w:rsidRDefault="00827DB9" w:rsidP="005A6DEA">
            <w:pPr>
              <w:keepNext/>
              <w:keepLines/>
              <w:widowControl w:val="0"/>
              <w:spacing w:before="40" w:after="40" w:line="240" w:lineRule="auto"/>
              <w:jc w:val="center"/>
              <w:rPr>
                <w:rFonts w:ascii="Calibri" w:hAnsi="Calibri"/>
                <w:sz w:val="18"/>
                <w:szCs w:val="18"/>
              </w:rPr>
            </w:pPr>
            <w:r w:rsidRPr="004A6EFB">
              <w:rPr>
                <w:rFonts w:ascii="Calibri" w:hAnsi="Calibri"/>
                <w:sz w:val="18"/>
                <w:szCs w:val="18"/>
              </w:rPr>
              <w:t>53,360</w:t>
            </w:r>
          </w:p>
        </w:tc>
      </w:tr>
      <w:tr w:rsidR="00827DB9" w:rsidRPr="004A6EFB" w:rsidTr="00FC2FC2">
        <w:trPr>
          <w:jc w:val="center"/>
        </w:trPr>
        <w:tc>
          <w:tcPr>
            <w:tcW w:w="3483" w:type="dxa"/>
            <w:shd w:val="clear" w:color="auto" w:fill="auto"/>
            <w:vAlign w:val="center"/>
          </w:tcPr>
          <w:p w:rsidR="00827DB9" w:rsidRPr="004A6EFB" w:rsidRDefault="00827DB9" w:rsidP="005A6DEA">
            <w:pPr>
              <w:keepNext/>
              <w:keepLines/>
              <w:widowControl w:val="0"/>
              <w:spacing w:before="40" w:after="40" w:line="240" w:lineRule="auto"/>
              <w:rPr>
                <w:rFonts w:ascii="Calibri" w:hAnsi="Calibri"/>
                <w:b/>
                <w:sz w:val="18"/>
                <w:szCs w:val="18"/>
              </w:rPr>
            </w:pPr>
            <w:r w:rsidRPr="004A6EFB">
              <w:rPr>
                <w:rFonts w:ascii="Calibri" w:hAnsi="Calibri"/>
                <w:b/>
                <w:sz w:val="18"/>
                <w:szCs w:val="18"/>
              </w:rPr>
              <w:t>Behind-the-meter PV reductions in peak load</w:t>
            </w:r>
            <w:r w:rsidR="00FF1B11">
              <w:rPr>
                <w:rFonts w:ascii="Calibri" w:hAnsi="Calibri"/>
                <w:b/>
                <w:sz w:val="18"/>
                <w:szCs w:val="18"/>
              </w:rPr>
              <w:t>/</w:t>
            </w:r>
            <w:r w:rsidRPr="005A6DEA">
              <w:rPr>
                <w:rFonts w:ascii="Calibri" w:hAnsi="Calibri"/>
                <w:b/>
                <w:sz w:val="18"/>
                <w:szCs w:val="18"/>
              </w:rPr>
              <w:t>nameplate</w:t>
            </w:r>
            <w:r w:rsidRPr="005C4006">
              <w:rPr>
                <w:rFonts w:ascii="Calibri" w:hAnsi="Calibri"/>
                <w:b/>
                <w:sz w:val="18"/>
                <w:szCs w:val="18"/>
              </w:rPr>
              <w:t xml:space="preserve"> MW</w:t>
            </w:r>
          </w:p>
        </w:tc>
        <w:tc>
          <w:tcPr>
            <w:tcW w:w="1351" w:type="dxa"/>
            <w:shd w:val="clear" w:color="auto" w:fill="auto"/>
            <w:vAlign w:val="center"/>
          </w:tcPr>
          <w:p w:rsidR="00827DB9" w:rsidRPr="004A6EFB" w:rsidRDefault="00827DB9" w:rsidP="005A6DEA">
            <w:pPr>
              <w:keepNext/>
              <w:keepLines/>
              <w:widowControl w:val="0"/>
              <w:spacing w:before="40" w:after="40" w:line="240" w:lineRule="auto"/>
              <w:jc w:val="center"/>
              <w:rPr>
                <w:rFonts w:ascii="Calibri" w:hAnsi="Calibri"/>
                <w:sz w:val="18"/>
                <w:szCs w:val="18"/>
              </w:rPr>
            </w:pPr>
            <w:r w:rsidRPr="004A6EFB">
              <w:rPr>
                <w:rFonts w:ascii="Calibri" w:hAnsi="Calibri"/>
                <w:sz w:val="18"/>
                <w:szCs w:val="18"/>
              </w:rPr>
              <w:t>828/2,307</w:t>
            </w:r>
          </w:p>
          <w:p w:rsidR="00827DB9" w:rsidRPr="004A6EFB" w:rsidRDefault="00827DB9" w:rsidP="005A6DEA">
            <w:pPr>
              <w:keepNext/>
              <w:keepLines/>
              <w:widowControl w:val="0"/>
              <w:spacing w:before="40" w:after="40" w:line="240" w:lineRule="auto"/>
              <w:jc w:val="center"/>
              <w:rPr>
                <w:rFonts w:ascii="Calibri" w:hAnsi="Calibri"/>
                <w:sz w:val="18"/>
                <w:szCs w:val="18"/>
              </w:rPr>
            </w:pPr>
            <w:r w:rsidRPr="004A6EFB">
              <w:rPr>
                <w:rFonts w:ascii="Calibri" w:hAnsi="Calibri"/>
                <w:sz w:val="18"/>
                <w:szCs w:val="18"/>
              </w:rPr>
              <w:t>35.9% of nameplate</w:t>
            </w:r>
          </w:p>
        </w:tc>
        <w:tc>
          <w:tcPr>
            <w:tcW w:w="1351" w:type="dxa"/>
            <w:shd w:val="clear" w:color="auto" w:fill="auto"/>
            <w:vAlign w:val="center"/>
          </w:tcPr>
          <w:p w:rsidR="00827DB9" w:rsidRPr="004A6EFB" w:rsidRDefault="00827DB9" w:rsidP="005A6DEA">
            <w:pPr>
              <w:keepNext/>
              <w:keepLines/>
              <w:widowControl w:val="0"/>
              <w:spacing w:before="40" w:after="40" w:line="240" w:lineRule="auto"/>
              <w:jc w:val="center"/>
              <w:rPr>
                <w:rFonts w:ascii="Calibri" w:hAnsi="Calibri"/>
                <w:sz w:val="18"/>
                <w:szCs w:val="18"/>
              </w:rPr>
            </w:pPr>
            <w:r w:rsidRPr="004A6EFB">
              <w:rPr>
                <w:rFonts w:ascii="Calibri" w:hAnsi="Calibri"/>
                <w:sz w:val="18"/>
                <w:szCs w:val="18"/>
              </w:rPr>
              <w:t>958/2,777</w:t>
            </w:r>
          </w:p>
          <w:p w:rsidR="00827DB9" w:rsidRPr="004A6EFB" w:rsidRDefault="00827DB9" w:rsidP="005A6DEA">
            <w:pPr>
              <w:keepNext/>
              <w:keepLines/>
              <w:widowControl w:val="0"/>
              <w:spacing w:before="40" w:after="40" w:line="240" w:lineRule="auto"/>
              <w:jc w:val="center"/>
              <w:rPr>
                <w:rFonts w:ascii="Calibri" w:hAnsi="Calibri"/>
                <w:sz w:val="18"/>
                <w:szCs w:val="18"/>
              </w:rPr>
            </w:pPr>
            <w:r w:rsidRPr="004A6EFB">
              <w:rPr>
                <w:rFonts w:ascii="Calibri" w:hAnsi="Calibri"/>
                <w:sz w:val="18"/>
                <w:szCs w:val="18"/>
              </w:rPr>
              <w:t>34.5% of nameplate</w:t>
            </w:r>
          </w:p>
        </w:tc>
        <w:tc>
          <w:tcPr>
            <w:tcW w:w="1351" w:type="dxa"/>
            <w:shd w:val="clear" w:color="auto" w:fill="auto"/>
            <w:vAlign w:val="center"/>
          </w:tcPr>
          <w:p w:rsidR="00827DB9" w:rsidRPr="004A6EFB" w:rsidRDefault="00827DB9" w:rsidP="005A6DEA">
            <w:pPr>
              <w:keepNext/>
              <w:keepLines/>
              <w:widowControl w:val="0"/>
              <w:spacing w:before="40" w:after="40" w:line="240" w:lineRule="auto"/>
              <w:jc w:val="center"/>
              <w:rPr>
                <w:rFonts w:ascii="Calibri" w:hAnsi="Calibri"/>
                <w:sz w:val="18"/>
                <w:szCs w:val="18"/>
              </w:rPr>
            </w:pPr>
            <w:r w:rsidRPr="004A6EFB">
              <w:rPr>
                <w:rFonts w:ascii="Calibri" w:hAnsi="Calibri"/>
                <w:sz w:val="18"/>
                <w:szCs w:val="18"/>
              </w:rPr>
              <w:t>1,264/4,000</w:t>
            </w:r>
            <w:r w:rsidRPr="004A6EFB">
              <w:rPr>
                <w:rFonts w:ascii="Calibri" w:hAnsi="Calibri"/>
                <w:sz w:val="18"/>
                <w:szCs w:val="18"/>
              </w:rPr>
              <w:br/>
              <w:t>31.6% of nameplate</w:t>
            </w:r>
          </w:p>
        </w:tc>
        <w:tc>
          <w:tcPr>
            <w:tcW w:w="1352" w:type="dxa"/>
            <w:shd w:val="clear" w:color="auto" w:fill="auto"/>
            <w:vAlign w:val="center"/>
          </w:tcPr>
          <w:p w:rsidR="00827DB9" w:rsidRPr="004A6EFB" w:rsidRDefault="00827DB9" w:rsidP="005A6DEA">
            <w:pPr>
              <w:keepNext/>
              <w:keepLines/>
              <w:widowControl w:val="0"/>
              <w:spacing w:before="40" w:after="40" w:line="240" w:lineRule="auto"/>
              <w:jc w:val="center"/>
              <w:rPr>
                <w:rFonts w:ascii="Calibri" w:hAnsi="Calibri"/>
                <w:sz w:val="18"/>
                <w:szCs w:val="18"/>
              </w:rPr>
            </w:pPr>
            <w:r w:rsidRPr="004A6EFB">
              <w:rPr>
                <w:rFonts w:ascii="Calibri" w:hAnsi="Calibri"/>
                <w:sz w:val="18"/>
                <w:szCs w:val="18"/>
              </w:rPr>
              <w:t>1,524/6,000</w:t>
            </w:r>
            <w:r w:rsidRPr="004A6EFB">
              <w:rPr>
                <w:rFonts w:ascii="Calibri" w:hAnsi="Calibri"/>
                <w:sz w:val="18"/>
                <w:szCs w:val="18"/>
              </w:rPr>
              <w:br/>
              <w:t>25.4% of nameplate</w:t>
            </w:r>
          </w:p>
        </w:tc>
      </w:tr>
      <w:tr w:rsidR="00827DB9" w:rsidRPr="004A6EFB" w:rsidTr="00FC2FC2">
        <w:trPr>
          <w:jc w:val="center"/>
        </w:trPr>
        <w:tc>
          <w:tcPr>
            <w:tcW w:w="3483" w:type="dxa"/>
            <w:shd w:val="clear" w:color="auto" w:fill="DBE5F1" w:themeFill="accent1" w:themeFillTint="33"/>
            <w:vAlign w:val="center"/>
          </w:tcPr>
          <w:p w:rsidR="00827DB9" w:rsidRPr="004A6EFB" w:rsidRDefault="00827DB9" w:rsidP="005A6DEA">
            <w:pPr>
              <w:keepNext/>
              <w:keepLines/>
              <w:widowControl w:val="0"/>
              <w:spacing w:before="40" w:after="40" w:line="240" w:lineRule="auto"/>
              <w:rPr>
                <w:rFonts w:ascii="Calibri" w:hAnsi="Calibri"/>
                <w:b/>
                <w:sz w:val="18"/>
                <w:szCs w:val="18"/>
              </w:rPr>
            </w:pPr>
            <w:r w:rsidRPr="004A6EFB">
              <w:rPr>
                <w:rFonts w:ascii="Calibri" w:hAnsi="Calibri"/>
                <w:b/>
                <w:sz w:val="18"/>
                <w:szCs w:val="18"/>
              </w:rPr>
              <w:t xml:space="preserve">Behind-the-meter </w:t>
            </w:r>
            <w:r w:rsidR="00154AE5">
              <w:rPr>
                <w:rFonts w:ascii="Calibri" w:hAnsi="Calibri"/>
                <w:b/>
                <w:sz w:val="18"/>
                <w:szCs w:val="18"/>
              </w:rPr>
              <w:t xml:space="preserve">PV </w:t>
            </w:r>
            <w:r w:rsidRPr="004A6EFB">
              <w:rPr>
                <w:rFonts w:ascii="Calibri" w:hAnsi="Calibri"/>
                <w:b/>
                <w:sz w:val="18"/>
                <w:szCs w:val="18"/>
              </w:rPr>
              <w:t>energy</w:t>
            </w:r>
            <w:r w:rsidR="00FF1B11">
              <w:rPr>
                <w:rFonts w:ascii="Calibri" w:hAnsi="Calibri"/>
                <w:b/>
                <w:sz w:val="18"/>
                <w:szCs w:val="18"/>
              </w:rPr>
              <w:t xml:space="preserve"> production</w:t>
            </w:r>
            <w:r w:rsidR="00B92F24" w:rsidRPr="004A6EFB">
              <w:rPr>
                <w:rFonts w:ascii="Calibri" w:hAnsi="Calibri"/>
                <w:b/>
                <w:sz w:val="18"/>
                <w:szCs w:val="18"/>
              </w:rPr>
              <w:t xml:space="preserve"> (GWh)</w:t>
            </w:r>
          </w:p>
        </w:tc>
        <w:tc>
          <w:tcPr>
            <w:tcW w:w="1351" w:type="dxa"/>
            <w:shd w:val="clear" w:color="auto" w:fill="DBE5F1" w:themeFill="accent1" w:themeFillTint="33"/>
            <w:vAlign w:val="center"/>
          </w:tcPr>
          <w:p w:rsidR="00827DB9" w:rsidRPr="004A6EFB" w:rsidRDefault="00827DB9" w:rsidP="005A6DEA">
            <w:pPr>
              <w:keepNext/>
              <w:keepLines/>
              <w:widowControl w:val="0"/>
              <w:spacing w:before="40" w:after="40" w:line="240" w:lineRule="auto"/>
              <w:jc w:val="center"/>
              <w:rPr>
                <w:rFonts w:ascii="Calibri" w:hAnsi="Calibri"/>
                <w:sz w:val="18"/>
                <w:szCs w:val="18"/>
              </w:rPr>
            </w:pPr>
            <w:r w:rsidRPr="004A6EFB">
              <w:rPr>
                <w:rFonts w:ascii="Calibri" w:hAnsi="Calibri"/>
                <w:sz w:val="18"/>
                <w:szCs w:val="18"/>
              </w:rPr>
              <w:t>2,959</w:t>
            </w:r>
          </w:p>
        </w:tc>
        <w:tc>
          <w:tcPr>
            <w:tcW w:w="1351" w:type="dxa"/>
            <w:shd w:val="clear" w:color="auto" w:fill="DBE5F1" w:themeFill="accent1" w:themeFillTint="33"/>
            <w:vAlign w:val="center"/>
          </w:tcPr>
          <w:p w:rsidR="00827DB9" w:rsidRPr="004A6EFB" w:rsidRDefault="00827DB9" w:rsidP="005A6DEA">
            <w:pPr>
              <w:keepNext/>
              <w:keepLines/>
              <w:widowControl w:val="0"/>
              <w:spacing w:before="40" w:after="40" w:line="240" w:lineRule="auto"/>
              <w:jc w:val="center"/>
              <w:rPr>
                <w:rFonts w:ascii="Calibri" w:hAnsi="Calibri"/>
                <w:sz w:val="18"/>
                <w:szCs w:val="18"/>
              </w:rPr>
            </w:pPr>
            <w:r w:rsidRPr="004A6EFB">
              <w:rPr>
                <w:rFonts w:ascii="Calibri" w:hAnsi="Calibri"/>
                <w:sz w:val="18"/>
                <w:szCs w:val="18"/>
              </w:rPr>
              <w:t>3,574</w:t>
            </w:r>
          </w:p>
        </w:tc>
        <w:tc>
          <w:tcPr>
            <w:tcW w:w="1351" w:type="dxa"/>
            <w:shd w:val="clear" w:color="auto" w:fill="DBE5F1" w:themeFill="accent1" w:themeFillTint="33"/>
            <w:vAlign w:val="center"/>
          </w:tcPr>
          <w:p w:rsidR="00827DB9" w:rsidRPr="004A6EFB" w:rsidRDefault="00827DB9" w:rsidP="005A6DEA">
            <w:pPr>
              <w:keepNext/>
              <w:keepLines/>
              <w:widowControl w:val="0"/>
              <w:spacing w:before="40" w:after="40" w:line="240" w:lineRule="auto"/>
              <w:jc w:val="center"/>
              <w:rPr>
                <w:rFonts w:ascii="Calibri" w:hAnsi="Calibri"/>
                <w:sz w:val="18"/>
                <w:szCs w:val="18"/>
              </w:rPr>
            </w:pPr>
            <w:r w:rsidRPr="004A6EFB">
              <w:rPr>
                <w:rFonts w:ascii="Calibri" w:hAnsi="Calibri"/>
                <w:sz w:val="18"/>
                <w:szCs w:val="18"/>
              </w:rPr>
              <w:t>5,130</w:t>
            </w:r>
          </w:p>
        </w:tc>
        <w:tc>
          <w:tcPr>
            <w:tcW w:w="1352" w:type="dxa"/>
            <w:shd w:val="clear" w:color="auto" w:fill="DBE5F1" w:themeFill="accent1" w:themeFillTint="33"/>
            <w:vAlign w:val="center"/>
          </w:tcPr>
          <w:p w:rsidR="00827DB9" w:rsidRPr="004A6EFB" w:rsidRDefault="00827DB9" w:rsidP="005A6DEA">
            <w:pPr>
              <w:keepNext/>
              <w:keepLines/>
              <w:widowControl w:val="0"/>
              <w:spacing w:before="40" w:after="40" w:line="240" w:lineRule="auto"/>
              <w:jc w:val="center"/>
              <w:rPr>
                <w:rFonts w:ascii="Calibri" w:hAnsi="Calibri"/>
                <w:sz w:val="18"/>
                <w:szCs w:val="18"/>
              </w:rPr>
            </w:pPr>
            <w:r w:rsidRPr="004A6EFB">
              <w:rPr>
                <w:rFonts w:ascii="Calibri" w:hAnsi="Calibri"/>
                <w:sz w:val="18"/>
                <w:szCs w:val="18"/>
              </w:rPr>
              <w:t>7,695</w:t>
            </w:r>
          </w:p>
        </w:tc>
      </w:tr>
    </w:tbl>
    <w:p w:rsidR="00827DB9" w:rsidRPr="0057280D" w:rsidRDefault="00827DB9" w:rsidP="00BE2B42">
      <w:pPr>
        <w:spacing w:before="120" w:after="120" w:line="240" w:lineRule="auto"/>
        <w:ind w:right="-86"/>
        <w:rPr>
          <w:rFonts w:ascii="Calibri" w:hAnsi="Calibri"/>
          <w:bCs/>
          <w:sz w:val="18"/>
          <w:szCs w:val="18"/>
        </w:rPr>
      </w:pPr>
    </w:p>
    <w:p w:rsidR="00D85509" w:rsidRDefault="00D85509" w:rsidP="00AF716F">
      <w:pPr>
        <w:pStyle w:val="Heading3"/>
      </w:pPr>
      <w:bookmarkStart w:id="105" w:name="_Ref476903290"/>
      <w:bookmarkStart w:id="106" w:name="_Toc486405977"/>
      <w:r w:rsidRPr="000A2842">
        <w:rPr>
          <w:bCs/>
        </w:rPr>
        <w:t>Plug-In Hybrid</w:t>
      </w:r>
      <w:r>
        <w:t xml:space="preserve"> Electric Vehicles</w:t>
      </w:r>
      <w:bookmarkEnd w:id="105"/>
      <w:bookmarkEnd w:id="106"/>
    </w:p>
    <w:p w:rsidR="00D85509" w:rsidRDefault="00D85509" w:rsidP="00D85509">
      <w:r>
        <w:t xml:space="preserve">A </w:t>
      </w:r>
      <w:r w:rsidRPr="00EC719E">
        <w:t>total of 2.5 million plug-in hybrid electric vehicles were added in 2025, and 4.2 million were added in 2030 for Scenario 3.</w:t>
      </w:r>
      <w:r>
        <w:t xml:space="preserve"> Locations were distributed by state, in accordance with the </w:t>
      </w:r>
      <w:r w:rsidRPr="00EC719E">
        <w:t>NEPOOL request</w:t>
      </w:r>
      <w:r>
        <w:t xml:space="preserve">, and further distributed </w:t>
      </w:r>
      <w:r w:rsidRPr="000A2842">
        <w:t xml:space="preserve">by Regional System </w:t>
      </w:r>
      <w:r w:rsidRPr="00FC2FC2">
        <w:t xml:space="preserve">Plan </w:t>
      </w:r>
      <w:r w:rsidR="000A2842" w:rsidRPr="00FC2FC2">
        <w:t xml:space="preserve">“bubbles” </w:t>
      </w:r>
      <w:r w:rsidRPr="00FC2FC2">
        <w:t>(</w:t>
      </w:r>
      <w:r w:rsidR="00776514" w:rsidRPr="00FC2FC2">
        <w:t xml:space="preserve">refer to </w:t>
      </w:r>
      <w:r w:rsidR="00776514" w:rsidRPr="00FC2FC2">
        <w:fldChar w:fldCharType="begin"/>
      </w:r>
      <w:r w:rsidR="00776514" w:rsidRPr="00FC2FC2">
        <w:instrText xml:space="preserve"> REF _Ref461610691 \h  \* MERGEFORMAT </w:instrText>
      </w:r>
      <w:r w:rsidR="00776514" w:rsidRPr="00FC2FC2">
        <w:fldChar w:fldCharType="separate"/>
      </w:r>
      <w:r w:rsidR="00742B49">
        <w:t xml:space="preserve">Figure </w:t>
      </w:r>
      <w:r w:rsidR="00742B49">
        <w:rPr>
          <w:noProof/>
        </w:rPr>
        <w:t>5</w:t>
      </w:r>
      <w:r w:rsidR="00742B49">
        <w:rPr>
          <w:noProof/>
        </w:rPr>
        <w:noBreakHyphen/>
        <w:t>6</w:t>
      </w:r>
      <w:r w:rsidR="00776514" w:rsidRPr="00FC2FC2">
        <w:fldChar w:fldCharType="end"/>
      </w:r>
      <w:r w:rsidR="00776514" w:rsidRPr="00FC2FC2">
        <w:t xml:space="preserve"> below</w:t>
      </w:r>
      <w:r w:rsidRPr="00FC2FC2">
        <w:t>) in proportion to load.</w:t>
      </w:r>
      <w:r w:rsidR="003262F1" w:rsidRPr="00FC2FC2">
        <w:t xml:space="preserve"> </w:t>
      </w:r>
      <w:r w:rsidRPr="00FC2FC2">
        <w:fldChar w:fldCharType="begin"/>
      </w:r>
      <w:r w:rsidRPr="00FC2FC2">
        <w:instrText xml:space="preserve"> REF _Ref462315012 \h </w:instrText>
      </w:r>
      <w:r w:rsidR="00FC2FC2">
        <w:instrText xml:space="preserve"> \* MERGEFORMAT </w:instrText>
      </w:r>
      <w:r w:rsidRPr="00FC2FC2">
        <w:fldChar w:fldCharType="separate"/>
      </w:r>
      <w:r w:rsidR="00742B49">
        <w:t xml:space="preserve">Table </w:t>
      </w:r>
      <w:r w:rsidR="00742B49">
        <w:rPr>
          <w:noProof/>
        </w:rPr>
        <w:t>5</w:t>
      </w:r>
      <w:r w:rsidR="00742B49">
        <w:rPr>
          <w:noProof/>
        </w:rPr>
        <w:noBreakHyphen/>
        <w:t>3</w:t>
      </w:r>
      <w:r w:rsidRPr="00FC2FC2">
        <w:fldChar w:fldCharType="end"/>
      </w:r>
      <w:r w:rsidRPr="00FC2FC2">
        <w:t xml:space="preserve"> shows the assumed distribution of PHEVs by state for 2025 and 2030 for Scenario 3. </w:t>
      </w:r>
      <w:r w:rsidR="003262F1" w:rsidRPr="00FC2FC2">
        <w:t>The study assumed that the PHEVs distribute charging over the night hours and do not discharge back into the grid.</w:t>
      </w:r>
      <w:r w:rsidR="003262F1" w:rsidRPr="006F29E1">
        <w:t xml:space="preserve"> </w:t>
      </w:r>
      <w:r w:rsidR="003262F1">
        <w:t xml:space="preserve"> </w:t>
      </w:r>
    </w:p>
    <w:p w:rsidR="00D85509" w:rsidRDefault="00D85509" w:rsidP="00D85509">
      <w:pPr>
        <w:pStyle w:val="Caption"/>
        <w:jc w:val="center"/>
      </w:pPr>
      <w:bookmarkStart w:id="107" w:name="_Ref462315012"/>
      <w:bookmarkStart w:id="108" w:name="_Toc486406017"/>
      <w:r>
        <w:t xml:space="preserve">Table </w:t>
      </w:r>
      <w:fldSimple w:instr=" STYLEREF 1 \s ">
        <w:r w:rsidR="004248FE">
          <w:rPr>
            <w:noProof/>
          </w:rPr>
          <w:t>5</w:t>
        </w:r>
      </w:fldSimple>
      <w:r w:rsidR="004248FE">
        <w:noBreakHyphen/>
      </w:r>
      <w:fldSimple w:instr=" SEQ Table \* ARABIC \s 1 ">
        <w:r w:rsidR="004248FE">
          <w:rPr>
            <w:noProof/>
          </w:rPr>
          <w:t>3</w:t>
        </w:r>
      </w:fldSimple>
      <w:bookmarkEnd w:id="107"/>
      <w:r>
        <w:br/>
        <w:t xml:space="preserve">Assumed Distribution of PHEVs by State for 2025 and 2030 </w:t>
      </w:r>
      <w:r w:rsidRPr="00EC719E">
        <w:t>for Scenario 3</w:t>
      </w:r>
      <w:bookmarkEnd w:id="108"/>
    </w:p>
    <w:tbl>
      <w:tblPr>
        <w:tblW w:w="828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072"/>
        <w:gridCol w:w="2072"/>
        <w:gridCol w:w="2072"/>
        <w:gridCol w:w="2073"/>
      </w:tblGrid>
      <w:tr w:rsidR="005C4006" w:rsidRPr="005C4006" w:rsidTr="005C4006">
        <w:trPr>
          <w:jc w:val="center"/>
        </w:trPr>
        <w:tc>
          <w:tcPr>
            <w:tcW w:w="2072" w:type="dxa"/>
            <w:shd w:val="clear" w:color="auto" w:fill="4F81BD" w:themeFill="accent1"/>
            <w:vAlign w:val="center"/>
          </w:tcPr>
          <w:p w:rsidR="00D85509" w:rsidRPr="003262F1" w:rsidRDefault="00D85509" w:rsidP="00D85509">
            <w:pPr>
              <w:pStyle w:val="TableParagraph"/>
              <w:keepNext/>
              <w:keepLines/>
              <w:spacing w:before="40" w:after="40"/>
              <w:ind w:left="98"/>
              <w:jc w:val="center"/>
              <w:rPr>
                <w:rFonts w:cs="Calibri"/>
                <w:color w:val="FFFFFF" w:themeColor="background1"/>
                <w:sz w:val="18"/>
                <w:szCs w:val="18"/>
              </w:rPr>
            </w:pPr>
            <w:r w:rsidRPr="003262F1">
              <w:rPr>
                <w:b/>
                <w:color w:val="FFFFFF" w:themeColor="background1"/>
                <w:spacing w:val="-2"/>
                <w:sz w:val="18"/>
                <w:szCs w:val="18"/>
              </w:rPr>
              <w:t>State</w:t>
            </w:r>
          </w:p>
        </w:tc>
        <w:tc>
          <w:tcPr>
            <w:tcW w:w="2072" w:type="dxa"/>
            <w:shd w:val="clear" w:color="auto" w:fill="4F81BD" w:themeFill="accent1"/>
            <w:vAlign w:val="center"/>
          </w:tcPr>
          <w:p w:rsidR="00D85509" w:rsidRPr="003262F1" w:rsidRDefault="00D85509" w:rsidP="00D85509">
            <w:pPr>
              <w:pStyle w:val="TableParagraph"/>
              <w:keepNext/>
              <w:keepLines/>
              <w:spacing w:before="40" w:after="40"/>
              <w:jc w:val="center"/>
              <w:rPr>
                <w:rFonts w:cs="Calibri"/>
                <w:color w:val="FFFFFF" w:themeColor="background1"/>
                <w:sz w:val="18"/>
                <w:szCs w:val="18"/>
              </w:rPr>
            </w:pPr>
            <w:r w:rsidRPr="003262F1">
              <w:rPr>
                <w:b/>
                <w:color w:val="FFFFFF" w:themeColor="background1"/>
                <w:spacing w:val="-3"/>
                <w:sz w:val="18"/>
                <w:szCs w:val="18"/>
              </w:rPr>
              <w:t>Percentage</w:t>
            </w:r>
          </w:p>
        </w:tc>
        <w:tc>
          <w:tcPr>
            <w:tcW w:w="2072" w:type="dxa"/>
            <w:shd w:val="clear" w:color="auto" w:fill="4F81BD" w:themeFill="accent1"/>
            <w:vAlign w:val="center"/>
          </w:tcPr>
          <w:p w:rsidR="00D85509" w:rsidRPr="003262F1" w:rsidRDefault="00D85509" w:rsidP="00D85509">
            <w:pPr>
              <w:pStyle w:val="TableParagraph"/>
              <w:keepNext/>
              <w:keepLines/>
              <w:spacing w:before="40" w:after="40"/>
              <w:ind w:left="1"/>
              <w:jc w:val="center"/>
              <w:rPr>
                <w:rFonts w:cs="Calibri"/>
                <w:color w:val="FFFFFF" w:themeColor="background1"/>
                <w:sz w:val="18"/>
                <w:szCs w:val="18"/>
              </w:rPr>
            </w:pPr>
            <w:r w:rsidRPr="003262F1">
              <w:rPr>
                <w:b/>
                <w:color w:val="FFFFFF" w:themeColor="background1"/>
                <w:spacing w:val="-1"/>
                <w:sz w:val="18"/>
                <w:szCs w:val="18"/>
              </w:rPr>
              <w:t>2025</w:t>
            </w:r>
            <w:r w:rsidRPr="003262F1">
              <w:rPr>
                <w:b/>
                <w:color w:val="FFFFFF" w:themeColor="background1"/>
                <w:spacing w:val="-1"/>
                <w:sz w:val="18"/>
                <w:szCs w:val="18"/>
              </w:rPr>
              <w:br/>
            </w:r>
            <w:r w:rsidRPr="003262F1">
              <w:rPr>
                <w:b/>
                <w:color w:val="FFFFFF" w:themeColor="background1"/>
                <w:sz w:val="18"/>
                <w:szCs w:val="18"/>
              </w:rPr>
              <w:t>No.</w:t>
            </w:r>
            <w:r w:rsidRPr="003262F1">
              <w:rPr>
                <w:b/>
                <w:color w:val="FFFFFF" w:themeColor="background1"/>
                <w:spacing w:val="-10"/>
                <w:sz w:val="18"/>
                <w:szCs w:val="18"/>
              </w:rPr>
              <w:t xml:space="preserve"> </w:t>
            </w:r>
            <w:r w:rsidRPr="003262F1">
              <w:rPr>
                <w:b/>
                <w:color w:val="FFFFFF" w:themeColor="background1"/>
                <w:sz w:val="18"/>
                <w:szCs w:val="18"/>
              </w:rPr>
              <w:t>of</w:t>
            </w:r>
            <w:r w:rsidRPr="003262F1">
              <w:rPr>
                <w:b/>
                <w:color w:val="FFFFFF" w:themeColor="background1"/>
                <w:spacing w:val="21"/>
                <w:w w:val="99"/>
                <w:sz w:val="18"/>
                <w:szCs w:val="18"/>
              </w:rPr>
              <w:t xml:space="preserve"> </w:t>
            </w:r>
            <w:r w:rsidRPr="003262F1">
              <w:rPr>
                <w:b/>
                <w:color w:val="FFFFFF" w:themeColor="background1"/>
                <w:spacing w:val="-3"/>
                <w:w w:val="95"/>
                <w:sz w:val="18"/>
                <w:szCs w:val="18"/>
              </w:rPr>
              <w:t>Vehicles</w:t>
            </w:r>
          </w:p>
        </w:tc>
        <w:tc>
          <w:tcPr>
            <w:tcW w:w="2073" w:type="dxa"/>
            <w:shd w:val="clear" w:color="auto" w:fill="4F81BD" w:themeFill="accent1"/>
            <w:vAlign w:val="center"/>
          </w:tcPr>
          <w:p w:rsidR="00D85509" w:rsidRPr="003262F1" w:rsidRDefault="00D85509" w:rsidP="00D85509">
            <w:pPr>
              <w:pStyle w:val="TableParagraph"/>
              <w:keepNext/>
              <w:keepLines/>
              <w:spacing w:before="40" w:after="40"/>
              <w:ind w:left="2"/>
              <w:jc w:val="center"/>
              <w:rPr>
                <w:rFonts w:cs="Calibri"/>
                <w:color w:val="FFFFFF" w:themeColor="background1"/>
                <w:sz w:val="18"/>
                <w:szCs w:val="18"/>
              </w:rPr>
            </w:pPr>
            <w:r w:rsidRPr="003262F1">
              <w:rPr>
                <w:b/>
                <w:color w:val="FFFFFF" w:themeColor="background1"/>
                <w:spacing w:val="-1"/>
                <w:sz w:val="18"/>
                <w:szCs w:val="18"/>
              </w:rPr>
              <w:t>2030</w:t>
            </w:r>
            <w:r w:rsidRPr="003262F1">
              <w:rPr>
                <w:b/>
                <w:color w:val="FFFFFF" w:themeColor="background1"/>
                <w:spacing w:val="-1"/>
                <w:sz w:val="18"/>
                <w:szCs w:val="18"/>
              </w:rPr>
              <w:br/>
            </w:r>
            <w:r w:rsidRPr="003262F1">
              <w:rPr>
                <w:b/>
                <w:color w:val="FFFFFF" w:themeColor="background1"/>
                <w:sz w:val="18"/>
                <w:szCs w:val="18"/>
              </w:rPr>
              <w:t>No.</w:t>
            </w:r>
            <w:r w:rsidRPr="003262F1">
              <w:rPr>
                <w:b/>
                <w:color w:val="FFFFFF" w:themeColor="background1"/>
                <w:spacing w:val="-10"/>
                <w:sz w:val="18"/>
                <w:szCs w:val="18"/>
              </w:rPr>
              <w:t xml:space="preserve"> </w:t>
            </w:r>
            <w:r w:rsidRPr="003262F1">
              <w:rPr>
                <w:b/>
                <w:color w:val="FFFFFF" w:themeColor="background1"/>
                <w:sz w:val="18"/>
                <w:szCs w:val="18"/>
              </w:rPr>
              <w:t>of</w:t>
            </w:r>
            <w:r w:rsidRPr="003262F1">
              <w:rPr>
                <w:b/>
                <w:color w:val="FFFFFF" w:themeColor="background1"/>
                <w:spacing w:val="21"/>
                <w:w w:val="99"/>
                <w:sz w:val="18"/>
                <w:szCs w:val="18"/>
              </w:rPr>
              <w:t xml:space="preserve"> </w:t>
            </w:r>
            <w:r w:rsidRPr="003262F1">
              <w:rPr>
                <w:b/>
                <w:color w:val="FFFFFF" w:themeColor="background1"/>
                <w:spacing w:val="-3"/>
                <w:w w:val="95"/>
                <w:sz w:val="18"/>
                <w:szCs w:val="18"/>
              </w:rPr>
              <w:t>Vehicles</w:t>
            </w:r>
          </w:p>
        </w:tc>
      </w:tr>
      <w:tr w:rsidR="00D85509" w:rsidRPr="00BC66E3" w:rsidTr="0057280D">
        <w:trPr>
          <w:jc w:val="center"/>
        </w:trPr>
        <w:tc>
          <w:tcPr>
            <w:tcW w:w="2072" w:type="dxa"/>
            <w:shd w:val="clear" w:color="auto" w:fill="auto"/>
            <w:vAlign w:val="center"/>
          </w:tcPr>
          <w:p w:rsidR="00D85509" w:rsidRPr="00BC66E3" w:rsidRDefault="00D85509" w:rsidP="00D85509">
            <w:pPr>
              <w:pStyle w:val="TableParagraph"/>
              <w:keepNext/>
              <w:keepLines/>
              <w:spacing w:before="40" w:after="40"/>
              <w:ind w:left="98"/>
              <w:rPr>
                <w:rFonts w:cs="Calibri"/>
                <w:color w:val="000000"/>
                <w:sz w:val="18"/>
                <w:szCs w:val="18"/>
              </w:rPr>
            </w:pPr>
            <w:r w:rsidRPr="00BC66E3">
              <w:rPr>
                <w:b/>
                <w:color w:val="000000"/>
                <w:spacing w:val="-1"/>
                <w:sz w:val="18"/>
                <w:szCs w:val="18"/>
              </w:rPr>
              <w:t>Connecticut</w:t>
            </w:r>
          </w:p>
        </w:tc>
        <w:tc>
          <w:tcPr>
            <w:tcW w:w="2072" w:type="dxa"/>
            <w:shd w:val="clear" w:color="auto" w:fill="auto"/>
            <w:tcMar>
              <w:top w:w="29" w:type="dxa"/>
              <w:left w:w="115" w:type="dxa"/>
              <w:bottom w:w="29" w:type="dxa"/>
              <w:right w:w="115" w:type="dxa"/>
            </w:tcMar>
            <w:vAlign w:val="center"/>
          </w:tcPr>
          <w:p w:rsidR="00D85509" w:rsidRPr="00BC66E3" w:rsidRDefault="00D85509" w:rsidP="00D85509">
            <w:pPr>
              <w:pStyle w:val="TableParagraph"/>
              <w:keepNext/>
              <w:keepLines/>
              <w:spacing w:before="40" w:after="40"/>
              <w:jc w:val="center"/>
              <w:rPr>
                <w:rFonts w:cs="Calibri"/>
                <w:color w:val="000000"/>
                <w:sz w:val="18"/>
                <w:szCs w:val="18"/>
              </w:rPr>
            </w:pPr>
            <w:r w:rsidRPr="00BC66E3">
              <w:rPr>
                <w:color w:val="000000"/>
                <w:spacing w:val="-1"/>
                <w:sz w:val="18"/>
                <w:szCs w:val="18"/>
              </w:rPr>
              <w:t>23</w:t>
            </w:r>
          </w:p>
        </w:tc>
        <w:tc>
          <w:tcPr>
            <w:tcW w:w="2072" w:type="dxa"/>
            <w:shd w:val="clear" w:color="auto" w:fill="auto"/>
            <w:tcMar>
              <w:top w:w="29" w:type="dxa"/>
              <w:left w:w="115" w:type="dxa"/>
              <w:bottom w:w="29" w:type="dxa"/>
              <w:right w:w="115" w:type="dxa"/>
            </w:tcMar>
            <w:vAlign w:val="center"/>
          </w:tcPr>
          <w:p w:rsidR="00D85509" w:rsidRPr="00BC66E3" w:rsidRDefault="00D85509" w:rsidP="00D85509">
            <w:pPr>
              <w:pStyle w:val="TableParagraph"/>
              <w:keepNext/>
              <w:keepLines/>
              <w:spacing w:before="40" w:after="40"/>
              <w:ind w:left="495"/>
              <w:jc w:val="center"/>
              <w:rPr>
                <w:rFonts w:cs="Calibri"/>
                <w:color w:val="000000"/>
                <w:sz w:val="18"/>
                <w:szCs w:val="18"/>
              </w:rPr>
            </w:pPr>
            <w:r w:rsidRPr="00BC66E3">
              <w:rPr>
                <w:color w:val="000000"/>
                <w:spacing w:val="-1"/>
                <w:sz w:val="18"/>
                <w:szCs w:val="18"/>
              </w:rPr>
              <w:t>575,000</w:t>
            </w:r>
          </w:p>
        </w:tc>
        <w:tc>
          <w:tcPr>
            <w:tcW w:w="2073" w:type="dxa"/>
            <w:shd w:val="clear" w:color="auto" w:fill="auto"/>
            <w:tcMar>
              <w:top w:w="29" w:type="dxa"/>
              <w:left w:w="115" w:type="dxa"/>
              <w:bottom w:w="29" w:type="dxa"/>
              <w:right w:w="115" w:type="dxa"/>
            </w:tcMar>
            <w:vAlign w:val="center"/>
          </w:tcPr>
          <w:p w:rsidR="00D85509" w:rsidRPr="00BC66E3" w:rsidRDefault="00D85509" w:rsidP="00D85509">
            <w:pPr>
              <w:pStyle w:val="TableParagraph"/>
              <w:keepNext/>
              <w:keepLines/>
              <w:spacing w:before="40" w:after="40"/>
              <w:ind w:left="496"/>
              <w:jc w:val="center"/>
              <w:rPr>
                <w:rFonts w:cs="Calibri"/>
                <w:color w:val="000000"/>
                <w:sz w:val="18"/>
                <w:szCs w:val="18"/>
              </w:rPr>
            </w:pPr>
            <w:r w:rsidRPr="00BC66E3">
              <w:rPr>
                <w:color w:val="000000"/>
                <w:spacing w:val="-1"/>
                <w:sz w:val="18"/>
                <w:szCs w:val="18"/>
              </w:rPr>
              <w:t>966,000</w:t>
            </w:r>
          </w:p>
        </w:tc>
      </w:tr>
      <w:tr w:rsidR="00D85509" w:rsidRPr="00BC66E3" w:rsidTr="0057280D">
        <w:trPr>
          <w:jc w:val="center"/>
        </w:trPr>
        <w:tc>
          <w:tcPr>
            <w:tcW w:w="2072" w:type="dxa"/>
            <w:shd w:val="clear" w:color="auto" w:fill="DBE5F1"/>
            <w:vAlign w:val="center"/>
          </w:tcPr>
          <w:p w:rsidR="00D85509" w:rsidRPr="00BC66E3" w:rsidRDefault="00D85509" w:rsidP="00D85509">
            <w:pPr>
              <w:pStyle w:val="TableParagraph"/>
              <w:keepNext/>
              <w:keepLines/>
              <w:spacing w:before="40" w:after="40"/>
              <w:ind w:left="98"/>
              <w:rPr>
                <w:rFonts w:cs="Calibri"/>
                <w:color w:val="000000"/>
                <w:sz w:val="18"/>
                <w:szCs w:val="18"/>
              </w:rPr>
            </w:pPr>
            <w:r w:rsidRPr="00BC66E3">
              <w:rPr>
                <w:b/>
                <w:color w:val="000000"/>
                <w:sz w:val="18"/>
                <w:szCs w:val="18"/>
              </w:rPr>
              <w:t>Maine</w:t>
            </w:r>
          </w:p>
        </w:tc>
        <w:tc>
          <w:tcPr>
            <w:tcW w:w="2072" w:type="dxa"/>
            <w:shd w:val="clear" w:color="auto" w:fill="DBE5F1"/>
            <w:tcMar>
              <w:top w:w="29" w:type="dxa"/>
              <w:left w:w="115" w:type="dxa"/>
              <w:bottom w:w="29" w:type="dxa"/>
              <w:right w:w="115" w:type="dxa"/>
            </w:tcMar>
            <w:vAlign w:val="center"/>
          </w:tcPr>
          <w:p w:rsidR="00D85509" w:rsidRPr="00BC66E3" w:rsidRDefault="00D85509" w:rsidP="00D85509">
            <w:pPr>
              <w:pStyle w:val="TableParagraph"/>
              <w:keepNext/>
              <w:keepLines/>
              <w:spacing w:before="40" w:after="40"/>
              <w:jc w:val="center"/>
              <w:rPr>
                <w:rFonts w:cs="Calibri"/>
                <w:color w:val="000000"/>
                <w:sz w:val="18"/>
                <w:szCs w:val="18"/>
              </w:rPr>
            </w:pPr>
            <w:r w:rsidRPr="00BC66E3">
              <w:rPr>
                <w:color w:val="000000"/>
                <w:spacing w:val="-1"/>
                <w:sz w:val="18"/>
                <w:szCs w:val="18"/>
              </w:rPr>
              <w:t>12</w:t>
            </w:r>
          </w:p>
        </w:tc>
        <w:tc>
          <w:tcPr>
            <w:tcW w:w="2072" w:type="dxa"/>
            <w:shd w:val="clear" w:color="auto" w:fill="DBE5F1"/>
            <w:tcMar>
              <w:top w:w="29" w:type="dxa"/>
              <w:left w:w="115" w:type="dxa"/>
              <w:bottom w:w="29" w:type="dxa"/>
              <w:right w:w="115" w:type="dxa"/>
            </w:tcMar>
            <w:vAlign w:val="center"/>
          </w:tcPr>
          <w:p w:rsidR="00D85509" w:rsidRPr="00BC66E3" w:rsidRDefault="00D85509" w:rsidP="00D85509">
            <w:pPr>
              <w:pStyle w:val="TableParagraph"/>
              <w:keepNext/>
              <w:keepLines/>
              <w:spacing w:before="40" w:after="40"/>
              <w:ind w:left="495"/>
              <w:jc w:val="center"/>
              <w:rPr>
                <w:rFonts w:cs="Calibri"/>
                <w:color w:val="000000"/>
                <w:sz w:val="18"/>
                <w:szCs w:val="18"/>
              </w:rPr>
            </w:pPr>
            <w:r w:rsidRPr="00BC66E3">
              <w:rPr>
                <w:color w:val="000000"/>
                <w:spacing w:val="-1"/>
                <w:sz w:val="18"/>
                <w:szCs w:val="18"/>
              </w:rPr>
              <w:t>300,000</w:t>
            </w:r>
          </w:p>
        </w:tc>
        <w:tc>
          <w:tcPr>
            <w:tcW w:w="2073" w:type="dxa"/>
            <w:shd w:val="clear" w:color="auto" w:fill="DBE5F1"/>
            <w:tcMar>
              <w:top w:w="29" w:type="dxa"/>
              <w:left w:w="115" w:type="dxa"/>
              <w:bottom w:w="29" w:type="dxa"/>
              <w:right w:w="115" w:type="dxa"/>
            </w:tcMar>
            <w:vAlign w:val="center"/>
          </w:tcPr>
          <w:p w:rsidR="00D85509" w:rsidRPr="00BC66E3" w:rsidRDefault="00D85509" w:rsidP="00D85509">
            <w:pPr>
              <w:pStyle w:val="TableParagraph"/>
              <w:keepNext/>
              <w:keepLines/>
              <w:spacing w:before="40" w:after="40"/>
              <w:ind w:left="496"/>
              <w:jc w:val="center"/>
              <w:rPr>
                <w:rFonts w:cs="Calibri"/>
                <w:color w:val="000000"/>
                <w:sz w:val="18"/>
                <w:szCs w:val="18"/>
              </w:rPr>
            </w:pPr>
            <w:r w:rsidRPr="00BC66E3">
              <w:rPr>
                <w:color w:val="000000"/>
                <w:spacing w:val="-1"/>
                <w:sz w:val="18"/>
                <w:szCs w:val="18"/>
              </w:rPr>
              <w:t>504,000</w:t>
            </w:r>
          </w:p>
        </w:tc>
      </w:tr>
      <w:tr w:rsidR="00D85509" w:rsidRPr="00BC66E3" w:rsidTr="0057280D">
        <w:trPr>
          <w:jc w:val="center"/>
        </w:trPr>
        <w:tc>
          <w:tcPr>
            <w:tcW w:w="2072" w:type="dxa"/>
            <w:shd w:val="clear" w:color="auto" w:fill="auto"/>
            <w:vAlign w:val="center"/>
          </w:tcPr>
          <w:p w:rsidR="00D85509" w:rsidRPr="00BC66E3" w:rsidRDefault="00D85509" w:rsidP="00D85509">
            <w:pPr>
              <w:pStyle w:val="TableParagraph"/>
              <w:keepNext/>
              <w:keepLines/>
              <w:spacing w:before="40" w:after="40"/>
              <w:ind w:left="98"/>
              <w:rPr>
                <w:rFonts w:cs="Calibri"/>
                <w:color w:val="000000"/>
                <w:sz w:val="18"/>
                <w:szCs w:val="18"/>
              </w:rPr>
            </w:pPr>
            <w:r w:rsidRPr="00BC66E3">
              <w:rPr>
                <w:b/>
                <w:color w:val="000000"/>
                <w:spacing w:val="-1"/>
                <w:sz w:val="18"/>
                <w:szCs w:val="18"/>
              </w:rPr>
              <w:t>Massachusetts</w:t>
            </w:r>
            <w:r w:rsidRPr="008F7F3A">
              <w:rPr>
                <w:b/>
                <w:color w:val="000000"/>
                <w:spacing w:val="-1"/>
                <w:sz w:val="18"/>
                <w:szCs w:val="18"/>
                <w:vertAlign w:val="superscript"/>
              </w:rPr>
              <w:t>(a)</w:t>
            </w:r>
          </w:p>
        </w:tc>
        <w:tc>
          <w:tcPr>
            <w:tcW w:w="2072" w:type="dxa"/>
            <w:shd w:val="clear" w:color="auto" w:fill="auto"/>
            <w:tcMar>
              <w:top w:w="29" w:type="dxa"/>
              <w:left w:w="115" w:type="dxa"/>
              <w:bottom w:w="29" w:type="dxa"/>
              <w:right w:w="115" w:type="dxa"/>
            </w:tcMar>
            <w:vAlign w:val="center"/>
          </w:tcPr>
          <w:p w:rsidR="00D85509" w:rsidRPr="00BC66E3" w:rsidRDefault="00D85509" w:rsidP="00D85509">
            <w:pPr>
              <w:pStyle w:val="TableParagraph"/>
              <w:keepNext/>
              <w:keepLines/>
              <w:spacing w:before="40" w:after="40"/>
              <w:jc w:val="center"/>
              <w:rPr>
                <w:rFonts w:cs="Calibri"/>
                <w:color w:val="000000"/>
                <w:sz w:val="18"/>
                <w:szCs w:val="18"/>
              </w:rPr>
            </w:pPr>
            <w:r w:rsidRPr="00BC66E3">
              <w:rPr>
                <w:color w:val="000000"/>
                <w:spacing w:val="-1"/>
                <w:sz w:val="18"/>
                <w:szCs w:val="18"/>
              </w:rPr>
              <w:t>43</w:t>
            </w:r>
          </w:p>
        </w:tc>
        <w:tc>
          <w:tcPr>
            <w:tcW w:w="2072" w:type="dxa"/>
            <w:shd w:val="clear" w:color="auto" w:fill="auto"/>
            <w:tcMar>
              <w:top w:w="29" w:type="dxa"/>
              <w:left w:w="115" w:type="dxa"/>
              <w:bottom w:w="29" w:type="dxa"/>
              <w:right w:w="115" w:type="dxa"/>
            </w:tcMar>
            <w:vAlign w:val="center"/>
          </w:tcPr>
          <w:p w:rsidR="00D85509" w:rsidRPr="00BC66E3" w:rsidRDefault="00D85509" w:rsidP="00D85509">
            <w:pPr>
              <w:pStyle w:val="TableParagraph"/>
              <w:keepNext/>
              <w:keepLines/>
              <w:spacing w:before="40" w:after="40"/>
              <w:ind w:left="373"/>
              <w:jc w:val="center"/>
              <w:rPr>
                <w:rFonts w:cs="Calibri"/>
                <w:color w:val="000000"/>
                <w:sz w:val="18"/>
                <w:szCs w:val="18"/>
              </w:rPr>
            </w:pPr>
            <w:r w:rsidRPr="00BC66E3">
              <w:rPr>
                <w:color w:val="000000"/>
                <w:spacing w:val="-1"/>
                <w:sz w:val="18"/>
                <w:szCs w:val="18"/>
              </w:rPr>
              <w:t>1,075,000</w:t>
            </w:r>
          </w:p>
        </w:tc>
        <w:tc>
          <w:tcPr>
            <w:tcW w:w="2073" w:type="dxa"/>
            <w:shd w:val="clear" w:color="auto" w:fill="auto"/>
            <w:tcMar>
              <w:top w:w="29" w:type="dxa"/>
              <w:left w:w="115" w:type="dxa"/>
              <w:bottom w:w="29" w:type="dxa"/>
              <w:right w:w="115" w:type="dxa"/>
            </w:tcMar>
            <w:vAlign w:val="center"/>
          </w:tcPr>
          <w:p w:rsidR="00D85509" w:rsidRPr="00BC66E3" w:rsidRDefault="00D85509" w:rsidP="00D85509">
            <w:pPr>
              <w:pStyle w:val="TableParagraph"/>
              <w:keepNext/>
              <w:keepLines/>
              <w:spacing w:before="40" w:after="40"/>
              <w:ind w:left="373"/>
              <w:jc w:val="center"/>
              <w:rPr>
                <w:rFonts w:cs="Calibri"/>
                <w:color w:val="000000"/>
                <w:sz w:val="18"/>
                <w:szCs w:val="18"/>
              </w:rPr>
            </w:pPr>
            <w:r w:rsidRPr="00BC66E3">
              <w:rPr>
                <w:color w:val="000000"/>
                <w:spacing w:val="-1"/>
                <w:sz w:val="18"/>
                <w:szCs w:val="18"/>
              </w:rPr>
              <w:t>1,806,000</w:t>
            </w:r>
          </w:p>
        </w:tc>
      </w:tr>
      <w:tr w:rsidR="00D85509" w:rsidRPr="00BC66E3" w:rsidTr="0057280D">
        <w:trPr>
          <w:jc w:val="center"/>
        </w:trPr>
        <w:tc>
          <w:tcPr>
            <w:tcW w:w="2072" w:type="dxa"/>
            <w:shd w:val="clear" w:color="auto" w:fill="DBE5F1"/>
            <w:vAlign w:val="center"/>
          </w:tcPr>
          <w:p w:rsidR="00D85509" w:rsidRPr="00BC66E3" w:rsidRDefault="00D85509" w:rsidP="00D85509">
            <w:pPr>
              <w:pStyle w:val="TableParagraph"/>
              <w:keepNext/>
              <w:keepLines/>
              <w:spacing w:before="40" w:after="40"/>
              <w:ind w:left="98"/>
              <w:rPr>
                <w:rFonts w:cs="Calibri"/>
                <w:color w:val="000000"/>
                <w:sz w:val="18"/>
                <w:szCs w:val="18"/>
              </w:rPr>
            </w:pPr>
            <w:r w:rsidRPr="00BC66E3">
              <w:rPr>
                <w:b/>
                <w:color w:val="000000"/>
                <w:spacing w:val="-1"/>
                <w:sz w:val="18"/>
                <w:szCs w:val="18"/>
              </w:rPr>
              <w:t>New</w:t>
            </w:r>
            <w:r w:rsidRPr="00BC66E3">
              <w:rPr>
                <w:b/>
                <w:color w:val="000000"/>
                <w:spacing w:val="-22"/>
                <w:sz w:val="18"/>
                <w:szCs w:val="18"/>
              </w:rPr>
              <w:t xml:space="preserve"> </w:t>
            </w:r>
            <w:r w:rsidRPr="00BC66E3">
              <w:rPr>
                <w:b/>
                <w:color w:val="000000"/>
                <w:spacing w:val="-1"/>
                <w:sz w:val="18"/>
                <w:szCs w:val="18"/>
              </w:rPr>
              <w:t>Hampshire</w:t>
            </w:r>
          </w:p>
        </w:tc>
        <w:tc>
          <w:tcPr>
            <w:tcW w:w="2072" w:type="dxa"/>
            <w:shd w:val="clear" w:color="auto" w:fill="DBE5F1"/>
            <w:tcMar>
              <w:top w:w="29" w:type="dxa"/>
              <w:left w:w="115" w:type="dxa"/>
              <w:bottom w:w="29" w:type="dxa"/>
              <w:right w:w="115" w:type="dxa"/>
            </w:tcMar>
            <w:vAlign w:val="center"/>
          </w:tcPr>
          <w:p w:rsidR="00D85509" w:rsidRPr="00BC66E3" w:rsidRDefault="00D85509" w:rsidP="00D85509">
            <w:pPr>
              <w:pStyle w:val="TableParagraph"/>
              <w:keepNext/>
              <w:keepLines/>
              <w:spacing w:before="40" w:after="40"/>
              <w:jc w:val="center"/>
              <w:rPr>
                <w:rFonts w:cs="Calibri"/>
                <w:color w:val="000000"/>
                <w:sz w:val="18"/>
                <w:szCs w:val="18"/>
              </w:rPr>
            </w:pPr>
            <w:r w:rsidRPr="00BC66E3">
              <w:rPr>
                <w:color w:val="000000"/>
                <w:spacing w:val="-1"/>
                <w:sz w:val="18"/>
                <w:szCs w:val="18"/>
              </w:rPr>
              <w:t>11</w:t>
            </w:r>
          </w:p>
        </w:tc>
        <w:tc>
          <w:tcPr>
            <w:tcW w:w="2072" w:type="dxa"/>
            <w:shd w:val="clear" w:color="auto" w:fill="DBE5F1"/>
            <w:tcMar>
              <w:top w:w="29" w:type="dxa"/>
              <w:left w:w="115" w:type="dxa"/>
              <w:bottom w:w="29" w:type="dxa"/>
              <w:right w:w="115" w:type="dxa"/>
            </w:tcMar>
            <w:vAlign w:val="center"/>
          </w:tcPr>
          <w:p w:rsidR="00D85509" w:rsidRPr="00BC66E3" w:rsidRDefault="00D85509" w:rsidP="00D85509">
            <w:pPr>
              <w:pStyle w:val="TableParagraph"/>
              <w:keepNext/>
              <w:keepLines/>
              <w:spacing w:before="40" w:after="40"/>
              <w:ind w:left="495"/>
              <w:jc w:val="center"/>
              <w:rPr>
                <w:rFonts w:cs="Calibri"/>
                <w:color w:val="000000"/>
                <w:sz w:val="18"/>
                <w:szCs w:val="18"/>
              </w:rPr>
            </w:pPr>
            <w:r w:rsidRPr="00BC66E3">
              <w:rPr>
                <w:color w:val="000000"/>
                <w:spacing w:val="-1"/>
                <w:sz w:val="18"/>
                <w:szCs w:val="18"/>
              </w:rPr>
              <w:t>275,000</w:t>
            </w:r>
          </w:p>
        </w:tc>
        <w:tc>
          <w:tcPr>
            <w:tcW w:w="2073" w:type="dxa"/>
            <w:shd w:val="clear" w:color="auto" w:fill="DBE5F1"/>
            <w:tcMar>
              <w:top w:w="29" w:type="dxa"/>
              <w:left w:w="115" w:type="dxa"/>
              <w:bottom w:w="29" w:type="dxa"/>
              <w:right w:w="115" w:type="dxa"/>
            </w:tcMar>
            <w:vAlign w:val="center"/>
          </w:tcPr>
          <w:p w:rsidR="00D85509" w:rsidRPr="00BC66E3" w:rsidRDefault="00D85509" w:rsidP="00D85509">
            <w:pPr>
              <w:pStyle w:val="TableParagraph"/>
              <w:keepNext/>
              <w:keepLines/>
              <w:spacing w:before="40" w:after="40"/>
              <w:ind w:left="496"/>
              <w:jc w:val="center"/>
              <w:rPr>
                <w:rFonts w:cs="Calibri"/>
                <w:color w:val="000000"/>
                <w:sz w:val="18"/>
                <w:szCs w:val="18"/>
              </w:rPr>
            </w:pPr>
            <w:r w:rsidRPr="00BC66E3">
              <w:rPr>
                <w:color w:val="000000"/>
                <w:spacing w:val="-1"/>
                <w:sz w:val="18"/>
                <w:szCs w:val="18"/>
              </w:rPr>
              <w:t>462,000</w:t>
            </w:r>
          </w:p>
        </w:tc>
      </w:tr>
      <w:tr w:rsidR="00D85509" w:rsidRPr="00BC66E3" w:rsidTr="0057280D">
        <w:trPr>
          <w:jc w:val="center"/>
        </w:trPr>
        <w:tc>
          <w:tcPr>
            <w:tcW w:w="2072" w:type="dxa"/>
            <w:shd w:val="clear" w:color="auto" w:fill="auto"/>
            <w:vAlign w:val="center"/>
          </w:tcPr>
          <w:p w:rsidR="00D85509" w:rsidRPr="00BC66E3" w:rsidRDefault="00D85509" w:rsidP="00D85509">
            <w:pPr>
              <w:pStyle w:val="TableParagraph"/>
              <w:keepNext/>
              <w:keepLines/>
              <w:spacing w:before="40" w:after="40"/>
              <w:ind w:left="98"/>
              <w:rPr>
                <w:rFonts w:cs="Calibri"/>
                <w:color w:val="000000"/>
                <w:sz w:val="18"/>
                <w:szCs w:val="18"/>
              </w:rPr>
            </w:pPr>
            <w:r w:rsidRPr="00BC66E3">
              <w:rPr>
                <w:b/>
                <w:color w:val="000000"/>
                <w:spacing w:val="-1"/>
                <w:sz w:val="18"/>
                <w:szCs w:val="18"/>
              </w:rPr>
              <w:t>Rhode</w:t>
            </w:r>
            <w:r w:rsidRPr="00BC66E3">
              <w:rPr>
                <w:b/>
                <w:color w:val="000000"/>
                <w:spacing w:val="-17"/>
                <w:sz w:val="18"/>
                <w:szCs w:val="18"/>
              </w:rPr>
              <w:t xml:space="preserve"> </w:t>
            </w:r>
            <w:r w:rsidRPr="00BC66E3">
              <w:rPr>
                <w:b/>
                <w:color w:val="000000"/>
                <w:spacing w:val="-1"/>
                <w:sz w:val="18"/>
                <w:szCs w:val="18"/>
              </w:rPr>
              <w:t>Island</w:t>
            </w:r>
          </w:p>
        </w:tc>
        <w:tc>
          <w:tcPr>
            <w:tcW w:w="2072" w:type="dxa"/>
            <w:shd w:val="clear" w:color="auto" w:fill="auto"/>
            <w:tcMar>
              <w:top w:w="29" w:type="dxa"/>
              <w:left w:w="115" w:type="dxa"/>
              <w:bottom w:w="29" w:type="dxa"/>
              <w:right w:w="115" w:type="dxa"/>
            </w:tcMar>
            <w:vAlign w:val="center"/>
          </w:tcPr>
          <w:p w:rsidR="00D85509" w:rsidRPr="00BC66E3" w:rsidRDefault="00D85509" w:rsidP="00D85509">
            <w:pPr>
              <w:pStyle w:val="TableParagraph"/>
              <w:keepNext/>
              <w:keepLines/>
              <w:spacing w:before="40" w:after="40"/>
              <w:ind w:left="4"/>
              <w:jc w:val="center"/>
              <w:rPr>
                <w:rFonts w:cs="Calibri"/>
                <w:color w:val="000000"/>
                <w:sz w:val="18"/>
                <w:szCs w:val="18"/>
              </w:rPr>
            </w:pPr>
            <w:r w:rsidRPr="00BC66E3">
              <w:rPr>
                <w:color w:val="000000"/>
                <w:sz w:val="18"/>
                <w:szCs w:val="18"/>
              </w:rPr>
              <w:t>6</w:t>
            </w:r>
          </w:p>
        </w:tc>
        <w:tc>
          <w:tcPr>
            <w:tcW w:w="2072" w:type="dxa"/>
            <w:shd w:val="clear" w:color="auto" w:fill="auto"/>
            <w:tcMar>
              <w:top w:w="29" w:type="dxa"/>
              <w:left w:w="115" w:type="dxa"/>
              <w:bottom w:w="29" w:type="dxa"/>
              <w:right w:w="115" w:type="dxa"/>
            </w:tcMar>
            <w:vAlign w:val="center"/>
          </w:tcPr>
          <w:p w:rsidR="00D85509" w:rsidRPr="00BC66E3" w:rsidRDefault="00D85509" w:rsidP="00D85509">
            <w:pPr>
              <w:pStyle w:val="TableParagraph"/>
              <w:keepNext/>
              <w:keepLines/>
              <w:spacing w:before="40" w:after="40"/>
              <w:ind w:left="495"/>
              <w:jc w:val="center"/>
              <w:rPr>
                <w:rFonts w:cs="Calibri"/>
                <w:color w:val="000000"/>
                <w:sz w:val="18"/>
                <w:szCs w:val="18"/>
              </w:rPr>
            </w:pPr>
            <w:r w:rsidRPr="00BC66E3">
              <w:rPr>
                <w:color w:val="000000"/>
                <w:spacing w:val="-2"/>
                <w:sz w:val="18"/>
                <w:szCs w:val="18"/>
              </w:rPr>
              <w:t>150,000</w:t>
            </w:r>
          </w:p>
        </w:tc>
        <w:tc>
          <w:tcPr>
            <w:tcW w:w="2073" w:type="dxa"/>
            <w:shd w:val="clear" w:color="auto" w:fill="auto"/>
            <w:tcMar>
              <w:top w:w="29" w:type="dxa"/>
              <w:left w:w="115" w:type="dxa"/>
              <w:bottom w:w="29" w:type="dxa"/>
              <w:right w:w="115" w:type="dxa"/>
            </w:tcMar>
            <w:vAlign w:val="center"/>
          </w:tcPr>
          <w:p w:rsidR="00D85509" w:rsidRPr="00BC66E3" w:rsidRDefault="00D85509" w:rsidP="00D85509">
            <w:pPr>
              <w:pStyle w:val="TableParagraph"/>
              <w:keepNext/>
              <w:keepLines/>
              <w:spacing w:before="40" w:after="40"/>
              <w:ind w:left="496"/>
              <w:jc w:val="center"/>
              <w:rPr>
                <w:rFonts w:cs="Calibri"/>
                <w:color w:val="000000"/>
                <w:sz w:val="18"/>
                <w:szCs w:val="18"/>
              </w:rPr>
            </w:pPr>
            <w:r w:rsidRPr="00BC66E3">
              <w:rPr>
                <w:color w:val="000000"/>
                <w:spacing w:val="-2"/>
                <w:sz w:val="18"/>
                <w:szCs w:val="18"/>
              </w:rPr>
              <w:t>252,000</w:t>
            </w:r>
          </w:p>
        </w:tc>
      </w:tr>
      <w:tr w:rsidR="00D85509" w:rsidRPr="00BC66E3" w:rsidTr="0057280D">
        <w:trPr>
          <w:jc w:val="center"/>
        </w:trPr>
        <w:tc>
          <w:tcPr>
            <w:tcW w:w="2072" w:type="dxa"/>
            <w:shd w:val="clear" w:color="auto" w:fill="DBE5F1"/>
            <w:vAlign w:val="center"/>
          </w:tcPr>
          <w:p w:rsidR="00D85509" w:rsidRPr="00BC66E3" w:rsidRDefault="00D85509" w:rsidP="00D85509">
            <w:pPr>
              <w:pStyle w:val="TableParagraph"/>
              <w:keepNext/>
              <w:keepLines/>
              <w:spacing w:before="40" w:after="40"/>
              <w:ind w:left="98"/>
              <w:rPr>
                <w:rFonts w:cs="Calibri"/>
                <w:color w:val="000000"/>
                <w:sz w:val="18"/>
                <w:szCs w:val="18"/>
              </w:rPr>
            </w:pPr>
            <w:r w:rsidRPr="00BC66E3">
              <w:rPr>
                <w:b/>
                <w:color w:val="000000"/>
                <w:spacing w:val="-5"/>
                <w:sz w:val="18"/>
                <w:szCs w:val="18"/>
              </w:rPr>
              <w:t>Vermont</w:t>
            </w:r>
          </w:p>
        </w:tc>
        <w:tc>
          <w:tcPr>
            <w:tcW w:w="2072" w:type="dxa"/>
            <w:shd w:val="clear" w:color="auto" w:fill="DBE5F1"/>
            <w:tcMar>
              <w:top w:w="29" w:type="dxa"/>
              <w:left w:w="115" w:type="dxa"/>
              <w:bottom w:w="29" w:type="dxa"/>
              <w:right w:w="115" w:type="dxa"/>
            </w:tcMar>
            <w:vAlign w:val="center"/>
          </w:tcPr>
          <w:p w:rsidR="00D85509" w:rsidRPr="00BC66E3" w:rsidRDefault="00D85509" w:rsidP="00D85509">
            <w:pPr>
              <w:pStyle w:val="TableParagraph"/>
              <w:keepNext/>
              <w:keepLines/>
              <w:spacing w:before="40" w:after="40"/>
              <w:ind w:left="4"/>
              <w:jc w:val="center"/>
              <w:rPr>
                <w:rFonts w:cs="Calibri"/>
                <w:color w:val="000000"/>
                <w:sz w:val="18"/>
                <w:szCs w:val="18"/>
              </w:rPr>
            </w:pPr>
            <w:r w:rsidRPr="00BC66E3">
              <w:rPr>
                <w:color w:val="000000"/>
                <w:sz w:val="18"/>
                <w:szCs w:val="18"/>
              </w:rPr>
              <w:t>5</w:t>
            </w:r>
          </w:p>
        </w:tc>
        <w:tc>
          <w:tcPr>
            <w:tcW w:w="2072" w:type="dxa"/>
            <w:shd w:val="clear" w:color="auto" w:fill="DBE5F1"/>
            <w:tcMar>
              <w:top w:w="29" w:type="dxa"/>
              <w:left w:w="115" w:type="dxa"/>
              <w:bottom w:w="29" w:type="dxa"/>
              <w:right w:w="115" w:type="dxa"/>
            </w:tcMar>
            <w:vAlign w:val="center"/>
          </w:tcPr>
          <w:p w:rsidR="00D85509" w:rsidRPr="00BC66E3" w:rsidRDefault="00D85509" w:rsidP="00D85509">
            <w:pPr>
              <w:pStyle w:val="TableParagraph"/>
              <w:keepNext/>
              <w:keepLines/>
              <w:spacing w:before="40" w:after="40"/>
              <w:ind w:left="495"/>
              <w:jc w:val="center"/>
              <w:rPr>
                <w:rFonts w:cs="Calibri"/>
                <w:color w:val="000000"/>
                <w:sz w:val="18"/>
                <w:szCs w:val="18"/>
              </w:rPr>
            </w:pPr>
            <w:r w:rsidRPr="00BC66E3">
              <w:rPr>
                <w:color w:val="000000"/>
                <w:spacing w:val="-1"/>
                <w:sz w:val="18"/>
                <w:szCs w:val="18"/>
              </w:rPr>
              <w:t>125,000</w:t>
            </w:r>
          </w:p>
        </w:tc>
        <w:tc>
          <w:tcPr>
            <w:tcW w:w="2073" w:type="dxa"/>
            <w:shd w:val="clear" w:color="auto" w:fill="DBE5F1"/>
            <w:tcMar>
              <w:top w:w="29" w:type="dxa"/>
              <w:left w:w="115" w:type="dxa"/>
              <w:bottom w:w="29" w:type="dxa"/>
              <w:right w:w="115" w:type="dxa"/>
            </w:tcMar>
            <w:vAlign w:val="center"/>
          </w:tcPr>
          <w:p w:rsidR="00D85509" w:rsidRPr="00BC66E3" w:rsidRDefault="00D85509" w:rsidP="00D85509">
            <w:pPr>
              <w:pStyle w:val="TableParagraph"/>
              <w:keepNext/>
              <w:keepLines/>
              <w:spacing w:before="40" w:after="40"/>
              <w:ind w:left="496"/>
              <w:jc w:val="center"/>
              <w:rPr>
                <w:rFonts w:cs="Calibri"/>
                <w:color w:val="000000"/>
                <w:sz w:val="18"/>
                <w:szCs w:val="18"/>
              </w:rPr>
            </w:pPr>
            <w:r w:rsidRPr="00BC66E3">
              <w:rPr>
                <w:color w:val="000000"/>
                <w:spacing w:val="-1"/>
                <w:sz w:val="18"/>
                <w:szCs w:val="18"/>
              </w:rPr>
              <w:t>210,000</w:t>
            </w:r>
          </w:p>
        </w:tc>
      </w:tr>
      <w:tr w:rsidR="005C4006" w:rsidRPr="005C4006" w:rsidTr="005C4006">
        <w:trPr>
          <w:jc w:val="center"/>
        </w:trPr>
        <w:tc>
          <w:tcPr>
            <w:tcW w:w="2072" w:type="dxa"/>
            <w:shd w:val="clear" w:color="auto" w:fill="4F81BD" w:themeFill="accent1"/>
            <w:vAlign w:val="center"/>
          </w:tcPr>
          <w:p w:rsidR="00D85509" w:rsidRPr="003262F1" w:rsidRDefault="00D85509" w:rsidP="00D85509">
            <w:pPr>
              <w:pStyle w:val="TableParagraph"/>
              <w:keepNext/>
              <w:keepLines/>
              <w:spacing w:before="40" w:after="40"/>
              <w:ind w:left="98"/>
              <w:rPr>
                <w:rFonts w:cs="Calibri"/>
                <w:b/>
                <w:color w:val="FFFFFF" w:themeColor="background1"/>
                <w:sz w:val="18"/>
                <w:szCs w:val="18"/>
              </w:rPr>
            </w:pPr>
            <w:r w:rsidRPr="003262F1">
              <w:rPr>
                <w:b/>
                <w:color w:val="FFFFFF" w:themeColor="background1"/>
                <w:spacing w:val="-1"/>
                <w:sz w:val="18"/>
                <w:szCs w:val="18"/>
              </w:rPr>
              <w:t>New</w:t>
            </w:r>
            <w:r w:rsidRPr="003262F1">
              <w:rPr>
                <w:b/>
                <w:color w:val="FFFFFF" w:themeColor="background1"/>
                <w:spacing w:val="-18"/>
                <w:sz w:val="18"/>
                <w:szCs w:val="18"/>
              </w:rPr>
              <w:t xml:space="preserve"> </w:t>
            </w:r>
            <w:r w:rsidRPr="003262F1">
              <w:rPr>
                <w:b/>
                <w:color w:val="FFFFFF" w:themeColor="background1"/>
                <w:spacing w:val="-1"/>
                <w:sz w:val="18"/>
                <w:szCs w:val="18"/>
              </w:rPr>
              <w:t>England</w:t>
            </w:r>
          </w:p>
        </w:tc>
        <w:tc>
          <w:tcPr>
            <w:tcW w:w="2072" w:type="dxa"/>
            <w:shd w:val="clear" w:color="auto" w:fill="4F81BD" w:themeFill="accent1"/>
            <w:tcMar>
              <w:top w:w="29" w:type="dxa"/>
              <w:left w:w="115" w:type="dxa"/>
              <w:bottom w:w="29" w:type="dxa"/>
              <w:right w:w="115" w:type="dxa"/>
            </w:tcMar>
            <w:vAlign w:val="center"/>
          </w:tcPr>
          <w:p w:rsidR="00D85509" w:rsidRPr="003262F1" w:rsidRDefault="00D85509" w:rsidP="00D85509">
            <w:pPr>
              <w:pStyle w:val="TableParagraph"/>
              <w:keepNext/>
              <w:keepLines/>
              <w:spacing w:before="40" w:after="40"/>
              <w:ind w:left="3"/>
              <w:jc w:val="center"/>
              <w:rPr>
                <w:rFonts w:cs="Calibri"/>
                <w:b/>
                <w:color w:val="FFFFFF" w:themeColor="background1"/>
                <w:sz w:val="18"/>
                <w:szCs w:val="18"/>
              </w:rPr>
            </w:pPr>
            <w:r w:rsidRPr="003262F1">
              <w:rPr>
                <w:b/>
                <w:color w:val="FFFFFF" w:themeColor="background1"/>
                <w:spacing w:val="-1"/>
                <w:sz w:val="18"/>
                <w:szCs w:val="18"/>
              </w:rPr>
              <w:t>100</w:t>
            </w:r>
          </w:p>
        </w:tc>
        <w:tc>
          <w:tcPr>
            <w:tcW w:w="2072" w:type="dxa"/>
            <w:shd w:val="clear" w:color="auto" w:fill="4F81BD" w:themeFill="accent1"/>
            <w:tcMar>
              <w:top w:w="29" w:type="dxa"/>
              <w:left w:w="115" w:type="dxa"/>
              <w:bottom w:w="29" w:type="dxa"/>
              <w:right w:w="115" w:type="dxa"/>
            </w:tcMar>
            <w:vAlign w:val="center"/>
          </w:tcPr>
          <w:p w:rsidR="00D85509" w:rsidRPr="003262F1" w:rsidRDefault="00D85509" w:rsidP="00D85509">
            <w:pPr>
              <w:pStyle w:val="TableParagraph"/>
              <w:keepNext/>
              <w:keepLines/>
              <w:spacing w:before="40" w:after="40"/>
              <w:ind w:left="373"/>
              <w:jc w:val="center"/>
              <w:rPr>
                <w:rFonts w:cs="Calibri"/>
                <w:b/>
                <w:color w:val="FFFFFF" w:themeColor="background1"/>
                <w:sz w:val="18"/>
                <w:szCs w:val="18"/>
              </w:rPr>
            </w:pPr>
            <w:r w:rsidRPr="003262F1">
              <w:rPr>
                <w:b/>
                <w:color w:val="FFFFFF" w:themeColor="background1"/>
                <w:spacing w:val="-1"/>
                <w:sz w:val="18"/>
                <w:szCs w:val="18"/>
              </w:rPr>
              <w:t>2,500,000</w:t>
            </w:r>
          </w:p>
        </w:tc>
        <w:tc>
          <w:tcPr>
            <w:tcW w:w="2073" w:type="dxa"/>
            <w:shd w:val="clear" w:color="auto" w:fill="4F81BD" w:themeFill="accent1"/>
            <w:tcMar>
              <w:top w:w="29" w:type="dxa"/>
              <w:left w:w="115" w:type="dxa"/>
              <w:bottom w:w="29" w:type="dxa"/>
              <w:right w:w="115" w:type="dxa"/>
            </w:tcMar>
            <w:vAlign w:val="center"/>
          </w:tcPr>
          <w:p w:rsidR="00D85509" w:rsidRPr="003262F1" w:rsidRDefault="00D85509" w:rsidP="00D85509">
            <w:pPr>
              <w:pStyle w:val="TableParagraph"/>
              <w:keepNext/>
              <w:keepLines/>
              <w:spacing w:before="40" w:after="40"/>
              <w:ind w:left="373"/>
              <w:jc w:val="center"/>
              <w:rPr>
                <w:rFonts w:cs="Calibri"/>
                <w:b/>
                <w:color w:val="FFFFFF" w:themeColor="background1"/>
                <w:sz w:val="18"/>
                <w:szCs w:val="18"/>
              </w:rPr>
            </w:pPr>
            <w:r w:rsidRPr="003262F1">
              <w:rPr>
                <w:b/>
                <w:color w:val="FFFFFF" w:themeColor="background1"/>
                <w:spacing w:val="-1"/>
                <w:sz w:val="18"/>
                <w:szCs w:val="18"/>
              </w:rPr>
              <w:t>4,200,000</w:t>
            </w:r>
          </w:p>
        </w:tc>
      </w:tr>
    </w:tbl>
    <w:p w:rsidR="00D85509" w:rsidRPr="003A2CA8" w:rsidRDefault="00D85509" w:rsidP="00D85509">
      <w:pPr>
        <w:keepNext/>
        <w:keepLines/>
        <w:spacing w:before="120" w:line="240" w:lineRule="auto"/>
        <w:ind w:left="540"/>
        <w:rPr>
          <w:rFonts w:ascii="Calibri" w:hAnsi="Calibri"/>
          <w:sz w:val="16"/>
          <w:szCs w:val="16"/>
        </w:rPr>
      </w:pPr>
      <w:r w:rsidRPr="003A2CA8">
        <w:rPr>
          <w:rFonts w:ascii="Calibri" w:hAnsi="Calibri"/>
          <w:sz w:val="16"/>
          <w:szCs w:val="16"/>
        </w:rPr>
        <w:t>(a) The total for Massachusetts was reduced by 1% to eliminate a rounding issue.</w:t>
      </w:r>
    </w:p>
    <w:p w:rsidR="00D85509" w:rsidRDefault="00D85509" w:rsidP="00D85509">
      <w:r>
        <w:fldChar w:fldCharType="begin"/>
      </w:r>
      <w:r>
        <w:instrText xml:space="preserve"> REF _Ref462334112 \h </w:instrText>
      </w:r>
      <w:r>
        <w:fldChar w:fldCharType="separate"/>
      </w:r>
      <w:r w:rsidR="00742B49">
        <w:t xml:space="preserve">Table </w:t>
      </w:r>
      <w:r w:rsidR="00742B49">
        <w:rPr>
          <w:noProof/>
        </w:rPr>
        <w:t>5</w:t>
      </w:r>
      <w:r w:rsidR="00742B49">
        <w:noBreakHyphen/>
      </w:r>
      <w:r w:rsidR="00742B49">
        <w:rPr>
          <w:noProof/>
        </w:rPr>
        <w:t>4</w:t>
      </w:r>
      <w:r>
        <w:fldChar w:fldCharType="end"/>
      </w:r>
      <w:r>
        <w:t xml:space="preserve"> shows the PHEV characteristics for Scenario 3 for 2025 and 203</w:t>
      </w:r>
      <w:r w:rsidRPr="00EC719E">
        <w:t xml:space="preserve">0. </w:t>
      </w:r>
      <w:r w:rsidRPr="00EC719E">
        <w:fldChar w:fldCharType="begin"/>
      </w:r>
      <w:r w:rsidRPr="00EC719E">
        <w:instrText xml:space="preserve"> REF _Ref462334130 \h </w:instrText>
      </w:r>
      <w:r>
        <w:instrText xml:space="preserve"> \* MERGEFORMAT </w:instrText>
      </w:r>
      <w:r w:rsidRPr="00EC719E">
        <w:fldChar w:fldCharType="separate"/>
      </w:r>
      <w:r w:rsidR="00742B49" w:rsidRPr="006F29E1">
        <w:t xml:space="preserve">Figure </w:t>
      </w:r>
      <w:r w:rsidR="00742B49">
        <w:rPr>
          <w:noProof/>
        </w:rPr>
        <w:t>5</w:t>
      </w:r>
      <w:r w:rsidR="00742B49">
        <w:rPr>
          <w:noProof/>
        </w:rPr>
        <w:noBreakHyphen/>
        <w:t>1</w:t>
      </w:r>
      <w:r w:rsidRPr="00EC719E">
        <w:fldChar w:fldCharType="end"/>
      </w:r>
      <w:r>
        <w:t xml:space="preserve"> shows the daily PHEV charging profile for Scenario 3 for both study years.</w:t>
      </w:r>
    </w:p>
    <w:p w:rsidR="00D85509" w:rsidRDefault="00D85509" w:rsidP="003262F1">
      <w:pPr>
        <w:pStyle w:val="Caption"/>
        <w:jc w:val="center"/>
      </w:pPr>
      <w:bookmarkStart w:id="109" w:name="_Ref462334112"/>
      <w:bookmarkStart w:id="110" w:name="_Toc486406018"/>
      <w:r>
        <w:t xml:space="preserve">Table </w:t>
      </w:r>
      <w:fldSimple w:instr=" STYLEREF 1 \s ">
        <w:r w:rsidR="004248FE">
          <w:rPr>
            <w:noProof/>
          </w:rPr>
          <w:t>5</w:t>
        </w:r>
      </w:fldSimple>
      <w:r w:rsidR="004248FE">
        <w:noBreakHyphen/>
      </w:r>
      <w:fldSimple w:instr=" SEQ Table \* ARABIC \s 1 ">
        <w:r w:rsidR="004248FE">
          <w:rPr>
            <w:noProof/>
          </w:rPr>
          <w:t>4</w:t>
        </w:r>
      </w:fldSimple>
      <w:bookmarkEnd w:id="109"/>
      <w:r>
        <w:br/>
        <w:t>PHEV Characteristics for Scenario 3 for 2025 and 2030</w:t>
      </w:r>
      <w:bookmarkEnd w:id="110"/>
    </w:p>
    <w:tbl>
      <w:tblPr>
        <w:tblW w:w="727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108"/>
        <w:gridCol w:w="2085"/>
        <w:gridCol w:w="2085"/>
      </w:tblGrid>
      <w:tr w:rsidR="005C4006" w:rsidRPr="005C4006" w:rsidTr="005C4006">
        <w:trPr>
          <w:jc w:val="center"/>
        </w:trPr>
        <w:tc>
          <w:tcPr>
            <w:tcW w:w="3108" w:type="dxa"/>
            <w:shd w:val="clear" w:color="auto" w:fill="4F81BD" w:themeFill="accent1"/>
            <w:tcMar>
              <w:top w:w="29" w:type="dxa"/>
              <w:bottom w:w="29" w:type="dxa"/>
            </w:tcMar>
            <w:vAlign w:val="center"/>
          </w:tcPr>
          <w:p w:rsidR="00D85509" w:rsidRPr="00E5063C" w:rsidRDefault="000014F1" w:rsidP="003262F1">
            <w:pPr>
              <w:pStyle w:val="TableParagraph"/>
              <w:keepNext/>
              <w:keepLines/>
              <w:spacing w:before="40" w:after="40"/>
              <w:jc w:val="center"/>
              <w:rPr>
                <w:rFonts w:cs="Calibri"/>
                <w:b/>
                <w:color w:val="FFFFFF" w:themeColor="background1"/>
                <w:sz w:val="18"/>
                <w:szCs w:val="18"/>
              </w:rPr>
            </w:pPr>
            <w:r w:rsidRPr="00E5063C">
              <w:rPr>
                <w:rFonts w:cs="Calibri"/>
                <w:b/>
                <w:color w:val="FFFFFF" w:themeColor="background1"/>
                <w:sz w:val="18"/>
                <w:szCs w:val="18"/>
              </w:rPr>
              <w:t>Characteristic</w:t>
            </w:r>
          </w:p>
        </w:tc>
        <w:tc>
          <w:tcPr>
            <w:tcW w:w="2085" w:type="dxa"/>
            <w:shd w:val="clear" w:color="auto" w:fill="4F81BD" w:themeFill="accent1"/>
            <w:tcMar>
              <w:top w:w="29" w:type="dxa"/>
              <w:bottom w:w="29" w:type="dxa"/>
            </w:tcMar>
            <w:vAlign w:val="center"/>
          </w:tcPr>
          <w:p w:rsidR="00D85509" w:rsidRPr="00E5063C" w:rsidRDefault="00D85509" w:rsidP="003262F1">
            <w:pPr>
              <w:pStyle w:val="TableParagraph"/>
              <w:keepNext/>
              <w:keepLines/>
              <w:spacing w:before="40" w:after="40"/>
              <w:ind w:left="4"/>
              <w:jc w:val="center"/>
              <w:rPr>
                <w:rFonts w:cs="Calibri"/>
                <w:color w:val="FFFFFF" w:themeColor="background1"/>
                <w:sz w:val="18"/>
                <w:szCs w:val="18"/>
              </w:rPr>
            </w:pPr>
            <w:r w:rsidRPr="00E5063C">
              <w:rPr>
                <w:b/>
                <w:color w:val="FFFFFF" w:themeColor="background1"/>
                <w:spacing w:val="-1"/>
                <w:sz w:val="18"/>
                <w:szCs w:val="18"/>
              </w:rPr>
              <w:t>2025</w:t>
            </w:r>
          </w:p>
        </w:tc>
        <w:tc>
          <w:tcPr>
            <w:tcW w:w="2085" w:type="dxa"/>
            <w:shd w:val="clear" w:color="auto" w:fill="4F81BD" w:themeFill="accent1"/>
            <w:tcMar>
              <w:top w:w="29" w:type="dxa"/>
              <w:bottom w:w="29" w:type="dxa"/>
            </w:tcMar>
            <w:vAlign w:val="center"/>
          </w:tcPr>
          <w:p w:rsidR="00D85509" w:rsidRPr="00E5063C" w:rsidRDefault="00D85509" w:rsidP="003262F1">
            <w:pPr>
              <w:pStyle w:val="TableParagraph"/>
              <w:keepNext/>
              <w:keepLines/>
              <w:spacing w:before="40" w:after="40"/>
              <w:ind w:left="4"/>
              <w:jc w:val="center"/>
              <w:rPr>
                <w:rFonts w:cs="Calibri"/>
                <w:color w:val="FFFFFF" w:themeColor="background1"/>
                <w:sz w:val="18"/>
                <w:szCs w:val="18"/>
              </w:rPr>
            </w:pPr>
            <w:r w:rsidRPr="00E5063C">
              <w:rPr>
                <w:b/>
                <w:color w:val="FFFFFF" w:themeColor="background1"/>
                <w:spacing w:val="-1"/>
                <w:sz w:val="18"/>
                <w:szCs w:val="18"/>
              </w:rPr>
              <w:t>2030</w:t>
            </w:r>
          </w:p>
        </w:tc>
      </w:tr>
      <w:tr w:rsidR="00D85509" w:rsidRPr="00FD59E0" w:rsidTr="0057280D">
        <w:trPr>
          <w:jc w:val="center"/>
        </w:trPr>
        <w:tc>
          <w:tcPr>
            <w:tcW w:w="3108" w:type="dxa"/>
            <w:shd w:val="clear" w:color="auto" w:fill="auto"/>
            <w:tcMar>
              <w:top w:w="29" w:type="dxa"/>
              <w:bottom w:w="29" w:type="dxa"/>
            </w:tcMar>
            <w:vAlign w:val="center"/>
          </w:tcPr>
          <w:p w:rsidR="00D85509" w:rsidRPr="00FD59E0" w:rsidRDefault="00D85509" w:rsidP="003262F1">
            <w:pPr>
              <w:pStyle w:val="TableParagraph"/>
              <w:keepNext/>
              <w:keepLines/>
              <w:spacing w:before="40" w:after="40"/>
              <w:ind w:left="98"/>
              <w:rPr>
                <w:rFonts w:cs="Calibri"/>
                <w:color w:val="000000"/>
                <w:sz w:val="18"/>
                <w:szCs w:val="18"/>
              </w:rPr>
            </w:pPr>
            <w:r w:rsidRPr="00FD59E0">
              <w:rPr>
                <w:b/>
                <w:color w:val="000000"/>
                <w:spacing w:val="-2"/>
                <w:sz w:val="18"/>
                <w:szCs w:val="18"/>
              </w:rPr>
              <w:t>Penetration</w:t>
            </w:r>
            <w:r w:rsidRPr="00FD59E0">
              <w:rPr>
                <w:b/>
                <w:color w:val="000000"/>
                <w:spacing w:val="-19"/>
                <w:sz w:val="18"/>
                <w:szCs w:val="18"/>
              </w:rPr>
              <w:t xml:space="preserve"> </w:t>
            </w:r>
            <w:r w:rsidRPr="00FD59E0">
              <w:rPr>
                <w:b/>
                <w:color w:val="000000"/>
                <w:sz w:val="18"/>
                <w:szCs w:val="18"/>
              </w:rPr>
              <w:t>(million</w:t>
            </w:r>
            <w:r w:rsidRPr="00FD59E0">
              <w:rPr>
                <w:b/>
                <w:color w:val="000000"/>
                <w:spacing w:val="-19"/>
                <w:sz w:val="18"/>
                <w:szCs w:val="18"/>
              </w:rPr>
              <w:t xml:space="preserve"> </w:t>
            </w:r>
            <w:r w:rsidRPr="00FD59E0">
              <w:rPr>
                <w:b/>
                <w:color w:val="000000"/>
                <w:spacing w:val="-3"/>
                <w:sz w:val="18"/>
                <w:szCs w:val="18"/>
              </w:rPr>
              <w:t>PHEVs)</w:t>
            </w:r>
          </w:p>
        </w:tc>
        <w:tc>
          <w:tcPr>
            <w:tcW w:w="2085" w:type="dxa"/>
            <w:shd w:val="clear" w:color="auto" w:fill="auto"/>
            <w:tcMar>
              <w:top w:w="29" w:type="dxa"/>
              <w:bottom w:w="29" w:type="dxa"/>
            </w:tcMar>
            <w:vAlign w:val="center"/>
          </w:tcPr>
          <w:p w:rsidR="00D85509" w:rsidRPr="00FD59E0" w:rsidRDefault="00D85509" w:rsidP="003262F1">
            <w:pPr>
              <w:pStyle w:val="TableParagraph"/>
              <w:keepNext/>
              <w:keepLines/>
              <w:spacing w:before="40" w:after="40"/>
              <w:ind w:left="5"/>
              <w:jc w:val="center"/>
              <w:rPr>
                <w:rFonts w:cs="Calibri"/>
                <w:color w:val="000000"/>
                <w:sz w:val="18"/>
                <w:szCs w:val="18"/>
              </w:rPr>
            </w:pPr>
            <w:r w:rsidRPr="00FD59E0">
              <w:rPr>
                <w:color w:val="000000"/>
                <w:spacing w:val="-1"/>
                <w:sz w:val="18"/>
                <w:szCs w:val="18"/>
              </w:rPr>
              <w:t>2.5</w:t>
            </w:r>
          </w:p>
        </w:tc>
        <w:tc>
          <w:tcPr>
            <w:tcW w:w="2085" w:type="dxa"/>
            <w:shd w:val="clear" w:color="auto" w:fill="auto"/>
            <w:tcMar>
              <w:top w:w="29" w:type="dxa"/>
              <w:bottom w:w="29" w:type="dxa"/>
            </w:tcMar>
            <w:vAlign w:val="center"/>
          </w:tcPr>
          <w:p w:rsidR="00D85509" w:rsidRPr="00FD59E0" w:rsidRDefault="00D85509" w:rsidP="003262F1">
            <w:pPr>
              <w:pStyle w:val="TableParagraph"/>
              <w:keepNext/>
              <w:keepLines/>
              <w:spacing w:before="40" w:after="40"/>
              <w:ind w:left="5"/>
              <w:jc w:val="center"/>
              <w:rPr>
                <w:rFonts w:cs="Calibri"/>
                <w:color w:val="000000"/>
                <w:sz w:val="18"/>
                <w:szCs w:val="18"/>
              </w:rPr>
            </w:pPr>
            <w:r w:rsidRPr="00FD59E0">
              <w:rPr>
                <w:color w:val="000000"/>
                <w:spacing w:val="-1"/>
                <w:sz w:val="18"/>
                <w:szCs w:val="18"/>
              </w:rPr>
              <w:t>4.2</w:t>
            </w:r>
          </w:p>
        </w:tc>
      </w:tr>
      <w:tr w:rsidR="00D85509" w:rsidRPr="00FD59E0" w:rsidTr="0057280D">
        <w:trPr>
          <w:jc w:val="center"/>
        </w:trPr>
        <w:tc>
          <w:tcPr>
            <w:tcW w:w="3108" w:type="dxa"/>
            <w:shd w:val="clear" w:color="auto" w:fill="DBE5F1"/>
            <w:tcMar>
              <w:top w:w="29" w:type="dxa"/>
              <w:bottom w:w="29" w:type="dxa"/>
            </w:tcMar>
            <w:vAlign w:val="center"/>
          </w:tcPr>
          <w:p w:rsidR="00D85509" w:rsidRPr="00FD59E0" w:rsidRDefault="00D85509" w:rsidP="003262F1">
            <w:pPr>
              <w:pStyle w:val="TableParagraph"/>
              <w:keepNext/>
              <w:keepLines/>
              <w:spacing w:before="40" w:after="40"/>
              <w:ind w:left="98"/>
              <w:rPr>
                <w:rFonts w:cs="Calibri"/>
                <w:color w:val="000000"/>
                <w:sz w:val="18"/>
                <w:szCs w:val="18"/>
              </w:rPr>
            </w:pPr>
            <w:r w:rsidRPr="00FD59E0">
              <w:rPr>
                <w:b/>
                <w:color w:val="000000"/>
                <w:spacing w:val="-1"/>
                <w:sz w:val="18"/>
                <w:szCs w:val="18"/>
              </w:rPr>
              <w:t>Max</w:t>
            </w:r>
            <w:r w:rsidRPr="00FD59E0">
              <w:rPr>
                <w:b/>
                <w:color w:val="000000"/>
                <w:spacing w:val="-11"/>
                <w:sz w:val="18"/>
                <w:szCs w:val="18"/>
              </w:rPr>
              <w:t xml:space="preserve"> </w:t>
            </w:r>
            <w:r w:rsidR="005A2F25">
              <w:rPr>
                <w:b/>
                <w:color w:val="000000"/>
                <w:spacing w:val="-11"/>
                <w:sz w:val="18"/>
                <w:szCs w:val="18"/>
              </w:rPr>
              <w:t xml:space="preserve">hourly </w:t>
            </w:r>
            <w:r w:rsidRPr="00FD59E0">
              <w:rPr>
                <w:b/>
                <w:color w:val="000000"/>
                <w:spacing w:val="-11"/>
                <w:sz w:val="18"/>
                <w:szCs w:val="18"/>
              </w:rPr>
              <w:t>o</w:t>
            </w:r>
            <w:r w:rsidRPr="00FD59E0">
              <w:rPr>
                <w:b/>
                <w:color w:val="000000"/>
                <w:spacing w:val="-1"/>
                <w:sz w:val="18"/>
                <w:szCs w:val="18"/>
              </w:rPr>
              <w:t>ff-peak</w:t>
            </w:r>
            <w:r w:rsidRPr="00FD59E0">
              <w:rPr>
                <w:b/>
                <w:color w:val="000000"/>
                <w:spacing w:val="-13"/>
                <w:sz w:val="18"/>
                <w:szCs w:val="18"/>
              </w:rPr>
              <w:t xml:space="preserve"> </w:t>
            </w:r>
            <w:r w:rsidRPr="00FD59E0">
              <w:rPr>
                <w:b/>
                <w:color w:val="000000"/>
                <w:spacing w:val="-2"/>
                <w:sz w:val="18"/>
                <w:szCs w:val="18"/>
              </w:rPr>
              <w:t>charging</w:t>
            </w:r>
            <w:r w:rsidRPr="00FD59E0">
              <w:rPr>
                <w:b/>
                <w:color w:val="000000"/>
                <w:spacing w:val="-5"/>
                <w:sz w:val="18"/>
                <w:szCs w:val="18"/>
              </w:rPr>
              <w:t xml:space="preserve">  </w:t>
            </w:r>
            <w:r w:rsidRPr="00FD59E0">
              <w:rPr>
                <w:b/>
                <w:color w:val="000000"/>
                <w:spacing w:val="-1"/>
                <w:sz w:val="18"/>
                <w:szCs w:val="18"/>
              </w:rPr>
              <w:t>(MW)</w:t>
            </w:r>
          </w:p>
        </w:tc>
        <w:tc>
          <w:tcPr>
            <w:tcW w:w="2085" w:type="dxa"/>
            <w:shd w:val="clear" w:color="auto" w:fill="DBE5F1"/>
            <w:tcMar>
              <w:top w:w="29" w:type="dxa"/>
              <w:bottom w:w="29" w:type="dxa"/>
            </w:tcMar>
            <w:vAlign w:val="center"/>
          </w:tcPr>
          <w:p w:rsidR="00D85509" w:rsidRPr="00FD59E0" w:rsidRDefault="00D85509" w:rsidP="003262F1">
            <w:pPr>
              <w:pStyle w:val="TableParagraph"/>
              <w:keepNext/>
              <w:keepLines/>
              <w:spacing w:before="40" w:after="40"/>
              <w:ind w:left="2"/>
              <w:jc w:val="center"/>
              <w:rPr>
                <w:rFonts w:cs="Calibri"/>
                <w:color w:val="000000"/>
                <w:sz w:val="18"/>
                <w:szCs w:val="18"/>
              </w:rPr>
            </w:pPr>
            <w:r w:rsidRPr="00FD59E0">
              <w:rPr>
                <w:color w:val="000000"/>
                <w:spacing w:val="-1"/>
                <w:sz w:val="18"/>
                <w:szCs w:val="18"/>
              </w:rPr>
              <w:t>3,467</w:t>
            </w:r>
          </w:p>
        </w:tc>
        <w:tc>
          <w:tcPr>
            <w:tcW w:w="2085" w:type="dxa"/>
            <w:shd w:val="clear" w:color="auto" w:fill="DBE5F1"/>
            <w:tcMar>
              <w:top w:w="29" w:type="dxa"/>
              <w:bottom w:w="29" w:type="dxa"/>
            </w:tcMar>
            <w:vAlign w:val="center"/>
          </w:tcPr>
          <w:p w:rsidR="00D85509" w:rsidRPr="00FD59E0" w:rsidRDefault="00D85509" w:rsidP="003262F1">
            <w:pPr>
              <w:pStyle w:val="TableParagraph"/>
              <w:keepNext/>
              <w:keepLines/>
              <w:spacing w:before="40" w:after="40"/>
              <w:ind w:left="3"/>
              <w:jc w:val="center"/>
              <w:rPr>
                <w:rFonts w:cs="Calibri"/>
                <w:color w:val="000000"/>
                <w:sz w:val="18"/>
                <w:szCs w:val="18"/>
              </w:rPr>
            </w:pPr>
            <w:r w:rsidRPr="00FD59E0">
              <w:rPr>
                <w:color w:val="000000"/>
                <w:spacing w:val="-1"/>
                <w:sz w:val="18"/>
                <w:szCs w:val="18"/>
              </w:rPr>
              <w:t>5,825</w:t>
            </w:r>
          </w:p>
        </w:tc>
      </w:tr>
      <w:tr w:rsidR="00D85509" w:rsidRPr="00FD59E0" w:rsidTr="0057280D">
        <w:trPr>
          <w:jc w:val="center"/>
        </w:trPr>
        <w:tc>
          <w:tcPr>
            <w:tcW w:w="3108" w:type="dxa"/>
            <w:shd w:val="clear" w:color="auto" w:fill="auto"/>
            <w:tcMar>
              <w:top w:w="29" w:type="dxa"/>
              <w:bottom w:w="29" w:type="dxa"/>
            </w:tcMar>
            <w:vAlign w:val="center"/>
          </w:tcPr>
          <w:p w:rsidR="00D85509" w:rsidRPr="00FD59E0" w:rsidRDefault="00D85509" w:rsidP="003262F1">
            <w:pPr>
              <w:pStyle w:val="TableParagraph"/>
              <w:keepNext/>
              <w:keepLines/>
              <w:spacing w:before="40" w:after="40"/>
              <w:ind w:left="98"/>
              <w:rPr>
                <w:rFonts w:cs="Calibri"/>
                <w:color w:val="000000"/>
                <w:sz w:val="18"/>
                <w:szCs w:val="18"/>
              </w:rPr>
            </w:pPr>
            <w:r w:rsidRPr="00FD59E0">
              <w:rPr>
                <w:b/>
                <w:color w:val="000000"/>
                <w:spacing w:val="-1"/>
                <w:sz w:val="18"/>
                <w:szCs w:val="18"/>
              </w:rPr>
              <w:t>Annual</w:t>
            </w:r>
            <w:r w:rsidRPr="00FD59E0">
              <w:rPr>
                <w:b/>
                <w:color w:val="000000"/>
                <w:spacing w:val="-8"/>
                <w:sz w:val="18"/>
                <w:szCs w:val="18"/>
              </w:rPr>
              <w:t xml:space="preserve"> c</w:t>
            </w:r>
            <w:r w:rsidRPr="00FD59E0">
              <w:rPr>
                <w:b/>
                <w:color w:val="000000"/>
                <w:spacing w:val="-2"/>
                <w:sz w:val="18"/>
                <w:szCs w:val="18"/>
              </w:rPr>
              <w:t>harging</w:t>
            </w:r>
            <w:r w:rsidRPr="00FD59E0">
              <w:rPr>
                <w:b/>
                <w:color w:val="000000"/>
                <w:spacing w:val="-5"/>
                <w:sz w:val="18"/>
                <w:szCs w:val="18"/>
              </w:rPr>
              <w:t xml:space="preserve"> e</w:t>
            </w:r>
            <w:r w:rsidRPr="00FD59E0">
              <w:rPr>
                <w:b/>
                <w:color w:val="000000"/>
                <w:spacing w:val="-2"/>
                <w:sz w:val="18"/>
                <w:szCs w:val="18"/>
              </w:rPr>
              <w:t>nergy</w:t>
            </w:r>
            <w:r w:rsidRPr="00FD59E0">
              <w:rPr>
                <w:b/>
                <w:color w:val="000000"/>
                <w:spacing w:val="-5"/>
                <w:sz w:val="18"/>
                <w:szCs w:val="18"/>
              </w:rPr>
              <w:t xml:space="preserve"> </w:t>
            </w:r>
            <w:r w:rsidRPr="00FD59E0">
              <w:rPr>
                <w:b/>
                <w:color w:val="000000"/>
                <w:spacing w:val="-1"/>
                <w:sz w:val="18"/>
                <w:szCs w:val="18"/>
              </w:rPr>
              <w:t>(GWh)</w:t>
            </w:r>
          </w:p>
        </w:tc>
        <w:tc>
          <w:tcPr>
            <w:tcW w:w="2085" w:type="dxa"/>
            <w:shd w:val="clear" w:color="auto" w:fill="auto"/>
            <w:tcMar>
              <w:top w:w="29" w:type="dxa"/>
              <w:bottom w:w="29" w:type="dxa"/>
            </w:tcMar>
            <w:vAlign w:val="center"/>
          </w:tcPr>
          <w:p w:rsidR="00D85509" w:rsidRPr="00FD59E0" w:rsidRDefault="00D85509" w:rsidP="003262F1">
            <w:pPr>
              <w:pStyle w:val="TableParagraph"/>
              <w:keepNext/>
              <w:keepLines/>
              <w:spacing w:before="40" w:after="40"/>
              <w:ind w:left="788"/>
              <w:rPr>
                <w:rFonts w:cs="Calibri"/>
                <w:color w:val="000000"/>
                <w:sz w:val="18"/>
                <w:szCs w:val="18"/>
              </w:rPr>
            </w:pPr>
            <w:r w:rsidRPr="00FD59E0">
              <w:rPr>
                <w:color w:val="000000"/>
                <w:spacing w:val="-1"/>
                <w:sz w:val="18"/>
                <w:szCs w:val="18"/>
              </w:rPr>
              <w:t>7,445</w:t>
            </w:r>
          </w:p>
        </w:tc>
        <w:tc>
          <w:tcPr>
            <w:tcW w:w="2085" w:type="dxa"/>
            <w:shd w:val="clear" w:color="auto" w:fill="auto"/>
            <w:tcMar>
              <w:top w:w="29" w:type="dxa"/>
              <w:bottom w:w="29" w:type="dxa"/>
            </w:tcMar>
            <w:vAlign w:val="center"/>
          </w:tcPr>
          <w:p w:rsidR="00D85509" w:rsidRPr="00FD59E0" w:rsidRDefault="00D85509" w:rsidP="003262F1">
            <w:pPr>
              <w:pStyle w:val="TableParagraph"/>
              <w:keepNext/>
              <w:keepLines/>
              <w:spacing w:before="40" w:after="40"/>
              <w:ind w:left="707"/>
              <w:rPr>
                <w:rFonts w:cs="Calibri"/>
                <w:color w:val="000000"/>
                <w:sz w:val="18"/>
                <w:szCs w:val="18"/>
              </w:rPr>
            </w:pPr>
            <w:r w:rsidRPr="00FD59E0">
              <w:rPr>
                <w:color w:val="000000"/>
                <w:spacing w:val="-1"/>
                <w:sz w:val="18"/>
                <w:szCs w:val="18"/>
              </w:rPr>
              <w:t>12,507</w:t>
            </w:r>
          </w:p>
        </w:tc>
      </w:tr>
    </w:tbl>
    <w:p w:rsidR="00D85509" w:rsidRDefault="00D85509" w:rsidP="00D85509"/>
    <w:p w:rsidR="00D85509" w:rsidRDefault="00D85509" w:rsidP="00D85509">
      <w:pPr>
        <w:keepNext/>
        <w:keepLines/>
        <w:spacing w:after="0" w:line="240" w:lineRule="auto"/>
        <w:jc w:val="center"/>
      </w:pPr>
    </w:p>
    <w:p w:rsidR="00FC2FC2" w:rsidRDefault="00FC2FC2" w:rsidP="00D85509">
      <w:pPr>
        <w:keepNext/>
        <w:keepLines/>
        <w:spacing w:after="0" w:line="240" w:lineRule="auto"/>
        <w:jc w:val="center"/>
      </w:pPr>
      <w:r w:rsidRPr="00FC2FC2">
        <w:rPr>
          <w:noProof/>
        </w:rPr>
        <w:drawing>
          <wp:inline distT="0" distB="0" distL="0" distR="0" wp14:anchorId="002E121E" wp14:editId="0279CC1D">
            <wp:extent cx="4207153" cy="2517648"/>
            <wp:effectExtent l="19050" t="19050" r="22225" b="165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02747" cy="2515011"/>
                    </a:xfrm>
                    <a:prstGeom prst="rect">
                      <a:avLst/>
                    </a:prstGeom>
                    <a:noFill/>
                    <a:ln w="3175">
                      <a:solidFill>
                        <a:schemeClr val="tx1"/>
                      </a:solidFill>
                    </a:ln>
                  </pic:spPr>
                </pic:pic>
              </a:graphicData>
            </a:graphic>
          </wp:inline>
        </w:drawing>
      </w:r>
    </w:p>
    <w:p w:rsidR="00FC2FC2" w:rsidRPr="00FC2FC2" w:rsidRDefault="00D85509" w:rsidP="00FC2FC2">
      <w:pPr>
        <w:pStyle w:val="Caption"/>
        <w:tabs>
          <w:tab w:val="left" w:pos="7830"/>
          <w:tab w:val="left" w:pos="7920"/>
        </w:tabs>
        <w:spacing w:before="120" w:after="240"/>
        <w:ind w:left="1440" w:right="1526"/>
      </w:pPr>
      <w:bookmarkStart w:id="111" w:name="_Ref462334130"/>
      <w:bookmarkStart w:id="112" w:name="_Toc486406061"/>
      <w:r w:rsidRPr="006F29E1">
        <w:t xml:space="preserve">Figure </w:t>
      </w:r>
      <w:fldSimple w:instr=" STYLEREF 1 \s ">
        <w:r w:rsidR="00742B49">
          <w:rPr>
            <w:noProof/>
          </w:rPr>
          <w:t>5</w:t>
        </w:r>
      </w:fldSimple>
      <w:r w:rsidR="00024994">
        <w:noBreakHyphen/>
      </w:r>
      <w:fldSimple w:instr=" SEQ Figure \* ARABIC \s 1 ">
        <w:r w:rsidR="00742B49">
          <w:rPr>
            <w:noProof/>
          </w:rPr>
          <w:t>1</w:t>
        </w:r>
      </w:fldSimple>
      <w:bookmarkEnd w:id="111"/>
      <w:r w:rsidRPr="006F29E1">
        <w:t>: Daily PHEV charging profile for Scenario 3 for 2.5 million vehicles (2025) and 4.2 million vehicles (2030)</w:t>
      </w:r>
      <w:r w:rsidR="00EB7E31">
        <w:t xml:space="preserve"> (</w:t>
      </w:r>
      <w:r w:rsidR="00785269" w:rsidRPr="006F29E1">
        <w:t>MW</w:t>
      </w:r>
      <w:r w:rsidR="00EB7E31">
        <w:t>)</w:t>
      </w:r>
      <w:r w:rsidR="00785269" w:rsidRPr="006F29E1">
        <w:t>.</w:t>
      </w:r>
      <w:bookmarkEnd w:id="112"/>
    </w:p>
    <w:p w:rsidR="00902496" w:rsidRPr="007A186C" w:rsidRDefault="00902496" w:rsidP="003262F1">
      <w:pPr>
        <w:pStyle w:val="Heading2"/>
        <w:keepNext w:val="0"/>
        <w:keepLines w:val="0"/>
      </w:pPr>
      <w:bookmarkStart w:id="113" w:name="_Toc486405978"/>
      <w:r w:rsidRPr="007A186C">
        <w:t>Capacity Assumptions</w:t>
      </w:r>
      <w:bookmarkEnd w:id="113"/>
    </w:p>
    <w:p w:rsidR="00A36081" w:rsidRPr="00EA1571" w:rsidRDefault="00A935D1" w:rsidP="00431552">
      <w:r w:rsidRPr="003262F1">
        <w:t xml:space="preserve">The study </w:t>
      </w:r>
      <w:r w:rsidR="00EA1571">
        <w:t xml:space="preserve">included </w:t>
      </w:r>
      <w:r w:rsidRPr="003262F1">
        <w:t xml:space="preserve">assumptions regarding the needed amount of resources and </w:t>
      </w:r>
      <w:r w:rsidRPr="00924838">
        <w:t>reserves, resource</w:t>
      </w:r>
      <w:r w:rsidR="003A70E5" w:rsidRPr="00924838">
        <w:t xml:space="preserve"> </w:t>
      </w:r>
      <w:r w:rsidRPr="00924838">
        <w:t>deliverabil</w:t>
      </w:r>
      <w:r w:rsidR="00D151D1">
        <w:t>i</w:t>
      </w:r>
      <w:r w:rsidRPr="00924838">
        <w:t>ty, capacity values</w:t>
      </w:r>
      <w:r w:rsidR="00164928" w:rsidRPr="00924838">
        <w:t xml:space="preserve"> and </w:t>
      </w:r>
      <w:r w:rsidR="00BA3FCF" w:rsidRPr="00924838">
        <w:t xml:space="preserve">summer </w:t>
      </w:r>
      <w:r w:rsidR="00164928" w:rsidRPr="00924838">
        <w:t>seasonal claimed capability</w:t>
      </w:r>
      <w:r w:rsidR="009A1409">
        <w:t xml:space="preserve"> (SCC)</w:t>
      </w:r>
      <w:r w:rsidRPr="00924838">
        <w:t>, nameplate values,</w:t>
      </w:r>
      <w:r w:rsidRPr="003262F1">
        <w:t xml:space="preserve"> retirements and additions, </w:t>
      </w:r>
      <w:r w:rsidR="00991FB9" w:rsidRPr="003262F1">
        <w:t>Renewable Portfolio Standards, storage</w:t>
      </w:r>
      <w:r w:rsidR="00BE0A30">
        <w:t xml:space="preserve"> amounts and operating profiles</w:t>
      </w:r>
      <w:r w:rsidR="00991FB9" w:rsidRPr="003262F1">
        <w:t xml:space="preserve">, and the overall </w:t>
      </w:r>
      <w:r w:rsidRPr="003262F1">
        <w:t>resource mix.</w:t>
      </w:r>
      <w:r w:rsidR="00164928">
        <w:rPr>
          <w:rStyle w:val="FootnoteReference"/>
        </w:rPr>
        <w:footnoteReference w:id="41"/>
      </w:r>
      <w:r w:rsidRPr="003262F1">
        <w:t xml:space="preserve"> </w:t>
      </w:r>
      <w:r w:rsidR="00BE0F18" w:rsidRPr="003262F1">
        <w:t xml:space="preserve">Resources </w:t>
      </w:r>
      <w:r w:rsidR="00C759F6">
        <w:t>were</w:t>
      </w:r>
      <w:r w:rsidR="00BE0F18" w:rsidRPr="003262F1">
        <w:t xml:space="preserve"> divided into capacity resources that meet the net </w:t>
      </w:r>
      <w:r w:rsidR="00785269" w:rsidRPr="003262F1">
        <w:t>I</w:t>
      </w:r>
      <w:r w:rsidR="00BE0F18" w:rsidRPr="003262F1">
        <w:t xml:space="preserve">nstalled </w:t>
      </w:r>
      <w:r w:rsidR="00785269" w:rsidRPr="003262F1">
        <w:t>C</w:t>
      </w:r>
      <w:r w:rsidR="00BE0F18" w:rsidRPr="003262F1">
        <w:t xml:space="preserve">apacity </w:t>
      </w:r>
      <w:r w:rsidR="00785269" w:rsidRPr="003262F1">
        <w:t>R</w:t>
      </w:r>
      <w:r w:rsidR="00BE0F18" w:rsidRPr="003262F1">
        <w:t xml:space="preserve">equirement and </w:t>
      </w:r>
      <w:r w:rsidR="00BE0F18" w:rsidRPr="00EA1571">
        <w:t>energy</w:t>
      </w:r>
      <w:r w:rsidR="00785269" w:rsidRPr="00EA1571">
        <w:t>-</w:t>
      </w:r>
      <w:r w:rsidR="00BE0F18" w:rsidRPr="00EA1571">
        <w:t>only resources</w:t>
      </w:r>
      <w:r w:rsidR="009E7B29" w:rsidRPr="00EA1571">
        <w:t xml:space="preserve">. </w:t>
      </w:r>
    </w:p>
    <w:p w:rsidR="00E4647F" w:rsidRDefault="000B1E5E" w:rsidP="00E4647F">
      <w:r w:rsidRPr="00EA1571">
        <w:t xml:space="preserve">Resources </w:t>
      </w:r>
      <w:r w:rsidR="00584D32" w:rsidRPr="00EA1571">
        <w:t xml:space="preserve">that received </w:t>
      </w:r>
      <w:r w:rsidRPr="00EA1571">
        <w:t xml:space="preserve">capacity supply obligations </w:t>
      </w:r>
      <w:r w:rsidR="00584D32" w:rsidRPr="00EA1571">
        <w:t xml:space="preserve">through </w:t>
      </w:r>
      <w:r w:rsidRPr="00EA1571">
        <w:t>FCA</w:t>
      </w:r>
      <w:r w:rsidR="00EA1571" w:rsidRPr="00EA1571">
        <w:t xml:space="preserve"> </w:t>
      </w:r>
      <w:r w:rsidRPr="00EA1571">
        <w:t xml:space="preserve">#10 were considered part of the resource mix. </w:t>
      </w:r>
      <w:r w:rsidR="00BA3FCF" w:rsidRPr="00EA1571">
        <w:rPr>
          <w:rFonts w:asciiTheme="majorHAnsi" w:hAnsiTheme="majorHAnsi"/>
          <w:szCs w:val="20"/>
        </w:rPr>
        <w:t xml:space="preserve">Summer SCC values were assumed for all units having capacity supply obligations in FCA #10, but capacity values were used for wind and PV resources. </w:t>
      </w:r>
      <w:r w:rsidR="00E4647F" w:rsidRPr="00EA1571">
        <w:t xml:space="preserve">Because </w:t>
      </w:r>
      <w:r w:rsidR="006F29E1">
        <w:t xml:space="preserve">the </w:t>
      </w:r>
      <w:r w:rsidR="002736F1">
        <w:t>replacement</w:t>
      </w:r>
      <w:r w:rsidR="002736F1" w:rsidRPr="00E5063C">
        <w:t xml:space="preserve"> </w:t>
      </w:r>
      <w:r w:rsidR="00BE0F18" w:rsidRPr="00E5063C">
        <w:t>of fossil</w:t>
      </w:r>
      <w:r w:rsidR="00785269" w:rsidRPr="00E5063C">
        <w:t>-fuel resources</w:t>
      </w:r>
      <w:r w:rsidR="00BE0F18" w:rsidRPr="00E5063C">
        <w:t xml:space="preserve"> </w:t>
      </w:r>
      <w:r w:rsidR="00E4647F" w:rsidRPr="00EA1571">
        <w:t xml:space="preserve">was assumed at </w:t>
      </w:r>
      <w:r w:rsidR="002736F1">
        <w:t>the site of resources assumed to be retired</w:t>
      </w:r>
      <w:r w:rsidR="00E4647F" w:rsidRPr="00EA1571">
        <w:t xml:space="preserve"> and at the Hub, resource </w:t>
      </w:r>
      <w:r w:rsidR="00E4647F" w:rsidRPr="00E5063C">
        <w:t>deliverability was assumed</w:t>
      </w:r>
      <w:r w:rsidR="00C704B2">
        <w:t xml:space="preserve">; </w:t>
      </w:r>
      <w:r w:rsidR="00E4647F" w:rsidRPr="00E5063C">
        <w:t xml:space="preserve">the study </w:t>
      </w:r>
      <w:r w:rsidR="00E4647F" w:rsidRPr="00EA1571">
        <w:t>did not conduct detailed FCA-deliverabil</w:t>
      </w:r>
      <w:r w:rsidR="00FC34C5" w:rsidRPr="00EA1571">
        <w:t>i</w:t>
      </w:r>
      <w:r w:rsidR="00E4647F" w:rsidRPr="00EA1571">
        <w:t>ty tests.</w:t>
      </w:r>
    </w:p>
    <w:p w:rsidR="00581EAF" w:rsidRPr="00BE5DAE" w:rsidRDefault="000B1E5E" w:rsidP="004B2CD3">
      <w:r w:rsidRPr="00924838">
        <w:t xml:space="preserve">Additional </w:t>
      </w:r>
      <w:r w:rsidR="004B2CD3">
        <w:t xml:space="preserve">generation </w:t>
      </w:r>
      <w:r>
        <w:t>without FCA</w:t>
      </w:r>
      <w:r w:rsidR="00584D32">
        <w:t xml:space="preserve"> </w:t>
      </w:r>
      <w:r>
        <w:t xml:space="preserve">#10 obligations </w:t>
      </w:r>
      <w:r w:rsidR="00C15064" w:rsidRPr="00785269">
        <w:t>were</w:t>
      </w:r>
      <w:r w:rsidR="00C15064">
        <w:t xml:space="preserve"> </w:t>
      </w:r>
      <w:r w:rsidR="004B2CD3">
        <w:t xml:space="preserve">assumed to </w:t>
      </w:r>
      <w:r w:rsidR="004B2CD3" w:rsidRPr="00785269">
        <w:t>be</w:t>
      </w:r>
      <w:r w:rsidR="00E2466C" w:rsidRPr="00785269">
        <w:t xml:space="preserve">, </w:t>
      </w:r>
      <w:r w:rsidR="00E2466C" w:rsidRPr="003117CF">
        <w:t xml:space="preserve">as of April </w:t>
      </w:r>
      <w:r w:rsidR="00E2466C" w:rsidRPr="00584D32">
        <w:t>1, 2016</w:t>
      </w:r>
      <w:r w:rsidR="00E2466C" w:rsidRPr="00785269">
        <w:t>,</w:t>
      </w:r>
      <w:r w:rsidR="00E2466C">
        <w:t xml:space="preserve"> </w:t>
      </w:r>
      <w:r w:rsidR="00581EAF" w:rsidRPr="00581EAF">
        <w:t>operating</w:t>
      </w:r>
      <w:r w:rsidR="00A36081">
        <w:t>,</w:t>
      </w:r>
      <w:r w:rsidR="00581EAF" w:rsidRPr="00581EAF">
        <w:t xml:space="preserve"> under construction </w:t>
      </w:r>
      <w:r>
        <w:t>(</w:t>
      </w:r>
      <w:r w:rsidR="00581EAF" w:rsidRPr="00581EAF">
        <w:t>but not cleared in an FCA</w:t>
      </w:r>
      <w:r>
        <w:t>)</w:t>
      </w:r>
      <w:r w:rsidR="00A36081">
        <w:t xml:space="preserve">, </w:t>
      </w:r>
      <w:r w:rsidR="00C15064">
        <w:t>or ha</w:t>
      </w:r>
      <w:r w:rsidR="00E2466C">
        <w:t xml:space="preserve">ving </w:t>
      </w:r>
      <w:r w:rsidR="00581EAF" w:rsidRPr="00581EAF">
        <w:t xml:space="preserve">I.3.9 </w:t>
      </w:r>
      <w:r w:rsidR="00C15064">
        <w:t xml:space="preserve">approval </w:t>
      </w:r>
      <w:r w:rsidR="00581EAF" w:rsidRPr="00581EAF">
        <w:t xml:space="preserve">and still in the </w:t>
      </w:r>
      <w:r w:rsidR="000014F1" w:rsidRPr="00584D32">
        <w:t>ISO</w:t>
      </w:r>
      <w:r w:rsidR="00584D32" w:rsidRPr="00584D32">
        <w:t>’s</w:t>
      </w:r>
      <w:r w:rsidR="00444C3D" w:rsidRPr="00584D32">
        <w:t xml:space="preserve"> </w:t>
      </w:r>
      <w:r w:rsidR="003117CF">
        <w:t>I</w:t>
      </w:r>
      <w:r w:rsidR="000014F1" w:rsidRPr="00584D32">
        <w:t xml:space="preserve">nterconnection </w:t>
      </w:r>
      <w:r w:rsidR="003117CF">
        <w:t>Q</w:t>
      </w:r>
      <w:r w:rsidR="000014F1" w:rsidRPr="00584D32">
        <w:t>ueue</w:t>
      </w:r>
      <w:r w:rsidR="00C15064" w:rsidRPr="00584D32">
        <w:t>.</w:t>
      </w:r>
      <w:r w:rsidR="00E2466C" w:rsidRPr="00584D32">
        <w:t xml:space="preserve"> </w:t>
      </w:r>
      <w:r w:rsidRPr="00584D32">
        <w:t>For all resources</w:t>
      </w:r>
      <w:r w:rsidR="00021E38">
        <w:t>,</w:t>
      </w:r>
      <w:r w:rsidR="00581EAF" w:rsidRPr="00584D32">
        <w:t xml:space="preserve"> </w:t>
      </w:r>
      <w:r w:rsidR="00C15064" w:rsidRPr="00584D32">
        <w:t>o</w:t>
      </w:r>
      <w:r w:rsidR="00581EAF" w:rsidRPr="00584D32">
        <w:t>perating</w:t>
      </w:r>
      <w:r w:rsidR="00581EAF" w:rsidRPr="00444C3D">
        <w:t xml:space="preserve"> </w:t>
      </w:r>
      <w:r w:rsidR="00C15064" w:rsidRPr="00444C3D">
        <w:t>c</w:t>
      </w:r>
      <w:r w:rsidR="00581EAF" w:rsidRPr="00444C3D">
        <w:t>haracteristics</w:t>
      </w:r>
      <w:r w:rsidR="00C15064" w:rsidRPr="00444C3D">
        <w:t xml:space="preserve"> (e.g., </w:t>
      </w:r>
      <w:r w:rsidR="004B2CD3" w:rsidRPr="00444C3D">
        <w:t xml:space="preserve">for </w:t>
      </w:r>
      <w:r w:rsidR="00C15064" w:rsidRPr="00444C3D">
        <w:t>heat rate, ramp rate,</w:t>
      </w:r>
      <w:r w:rsidR="00C15064">
        <w:t xml:space="preserve"> minimum down time, minimum up time) were used</w:t>
      </w:r>
      <w:r w:rsidR="00773EA4">
        <w:t xml:space="preserve"> where data w</w:t>
      </w:r>
      <w:r w:rsidR="00785269">
        <w:t>ere</w:t>
      </w:r>
      <w:r w:rsidR="00773EA4">
        <w:t xml:space="preserve"> available</w:t>
      </w:r>
      <w:r w:rsidR="00785269">
        <w:t>,</w:t>
      </w:r>
      <w:r w:rsidR="00773EA4">
        <w:t xml:space="preserve"> and </w:t>
      </w:r>
      <w:r w:rsidR="00C15064" w:rsidRPr="00E5063C">
        <w:t>generic information</w:t>
      </w:r>
      <w:r w:rsidR="00C15064">
        <w:t xml:space="preserve"> </w:t>
      </w:r>
      <w:r w:rsidR="00773EA4">
        <w:t xml:space="preserve">was modeled </w:t>
      </w:r>
      <w:r w:rsidR="00C15064">
        <w:t xml:space="preserve">for </w:t>
      </w:r>
      <w:r w:rsidR="00773EA4">
        <w:t xml:space="preserve">other generators, </w:t>
      </w:r>
      <w:r w:rsidR="00773EA4" w:rsidRPr="00BE5DAE">
        <w:t>which wa</w:t>
      </w:r>
      <w:r w:rsidR="009D61F2" w:rsidRPr="00BE5DAE">
        <w:t xml:space="preserve">s suitable for </w:t>
      </w:r>
      <w:r w:rsidR="00773EA4" w:rsidRPr="00BE5DAE">
        <w:t>this study</w:t>
      </w:r>
      <w:r w:rsidR="004B2CD3" w:rsidRPr="00BE5DAE">
        <w:t xml:space="preserve">. </w:t>
      </w:r>
      <w:r w:rsidR="00581EAF" w:rsidRPr="00BE5DAE">
        <w:t xml:space="preserve">Additions of NGCC not in the queue </w:t>
      </w:r>
      <w:r w:rsidR="00E2466C" w:rsidRPr="00BE5DAE">
        <w:t>as of April 1, 2016</w:t>
      </w:r>
      <w:r w:rsidR="00785269" w:rsidRPr="00BE5DAE">
        <w:t>,</w:t>
      </w:r>
      <w:r w:rsidR="00E2466C" w:rsidRPr="00BE5DAE">
        <w:t xml:space="preserve"> </w:t>
      </w:r>
      <w:r w:rsidR="00473D3B" w:rsidRPr="00BE5DAE">
        <w:t xml:space="preserve">but needed to meet the NICR </w:t>
      </w:r>
      <w:r w:rsidR="00581EAF" w:rsidRPr="00BE5DAE">
        <w:t>w</w:t>
      </w:r>
      <w:r w:rsidR="004B2CD3" w:rsidRPr="00BE5DAE">
        <w:t xml:space="preserve">ere </w:t>
      </w:r>
      <w:r w:rsidR="00581EAF" w:rsidRPr="00BE5DAE">
        <w:t xml:space="preserve">first added at sites </w:t>
      </w:r>
      <w:r w:rsidR="00021E38" w:rsidRPr="00BE5DAE">
        <w:t>of retired resources up to the size of the</w:t>
      </w:r>
      <w:r w:rsidR="00021E38">
        <w:t xml:space="preserve"> retired resources and, if necessary,</w:t>
      </w:r>
      <w:r w:rsidR="00581EAF" w:rsidRPr="00581EAF">
        <w:t xml:space="preserve"> </w:t>
      </w:r>
      <w:r w:rsidR="00581EAF" w:rsidRPr="00BE5DAE">
        <w:t xml:space="preserve">added </w:t>
      </w:r>
      <w:r w:rsidR="00C07769" w:rsidRPr="00BE5DAE">
        <w:t>at</w:t>
      </w:r>
      <w:r w:rsidR="00581EAF" w:rsidRPr="00BE5DAE">
        <w:t xml:space="preserve"> the </w:t>
      </w:r>
      <w:r w:rsidR="004B2CD3" w:rsidRPr="00BE5DAE">
        <w:t>H</w:t>
      </w:r>
      <w:r w:rsidR="00581EAF" w:rsidRPr="00BE5DAE">
        <w:t>ub</w:t>
      </w:r>
      <w:r w:rsidR="00DA576B" w:rsidRPr="00BE5DAE">
        <w:t>.</w:t>
      </w:r>
      <w:r w:rsidR="00263EFA" w:rsidRPr="00BE5DAE">
        <w:t xml:space="preserve"> </w:t>
      </w:r>
    </w:p>
    <w:p w:rsidR="00E4647F" w:rsidRDefault="00E4647F" w:rsidP="00DC4C42">
      <w:r w:rsidRPr="00BE5DAE">
        <w:t>The scenarios assume</w:t>
      </w:r>
      <w:r w:rsidR="00C759F6" w:rsidRPr="00BE5DAE">
        <w:t>d</w:t>
      </w:r>
      <w:r w:rsidRPr="00BE5DAE">
        <w:t xml:space="preserve"> that a</w:t>
      </w:r>
      <w:r w:rsidR="005A2F25" w:rsidRPr="00BE5DAE">
        <w:t>n installed</w:t>
      </w:r>
      <w:r w:rsidRPr="00BE5DAE">
        <w:t xml:space="preserve"> reserve margin </w:t>
      </w:r>
      <w:r w:rsidR="005A2F25" w:rsidRPr="00BE5DAE">
        <w:t xml:space="preserve">of </w:t>
      </w:r>
      <w:r w:rsidRPr="00BE5DAE">
        <w:t>14% above the gross 50/50 peak load</w:t>
      </w:r>
      <w:r w:rsidR="00ED4368" w:rsidRPr="00BE5DAE">
        <w:t xml:space="preserve"> </w:t>
      </w:r>
      <w:r w:rsidR="00473D3B" w:rsidRPr="00BE5DAE">
        <w:t>(minus</w:t>
      </w:r>
      <w:r w:rsidR="00ED4368" w:rsidRPr="00BE5DAE">
        <w:t xml:space="preserve"> the peak load reduction due to the</w:t>
      </w:r>
      <w:r w:rsidRPr="00BE5DAE">
        <w:t xml:space="preserve"> BTM PV</w:t>
      </w:r>
      <w:r w:rsidR="00473D3B" w:rsidRPr="00BE5DAE">
        <w:t>)</w:t>
      </w:r>
      <w:r w:rsidR="00773EA4" w:rsidRPr="00BE5DAE">
        <w:t xml:space="preserve"> would meet the systemwide net </w:t>
      </w:r>
      <w:r w:rsidR="00C704B2" w:rsidRPr="00BE5DAE">
        <w:t>ICRs</w:t>
      </w:r>
      <w:r w:rsidRPr="00BE5DAE">
        <w:t>. This base scenario</w:t>
      </w:r>
      <w:r w:rsidRPr="00E4647F">
        <w:t xml:space="preserve"> assumption </w:t>
      </w:r>
      <w:r w:rsidRPr="00E4647F">
        <w:lastRenderedPageBreak/>
        <w:t xml:space="preserve">is reasonable when considering the </w:t>
      </w:r>
      <w:r w:rsidRPr="00924838">
        <w:t>NICR summarized in recent R</w:t>
      </w:r>
      <w:r w:rsidR="00CC086F" w:rsidRPr="00924838">
        <w:t xml:space="preserve">egional </w:t>
      </w:r>
      <w:r w:rsidRPr="00924838">
        <w:t>S</w:t>
      </w:r>
      <w:r w:rsidR="00CC086F" w:rsidRPr="00924838">
        <w:t xml:space="preserve">ystem </w:t>
      </w:r>
      <w:r w:rsidRPr="00924838">
        <w:t>P</w:t>
      </w:r>
      <w:r w:rsidR="00CC086F" w:rsidRPr="00924838">
        <w:t>lan</w:t>
      </w:r>
      <w:r w:rsidRPr="00924838">
        <w:t>s.</w:t>
      </w:r>
      <w:r w:rsidRPr="00924838">
        <w:rPr>
          <w:rStyle w:val="FootnoteReference"/>
        </w:rPr>
        <w:footnoteReference w:id="42"/>
      </w:r>
      <w:r w:rsidRPr="00924838">
        <w:t xml:space="preserve"> </w:t>
      </w:r>
      <w:r w:rsidR="008C0B4C" w:rsidRPr="00924838">
        <w:t>In this calculation, e</w:t>
      </w:r>
      <w:r w:rsidR="006F31DE" w:rsidRPr="00924838">
        <w:t>nergy efficiency was considered a</w:t>
      </w:r>
      <w:r w:rsidR="006F31DE">
        <w:t xml:space="preserve"> resource that contributes toward meeting </w:t>
      </w:r>
      <w:r w:rsidR="00972291">
        <w:t xml:space="preserve">the </w:t>
      </w:r>
      <w:r w:rsidR="006F31DE">
        <w:t>NICR.</w:t>
      </w:r>
    </w:p>
    <w:p w:rsidR="00581EAF" w:rsidRDefault="00581EAF" w:rsidP="00DC4C42">
      <w:r w:rsidRPr="00581EAF">
        <w:t>Operating</w:t>
      </w:r>
      <w:r w:rsidR="00C704B2">
        <w:t>-</w:t>
      </w:r>
      <w:r w:rsidRPr="00581EAF">
        <w:t>reserve requirement</w:t>
      </w:r>
      <w:r w:rsidR="004B2CD3">
        <w:t>s</w:t>
      </w:r>
      <w:r w:rsidRPr="00581EAF">
        <w:t xml:space="preserve"> </w:t>
      </w:r>
      <w:r w:rsidR="004B2CD3">
        <w:t>were</w:t>
      </w:r>
      <w:r w:rsidRPr="00581EAF">
        <w:t xml:space="preserve"> </w:t>
      </w:r>
      <w:r w:rsidR="00E2466C" w:rsidRPr="00F1100A">
        <w:t>modeled</w:t>
      </w:r>
      <w:r w:rsidR="009D61F2" w:rsidRPr="00F1100A">
        <w:t xml:space="preserve"> </w:t>
      </w:r>
      <w:r w:rsidR="001F7D13" w:rsidRPr="000B2865">
        <w:t>based on</w:t>
      </w:r>
      <w:r w:rsidRPr="000B2865">
        <w:t xml:space="preserve"> the first</w:t>
      </w:r>
      <w:r w:rsidR="004B2CD3" w:rsidRPr="000B2865">
        <w:t>-</w:t>
      </w:r>
      <w:r w:rsidRPr="00A93DF7">
        <w:t xml:space="preserve"> and second</w:t>
      </w:r>
      <w:r w:rsidR="004B2CD3" w:rsidRPr="007E190C">
        <w:t>-</w:t>
      </w:r>
      <w:r w:rsidRPr="009D5DFB">
        <w:t xml:space="preserve">largest </w:t>
      </w:r>
      <w:r w:rsidR="001F7D13" w:rsidRPr="00EF75C6">
        <w:t xml:space="preserve">loss-of-source </w:t>
      </w:r>
      <w:r w:rsidRPr="00EF75C6">
        <w:t>system contingencies</w:t>
      </w:r>
      <w:r w:rsidR="001F7D13" w:rsidRPr="00EF75C6">
        <w:t>.</w:t>
      </w:r>
      <w:r w:rsidR="00972291">
        <w:rPr>
          <w:rStyle w:val="FootnoteReference"/>
        </w:rPr>
        <w:footnoteReference w:id="43"/>
      </w:r>
      <w:r w:rsidR="004B2CD3" w:rsidRPr="00EF75C6">
        <w:t xml:space="preserve"> </w:t>
      </w:r>
      <w:r w:rsidR="00DA576B" w:rsidRPr="000B2865">
        <w:t xml:space="preserve">The </w:t>
      </w:r>
      <w:r w:rsidR="00E2466C" w:rsidRPr="000B2865">
        <w:t xml:space="preserve">system’s </w:t>
      </w:r>
      <w:r w:rsidR="00DA576B" w:rsidRPr="000B2865">
        <w:t>current o</w:t>
      </w:r>
      <w:r w:rsidR="00DC4C42" w:rsidRPr="000B2865">
        <w:t>perating</w:t>
      </w:r>
      <w:r w:rsidR="00C704B2">
        <w:t>-</w:t>
      </w:r>
      <w:r w:rsidR="00DC4C42" w:rsidRPr="000B2865">
        <w:t>reserve requirements</w:t>
      </w:r>
      <w:r w:rsidR="00DA576B" w:rsidRPr="00A93DF7">
        <w:t xml:space="preserve"> </w:t>
      </w:r>
      <w:r w:rsidR="004B2CD3" w:rsidRPr="00BA36BC">
        <w:t>were</w:t>
      </w:r>
      <w:r w:rsidR="004B2CD3" w:rsidRPr="007E190C">
        <w:t xml:space="preserve"> </w:t>
      </w:r>
      <w:r w:rsidR="00DA576B" w:rsidRPr="009D5DFB">
        <w:t>assumed</w:t>
      </w:r>
      <w:r w:rsidR="00DC4C42" w:rsidRPr="00EF75C6">
        <w:t>.</w:t>
      </w:r>
      <w:r w:rsidR="00DC4C42" w:rsidRPr="000B2865">
        <w:rPr>
          <w:rStyle w:val="FootnoteReference"/>
        </w:rPr>
        <w:footnoteReference w:id="44"/>
      </w:r>
      <w:r w:rsidR="00DC4C42" w:rsidRPr="000B2865">
        <w:t xml:space="preserve"> </w:t>
      </w:r>
      <w:r w:rsidR="00D5427D" w:rsidRPr="000B2865">
        <w:t xml:space="preserve">For 10-minute reserves, the study assumed that the system needed </w:t>
      </w:r>
      <w:r w:rsidRPr="000B2865">
        <w:t>125% of the first</w:t>
      </w:r>
      <w:r w:rsidR="00DA576B" w:rsidRPr="000B2865">
        <w:t>-</w:t>
      </w:r>
      <w:r w:rsidRPr="00A93DF7">
        <w:t xml:space="preserve">contingency </w:t>
      </w:r>
      <w:r w:rsidR="00DA576B" w:rsidRPr="00AD1752">
        <w:t>amount</w:t>
      </w:r>
      <w:r w:rsidR="00DC4C42" w:rsidRPr="00AD1752">
        <w:t>,</w:t>
      </w:r>
      <w:r w:rsidRPr="000B2865">
        <w:t xml:space="preserve"> </w:t>
      </w:r>
      <w:r w:rsidR="00DA576B" w:rsidRPr="000B2865">
        <w:t xml:space="preserve">divided </w:t>
      </w:r>
      <w:r w:rsidR="00DC4C42" w:rsidRPr="000B2865">
        <w:t xml:space="preserve">evenly </w:t>
      </w:r>
      <w:r w:rsidRPr="00A93DF7">
        <w:t>between</w:t>
      </w:r>
      <w:r w:rsidR="00DC4C42" w:rsidRPr="007E190C">
        <w:t xml:space="preserve"> </w:t>
      </w:r>
      <w:r w:rsidR="00DC4C42" w:rsidRPr="009D5DFB">
        <w:t>10</w:t>
      </w:r>
      <w:r w:rsidRPr="00EF75C6">
        <w:t>-</w:t>
      </w:r>
      <w:r w:rsidR="00DC4C42" w:rsidRPr="00EF75C6">
        <w:t>m</w:t>
      </w:r>
      <w:r w:rsidRPr="00EF75C6">
        <w:t xml:space="preserve">inute </w:t>
      </w:r>
      <w:r w:rsidR="00DC4C42" w:rsidRPr="00EF75C6">
        <w:t>s</w:t>
      </w:r>
      <w:r w:rsidRPr="00EF75C6">
        <w:t xml:space="preserve">pinning </w:t>
      </w:r>
      <w:r w:rsidR="00DC4C42" w:rsidRPr="00EF75C6">
        <w:t>r</w:t>
      </w:r>
      <w:r w:rsidRPr="00EF75C6">
        <w:t xml:space="preserve">eserve (TMSR) </w:t>
      </w:r>
      <w:r w:rsidR="00DC4C42" w:rsidRPr="00E0005F">
        <w:t>(</w:t>
      </w:r>
      <w:r w:rsidRPr="00E0005F">
        <w:t>50%</w:t>
      </w:r>
      <w:r w:rsidR="00DC4C42" w:rsidRPr="00E0005F">
        <w:t>) and 10</w:t>
      </w:r>
      <w:r w:rsidRPr="00E0005F">
        <w:t>-</w:t>
      </w:r>
      <w:r w:rsidR="00DC4C42" w:rsidRPr="00D221E9">
        <w:t>m</w:t>
      </w:r>
      <w:r w:rsidRPr="0028767E">
        <w:t xml:space="preserve">inute </w:t>
      </w:r>
      <w:r w:rsidR="00DC4C42" w:rsidRPr="0028767E">
        <w:t>n</w:t>
      </w:r>
      <w:r w:rsidRPr="0028767E">
        <w:t>on</w:t>
      </w:r>
      <w:r w:rsidR="00DC4C42" w:rsidRPr="0028767E">
        <w:t>s</w:t>
      </w:r>
      <w:r w:rsidRPr="0028767E">
        <w:t xml:space="preserve">pinning </w:t>
      </w:r>
      <w:r w:rsidR="00DC4C42" w:rsidRPr="0028767E">
        <w:t>r</w:t>
      </w:r>
      <w:r w:rsidRPr="005C2C9F">
        <w:t>eserve (TMNSR)</w:t>
      </w:r>
      <w:r w:rsidR="00DC4C42" w:rsidRPr="00DA0A3D">
        <w:t xml:space="preserve"> (</w:t>
      </w:r>
      <w:r w:rsidRPr="00D833E5">
        <w:t>50%</w:t>
      </w:r>
      <w:r w:rsidR="00DC4C42" w:rsidRPr="00D833E5">
        <w:t>).</w:t>
      </w:r>
      <w:r w:rsidR="00E4647F" w:rsidRPr="000B2865">
        <w:rPr>
          <w:rStyle w:val="FootnoteReference"/>
        </w:rPr>
        <w:footnoteReference w:id="45"/>
      </w:r>
      <w:r w:rsidR="00DC4C42" w:rsidRPr="000B2865">
        <w:t xml:space="preserve"> </w:t>
      </w:r>
      <w:r w:rsidRPr="009D5DFB">
        <w:t>Thirty-</w:t>
      </w:r>
      <w:r w:rsidR="00DC4C42" w:rsidRPr="00EF75C6">
        <w:t>m</w:t>
      </w:r>
      <w:r w:rsidRPr="00EF75C6">
        <w:t xml:space="preserve">inute </w:t>
      </w:r>
      <w:r w:rsidR="00DC4C42" w:rsidRPr="00EF75C6">
        <w:t>o</w:t>
      </w:r>
      <w:r w:rsidRPr="00EF75C6">
        <w:t>peratin</w:t>
      </w:r>
      <w:r w:rsidR="00DC4C42" w:rsidRPr="00EF75C6">
        <w:t>g</w:t>
      </w:r>
      <w:r w:rsidRPr="00EF75C6">
        <w:t xml:space="preserve"> </w:t>
      </w:r>
      <w:r w:rsidR="00DC4C42" w:rsidRPr="00EF75C6">
        <w:t>r</w:t>
      </w:r>
      <w:r w:rsidRPr="00E0005F">
        <w:t xml:space="preserve">eserve (TMOR) </w:t>
      </w:r>
      <w:r w:rsidR="004B2CD3" w:rsidRPr="00E0005F">
        <w:t>was</w:t>
      </w:r>
      <w:r w:rsidR="00DA576B" w:rsidRPr="00E0005F">
        <w:t xml:space="preserve"> </w:t>
      </w:r>
      <w:r w:rsidRPr="00E0005F">
        <w:t>not modeled</w:t>
      </w:r>
      <w:r w:rsidR="004B2CD3" w:rsidRPr="00D221E9">
        <w:t xml:space="preserve"> because it was assumed adequate and p</w:t>
      </w:r>
      <w:r w:rsidRPr="0028767E">
        <w:t>rovided by hydro, pumped storage</w:t>
      </w:r>
      <w:r w:rsidR="004B2CD3" w:rsidRPr="0028767E">
        <w:t>,</w:t>
      </w:r>
      <w:r w:rsidRPr="0028767E">
        <w:t xml:space="preserve"> and </w:t>
      </w:r>
      <w:r w:rsidR="004B2CD3" w:rsidRPr="00AD1752">
        <w:t>fast</w:t>
      </w:r>
      <w:r w:rsidRPr="00AD1752">
        <w:t>-start</w:t>
      </w:r>
      <w:r w:rsidRPr="000B2865">
        <w:t xml:space="preserve"> resources</w:t>
      </w:r>
      <w:r w:rsidR="004B2CD3" w:rsidRPr="000B2865">
        <w:t>.</w:t>
      </w:r>
      <w:r w:rsidR="007A529F" w:rsidRPr="000B2865">
        <w:rPr>
          <w:rStyle w:val="FootnoteReference"/>
        </w:rPr>
        <w:footnoteReference w:id="46"/>
      </w:r>
      <w:r w:rsidR="004B2CD3" w:rsidRPr="000B2865">
        <w:t xml:space="preserve"> </w:t>
      </w:r>
    </w:p>
    <w:p w:rsidR="00DE37E6" w:rsidRDefault="00902496" w:rsidP="00902496">
      <w:pPr>
        <w:sectPr w:rsidR="00DE37E6" w:rsidSect="00E17AAE">
          <w:footerReference w:type="default" r:id="rId27"/>
          <w:pgSz w:w="12240" w:h="15840" w:code="1"/>
          <w:pgMar w:top="1440" w:right="1440" w:bottom="1440" w:left="1440" w:header="720" w:footer="720" w:gutter="0"/>
          <w:cols w:space="720"/>
          <w:docGrid w:linePitch="360"/>
        </w:sectPr>
      </w:pPr>
      <w:r w:rsidRPr="00E31A9F">
        <w:fldChar w:fldCharType="begin"/>
      </w:r>
      <w:r w:rsidRPr="00E31A9F">
        <w:instrText xml:space="preserve"> REF _Ref461381035 \h </w:instrText>
      </w:r>
      <w:r>
        <w:instrText xml:space="preserve"> \* MERGEFORMAT </w:instrText>
      </w:r>
      <w:r w:rsidRPr="00E31A9F">
        <w:fldChar w:fldCharType="separate"/>
      </w:r>
      <w:r w:rsidR="00742B49">
        <w:t xml:space="preserve">Table </w:t>
      </w:r>
      <w:r w:rsidR="00742B49">
        <w:rPr>
          <w:noProof/>
        </w:rPr>
        <w:t>5</w:t>
      </w:r>
      <w:r w:rsidR="00742B49">
        <w:rPr>
          <w:noProof/>
        </w:rPr>
        <w:noBreakHyphen/>
        <w:t>5</w:t>
      </w:r>
      <w:r w:rsidRPr="00E31A9F">
        <w:fldChar w:fldCharType="end"/>
      </w:r>
      <w:r w:rsidRPr="00E31A9F">
        <w:t xml:space="preserve"> summarizes </w:t>
      </w:r>
      <w:r w:rsidR="007132C3">
        <w:t xml:space="preserve">each scenario’s </w:t>
      </w:r>
      <w:r w:rsidRPr="00E31A9F">
        <w:t>capacity assumptions for 2025 and 2030</w:t>
      </w:r>
      <w:r w:rsidR="00F304EA">
        <w:t xml:space="preserve"> </w:t>
      </w:r>
      <w:r w:rsidR="00F304EA" w:rsidRPr="00AD1752">
        <w:t xml:space="preserve">for meeting or exceeding the net Installed Capacity </w:t>
      </w:r>
      <w:r w:rsidR="00F304EA" w:rsidRPr="00E5063C">
        <w:t>Requirement.</w:t>
      </w:r>
      <w:r w:rsidR="00E125C0" w:rsidRPr="00DE37E6">
        <w:t xml:space="preserve"> </w:t>
      </w:r>
      <w:r w:rsidR="001A216F" w:rsidRPr="00DE37E6">
        <w:t>The sections that follow explain the assumptions in more detail</w:t>
      </w:r>
      <w:r w:rsidR="00A10C4B">
        <w:t>, including the energy-production profiles for each type of resource</w:t>
      </w:r>
      <w:r w:rsidR="001A216F" w:rsidRPr="00DE37E6">
        <w:t>.</w:t>
      </w:r>
    </w:p>
    <w:p w:rsidR="00902496" w:rsidRDefault="00902496" w:rsidP="008754D2">
      <w:pPr>
        <w:pStyle w:val="Caption"/>
        <w:jc w:val="center"/>
        <w:rPr>
          <w:highlight w:val="green"/>
        </w:rPr>
      </w:pPr>
      <w:bookmarkStart w:id="114" w:name="_Ref461381035"/>
      <w:bookmarkStart w:id="115" w:name="_Toc486406019"/>
      <w:r>
        <w:lastRenderedPageBreak/>
        <w:t xml:space="preserve">Table </w:t>
      </w:r>
      <w:fldSimple w:instr=" STYLEREF 1 \s ">
        <w:r w:rsidR="004248FE">
          <w:rPr>
            <w:noProof/>
          </w:rPr>
          <w:t>5</w:t>
        </w:r>
      </w:fldSimple>
      <w:r w:rsidR="004248FE">
        <w:noBreakHyphen/>
      </w:r>
      <w:fldSimple w:instr=" SEQ Table \* ARABIC \s 1 ">
        <w:r w:rsidR="004248FE">
          <w:rPr>
            <w:noProof/>
          </w:rPr>
          <w:t>5</w:t>
        </w:r>
      </w:fldSimple>
      <w:bookmarkEnd w:id="114"/>
      <w:r>
        <w:br/>
        <w:t xml:space="preserve">Summary of </w:t>
      </w:r>
      <w:r w:rsidRPr="007A1838">
        <w:t>Capacity Assumptions Used</w:t>
      </w:r>
      <w:r>
        <w:t xml:space="preserve"> in the Scenarios, 2025 and 2030 (MW)</w:t>
      </w:r>
      <w:bookmarkEnd w:id="115"/>
      <w:r w:rsidR="009E7B29" w:rsidRPr="00614842">
        <w:rPr>
          <w:strike/>
        </w:rPr>
        <w:t xml:space="preserve"> </w:t>
      </w:r>
    </w:p>
    <w:tbl>
      <w:tblPr>
        <w:tblW w:w="1514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702"/>
        <w:gridCol w:w="871"/>
        <w:gridCol w:w="907"/>
        <w:gridCol w:w="835"/>
        <w:gridCol w:w="871"/>
        <w:gridCol w:w="871"/>
        <w:gridCol w:w="871"/>
        <w:gridCol w:w="871"/>
        <w:gridCol w:w="871"/>
        <w:gridCol w:w="871"/>
        <w:gridCol w:w="870"/>
        <w:gridCol w:w="877"/>
        <w:gridCol w:w="844"/>
        <w:gridCol w:w="11"/>
      </w:tblGrid>
      <w:tr w:rsidR="005B6E59" w:rsidRPr="00020133" w:rsidTr="00F1055C">
        <w:trPr>
          <w:cantSplit/>
          <w:trHeight w:val="659"/>
          <w:tblHeader/>
          <w:jc w:val="center"/>
        </w:trPr>
        <w:tc>
          <w:tcPr>
            <w:tcW w:w="4702" w:type="dxa"/>
            <w:vMerge w:val="restart"/>
            <w:shd w:val="clear" w:color="auto" w:fill="4F81BD" w:themeFill="accent1"/>
            <w:tcMar>
              <w:top w:w="29" w:type="dxa"/>
              <w:left w:w="58" w:type="dxa"/>
              <w:bottom w:w="29" w:type="dxa"/>
              <w:right w:w="58" w:type="dxa"/>
            </w:tcMar>
            <w:vAlign w:val="center"/>
          </w:tcPr>
          <w:p w:rsidR="005B6E59" w:rsidRPr="005B6E59" w:rsidRDefault="005B6E59" w:rsidP="00902496">
            <w:pPr>
              <w:widowControl w:val="0"/>
              <w:adjustRightInd/>
              <w:spacing w:before="40" w:after="40" w:line="240" w:lineRule="auto"/>
              <w:ind w:left="134"/>
              <w:jc w:val="center"/>
              <w:textAlignment w:val="auto"/>
              <w:rPr>
                <w:rFonts w:ascii="Calibri" w:eastAsia="Calibri" w:hAnsi="Calibri" w:cs="Calibri"/>
                <w:b/>
                <w:color w:val="FFFFFF" w:themeColor="background1"/>
                <w:sz w:val="16"/>
                <w:szCs w:val="16"/>
              </w:rPr>
            </w:pPr>
            <w:r w:rsidRPr="005B6E59">
              <w:rPr>
                <w:rFonts w:ascii="Calibri" w:eastAsia="Calibri" w:hAnsi="Calibri" w:cs="Calibri"/>
                <w:b/>
                <w:color w:val="FFFFFF" w:themeColor="background1"/>
                <w:sz w:val="16"/>
                <w:szCs w:val="16"/>
              </w:rPr>
              <w:t>Parameter</w:t>
            </w:r>
          </w:p>
        </w:tc>
        <w:tc>
          <w:tcPr>
            <w:tcW w:w="1778" w:type="dxa"/>
            <w:gridSpan w:val="2"/>
            <w:shd w:val="clear" w:color="auto" w:fill="4F81BD" w:themeFill="accent1"/>
            <w:tcMar>
              <w:top w:w="29" w:type="dxa"/>
              <w:left w:w="58" w:type="dxa"/>
              <w:bottom w:w="29" w:type="dxa"/>
              <w:right w:w="58" w:type="dxa"/>
            </w:tcMar>
            <w:vAlign w:val="center"/>
          </w:tcPr>
          <w:p w:rsidR="005B6E59" w:rsidRPr="005B6E59" w:rsidRDefault="005B6E59" w:rsidP="00902496">
            <w:pPr>
              <w:widowControl w:val="0"/>
              <w:adjustRightInd/>
              <w:spacing w:before="40" w:after="40" w:line="240" w:lineRule="auto"/>
              <w:ind w:left="1"/>
              <w:jc w:val="center"/>
              <w:textAlignment w:val="auto"/>
              <w:rPr>
                <w:rFonts w:ascii="Calibri" w:eastAsia="Calibri" w:hAnsi="Calibri" w:cs="Calibri"/>
                <w:color w:val="FFFFFF" w:themeColor="background1"/>
                <w:sz w:val="16"/>
                <w:szCs w:val="16"/>
                <w:highlight w:val="green"/>
              </w:rPr>
            </w:pPr>
            <w:r>
              <w:rPr>
                <w:rFonts w:asciiTheme="minorHAnsi" w:hAnsiTheme="minorHAnsi"/>
                <w:b/>
                <w:color w:val="FFFFFF" w:themeColor="background1"/>
                <w:sz w:val="18"/>
                <w:szCs w:val="18"/>
              </w:rPr>
              <w:t xml:space="preserve">Scenario </w:t>
            </w:r>
            <w:r w:rsidRPr="00C8724B">
              <w:rPr>
                <w:rFonts w:asciiTheme="minorHAnsi" w:hAnsiTheme="minorHAnsi"/>
                <w:b/>
                <w:color w:val="FFFFFF" w:themeColor="background1"/>
                <w:sz w:val="18"/>
                <w:szCs w:val="18"/>
              </w:rPr>
              <w:t>1</w:t>
            </w:r>
            <w:r>
              <w:rPr>
                <w:rFonts w:asciiTheme="minorHAnsi" w:hAnsiTheme="minorHAnsi"/>
                <w:b/>
                <w:color w:val="FFFFFF" w:themeColor="background1"/>
                <w:sz w:val="18"/>
                <w:szCs w:val="18"/>
              </w:rPr>
              <w:br/>
            </w:r>
            <w:r w:rsidRPr="00C8724B">
              <w:rPr>
                <w:rFonts w:asciiTheme="minorHAnsi" w:hAnsiTheme="minorHAnsi"/>
                <w:b/>
                <w:color w:val="FFFFFF" w:themeColor="background1"/>
                <w:sz w:val="18"/>
                <w:szCs w:val="18"/>
              </w:rPr>
              <w:t>RPSs + Gas</w:t>
            </w:r>
          </w:p>
        </w:tc>
        <w:tc>
          <w:tcPr>
            <w:tcW w:w="1706" w:type="dxa"/>
            <w:gridSpan w:val="2"/>
            <w:shd w:val="clear" w:color="auto" w:fill="4F81BD" w:themeFill="accent1"/>
            <w:tcMar>
              <w:top w:w="29" w:type="dxa"/>
              <w:left w:w="58" w:type="dxa"/>
              <w:bottom w:w="29" w:type="dxa"/>
              <w:right w:w="58" w:type="dxa"/>
            </w:tcMar>
            <w:vAlign w:val="center"/>
          </w:tcPr>
          <w:p w:rsidR="005B6E59" w:rsidRPr="005B6E59" w:rsidRDefault="005B6E59" w:rsidP="00902496">
            <w:pPr>
              <w:widowControl w:val="0"/>
              <w:adjustRightInd/>
              <w:spacing w:before="40" w:after="40" w:line="240" w:lineRule="auto"/>
              <w:ind w:left="2"/>
              <w:jc w:val="center"/>
              <w:textAlignment w:val="auto"/>
              <w:rPr>
                <w:rFonts w:ascii="Calibri" w:eastAsia="Calibri" w:hAnsi="Calibri" w:cs="Calibri"/>
                <w:color w:val="FFFFFF" w:themeColor="background1"/>
                <w:sz w:val="16"/>
                <w:szCs w:val="16"/>
                <w:highlight w:val="green"/>
              </w:rPr>
            </w:pPr>
            <w:r>
              <w:rPr>
                <w:rFonts w:asciiTheme="minorHAnsi" w:hAnsiTheme="minorHAnsi"/>
                <w:b/>
                <w:color w:val="FFFFFF" w:themeColor="background1"/>
                <w:sz w:val="18"/>
                <w:szCs w:val="18"/>
              </w:rPr>
              <w:t xml:space="preserve">Scenario </w:t>
            </w:r>
            <w:r w:rsidRPr="00C8724B">
              <w:rPr>
                <w:rFonts w:asciiTheme="minorHAnsi" w:hAnsiTheme="minorHAnsi"/>
                <w:b/>
                <w:color w:val="FFFFFF" w:themeColor="background1"/>
                <w:sz w:val="18"/>
                <w:szCs w:val="18"/>
              </w:rPr>
              <w:t>2</w:t>
            </w:r>
            <w:r>
              <w:rPr>
                <w:rFonts w:asciiTheme="minorHAnsi" w:hAnsiTheme="minorHAnsi"/>
                <w:b/>
                <w:color w:val="FFFFFF" w:themeColor="background1"/>
                <w:sz w:val="18"/>
                <w:szCs w:val="18"/>
              </w:rPr>
              <w:br/>
            </w:r>
            <w:r w:rsidRPr="00C8724B">
              <w:rPr>
                <w:rFonts w:asciiTheme="minorHAnsi" w:hAnsiTheme="minorHAnsi"/>
                <w:b/>
                <w:color w:val="FFFFFF" w:themeColor="background1"/>
                <w:sz w:val="18"/>
                <w:szCs w:val="18"/>
              </w:rPr>
              <w:t>ISO Queue</w:t>
            </w:r>
          </w:p>
        </w:tc>
        <w:tc>
          <w:tcPr>
            <w:tcW w:w="1742" w:type="dxa"/>
            <w:gridSpan w:val="2"/>
            <w:shd w:val="clear" w:color="auto" w:fill="4F81BD" w:themeFill="accent1"/>
            <w:tcMar>
              <w:top w:w="29" w:type="dxa"/>
              <w:left w:w="58" w:type="dxa"/>
              <w:bottom w:w="29" w:type="dxa"/>
              <w:right w:w="58" w:type="dxa"/>
            </w:tcMar>
            <w:vAlign w:val="center"/>
          </w:tcPr>
          <w:p w:rsidR="005B6E59" w:rsidRPr="005B6E59" w:rsidRDefault="005B6E59" w:rsidP="00614842">
            <w:pPr>
              <w:widowControl w:val="0"/>
              <w:adjustRightInd/>
              <w:spacing w:before="40" w:after="40" w:line="240" w:lineRule="auto"/>
              <w:ind w:left="2"/>
              <w:jc w:val="center"/>
              <w:textAlignment w:val="auto"/>
              <w:rPr>
                <w:rFonts w:ascii="Calibri" w:eastAsia="Calibri" w:hAnsi="Calibri" w:cs="Calibri"/>
                <w:color w:val="FFFFFF" w:themeColor="background1"/>
                <w:sz w:val="16"/>
                <w:szCs w:val="16"/>
                <w:highlight w:val="green"/>
              </w:rPr>
            </w:pPr>
            <w:r>
              <w:rPr>
                <w:rFonts w:asciiTheme="minorHAnsi" w:hAnsiTheme="minorHAnsi"/>
                <w:b/>
                <w:color w:val="FFFFFF" w:themeColor="background1"/>
                <w:sz w:val="18"/>
                <w:szCs w:val="18"/>
              </w:rPr>
              <w:t xml:space="preserve">Scenario </w:t>
            </w:r>
            <w:r w:rsidRPr="00C8724B">
              <w:rPr>
                <w:rFonts w:asciiTheme="minorHAnsi" w:hAnsiTheme="minorHAnsi"/>
                <w:b/>
                <w:color w:val="FFFFFF" w:themeColor="background1"/>
                <w:sz w:val="18"/>
                <w:szCs w:val="18"/>
              </w:rPr>
              <w:t>3</w:t>
            </w:r>
            <w:r>
              <w:rPr>
                <w:rFonts w:asciiTheme="minorHAnsi" w:hAnsiTheme="minorHAnsi"/>
                <w:b/>
                <w:color w:val="FFFFFF" w:themeColor="background1"/>
                <w:sz w:val="18"/>
                <w:szCs w:val="18"/>
              </w:rPr>
              <w:br/>
            </w:r>
            <w:r w:rsidRPr="00C8724B">
              <w:rPr>
                <w:rFonts w:asciiTheme="minorHAnsi" w:hAnsiTheme="minorHAnsi"/>
                <w:b/>
                <w:color w:val="FFFFFF" w:themeColor="background1"/>
                <w:sz w:val="18"/>
                <w:szCs w:val="18"/>
              </w:rPr>
              <w:t>Renewables Plus</w:t>
            </w:r>
          </w:p>
        </w:tc>
        <w:tc>
          <w:tcPr>
            <w:tcW w:w="1742" w:type="dxa"/>
            <w:gridSpan w:val="2"/>
            <w:shd w:val="clear" w:color="auto" w:fill="4F81BD" w:themeFill="accent1"/>
            <w:tcMar>
              <w:top w:w="29" w:type="dxa"/>
              <w:left w:w="58" w:type="dxa"/>
              <w:bottom w:w="29" w:type="dxa"/>
              <w:right w:w="58" w:type="dxa"/>
            </w:tcMar>
            <w:vAlign w:val="center"/>
          </w:tcPr>
          <w:p w:rsidR="005B6E59" w:rsidRPr="005B6E59" w:rsidRDefault="005B6E59" w:rsidP="005B6E59">
            <w:pPr>
              <w:widowControl w:val="0"/>
              <w:adjustRightInd/>
              <w:spacing w:before="40" w:after="40" w:line="240" w:lineRule="auto"/>
              <w:ind w:left="3"/>
              <w:jc w:val="center"/>
              <w:textAlignment w:val="auto"/>
              <w:rPr>
                <w:rFonts w:ascii="Calibri" w:eastAsia="Calibri" w:hAnsi="Calibri" w:cs="Calibri"/>
                <w:color w:val="FFFFFF" w:themeColor="background1"/>
                <w:sz w:val="16"/>
                <w:szCs w:val="16"/>
                <w:highlight w:val="green"/>
              </w:rPr>
            </w:pPr>
            <w:r>
              <w:rPr>
                <w:rFonts w:asciiTheme="minorHAnsi" w:hAnsiTheme="minorHAnsi"/>
                <w:b/>
                <w:color w:val="FFFFFF" w:themeColor="background1"/>
                <w:sz w:val="18"/>
                <w:szCs w:val="18"/>
              </w:rPr>
              <w:t>Scenario 4</w:t>
            </w:r>
            <w:r>
              <w:rPr>
                <w:rFonts w:asciiTheme="minorHAnsi" w:hAnsiTheme="minorHAnsi"/>
                <w:b/>
                <w:color w:val="FFFFFF" w:themeColor="background1"/>
                <w:sz w:val="18"/>
                <w:szCs w:val="18"/>
              </w:rPr>
              <w:br/>
            </w:r>
            <w:r w:rsidRPr="00C8724B">
              <w:rPr>
                <w:rFonts w:asciiTheme="minorHAnsi" w:hAnsiTheme="minorHAnsi"/>
                <w:b/>
                <w:color w:val="FFFFFF" w:themeColor="background1"/>
                <w:sz w:val="18"/>
                <w:szCs w:val="18"/>
              </w:rPr>
              <w:t>No Retirements</w:t>
            </w:r>
            <w:r>
              <w:rPr>
                <w:rFonts w:asciiTheme="minorHAnsi" w:hAnsiTheme="minorHAnsi"/>
                <w:b/>
                <w:color w:val="FFFFFF" w:themeColor="background1"/>
                <w:sz w:val="18"/>
                <w:szCs w:val="18"/>
              </w:rPr>
              <w:t xml:space="preserve"> beyond FCA #10</w:t>
            </w:r>
          </w:p>
        </w:tc>
        <w:tc>
          <w:tcPr>
            <w:tcW w:w="1741" w:type="dxa"/>
            <w:gridSpan w:val="2"/>
            <w:shd w:val="clear" w:color="auto" w:fill="4F81BD" w:themeFill="accent1"/>
            <w:tcMar>
              <w:top w:w="29" w:type="dxa"/>
              <w:left w:w="58" w:type="dxa"/>
              <w:bottom w:w="29" w:type="dxa"/>
              <w:right w:w="58" w:type="dxa"/>
            </w:tcMar>
            <w:vAlign w:val="center"/>
          </w:tcPr>
          <w:p w:rsidR="005B6E59" w:rsidRPr="005B6E59" w:rsidRDefault="005B6E59" w:rsidP="00902496">
            <w:pPr>
              <w:widowControl w:val="0"/>
              <w:adjustRightInd/>
              <w:spacing w:before="40" w:after="40" w:line="240" w:lineRule="auto"/>
              <w:ind w:left="3"/>
              <w:jc w:val="center"/>
              <w:textAlignment w:val="auto"/>
              <w:rPr>
                <w:rFonts w:ascii="Calibri" w:eastAsia="Calibri" w:hAnsi="Calibri" w:cs="Calibri"/>
                <w:color w:val="FFFFFF" w:themeColor="background1"/>
                <w:sz w:val="16"/>
                <w:szCs w:val="16"/>
                <w:highlight w:val="green"/>
              </w:rPr>
            </w:pPr>
            <w:r>
              <w:rPr>
                <w:rFonts w:asciiTheme="minorHAnsi" w:hAnsiTheme="minorHAnsi"/>
                <w:b/>
                <w:color w:val="FFFFFF" w:themeColor="background1"/>
                <w:sz w:val="18"/>
                <w:szCs w:val="18"/>
              </w:rPr>
              <w:t xml:space="preserve">Scenario </w:t>
            </w:r>
            <w:r w:rsidRPr="00C8724B">
              <w:rPr>
                <w:rFonts w:asciiTheme="minorHAnsi" w:hAnsiTheme="minorHAnsi"/>
                <w:b/>
                <w:color w:val="FFFFFF" w:themeColor="background1"/>
                <w:sz w:val="18"/>
                <w:szCs w:val="18"/>
              </w:rPr>
              <w:t>5</w:t>
            </w:r>
            <w:r>
              <w:rPr>
                <w:rFonts w:asciiTheme="minorHAnsi" w:hAnsiTheme="minorHAnsi"/>
                <w:b/>
                <w:color w:val="FFFFFF" w:themeColor="background1"/>
                <w:sz w:val="18"/>
                <w:szCs w:val="18"/>
              </w:rPr>
              <w:br/>
            </w:r>
            <w:r w:rsidRPr="00C8724B">
              <w:rPr>
                <w:rFonts w:asciiTheme="minorHAnsi" w:hAnsiTheme="minorHAnsi"/>
                <w:b/>
                <w:color w:val="FFFFFF" w:themeColor="background1"/>
                <w:sz w:val="18"/>
                <w:szCs w:val="18"/>
              </w:rPr>
              <w:t>ACPs + Gas</w:t>
            </w:r>
          </w:p>
        </w:tc>
        <w:tc>
          <w:tcPr>
            <w:tcW w:w="1732" w:type="dxa"/>
            <w:gridSpan w:val="3"/>
            <w:shd w:val="clear" w:color="auto" w:fill="4F81BD" w:themeFill="accent1"/>
            <w:vAlign w:val="center"/>
          </w:tcPr>
          <w:p w:rsidR="005B6E59" w:rsidRPr="005B6E59" w:rsidRDefault="005B6E59" w:rsidP="00A7039E">
            <w:pPr>
              <w:widowControl w:val="0"/>
              <w:adjustRightInd/>
              <w:spacing w:before="40" w:after="40" w:line="240" w:lineRule="auto"/>
              <w:ind w:left="3"/>
              <w:jc w:val="center"/>
              <w:textAlignment w:val="auto"/>
              <w:rPr>
                <w:rFonts w:ascii="Calibri" w:eastAsia="Calibri" w:hAnsi="Calibri"/>
                <w:b/>
                <w:color w:val="FFFFFF" w:themeColor="background1"/>
                <w:sz w:val="16"/>
                <w:szCs w:val="16"/>
                <w:highlight w:val="green"/>
              </w:rPr>
            </w:pPr>
            <w:r>
              <w:rPr>
                <w:rFonts w:asciiTheme="minorHAnsi" w:hAnsiTheme="minorHAnsi"/>
                <w:b/>
                <w:color w:val="FFFFFF" w:themeColor="background1"/>
                <w:sz w:val="18"/>
                <w:szCs w:val="18"/>
              </w:rPr>
              <w:t xml:space="preserve">Scenario </w:t>
            </w:r>
            <w:r w:rsidRPr="00C8724B">
              <w:rPr>
                <w:rFonts w:asciiTheme="minorHAnsi" w:hAnsiTheme="minorHAnsi"/>
                <w:b/>
                <w:color w:val="FFFFFF" w:themeColor="background1"/>
                <w:sz w:val="18"/>
                <w:szCs w:val="18"/>
              </w:rPr>
              <w:t>6</w:t>
            </w:r>
            <w:r>
              <w:rPr>
                <w:rFonts w:asciiTheme="minorHAnsi" w:hAnsiTheme="minorHAnsi"/>
                <w:b/>
                <w:color w:val="FFFFFF" w:themeColor="background1"/>
                <w:sz w:val="18"/>
                <w:szCs w:val="18"/>
              </w:rPr>
              <w:br/>
            </w:r>
            <w:r w:rsidRPr="00C8724B">
              <w:rPr>
                <w:rFonts w:asciiTheme="minorHAnsi" w:hAnsiTheme="minorHAnsi"/>
                <w:b/>
                <w:color w:val="FFFFFF" w:themeColor="background1"/>
                <w:sz w:val="18"/>
                <w:szCs w:val="18"/>
              </w:rPr>
              <w:t>RPSs + Geodiverse Renewables</w:t>
            </w:r>
          </w:p>
        </w:tc>
      </w:tr>
      <w:tr w:rsidR="00A93DF7" w:rsidRPr="00020133" w:rsidTr="00020133">
        <w:trPr>
          <w:gridAfter w:val="1"/>
          <w:wAfter w:w="11" w:type="dxa"/>
          <w:cantSplit/>
          <w:trHeight w:val="20"/>
          <w:jc w:val="center"/>
        </w:trPr>
        <w:tc>
          <w:tcPr>
            <w:tcW w:w="4702" w:type="dxa"/>
            <w:vMerge/>
            <w:shd w:val="clear" w:color="auto" w:fill="4F81BD" w:themeFill="accent1"/>
            <w:tcMar>
              <w:top w:w="29" w:type="dxa"/>
              <w:left w:w="58" w:type="dxa"/>
              <w:bottom w:w="29" w:type="dxa"/>
              <w:right w:w="58" w:type="dxa"/>
            </w:tcMar>
            <w:vAlign w:val="center"/>
          </w:tcPr>
          <w:p w:rsidR="00A93DF7" w:rsidRPr="00F1055C" w:rsidRDefault="00A93DF7" w:rsidP="00902496">
            <w:pPr>
              <w:widowControl w:val="0"/>
              <w:adjustRightInd/>
              <w:spacing w:before="40" w:after="40" w:line="240" w:lineRule="auto"/>
              <w:ind w:left="134"/>
              <w:jc w:val="center"/>
              <w:textAlignment w:val="auto"/>
              <w:rPr>
                <w:rFonts w:ascii="Calibri" w:eastAsia="Calibri" w:hAnsi="Calibri" w:cs="Calibri"/>
                <w:color w:val="FFFFFF" w:themeColor="background1"/>
                <w:sz w:val="16"/>
                <w:szCs w:val="16"/>
              </w:rPr>
            </w:pPr>
          </w:p>
        </w:tc>
        <w:tc>
          <w:tcPr>
            <w:tcW w:w="871" w:type="dxa"/>
            <w:shd w:val="clear" w:color="auto" w:fill="4F81BD" w:themeFill="accent1"/>
            <w:tcMar>
              <w:top w:w="29" w:type="dxa"/>
              <w:left w:w="58" w:type="dxa"/>
              <w:bottom w:w="29" w:type="dxa"/>
              <w:right w:w="58" w:type="dxa"/>
            </w:tcMar>
            <w:vAlign w:val="center"/>
          </w:tcPr>
          <w:p w:rsidR="00A93DF7" w:rsidRPr="00F1055C" w:rsidRDefault="00A93DF7" w:rsidP="00902496">
            <w:pPr>
              <w:widowControl w:val="0"/>
              <w:adjustRightInd/>
              <w:spacing w:before="40" w:after="40" w:line="240" w:lineRule="auto"/>
              <w:ind w:left="209"/>
              <w:textAlignment w:val="auto"/>
              <w:rPr>
                <w:rFonts w:ascii="Calibri" w:eastAsia="Calibri" w:hAnsi="Calibri" w:cs="Calibri"/>
                <w:b/>
                <w:color w:val="FFFFFF" w:themeColor="background1"/>
                <w:sz w:val="16"/>
                <w:szCs w:val="16"/>
              </w:rPr>
            </w:pPr>
            <w:r w:rsidRPr="00F1055C">
              <w:rPr>
                <w:rFonts w:ascii="Calibri" w:eastAsia="Calibri" w:hAnsi="Calibri"/>
                <w:b/>
                <w:color w:val="FFFFFF" w:themeColor="background1"/>
                <w:sz w:val="16"/>
                <w:szCs w:val="16"/>
              </w:rPr>
              <w:t>2025</w:t>
            </w:r>
          </w:p>
        </w:tc>
        <w:tc>
          <w:tcPr>
            <w:tcW w:w="907" w:type="dxa"/>
            <w:shd w:val="clear" w:color="auto" w:fill="4F81BD" w:themeFill="accent1"/>
            <w:tcMar>
              <w:top w:w="29" w:type="dxa"/>
              <w:left w:w="58" w:type="dxa"/>
              <w:bottom w:w="29" w:type="dxa"/>
              <w:right w:w="58" w:type="dxa"/>
            </w:tcMar>
            <w:vAlign w:val="center"/>
          </w:tcPr>
          <w:p w:rsidR="00A93DF7" w:rsidRPr="00F1055C" w:rsidRDefault="00A93DF7" w:rsidP="00902496">
            <w:pPr>
              <w:widowControl w:val="0"/>
              <w:adjustRightInd/>
              <w:spacing w:before="40" w:after="40" w:line="240" w:lineRule="auto"/>
              <w:ind w:left="210"/>
              <w:textAlignment w:val="auto"/>
              <w:rPr>
                <w:rFonts w:ascii="Calibri" w:eastAsia="Calibri" w:hAnsi="Calibri" w:cs="Calibri"/>
                <w:b/>
                <w:color w:val="FFFFFF" w:themeColor="background1"/>
                <w:sz w:val="16"/>
                <w:szCs w:val="16"/>
              </w:rPr>
            </w:pPr>
            <w:r w:rsidRPr="00F1055C">
              <w:rPr>
                <w:rFonts w:ascii="Calibri" w:eastAsia="Calibri" w:hAnsi="Calibri"/>
                <w:b/>
                <w:color w:val="FFFFFF" w:themeColor="background1"/>
                <w:sz w:val="16"/>
                <w:szCs w:val="16"/>
              </w:rPr>
              <w:t>2030</w:t>
            </w:r>
          </w:p>
        </w:tc>
        <w:tc>
          <w:tcPr>
            <w:tcW w:w="835" w:type="dxa"/>
            <w:shd w:val="clear" w:color="auto" w:fill="4F81BD" w:themeFill="accent1"/>
            <w:tcMar>
              <w:top w:w="29" w:type="dxa"/>
              <w:left w:w="58" w:type="dxa"/>
              <w:bottom w:w="29" w:type="dxa"/>
              <w:right w:w="58" w:type="dxa"/>
            </w:tcMar>
            <w:vAlign w:val="center"/>
          </w:tcPr>
          <w:p w:rsidR="00A93DF7" w:rsidRPr="00F1055C" w:rsidRDefault="00A93DF7" w:rsidP="00902496">
            <w:pPr>
              <w:widowControl w:val="0"/>
              <w:adjustRightInd/>
              <w:spacing w:before="40" w:after="40" w:line="240" w:lineRule="auto"/>
              <w:ind w:left="209"/>
              <w:textAlignment w:val="auto"/>
              <w:rPr>
                <w:rFonts w:ascii="Calibri" w:eastAsia="Calibri" w:hAnsi="Calibri" w:cs="Calibri"/>
                <w:b/>
                <w:color w:val="FFFFFF" w:themeColor="background1"/>
                <w:sz w:val="16"/>
                <w:szCs w:val="16"/>
              </w:rPr>
            </w:pPr>
            <w:r w:rsidRPr="00F1055C">
              <w:rPr>
                <w:rFonts w:ascii="Calibri" w:eastAsia="Calibri" w:hAnsi="Calibri"/>
                <w:b/>
                <w:color w:val="FFFFFF" w:themeColor="background1"/>
                <w:sz w:val="16"/>
                <w:szCs w:val="16"/>
              </w:rPr>
              <w:t>2025</w:t>
            </w:r>
          </w:p>
        </w:tc>
        <w:tc>
          <w:tcPr>
            <w:tcW w:w="871" w:type="dxa"/>
            <w:shd w:val="clear" w:color="auto" w:fill="4F81BD" w:themeFill="accent1"/>
            <w:tcMar>
              <w:top w:w="29" w:type="dxa"/>
              <w:left w:w="58" w:type="dxa"/>
              <w:bottom w:w="29" w:type="dxa"/>
              <w:right w:w="58" w:type="dxa"/>
            </w:tcMar>
            <w:vAlign w:val="center"/>
          </w:tcPr>
          <w:p w:rsidR="00A93DF7" w:rsidRPr="00F1055C" w:rsidRDefault="00A93DF7" w:rsidP="00902496">
            <w:pPr>
              <w:widowControl w:val="0"/>
              <w:adjustRightInd/>
              <w:spacing w:before="40" w:after="40" w:line="240" w:lineRule="auto"/>
              <w:ind w:left="210"/>
              <w:textAlignment w:val="auto"/>
              <w:rPr>
                <w:rFonts w:ascii="Calibri" w:eastAsia="Calibri" w:hAnsi="Calibri" w:cs="Calibri"/>
                <w:b/>
                <w:color w:val="FFFFFF" w:themeColor="background1"/>
                <w:sz w:val="16"/>
                <w:szCs w:val="16"/>
              </w:rPr>
            </w:pPr>
            <w:r w:rsidRPr="00F1055C">
              <w:rPr>
                <w:rFonts w:ascii="Calibri" w:eastAsia="Calibri" w:hAnsi="Calibri"/>
                <w:b/>
                <w:color w:val="FFFFFF" w:themeColor="background1"/>
                <w:sz w:val="16"/>
                <w:szCs w:val="16"/>
              </w:rPr>
              <w:t>2030</w:t>
            </w:r>
          </w:p>
        </w:tc>
        <w:tc>
          <w:tcPr>
            <w:tcW w:w="871" w:type="dxa"/>
            <w:shd w:val="clear" w:color="auto" w:fill="4F81BD" w:themeFill="accent1"/>
            <w:tcMar>
              <w:top w:w="29" w:type="dxa"/>
              <w:left w:w="58" w:type="dxa"/>
              <w:bottom w:w="29" w:type="dxa"/>
              <w:right w:w="58" w:type="dxa"/>
            </w:tcMar>
            <w:vAlign w:val="center"/>
          </w:tcPr>
          <w:p w:rsidR="00A93DF7" w:rsidRPr="00F1055C" w:rsidRDefault="00A93DF7" w:rsidP="00902496">
            <w:pPr>
              <w:widowControl w:val="0"/>
              <w:adjustRightInd/>
              <w:spacing w:before="40" w:after="40" w:line="240" w:lineRule="auto"/>
              <w:ind w:left="210"/>
              <w:textAlignment w:val="auto"/>
              <w:rPr>
                <w:rFonts w:ascii="Calibri" w:eastAsia="Calibri" w:hAnsi="Calibri" w:cs="Calibri"/>
                <w:b/>
                <w:color w:val="FFFFFF" w:themeColor="background1"/>
                <w:sz w:val="16"/>
                <w:szCs w:val="16"/>
              </w:rPr>
            </w:pPr>
            <w:r w:rsidRPr="00F1055C">
              <w:rPr>
                <w:rFonts w:ascii="Calibri" w:eastAsia="Calibri" w:hAnsi="Calibri"/>
                <w:b/>
                <w:color w:val="FFFFFF" w:themeColor="background1"/>
                <w:sz w:val="16"/>
                <w:szCs w:val="16"/>
              </w:rPr>
              <w:t>2025</w:t>
            </w:r>
          </w:p>
        </w:tc>
        <w:tc>
          <w:tcPr>
            <w:tcW w:w="871" w:type="dxa"/>
            <w:shd w:val="clear" w:color="auto" w:fill="4F81BD" w:themeFill="accent1"/>
            <w:tcMar>
              <w:top w:w="29" w:type="dxa"/>
              <w:left w:w="58" w:type="dxa"/>
              <w:bottom w:w="29" w:type="dxa"/>
              <w:right w:w="58" w:type="dxa"/>
            </w:tcMar>
            <w:vAlign w:val="center"/>
          </w:tcPr>
          <w:p w:rsidR="00A93DF7" w:rsidRPr="00F1055C" w:rsidRDefault="00A93DF7" w:rsidP="00902496">
            <w:pPr>
              <w:widowControl w:val="0"/>
              <w:adjustRightInd/>
              <w:spacing w:before="40" w:after="40" w:line="240" w:lineRule="auto"/>
              <w:ind w:left="210"/>
              <w:textAlignment w:val="auto"/>
              <w:rPr>
                <w:rFonts w:ascii="Calibri" w:eastAsia="Calibri" w:hAnsi="Calibri" w:cs="Calibri"/>
                <w:b/>
                <w:color w:val="FFFFFF" w:themeColor="background1"/>
                <w:sz w:val="16"/>
                <w:szCs w:val="16"/>
              </w:rPr>
            </w:pPr>
            <w:r w:rsidRPr="00F1055C">
              <w:rPr>
                <w:rFonts w:ascii="Calibri" w:eastAsia="Calibri" w:hAnsi="Calibri"/>
                <w:b/>
                <w:color w:val="FFFFFF" w:themeColor="background1"/>
                <w:sz w:val="16"/>
                <w:szCs w:val="16"/>
              </w:rPr>
              <w:t>2030</w:t>
            </w:r>
          </w:p>
        </w:tc>
        <w:tc>
          <w:tcPr>
            <w:tcW w:w="871" w:type="dxa"/>
            <w:shd w:val="clear" w:color="auto" w:fill="4F81BD" w:themeFill="accent1"/>
            <w:tcMar>
              <w:top w:w="29" w:type="dxa"/>
              <w:left w:w="58" w:type="dxa"/>
              <w:bottom w:w="29" w:type="dxa"/>
              <w:right w:w="58" w:type="dxa"/>
            </w:tcMar>
            <w:vAlign w:val="center"/>
          </w:tcPr>
          <w:p w:rsidR="00A93DF7" w:rsidRPr="00F1055C" w:rsidRDefault="00A93DF7" w:rsidP="00902496">
            <w:pPr>
              <w:widowControl w:val="0"/>
              <w:adjustRightInd/>
              <w:spacing w:before="40" w:after="40" w:line="240" w:lineRule="auto"/>
              <w:ind w:left="210"/>
              <w:textAlignment w:val="auto"/>
              <w:rPr>
                <w:rFonts w:ascii="Calibri" w:eastAsia="Calibri" w:hAnsi="Calibri" w:cs="Calibri"/>
                <w:b/>
                <w:color w:val="FFFFFF" w:themeColor="background1"/>
                <w:sz w:val="16"/>
                <w:szCs w:val="16"/>
              </w:rPr>
            </w:pPr>
            <w:r w:rsidRPr="00F1055C">
              <w:rPr>
                <w:rFonts w:ascii="Calibri" w:eastAsia="Calibri" w:hAnsi="Calibri"/>
                <w:b/>
                <w:color w:val="FFFFFF" w:themeColor="background1"/>
                <w:sz w:val="16"/>
                <w:szCs w:val="16"/>
              </w:rPr>
              <w:t>2025</w:t>
            </w:r>
          </w:p>
        </w:tc>
        <w:tc>
          <w:tcPr>
            <w:tcW w:w="871" w:type="dxa"/>
            <w:shd w:val="clear" w:color="auto" w:fill="4F81BD" w:themeFill="accent1"/>
            <w:tcMar>
              <w:top w:w="29" w:type="dxa"/>
              <w:left w:w="58" w:type="dxa"/>
              <w:bottom w:w="29" w:type="dxa"/>
              <w:right w:w="58" w:type="dxa"/>
            </w:tcMar>
            <w:vAlign w:val="center"/>
          </w:tcPr>
          <w:p w:rsidR="00A93DF7" w:rsidRPr="00F1055C" w:rsidRDefault="00A93DF7" w:rsidP="00902496">
            <w:pPr>
              <w:widowControl w:val="0"/>
              <w:adjustRightInd/>
              <w:spacing w:before="40" w:after="40" w:line="240" w:lineRule="auto"/>
              <w:ind w:left="210"/>
              <w:textAlignment w:val="auto"/>
              <w:rPr>
                <w:rFonts w:ascii="Calibri" w:eastAsia="Calibri" w:hAnsi="Calibri" w:cs="Calibri"/>
                <w:b/>
                <w:color w:val="FFFFFF" w:themeColor="background1"/>
                <w:sz w:val="16"/>
                <w:szCs w:val="16"/>
              </w:rPr>
            </w:pPr>
            <w:r w:rsidRPr="00F1055C">
              <w:rPr>
                <w:rFonts w:ascii="Calibri" w:eastAsia="Calibri" w:hAnsi="Calibri"/>
                <w:b/>
                <w:color w:val="FFFFFF" w:themeColor="background1"/>
                <w:sz w:val="16"/>
                <w:szCs w:val="16"/>
              </w:rPr>
              <w:t>2030</w:t>
            </w:r>
          </w:p>
        </w:tc>
        <w:tc>
          <w:tcPr>
            <w:tcW w:w="871" w:type="dxa"/>
            <w:shd w:val="clear" w:color="auto" w:fill="4F81BD" w:themeFill="accent1"/>
            <w:tcMar>
              <w:top w:w="29" w:type="dxa"/>
              <w:left w:w="58" w:type="dxa"/>
              <w:bottom w:w="29" w:type="dxa"/>
              <w:right w:w="58" w:type="dxa"/>
            </w:tcMar>
            <w:vAlign w:val="center"/>
          </w:tcPr>
          <w:p w:rsidR="00A93DF7" w:rsidRPr="00F1055C" w:rsidRDefault="00A93DF7" w:rsidP="00902496">
            <w:pPr>
              <w:widowControl w:val="0"/>
              <w:adjustRightInd/>
              <w:spacing w:before="40" w:after="40" w:line="240" w:lineRule="auto"/>
              <w:ind w:left="210"/>
              <w:textAlignment w:val="auto"/>
              <w:rPr>
                <w:rFonts w:ascii="Calibri" w:eastAsia="Calibri" w:hAnsi="Calibri" w:cs="Calibri"/>
                <w:b/>
                <w:color w:val="FFFFFF" w:themeColor="background1"/>
                <w:sz w:val="16"/>
                <w:szCs w:val="16"/>
              </w:rPr>
            </w:pPr>
            <w:r w:rsidRPr="00F1055C">
              <w:rPr>
                <w:rFonts w:ascii="Calibri" w:eastAsia="Calibri" w:hAnsi="Calibri"/>
                <w:b/>
                <w:color w:val="FFFFFF" w:themeColor="background1"/>
                <w:sz w:val="16"/>
                <w:szCs w:val="16"/>
              </w:rPr>
              <w:t>2025</w:t>
            </w:r>
          </w:p>
        </w:tc>
        <w:tc>
          <w:tcPr>
            <w:tcW w:w="870" w:type="dxa"/>
            <w:shd w:val="clear" w:color="auto" w:fill="4F81BD" w:themeFill="accent1"/>
            <w:tcMar>
              <w:top w:w="29" w:type="dxa"/>
              <w:left w:w="58" w:type="dxa"/>
              <w:bottom w:w="29" w:type="dxa"/>
              <w:right w:w="58" w:type="dxa"/>
            </w:tcMar>
            <w:vAlign w:val="center"/>
          </w:tcPr>
          <w:p w:rsidR="00A93DF7" w:rsidRPr="00F1055C" w:rsidRDefault="00A93DF7" w:rsidP="00902496">
            <w:pPr>
              <w:widowControl w:val="0"/>
              <w:adjustRightInd/>
              <w:spacing w:before="40" w:after="40" w:line="240" w:lineRule="auto"/>
              <w:ind w:left="210"/>
              <w:textAlignment w:val="auto"/>
              <w:rPr>
                <w:rFonts w:ascii="Calibri" w:eastAsia="Calibri" w:hAnsi="Calibri" w:cs="Calibri"/>
                <w:b/>
                <w:color w:val="FFFFFF" w:themeColor="background1"/>
                <w:sz w:val="16"/>
                <w:szCs w:val="16"/>
              </w:rPr>
            </w:pPr>
            <w:r w:rsidRPr="00F1055C">
              <w:rPr>
                <w:rFonts w:ascii="Calibri" w:eastAsia="Calibri" w:hAnsi="Calibri"/>
                <w:b/>
                <w:color w:val="FFFFFF" w:themeColor="background1"/>
                <w:sz w:val="16"/>
                <w:szCs w:val="16"/>
              </w:rPr>
              <w:t>2030</w:t>
            </w:r>
          </w:p>
        </w:tc>
        <w:tc>
          <w:tcPr>
            <w:tcW w:w="877" w:type="dxa"/>
            <w:shd w:val="clear" w:color="auto" w:fill="4F81BD" w:themeFill="accent1"/>
            <w:vAlign w:val="center"/>
          </w:tcPr>
          <w:p w:rsidR="00A93DF7" w:rsidRPr="00F1055C" w:rsidRDefault="00A93DF7" w:rsidP="00902496">
            <w:pPr>
              <w:widowControl w:val="0"/>
              <w:adjustRightInd/>
              <w:spacing w:before="40" w:after="40" w:line="240" w:lineRule="auto"/>
              <w:ind w:left="210"/>
              <w:textAlignment w:val="auto"/>
              <w:rPr>
                <w:rFonts w:ascii="Calibri" w:eastAsia="Calibri" w:hAnsi="Calibri"/>
                <w:b/>
                <w:color w:val="FFFFFF" w:themeColor="background1"/>
                <w:sz w:val="16"/>
                <w:szCs w:val="16"/>
              </w:rPr>
            </w:pPr>
            <w:r w:rsidRPr="00F1055C">
              <w:rPr>
                <w:rFonts w:ascii="Calibri" w:eastAsia="Calibri" w:hAnsi="Calibri"/>
                <w:b/>
                <w:color w:val="FFFFFF" w:themeColor="background1"/>
                <w:sz w:val="16"/>
                <w:szCs w:val="16"/>
              </w:rPr>
              <w:t>2025</w:t>
            </w:r>
          </w:p>
        </w:tc>
        <w:tc>
          <w:tcPr>
            <w:tcW w:w="844" w:type="dxa"/>
            <w:shd w:val="clear" w:color="auto" w:fill="4F81BD" w:themeFill="accent1"/>
            <w:vAlign w:val="center"/>
          </w:tcPr>
          <w:p w:rsidR="00A93DF7" w:rsidRPr="00F1055C" w:rsidRDefault="00A93DF7" w:rsidP="00902496">
            <w:pPr>
              <w:widowControl w:val="0"/>
              <w:adjustRightInd/>
              <w:spacing w:before="40" w:after="40" w:line="240" w:lineRule="auto"/>
              <w:ind w:left="210"/>
              <w:textAlignment w:val="auto"/>
              <w:rPr>
                <w:rFonts w:ascii="Calibri" w:eastAsia="Calibri" w:hAnsi="Calibri"/>
                <w:b/>
                <w:color w:val="FFFFFF" w:themeColor="background1"/>
                <w:sz w:val="16"/>
                <w:szCs w:val="16"/>
              </w:rPr>
            </w:pPr>
            <w:r w:rsidRPr="00F1055C">
              <w:rPr>
                <w:rFonts w:ascii="Calibri" w:eastAsia="Calibri" w:hAnsi="Calibri"/>
                <w:b/>
                <w:color w:val="FFFFFF" w:themeColor="background1"/>
                <w:sz w:val="16"/>
                <w:szCs w:val="16"/>
              </w:rPr>
              <w:t>2030</w:t>
            </w:r>
          </w:p>
        </w:tc>
      </w:tr>
      <w:tr w:rsidR="00A93DF7" w:rsidRPr="00020133" w:rsidTr="00614842">
        <w:trPr>
          <w:gridAfter w:val="1"/>
          <w:wAfter w:w="11" w:type="dxa"/>
          <w:cantSplit/>
          <w:trHeight w:val="20"/>
          <w:jc w:val="center"/>
        </w:trPr>
        <w:tc>
          <w:tcPr>
            <w:tcW w:w="4702" w:type="dxa"/>
            <w:shd w:val="clear" w:color="auto" w:fill="DBE5F1"/>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34"/>
              <w:textAlignment w:val="auto"/>
              <w:rPr>
                <w:rFonts w:ascii="Calibri" w:eastAsia="Calibri" w:hAnsi="Calibri" w:cs="Calibri"/>
                <w:sz w:val="16"/>
                <w:szCs w:val="16"/>
              </w:rPr>
            </w:pPr>
            <w:r w:rsidRPr="00020133">
              <w:rPr>
                <w:rFonts w:ascii="Calibri" w:eastAsia="Calibri" w:hAnsi="Calibri"/>
                <w:b/>
                <w:sz w:val="16"/>
                <w:szCs w:val="16"/>
              </w:rPr>
              <w:t>FCA #10 cleared renewables (biofuels, landfill gas, etc.)</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65"/>
              <w:jc w:val="right"/>
              <w:textAlignment w:val="auto"/>
              <w:rPr>
                <w:rFonts w:ascii="Calibri" w:eastAsia="Calibri" w:hAnsi="Calibri" w:cs="Calibri"/>
                <w:sz w:val="16"/>
                <w:szCs w:val="16"/>
              </w:rPr>
            </w:pPr>
            <w:r w:rsidRPr="00020133">
              <w:rPr>
                <w:rFonts w:ascii="Calibri" w:eastAsia="Calibri" w:hAnsi="Calibri"/>
                <w:sz w:val="16"/>
                <w:szCs w:val="16"/>
              </w:rPr>
              <w:t>976</w:t>
            </w:r>
          </w:p>
        </w:tc>
        <w:tc>
          <w:tcPr>
            <w:tcW w:w="907"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65"/>
              <w:jc w:val="right"/>
              <w:textAlignment w:val="auto"/>
              <w:rPr>
                <w:rFonts w:ascii="Calibri" w:eastAsia="Calibri" w:hAnsi="Calibri" w:cs="Calibri"/>
                <w:sz w:val="16"/>
                <w:szCs w:val="16"/>
              </w:rPr>
            </w:pPr>
            <w:r w:rsidRPr="00020133">
              <w:rPr>
                <w:rFonts w:ascii="Calibri" w:eastAsia="Calibri" w:hAnsi="Calibri"/>
                <w:sz w:val="16"/>
                <w:szCs w:val="16"/>
              </w:rPr>
              <w:t>976</w:t>
            </w:r>
          </w:p>
        </w:tc>
        <w:tc>
          <w:tcPr>
            <w:tcW w:w="835"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65"/>
              <w:jc w:val="right"/>
              <w:textAlignment w:val="auto"/>
              <w:rPr>
                <w:rFonts w:ascii="Calibri" w:eastAsia="Calibri" w:hAnsi="Calibri" w:cs="Calibri"/>
                <w:sz w:val="16"/>
                <w:szCs w:val="16"/>
              </w:rPr>
            </w:pPr>
            <w:r w:rsidRPr="00020133">
              <w:rPr>
                <w:rFonts w:ascii="Calibri" w:eastAsia="Calibri" w:hAnsi="Calibri"/>
                <w:sz w:val="16"/>
                <w:szCs w:val="16"/>
              </w:rPr>
              <w:t>976</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65"/>
              <w:jc w:val="right"/>
              <w:textAlignment w:val="auto"/>
              <w:rPr>
                <w:rFonts w:ascii="Calibri" w:eastAsia="Calibri" w:hAnsi="Calibri" w:cs="Calibri"/>
                <w:sz w:val="16"/>
                <w:szCs w:val="16"/>
              </w:rPr>
            </w:pPr>
            <w:r w:rsidRPr="00020133">
              <w:rPr>
                <w:rFonts w:ascii="Calibri" w:eastAsia="Calibri" w:hAnsi="Calibri"/>
                <w:sz w:val="16"/>
                <w:szCs w:val="16"/>
              </w:rPr>
              <w:t>976</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65"/>
              <w:jc w:val="right"/>
              <w:textAlignment w:val="auto"/>
              <w:rPr>
                <w:rFonts w:ascii="Calibri" w:eastAsia="Calibri" w:hAnsi="Calibri" w:cs="Calibri"/>
                <w:sz w:val="16"/>
                <w:szCs w:val="16"/>
              </w:rPr>
            </w:pPr>
            <w:r w:rsidRPr="00020133">
              <w:rPr>
                <w:rFonts w:ascii="Calibri" w:eastAsia="Calibri" w:hAnsi="Calibri"/>
                <w:sz w:val="16"/>
                <w:szCs w:val="16"/>
              </w:rPr>
              <w:t>976</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65"/>
              <w:jc w:val="right"/>
              <w:textAlignment w:val="auto"/>
              <w:rPr>
                <w:rFonts w:ascii="Calibri" w:eastAsia="Calibri" w:hAnsi="Calibri" w:cs="Calibri"/>
                <w:sz w:val="16"/>
                <w:szCs w:val="16"/>
              </w:rPr>
            </w:pPr>
            <w:r w:rsidRPr="00020133">
              <w:rPr>
                <w:rFonts w:ascii="Calibri" w:eastAsia="Calibri" w:hAnsi="Calibri"/>
                <w:sz w:val="16"/>
                <w:szCs w:val="16"/>
              </w:rPr>
              <w:t>976</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65"/>
              <w:jc w:val="right"/>
              <w:textAlignment w:val="auto"/>
              <w:rPr>
                <w:rFonts w:ascii="Calibri" w:eastAsia="Calibri" w:hAnsi="Calibri" w:cs="Calibri"/>
                <w:sz w:val="16"/>
                <w:szCs w:val="16"/>
              </w:rPr>
            </w:pPr>
            <w:r w:rsidRPr="00020133">
              <w:rPr>
                <w:rFonts w:ascii="Calibri" w:eastAsia="Calibri" w:hAnsi="Calibri"/>
                <w:sz w:val="16"/>
                <w:szCs w:val="16"/>
              </w:rPr>
              <w:t>976</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65"/>
              <w:jc w:val="right"/>
              <w:textAlignment w:val="auto"/>
              <w:rPr>
                <w:rFonts w:ascii="Calibri" w:eastAsia="Calibri" w:hAnsi="Calibri" w:cs="Calibri"/>
                <w:sz w:val="16"/>
                <w:szCs w:val="16"/>
              </w:rPr>
            </w:pPr>
            <w:r w:rsidRPr="00020133">
              <w:rPr>
                <w:rFonts w:ascii="Calibri" w:eastAsia="Calibri" w:hAnsi="Calibri"/>
                <w:sz w:val="16"/>
                <w:szCs w:val="16"/>
              </w:rPr>
              <w:t>976</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65"/>
              <w:jc w:val="right"/>
              <w:textAlignment w:val="auto"/>
              <w:rPr>
                <w:rFonts w:ascii="Calibri" w:eastAsia="Calibri" w:hAnsi="Calibri" w:cs="Calibri"/>
                <w:sz w:val="16"/>
                <w:szCs w:val="16"/>
              </w:rPr>
            </w:pPr>
            <w:r w:rsidRPr="00020133">
              <w:rPr>
                <w:rFonts w:ascii="Calibri" w:eastAsia="Calibri" w:hAnsi="Calibri"/>
                <w:sz w:val="16"/>
                <w:szCs w:val="16"/>
              </w:rPr>
              <w:t>976</w:t>
            </w:r>
          </w:p>
        </w:tc>
        <w:tc>
          <w:tcPr>
            <w:tcW w:w="870"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66"/>
              <w:jc w:val="right"/>
              <w:textAlignment w:val="auto"/>
              <w:rPr>
                <w:rFonts w:ascii="Calibri" w:eastAsia="Calibri" w:hAnsi="Calibri" w:cs="Calibri"/>
                <w:sz w:val="16"/>
                <w:szCs w:val="16"/>
              </w:rPr>
            </w:pPr>
            <w:r w:rsidRPr="00020133">
              <w:rPr>
                <w:rFonts w:ascii="Calibri" w:eastAsia="Calibri" w:hAnsi="Calibri"/>
                <w:sz w:val="16"/>
                <w:szCs w:val="16"/>
              </w:rPr>
              <w:t>976</w:t>
            </w:r>
          </w:p>
        </w:tc>
        <w:tc>
          <w:tcPr>
            <w:tcW w:w="877" w:type="dxa"/>
            <w:shd w:val="clear" w:color="auto" w:fill="D9D9D9" w:themeFill="background1" w:themeFillShade="D9"/>
            <w:tcMar>
              <w:right w:w="58" w:type="dxa"/>
            </w:tcMar>
            <w:vAlign w:val="center"/>
          </w:tcPr>
          <w:p w:rsidR="00A93DF7" w:rsidRPr="00020133" w:rsidRDefault="00A93DF7" w:rsidP="00902496">
            <w:pPr>
              <w:widowControl w:val="0"/>
              <w:adjustRightInd/>
              <w:spacing w:before="40" w:after="40" w:line="240" w:lineRule="auto"/>
              <w:ind w:left="266"/>
              <w:jc w:val="right"/>
              <w:textAlignment w:val="auto"/>
              <w:rPr>
                <w:rFonts w:ascii="Calibri" w:eastAsia="Calibri" w:hAnsi="Calibri"/>
                <w:sz w:val="16"/>
                <w:szCs w:val="16"/>
              </w:rPr>
            </w:pPr>
            <w:r w:rsidRPr="00020133">
              <w:rPr>
                <w:rFonts w:ascii="Calibri" w:eastAsia="Calibri" w:hAnsi="Calibri"/>
                <w:sz w:val="16"/>
                <w:szCs w:val="16"/>
              </w:rPr>
              <w:t>976</w:t>
            </w:r>
          </w:p>
        </w:tc>
        <w:tc>
          <w:tcPr>
            <w:tcW w:w="844" w:type="dxa"/>
            <w:shd w:val="clear" w:color="auto" w:fill="D9D9D9" w:themeFill="background1" w:themeFillShade="D9"/>
            <w:tcMar>
              <w:right w:w="58" w:type="dxa"/>
            </w:tcMar>
            <w:vAlign w:val="center"/>
          </w:tcPr>
          <w:p w:rsidR="00A93DF7" w:rsidRPr="00020133" w:rsidRDefault="00A93DF7" w:rsidP="00902496">
            <w:pPr>
              <w:widowControl w:val="0"/>
              <w:adjustRightInd/>
              <w:spacing w:before="40" w:after="40" w:line="240" w:lineRule="auto"/>
              <w:ind w:left="266"/>
              <w:jc w:val="right"/>
              <w:textAlignment w:val="auto"/>
              <w:rPr>
                <w:rFonts w:ascii="Calibri" w:eastAsia="Calibri" w:hAnsi="Calibri"/>
                <w:sz w:val="16"/>
                <w:szCs w:val="16"/>
              </w:rPr>
            </w:pPr>
            <w:r w:rsidRPr="00020133">
              <w:rPr>
                <w:rFonts w:ascii="Calibri" w:eastAsia="Calibri" w:hAnsi="Calibri"/>
                <w:sz w:val="16"/>
                <w:szCs w:val="16"/>
              </w:rPr>
              <w:t>976</w:t>
            </w:r>
          </w:p>
        </w:tc>
      </w:tr>
      <w:tr w:rsidR="00A93DF7" w:rsidRPr="00020133" w:rsidTr="00614842">
        <w:trPr>
          <w:gridAfter w:val="1"/>
          <w:wAfter w:w="11" w:type="dxa"/>
          <w:cantSplit/>
          <w:trHeight w:val="20"/>
          <w:jc w:val="center"/>
        </w:trPr>
        <w:tc>
          <w:tcPr>
            <w:tcW w:w="4702" w:type="dxa"/>
            <w:shd w:val="clear" w:color="auto" w:fill="DBE5F1"/>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34"/>
              <w:textAlignment w:val="auto"/>
              <w:rPr>
                <w:rFonts w:ascii="Calibri" w:eastAsia="Calibri" w:hAnsi="Calibri" w:cs="Calibri"/>
                <w:sz w:val="16"/>
                <w:szCs w:val="16"/>
              </w:rPr>
            </w:pPr>
            <w:r w:rsidRPr="00020133">
              <w:rPr>
                <w:rFonts w:ascii="Calibri" w:eastAsia="Calibri" w:hAnsi="Calibri"/>
                <w:b/>
                <w:sz w:val="16"/>
                <w:szCs w:val="16"/>
              </w:rPr>
              <w:t>FCA #10 cleared solar</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
              <w:jc w:val="right"/>
              <w:textAlignment w:val="auto"/>
              <w:rPr>
                <w:rFonts w:ascii="Calibri" w:eastAsia="Calibri" w:hAnsi="Calibri" w:cs="Calibri"/>
                <w:sz w:val="16"/>
                <w:szCs w:val="16"/>
              </w:rPr>
            </w:pPr>
            <w:r w:rsidRPr="00020133">
              <w:rPr>
                <w:rFonts w:ascii="Calibri" w:eastAsia="Calibri" w:hAnsi="Calibri"/>
                <w:sz w:val="16"/>
                <w:szCs w:val="16"/>
              </w:rPr>
              <w:t>62</w:t>
            </w:r>
          </w:p>
        </w:tc>
        <w:tc>
          <w:tcPr>
            <w:tcW w:w="907"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
              <w:jc w:val="right"/>
              <w:textAlignment w:val="auto"/>
              <w:rPr>
                <w:rFonts w:ascii="Calibri" w:eastAsia="Calibri" w:hAnsi="Calibri" w:cs="Calibri"/>
                <w:sz w:val="16"/>
                <w:szCs w:val="16"/>
              </w:rPr>
            </w:pPr>
            <w:r w:rsidRPr="00020133">
              <w:rPr>
                <w:rFonts w:ascii="Calibri" w:eastAsia="Calibri" w:hAnsi="Calibri"/>
                <w:sz w:val="16"/>
                <w:szCs w:val="16"/>
              </w:rPr>
              <w:t>62</w:t>
            </w:r>
          </w:p>
        </w:tc>
        <w:tc>
          <w:tcPr>
            <w:tcW w:w="835"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
              <w:jc w:val="right"/>
              <w:textAlignment w:val="auto"/>
              <w:rPr>
                <w:rFonts w:ascii="Calibri" w:eastAsia="Calibri" w:hAnsi="Calibri" w:cs="Calibri"/>
                <w:sz w:val="16"/>
                <w:szCs w:val="16"/>
              </w:rPr>
            </w:pPr>
            <w:r w:rsidRPr="00020133">
              <w:rPr>
                <w:rFonts w:ascii="Calibri" w:eastAsia="Calibri" w:hAnsi="Calibri"/>
                <w:sz w:val="16"/>
                <w:szCs w:val="16"/>
              </w:rPr>
              <w:t>62</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
              <w:jc w:val="right"/>
              <w:textAlignment w:val="auto"/>
              <w:rPr>
                <w:rFonts w:ascii="Calibri" w:eastAsia="Calibri" w:hAnsi="Calibri" w:cs="Calibri"/>
                <w:sz w:val="16"/>
                <w:szCs w:val="16"/>
              </w:rPr>
            </w:pPr>
            <w:r w:rsidRPr="00020133">
              <w:rPr>
                <w:rFonts w:ascii="Calibri" w:eastAsia="Calibri" w:hAnsi="Calibri"/>
                <w:sz w:val="16"/>
                <w:szCs w:val="16"/>
              </w:rPr>
              <w:t>62</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
              <w:jc w:val="right"/>
              <w:textAlignment w:val="auto"/>
              <w:rPr>
                <w:rFonts w:ascii="Calibri" w:eastAsia="Calibri" w:hAnsi="Calibri" w:cs="Calibri"/>
                <w:sz w:val="16"/>
                <w:szCs w:val="16"/>
              </w:rPr>
            </w:pPr>
            <w:r w:rsidRPr="00020133">
              <w:rPr>
                <w:rFonts w:ascii="Calibri" w:eastAsia="Calibri" w:hAnsi="Calibri"/>
                <w:sz w:val="16"/>
                <w:szCs w:val="16"/>
              </w:rPr>
              <w:t>62</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020133">
              <w:rPr>
                <w:rFonts w:ascii="Calibri" w:eastAsia="Calibri" w:hAnsi="Calibri"/>
                <w:sz w:val="16"/>
                <w:szCs w:val="16"/>
              </w:rPr>
              <w:t>62</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020133">
              <w:rPr>
                <w:rFonts w:ascii="Calibri" w:eastAsia="Calibri" w:hAnsi="Calibri"/>
                <w:sz w:val="16"/>
                <w:szCs w:val="16"/>
              </w:rPr>
              <w:t>62</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020133">
              <w:rPr>
                <w:rFonts w:ascii="Calibri" w:eastAsia="Calibri" w:hAnsi="Calibri"/>
                <w:sz w:val="16"/>
                <w:szCs w:val="16"/>
              </w:rPr>
              <w:t>62</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020133">
              <w:rPr>
                <w:rFonts w:ascii="Calibri" w:eastAsia="Calibri" w:hAnsi="Calibri"/>
                <w:sz w:val="16"/>
                <w:szCs w:val="16"/>
              </w:rPr>
              <w:t>62</w:t>
            </w:r>
          </w:p>
        </w:tc>
        <w:tc>
          <w:tcPr>
            <w:tcW w:w="870"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3"/>
              <w:jc w:val="right"/>
              <w:textAlignment w:val="auto"/>
              <w:rPr>
                <w:rFonts w:ascii="Calibri" w:eastAsia="Calibri" w:hAnsi="Calibri" w:cs="Calibri"/>
                <w:sz w:val="16"/>
                <w:szCs w:val="16"/>
              </w:rPr>
            </w:pPr>
            <w:r w:rsidRPr="00020133">
              <w:rPr>
                <w:rFonts w:ascii="Calibri" w:eastAsia="Calibri" w:hAnsi="Calibri"/>
                <w:sz w:val="16"/>
                <w:szCs w:val="16"/>
              </w:rPr>
              <w:t>62</w:t>
            </w:r>
          </w:p>
        </w:tc>
        <w:tc>
          <w:tcPr>
            <w:tcW w:w="877" w:type="dxa"/>
            <w:shd w:val="clear" w:color="auto" w:fill="D9D9D9" w:themeFill="background1" w:themeFillShade="D9"/>
            <w:tcMar>
              <w:right w:w="58" w:type="dxa"/>
            </w:tcMar>
            <w:vAlign w:val="center"/>
          </w:tcPr>
          <w:p w:rsidR="00A93DF7" w:rsidRPr="00020133" w:rsidRDefault="00A93DF7" w:rsidP="00902496">
            <w:pPr>
              <w:widowControl w:val="0"/>
              <w:adjustRightInd/>
              <w:spacing w:before="40" w:after="40" w:line="240" w:lineRule="auto"/>
              <w:ind w:left="3"/>
              <w:jc w:val="right"/>
              <w:textAlignment w:val="auto"/>
              <w:rPr>
                <w:rFonts w:ascii="Calibri" w:eastAsia="Calibri" w:hAnsi="Calibri"/>
                <w:sz w:val="16"/>
                <w:szCs w:val="16"/>
              </w:rPr>
            </w:pPr>
            <w:r w:rsidRPr="00020133">
              <w:rPr>
                <w:rFonts w:ascii="Calibri" w:eastAsia="Calibri" w:hAnsi="Calibri"/>
                <w:sz w:val="16"/>
                <w:szCs w:val="16"/>
              </w:rPr>
              <w:t>62</w:t>
            </w:r>
          </w:p>
        </w:tc>
        <w:tc>
          <w:tcPr>
            <w:tcW w:w="844" w:type="dxa"/>
            <w:shd w:val="clear" w:color="auto" w:fill="D9D9D9" w:themeFill="background1" w:themeFillShade="D9"/>
            <w:tcMar>
              <w:right w:w="58" w:type="dxa"/>
            </w:tcMar>
            <w:vAlign w:val="center"/>
          </w:tcPr>
          <w:p w:rsidR="00A93DF7" w:rsidRPr="00020133" w:rsidRDefault="00A93DF7" w:rsidP="00902496">
            <w:pPr>
              <w:widowControl w:val="0"/>
              <w:adjustRightInd/>
              <w:spacing w:before="40" w:after="40" w:line="240" w:lineRule="auto"/>
              <w:ind w:left="3"/>
              <w:jc w:val="right"/>
              <w:textAlignment w:val="auto"/>
              <w:rPr>
                <w:rFonts w:ascii="Calibri" w:eastAsia="Calibri" w:hAnsi="Calibri"/>
                <w:sz w:val="16"/>
                <w:szCs w:val="16"/>
              </w:rPr>
            </w:pPr>
            <w:r w:rsidRPr="00020133">
              <w:rPr>
                <w:rFonts w:ascii="Calibri" w:eastAsia="Calibri" w:hAnsi="Calibri"/>
                <w:sz w:val="16"/>
                <w:szCs w:val="16"/>
              </w:rPr>
              <w:t>62</w:t>
            </w:r>
          </w:p>
        </w:tc>
      </w:tr>
      <w:tr w:rsidR="00A93DF7" w:rsidRPr="00020133" w:rsidTr="00614842">
        <w:trPr>
          <w:gridAfter w:val="1"/>
          <w:wAfter w:w="11" w:type="dxa"/>
          <w:cantSplit/>
          <w:trHeight w:val="20"/>
          <w:jc w:val="center"/>
        </w:trPr>
        <w:tc>
          <w:tcPr>
            <w:tcW w:w="4702" w:type="dxa"/>
            <w:shd w:val="clear" w:color="auto" w:fill="DBE5F1"/>
            <w:tcMar>
              <w:top w:w="29" w:type="dxa"/>
              <w:left w:w="58" w:type="dxa"/>
              <w:bottom w:w="29" w:type="dxa"/>
              <w:right w:w="58" w:type="dxa"/>
            </w:tcMar>
            <w:vAlign w:val="center"/>
          </w:tcPr>
          <w:p w:rsidR="00A93DF7" w:rsidRPr="00020133" w:rsidRDefault="00A93DF7" w:rsidP="00473D3B">
            <w:pPr>
              <w:widowControl w:val="0"/>
              <w:adjustRightInd/>
              <w:spacing w:before="40" w:after="40" w:line="240" w:lineRule="auto"/>
              <w:ind w:left="134"/>
              <w:textAlignment w:val="auto"/>
              <w:rPr>
                <w:rFonts w:ascii="Calibri" w:eastAsia="Calibri" w:hAnsi="Calibri" w:cs="Calibri"/>
                <w:sz w:val="16"/>
                <w:szCs w:val="16"/>
              </w:rPr>
            </w:pPr>
            <w:r w:rsidRPr="00020133">
              <w:rPr>
                <w:rFonts w:ascii="Calibri" w:eastAsia="Calibri" w:hAnsi="Calibri"/>
                <w:b/>
                <w:sz w:val="16"/>
                <w:szCs w:val="16"/>
              </w:rPr>
              <w:t>Forecasted EE and active demand resources without</w:t>
            </w:r>
            <w:r w:rsidR="00330100" w:rsidRPr="00020133">
              <w:rPr>
                <w:rFonts w:ascii="Calibri" w:eastAsia="Calibri" w:hAnsi="Calibri"/>
                <w:b/>
                <w:sz w:val="16"/>
                <w:szCs w:val="16"/>
              </w:rPr>
              <w:br/>
            </w:r>
            <w:r w:rsidRPr="00020133">
              <w:rPr>
                <w:rFonts w:ascii="Calibri" w:eastAsia="Calibri" w:hAnsi="Calibri"/>
                <w:b/>
                <w:sz w:val="16"/>
                <w:szCs w:val="16"/>
              </w:rPr>
              <w:t>real-time emergency generation (RTEG)</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09"/>
              <w:jc w:val="right"/>
              <w:textAlignment w:val="auto"/>
              <w:rPr>
                <w:rFonts w:ascii="Calibri" w:eastAsia="Calibri" w:hAnsi="Calibri" w:cs="Calibri"/>
                <w:sz w:val="16"/>
                <w:szCs w:val="16"/>
              </w:rPr>
            </w:pPr>
            <w:r w:rsidRPr="00020133">
              <w:rPr>
                <w:rFonts w:ascii="Calibri" w:eastAsia="Calibri" w:hAnsi="Calibri"/>
                <w:sz w:val="16"/>
                <w:szCs w:val="16"/>
              </w:rPr>
              <w:t>4,163</w:t>
            </w:r>
          </w:p>
        </w:tc>
        <w:tc>
          <w:tcPr>
            <w:tcW w:w="907"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5,058</w:t>
            </w:r>
          </w:p>
        </w:tc>
        <w:tc>
          <w:tcPr>
            <w:tcW w:w="835"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09"/>
              <w:jc w:val="right"/>
              <w:textAlignment w:val="auto"/>
              <w:rPr>
                <w:rFonts w:ascii="Calibri" w:eastAsia="Calibri" w:hAnsi="Calibri" w:cs="Calibri"/>
                <w:sz w:val="16"/>
                <w:szCs w:val="16"/>
              </w:rPr>
            </w:pPr>
            <w:r w:rsidRPr="00020133">
              <w:rPr>
                <w:rFonts w:ascii="Calibri" w:eastAsia="Calibri" w:hAnsi="Calibri"/>
                <w:sz w:val="16"/>
                <w:szCs w:val="16"/>
              </w:rPr>
              <w:t>4,163</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5,058</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5,663</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8,328</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4,163</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5,058</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4,163</w:t>
            </w:r>
          </w:p>
        </w:tc>
        <w:tc>
          <w:tcPr>
            <w:tcW w:w="870"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5,058</w:t>
            </w:r>
          </w:p>
        </w:tc>
        <w:tc>
          <w:tcPr>
            <w:tcW w:w="877" w:type="dxa"/>
            <w:shd w:val="clear" w:color="auto" w:fill="D9D9D9" w:themeFill="background1" w:themeFillShade="D9"/>
            <w:tcMar>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sz w:val="16"/>
                <w:szCs w:val="16"/>
              </w:rPr>
            </w:pPr>
            <w:r w:rsidRPr="00020133">
              <w:rPr>
                <w:rFonts w:ascii="Calibri" w:eastAsia="Calibri" w:hAnsi="Calibri"/>
                <w:sz w:val="16"/>
                <w:szCs w:val="16"/>
              </w:rPr>
              <w:t>4,163</w:t>
            </w:r>
          </w:p>
        </w:tc>
        <w:tc>
          <w:tcPr>
            <w:tcW w:w="844" w:type="dxa"/>
            <w:shd w:val="clear" w:color="auto" w:fill="D9D9D9" w:themeFill="background1" w:themeFillShade="D9"/>
            <w:tcMar>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sz w:val="16"/>
                <w:szCs w:val="16"/>
              </w:rPr>
            </w:pPr>
            <w:r w:rsidRPr="00020133">
              <w:rPr>
                <w:rFonts w:ascii="Calibri" w:eastAsia="Calibri" w:hAnsi="Calibri"/>
                <w:sz w:val="16"/>
                <w:szCs w:val="16"/>
              </w:rPr>
              <w:t>5,058</w:t>
            </w:r>
          </w:p>
        </w:tc>
      </w:tr>
      <w:tr w:rsidR="00A93DF7" w:rsidRPr="00020133" w:rsidTr="00614842">
        <w:trPr>
          <w:gridAfter w:val="1"/>
          <w:wAfter w:w="11" w:type="dxa"/>
          <w:cantSplit/>
          <w:trHeight w:val="20"/>
          <w:jc w:val="center"/>
        </w:trPr>
        <w:tc>
          <w:tcPr>
            <w:tcW w:w="4702" w:type="dxa"/>
            <w:shd w:val="clear" w:color="auto" w:fill="DBE5F1"/>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34"/>
              <w:textAlignment w:val="auto"/>
              <w:rPr>
                <w:rFonts w:ascii="Calibri" w:eastAsia="Calibri" w:hAnsi="Calibri" w:cs="Calibri"/>
                <w:sz w:val="16"/>
                <w:szCs w:val="16"/>
              </w:rPr>
            </w:pPr>
            <w:r w:rsidRPr="00020133">
              <w:rPr>
                <w:rFonts w:ascii="Calibri" w:eastAsia="Calibri" w:hAnsi="Calibri"/>
                <w:b/>
                <w:sz w:val="16"/>
                <w:szCs w:val="16"/>
              </w:rPr>
              <w:t>FCA #10 cleared nuclear</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09"/>
              <w:jc w:val="right"/>
              <w:textAlignment w:val="auto"/>
              <w:rPr>
                <w:rFonts w:ascii="Calibri" w:eastAsia="Calibri" w:hAnsi="Calibri" w:cs="Calibri"/>
                <w:sz w:val="16"/>
                <w:szCs w:val="16"/>
              </w:rPr>
            </w:pPr>
            <w:r w:rsidRPr="00020133">
              <w:rPr>
                <w:rFonts w:ascii="Calibri" w:eastAsia="Calibri" w:hAnsi="Calibri"/>
                <w:sz w:val="16"/>
                <w:szCs w:val="16"/>
              </w:rPr>
              <w:t>3,347</w:t>
            </w:r>
          </w:p>
        </w:tc>
        <w:tc>
          <w:tcPr>
            <w:tcW w:w="907"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3,347</w:t>
            </w:r>
          </w:p>
        </w:tc>
        <w:tc>
          <w:tcPr>
            <w:tcW w:w="835"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09"/>
              <w:jc w:val="right"/>
              <w:textAlignment w:val="auto"/>
              <w:rPr>
                <w:rFonts w:ascii="Calibri" w:eastAsia="Calibri" w:hAnsi="Calibri" w:cs="Calibri"/>
                <w:sz w:val="16"/>
                <w:szCs w:val="16"/>
              </w:rPr>
            </w:pPr>
            <w:r w:rsidRPr="00020133">
              <w:rPr>
                <w:rFonts w:ascii="Calibri" w:eastAsia="Calibri" w:hAnsi="Calibri"/>
                <w:sz w:val="16"/>
                <w:szCs w:val="16"/>
              </w:rPr>
              <w:t>3,347</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3,347</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3,347</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3,347</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3,347</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3,347</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3,347</w:t>
            </w:r>
          </w:p>
        </w:tc>
        <w:tc>
          <w:tcPr>
            <w:tcW w:w="870"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3,347</w:t>
            </w:r>
          </w:p>
        </w:tc>
        <w:tc>
          <w:tcPr>
            <w:tcW w:w="877" w:type="dxa"/>
            <w:shd w:val="clear" w:color="auto" w:fill="D9D9D9" w:themeFill="background1" w:themeFillShade="D9"/>
            <w:tcMar>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sz w:val="16"/>
                <w:szCs w:val="16"/>
              </w:rPr>
            </w:pPr>
            <w:r w:rsidRPr="00020133">
              <w:rPr>
                <w:rFonts w:ascii="Calibri" w:eastAsia="Calibri" w:hAnsi="Calibri"/>
                <w:sz w:val="16"/>
                <w:szCs w:val="16"/>
              </w:rPr>
              <w:t>3,347</w:t>
            </w:r>
          </w:p>
        </w:tc>
        <w:tc>
          <w:tcPr>
            <w:tcW w:w="844" w:type="dxa"/>
            <w:shd w:val="clear" w:color="auto" w:fill="D9D9D9" w:themeFill="background1" w:themeFillShade="D9"/>
            <w:tcMar>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sz w:val="16"/>
                <w:szCs w:val="16"/>
              </w:rPr>
            </w:pPr>
            <w:r w:rsidRPr="00020133">
              <w:rPr>
                <w:rFonts w:ascii="Calibri" w:eastAsia="Calibri" w:hAnsi="Calibri"/>
                <w:sz w:val="16"/>
                <w:szCs w:val="16"/>
              </w:rPr>
              <w:t>3,347</w:t>
            </w:r>
          </w:p>
        </w:tc>
      </w:tr>
      <w:tr w:rsidR="00A93DF7" w:rsidRPr="00020133" w:rsidTr="00614842">
        <w:trPr>
          <w:gridAfter w:val="1"/>
          <w:wAfter w:w="11" w:type="dxa"/>
          <w:cantSplit/>
          <w:trHeight w:val="20"/>
          <w:jc w:val="center"/>
        </w:trPr>
        <w:tc>
          <w:tcPr>
            <w:tcW w:w="4702" w:type="dxa"/>
            <w:shd w:val="clear" w:color="auto" w:fill="DBE5F1"/>
            <w:tcMar>
              <w:top w:w="29" w:type="dxa"/>
              <w:left w:w="58" w:type="dxa"/>
              <w:bottom w:w="29" w:type="dxa"/>
              <w:right w:w="58" w:type="dxa"/>
            </w:tcMar>
            <w:vAlign w:val="center"/>
          </w:tcPr>
          <w:p w:rsidR="00A93DF7" w:rsidRPr="00020133" w:rsidRDefault="00A93DF7" w:rsidP="00E8145C">
            <w:pPr>
              <w:widowControl w:val="0"/>
              <w:adjustRightInd/>
              <w:spacing w:before="40" w:after="40" w:line="240" w:lineRule="auto"/>
              <w:ind w:left="134"/>
              <w:textAlignment w:val="auto"/>
              <w:rPr>
                <w:rFonts w:ascii="Calibri" w:eastAsia="Calibri" w:hAnsi="Calibri" w:cs="Calibri"/>
                <w:sz w:val="16"/>
                <w:szCs w:val="16"/>
              </w:rPr>
            </w:pPr>
            <w:r w:rsidRPr="00020133">
              <w:rPr>
                <w:rFonts w:ascii="Calibri" w:eastAsia="Calibri" w:hAnsi="Calibri"/>
                <w:b/>
                <w:sz w:val="16"/>
                <w:szCs w:val="16"/>
              </w:rPr>
              <w:t>FCA #10 cleared hydro and pumped storage</w:t>
            </w:r>
            <w:r w:rsidR="00431552" w:rsidRPr="00020133">
              <w:rPr>
                <w:rFonts w:ascii="Calibri" w:eastAsia="Calibri" w:hAnsi="Calibri"/>
                <w:b/>
                <w:sz w:val="16"/>
                <w:szCs w:val="16"/>
              </w:rPr>
              <w:t xml:space="preserve"> </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09"/>
              <w:jc w:val="right"/>
              <w:textAlignment w:val="auto"/>
              <w:rPr>
                <w:rFonts w:ascii="Calibri" w:eastAsia="Calibri" w:hAnsi="Calibri" w:cs="Calibri"/>
                <w:sz w:val="16"/>
                <w:szCs w:val="16"/>
              </w:rPr>
            </w:pPr>
            <w:r w:rsidRPr="00020133">
              <w:rPr>
                <w:rFonts w:ascii="Calibri" w:eastAsia="Calibri" w:hAnsi="Calibri"/>
                <w:sz w:val="16"/>
                <w:szCs w:val="16"/>
              </w:rPr>
              <w:t>3,116</w:t>
            </w:r>
          </w:p>
        </w:tc>
        <w:tc>
          <w:tcPr>
            <w:tcW w:w="907"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3,116</w:t>
            </w:r>
          </w:p>
        </w:tc>
        <w:tc>
          <w:tcPr>
            <w:tcW w:w="835"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09"/>
              <w:jc w:val="right"/>
              <w:textAlignment w:val="auto"/>
              <w:rPr>
                <w:rFonts w:ascii="Calibri" w:eastAsia="Calibri" w:hAnsi="Calibri" w:cs="Calibri"/>
                <w:sz w:val="16"/>
                <w:szCs w:val="16"/>
              </w:rPr>
            </w:pPr>
            <w:r w:rsidRPr="00020133">
              <w:rPr>
                <w:rFonts w:ascii="Calibri" w:eastAsia="Calibri" w:hAnsi="Calibri"/>
                <w:sz w:val="16"/>
                <w:szCs w:val="16"/>
              </w:rPr>
              <w:t>3,116</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3,116</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3,116</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3,116</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3,116</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3,116</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3,116</w:t>
            </w:r>
          </w:p>
        </w:tc>
        <w:tc>
          <w:tcPr>
            <w:tcW w:w="870"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3,116</w:t>
            </w:r>
          </w:p>
        </w:tc>
        <w:tc>
          <w:tcPr>
            <w:tcW w:w="877" w:type="dxa"/>
            <w:shd w:val="clear" w:color="auto" w:fill="D9D9D9" w:themeFill="background1" w:themeFillShade="D9"/>
            <w:tcMar>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sz w:val="16"/>
                <w:szCs w:val="16"/>
              </w:rPr>
            </w:pPr>
            <w:r w:rsidRPr="00020133">
              <w:rPr>
                <w:rFonts w:ascii="Calibri" w:eastAsia="Calibri" w:hAnsi="Calibri"/>
                <w:sz w:val="16"/>
                <w:szCs w:val="16"/>
              </w:rPr>
              <w:t>3,116</w:t>
            </w:r>
          </w:p>
        </w:tc>
        <w:tc>
          <w:tcPr>
            <w:tcW w:w="844" w:type="dxa"/>
            <w:shd w:val="clear" w:color="auto" w:fill="D9D9D9" w:themeFill="background1" w:themeFillShade="D9"/>
            <w:tcMar>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sz w:val="16"/>
                <w:szCs w:val="16"/>
              </w:rPr>
            </w:pPr>
            <w:r w:rsidRPr="00020133">
              <w:rPr>
                <w:rFonts w:ascii="Calibri" w:eastAsia="Calibri" w:hAnsi="Calibri"/>
                <w:sz w:val="16"/>
                <w:szCs w:val="16"/>
              </w:rPr>
              <w:t>3,116</w:t>
            </w:r>
          </w:p>
        </w:tc>
      </w:tr>
      <w:tr w:rsidR="00A93DF7" w:rsidRPr="00020133" w:rsidTr="00614842">
        <w:trPr>
          <w:gridAfter w:val="1"/>
          <w:wAfter w:w="11" w:type="dxa"/>
          <w:cantSplit/>
          <w:trHeight w:val="20"/>
          <w:jc w:val="center"/>
        </w:trPr>
        <w:tc>
          <w:tcPr>
            <w:tcW w:w="4702" w:type="dxa"/>
            <w:shd w:val="clear" w:color="auto" w:fill="DBE5F1"/>
            <w:tcMar>
              <w:top w:w="29" w:type="dxa"/>
              <w:left w:w="58" w:type="dxa"/>
              <w:bottom w:w="29" w:type="dxa"/>
              <w:right w:w="58" w:type="dxa"/>
            </w:tcMar>
            <w:vAlign w:val="center"/>
          </w:tcPr>
          <w:p w:rsidR="00A93DF7" w:rsidRPr="00020133" w:rsidRDefault="00A93DF7" w:rsidP="00BB2DE7">
            <w:pPr>
              <w:widowControl w:val="0"/>
              <w:adjustRightInd/>
              <w:spacing w:before="40" w:after="40" w:line="240" w:lineRule="auto"/>
              <w:ind w:left="134"/>
              <w:textAlignment w:val="auto"/>
              <w:rPr>
                <w:rFonts w:ascii="Calibri" w:eastAsia="Calibri" w:hAnsi="Calibri" w:cs="Calibri"/>
                <w:sz w:val="16"/>
                <w:szCs w:val="16"/>
              </w:rPr>
            </w:pPr>
            <w:r w:rsidRPr="00020133">
              <w:rPr>
                <w:rFonts w:ascii="Calibri" w:eastAsia="Calibri" w:hAnsi="Calibri"/>
                <w:b/>
                <w:sz w:val="16"/>
                <w:szCs w:val="16"/>
              </w:rPr>
              <w:t>Resource serving Citizen Block load</w:t>
            </w:r>
            <w:r w:rsidR="00BB2DE7">
              <w:rPr>
                <w:rFonts w:ascii="Calibri" w:eastAsia="Calibri" w:hAnsi="Calibri"/>
                <w:b/>
                <w:sz w:val="16"/>
                <w:szCs w:val="16"/>
              </w:rPr>
              <w:br/>
            </w:r>
            <w:r w:rsidR="00F90E42" w:rsidRPr="00020133">
              <w:rPr>
                <w:rFonts w:ascii="Calibri" w:eastAsia="Calibri" w:hAnsi="Calibri"/>
                <w:b/>
                <w:sz w:val="16"/>
                <w:szCs w:val="16"/>
              </w:rPr>
              <w:t>(</w:t>
            </w:r>
            <w:r w:rsidRPr="00020133">
              <w:rPr>
                <w:rFonts w:ascii="Calibri" w:eastAsia="Calibri" w:hAnsi="Calibri"/>
                <w:b/>
                <w:sz w:val="16"/>
                <w:szCs w:val="16"/>
              </w:rPr>
              <w:t>on the border served from Hydro</w:t>
            </w:r>
            <w:r w:rsidR="00F90E42" w:rsidRPr="00020133">
              <w:rPr>
                <w:rFonts w:ascii="Calibri" w:eastAsia="Calibri" w:hAnsi="Calibri"/>
                <w:b/>
                <w:sz w:val="16"/>
                <w:szCs w:val="16"/>
              </w:rPr>
              <w:t>-</w:t>
            </w:r>
            <w:r w:rsidRPr="00020133">
              <w:rPr>
                <w:rFonts w:ascii="Calibri" w:eastAsia="Calibri" w:hAnsi="Calibri"/>
                <w:b/>
                <w:sz w:val="16"/>
                <w:szCs w:val="16"/>
              </w:rPr>
              <w:t>Qu</w:t>
            </w:r>
            <w:r w:rsidR="00F90E42" w:rsidRPr="00020133">
              <w:rPr>
                <w:rFonts w:ascii="Calibri" w:eastAsia="Calibri" w:hAnsi="Calibri"/>
                <w:b/>
                <w:sz w:val="16"/>
                <w:szCs w:val="16"/>
              </w:rPr>
              <w:t>é</w:t>
            </w:r>
            <w:r w:rsidRPr="00020133">
              <w:rPr>
                <w:rFonts w:ascii="Calibri" w:eastAsia="Calibri" w:hAnsi="Calibri"/>
                <w:b/>
                <w:sz w:val="16"/>
                <w:szCs w:val="16"/>
              </w:rPr>
              <w:t>bec</w:t>
            </w:r>
            <w:r w:rsidR="00F90E42" w:rsidRPr="00020133">
              <w:rPr>
                <w:rFonts w:ascii="Calibri" w:eastAsia="Calibri" w:hAnsi="Calibri"/>
                <w:b/>
                <w:sz w:val="16"/>
                <w:szCs w:val="16"/>
              </w:rPr>
              <w:t>)</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
              <w:jc w:val="right"/>
              <w:textAlignment w:val="auto"/>
              <w:rPr>
                <w:rFonts w:ascii="Calibri" w:eastAsia="Calibri" w:hAnsi="Calibri" w:cs="Calibri"/>
                <w:sz w:val="16"/>
                <w:szCs w:val="16"/>
              </w:rPr>
            </w:pPr>
            <w:r w:rsidRPr="00020133">
              <w:rPr>
                <w:rFonts w:ascii="Calibri" w:eastAsia="Calibri" w:hAnsi="Calibri"/>
                <w:sz w:val="16"/>
                <w:szCs w:val="16"/>
              </w:rPr>
              <w:t>30</w:t>
            </w:r>
          </w:p>
        </w:tc>
        <w:tc>
          <w:tcPr>
            <w:tcW w:w="907"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
              <w:jc w:val="right"/>
              <w:textAlignment w:val="auto"/>
              <w:rPr>
                <w:rFonts w:ascii="Calibri" w:eastAsia="Calibri" w:hAnsi="Calibri" w:cs="Calibri"/>
                <w:sz w:val="16"/>
                <w:szCs w:val="16"/>
              </w:rPr>
            </w:pPr>
            <w:r w:rsidRPr="00020133">
              <w:rPr>
                <w:rFonts w:ascii="Calibri" w:eastAsia="Calibri" w:hAnsi="Calibri"/>
                <w:sz w:val="16"/>
                <w:szCs w:val="16"/>
              </w:rPr>
              <w:t>30</w:t>
            </w:r>
          </w:p>
        </w:tc>
        <w:tc>
          <w:tcPr>
            <w:tcW w:w="835"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
              <w:jc w:val="right"/>
              <w:textAlignment w:val="auto"/>
              <w:rPr>
                <w:rFonts w:ascii="Calibri" w:eastAsia="Calibri" w:hAnsi="Calibri" w:cs="Calibri"/>
                <w:sz w:val="16"/>
                <w:szCs w:val="16"/>
              </w:rPr>
            </w:pPr>
            <w:r w:rsidRPr="00020133">
              <w:rPr>
                <w:rFonts w:ascii="Calibri" w:eastAsia="Calibri" w:hAnsi="Calibri"/>
                <w:sz w:val="16"/>
                <w:szCs w:val="16"/>
              </w:rPr>
              <w:t>30</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
              <w:jc w:val="right"/>
              <w:textAlignment w:val="auto"/>
              <w:rPr>
                <w:rFonts w:ascii="Calibri" w:eastAsia="Calibri" w:hAnsi="Calibri" w:cs="Calibri"/>
                <w:sz w:val="16"/>
                <w:szCs w:val="16"/>
              </w:rPr>
            </w:pPr>
            <w:r w:rsidRPr="00020133">
              <w:rPr>
                <w:rFonts w:ascii="Calibri" w:eastAsia="Calibri" w:hAnsi="Calibri"/>
                <w:sz w:val="16"/>
                <w:szCs w:val="16"/>
              </w:rPr>
              <w:t>30</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
              <w:jc w:val="right"/>
              <w:textAlignment w:val="auto"/>
              <w:rPr>
                <w:rFonts w:ascii="Calibri" w:eastAsia="Calibri" w:hAnsi="Calibri" w:cs="Calibri"/>
                <w:sz w:val="16"/>
                <w:szCs w:val="16"/>
              </w:rPr>
            </w:pPr>
            <w:r w:rsidRPr="00020133">
              <w:rPr>
                <w:rFonts w:ascii="Calibri" w:eastAsia="Calibri" w:hAnsi="Calibri"/>
                <w:sz w:val="16"/>
                <w:szCs w:val="16"/>
              </w:rPr>
              <w:t>30</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020133">
              <w:rPr>
                <w:rFonts w:ascii="Calibri" w:eastAsia="Calibri" w:hAnsi="Calibri"/>
                <w:sz w:val="16"/>
                <w:szCs w:val="16"/>
              </w:rPr>
              <w:t>30</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020133">
              <w:rPr>
                <w:rFonts w:ascii="Calibri" w:eastAsia="Calibri" w:hAnsi="Calibri"/>
                <w:sz w:val="16"/>
                <w:szCs w:val="16"/>
              </w:rPr>
              <w:t>30</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020133">
              <w:rPr>
                <w:rFonts w:ascii="Calibri" w:eastAsia="Calibri" w:hAnsi="Calibri"/>
                <w:sz w:val="16"/>
                <w:szCs w:val="16"/>
              </w:rPr>
              <w:t>30</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020133">
              <w:rPr>
                <w:rFonts w:ascii="Calibri" w:eastAsia="Calibri" w:hAnsi="Calibri"/>
                <w:sz w:val="16"/>
                <w:szCs w:val="16"/>
              </w:rPr>
              <w:t>30</w:t>
            </w:r>
          </w:p>
        </w:tc>
        <w:tc>
          <w:tcPr>
            <w:tcW w:w="870"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3"/>
              <w:jc w:val="right"/>
              <w:textAlignment w:val="auto"/>
              <w:rPr>
                <w:rFonts w:ascii="Calibri" w:eastAsia="Calibri" w:hAnsi="Calibri" w:cs="Calibri"/>
                <w:sz w:val="16"/>
                <w:szCs w:val="16"/>
              </w:rPr>
            </w:pPr>
            <w:r w:rsidRPr="00020133">
              <w:rPr>
                <w:rFonts w:ascii="Calibri" w:eastAsia="Calibri" w:hAnsi="Calibri"/>
                <w:sz w:val="16"/>
                <w:szCs w:val="16"/>
              </w:rPr>
              <w:t>30</w:t>
            </w:r>
          </w:p>
        </w:tc>
        <w:tc>
          <w:tcPr>
            <w:tcW w:w="877" w:type="dxa"/>
            <w:shd w:val="clear" w:color="auto" w:fill="D9D9D9" w:themeFill="background1" w:themeFillShade="D9"/>
            <w:tcMar>
              <w:right w:w="58" w:type="dxa"/>
            </w:tcMar>
            <w:vAlign w:val="center"/>
          </w:tcPr>
          <w:p w:rsidR="00A93DF7" w:rsidRPr="00020133" w:rsidRDefault="00A93DF7" w:rsidP="00902496">
            <w:pPr>
              <w:widowControl w:val="0"/>
              <w:adjustRightInd/>
              <w:spacing w:before="40" w:after="40" w:line="240" w:lineRule="auto"/>
              <w:ind w:left="3"/>
              <w:jc w:val="right"/>
              <w:textAlignment w:val="auto"/>
              <w:rPr>
                <w:rFonts w:ascii="Calibri" w:eastAsia="Calibri" w:hAnsi="Calibri"/>
                <w:sz w:val="16"/>
                <w:szCs w:val="16"/>
              </w:rPr>
            </w:pPr>
            <w:r w:rsidRPr="00020133">
              <w:rPr>
                <w:rFonts w:ascii="Calibri" w:eastAsia="Calibri" w:hAnsi="Calibri"/>
                <w:sz w:val="16"/>
                <w:szCs w:val="16"/>
              </w:rPr>
              <w:t>30</w:t>
            </w:r>
          </w:p>
        </w:tc>
        <w:tc>
          <w:tcPr>
            <w:tcW w:w="844" w:type="dxa"/>
            <w:shd w:val="clear" w:color="auto" w:fill="D9D9D9" w:themeFill="background1" w:themeFillShade="D9"/>
            <w:tcMar>
              <w:right w:w="58" w:type="dxa"/>
            </w:tcMar>
            <w:vAlign w:val="center"/>
          </w:tcPr>
          <w:p w:rsidR="00A93DF7" w:rsidRPr="00020133" w:rsidRDefault="00A93DF7" w:rsidP="00902496">
            <w:pPr>
              <w:widowControl w:val="0"/>
              <w:adjustRightInd/>
              <w:spacing w:before="40" w:after="40" w:line="240" w:lineRule="auto"/>
              <w:ind w:left="3"/>
              <w:jc w:val="right"/>
              <w:textAlignment w:val="auto"/>
              <w:rPr>
                <w:rFonts w:ascii="Calibri" w:eastAsia="Calibri" w:hAnsi="Calibri"/>
                <w:sz w:val="16"/>
                <w:szCs w:val="16"/>
              </w:rPr>
            </w:pPr>
            <w:r w:rsidRPr="00020133">
              <w:rPr>
                <w:rFonts w:ascii="Calibri" w:eastAsia="Calibri" w:hAnsi="Calibri"/>
                <w:sz w:val="16"/>
                <w:szCs w:val="16"/>
              </w:rPr>
              <w:t>30</w:t>
            </w:r>
          </w:p>
        </w:tc>
      </w:tr>
      <w:tr w:rsidR="00A93DF7" w:rsidRPr="00020133" w:rsidTr="00614842">
        <w:trPr>
          <w:gridAfter w:val="1"/>
          <w:wAfter w:w="11" w:type="dxa"/>
          <w:cantSplit/>
          <w:trHeight w:val="20"/>
          <w:jc w:val="center"/>
        </w:trPr>
        <w:tc>
          <w:tcPr>
            <w:tcW w:w="4702" w:type="dxa"/>
            <w:shd w:val="clear" w:color="auto" w:fill="DBE5F1"/>
            <w:tcMar>
              <w:top w:w="29" w:type="dxa"/>
              <w:left w:w="58" w:type="dxa"/>
              <w:bottom w:w="29" w:type="dxa"/>
              <w:right w:w="58" w:type="dxa"/>
            </w:tcMar>
            <w:vAlign w:val="center"/>
          </w:tcPr>
          <w:p w:rsidR="00A93DF7" w:rsidRPr="00020133" w:rsidRDefault="00A93DF7" w:rsidP="00614842">
            <w:pPr>
              <w:widowControl w:val="0"/>
              <w:adjustRightInd/>
              <w:spacing w:before="40" w:after="40" w:line="240" w:lineRule="auto"/>
              <w:ind w:left="134"/>
              <w:textAlignment w:val="auto"/>
              <w:rPr>
                <w:rFonts w:ascii="Calibri" w:eastAsia="Calibri" w:hAnsi="Calibri" w:cs="Calibri"/>
                <w:sz w:val="16"/>
                <w:szCs w:val="16"/>
              </w:rPr>
            </w:pPr>
            <w:r w:rsidRPr="00020133">
              <w:rPr>
                <w:rFonts w:ascii="Calibri" w:eastAsia="Calibri" w:hAnsi="Calibri"/>
                <w:b/>
                <w:sz w:val="16"/>
                <w:szCs w:val="16"/>
              </w:rPr>
              <w:t>Imports</w:t>
            </w:r>
            <w:r w:rsidRPr="00020133">
              <w:rPr>
                <w:rFonts w:ascii="Calibri" w:eastAsia="Calibri" w:hAnsi="Calibri"/>
                <w:b/>
                <w:position w:val="5"/>
                <w:sz w:val="16"/>
                <w:szCs w:val="16"/>
              </w:rPr>
              <w:t>(</w:t>
            </w:r>
            <w:r w:rsidR="00614842" w:rsidRPr="00020133">
              <w:rPr>
                <w:rFonts w:ascii="Calibri" w:eastAsia="Calibri" w:hAnsi="Calibri"/>
                <w:b/>
                <w:position w:val="5"/>
                <w:sz w:val="16"/>
                <w:szCs w:val="16"/>
              </w:rPr>
              <w:t>a</w:t>
            </w:r>
            <w:r w:rsidRPr="00020133">
              <w:rPr>
                <w:rFonts w:ascii="Calibri" w:eastAsia="Calibri" w:hAnsi="Calibri"/>
                <w:b/>
                <w:position w:val="5"/>
                <w:sz w:val="16"/>
                <w:szCs w:val="16"/>
              </w:rPr>
              <w:t>)</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09"/>
              <w:jc w:val="right"/>
              <w:textAlignment w:val="auto"/>
              <w:rPr>
                <w:rFonts w:ascii="Calibri" w:eastAsia="Calibri" w:hAnsi="Calibri" w:cs="Calibri"/>
                <w:sz w:val="16"/>
                <w:szCs w:val="16"/>
              </w:rPr>
            </w:pPr>
            <w:r w:rsidRPr="00020133">
              <w:rPr>
                <w:rFonts w:ascii="Calibri" w:eastAsia="Calibri" w:hAnsi="Calibri"/>
                <w:sz w:val="16"/>
                <w:szCs w:val="16"/>
              </w:rPr>
              <w:t>1,006</w:t>
            </w:r>
          </w:p>
        </w:tc>
        <w:tc>
          <w:tcPr>
            <w:tcW w:w="907"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1,006</w:t>
            </w:r>
          </w:p>
        </w:tc>
        <w:tc>
          <w:tcPr>
            <w:tcW w:w="835"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09"/>
              <w:jc w:val="right"/>
              <w:textAlignment w:val="auto"/>
              <w:rPr>
                <w:rFonts w:ascii="Calibri" w:eastAsia="Calibri" w:hAnsi="Calibri" w:cs="Calibri"/>
                <w:sz w:val="16"/>
                <w:szCs w:val="16"/>
              </w:rPr>
            </w:pPr>
            <w:r w:rsidRPr="00020133">
              <w:rPr>
                <w:rFonts w:ascii="Calibri" w:eastAsia="Calibri" w:hAnsi="Calibri"/>
                <w:sz w:val="16"/>
                <w:szCs w:val="16"/>
              </w:rPr>
              <w:t>1,006</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1,006</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2,506</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3,006</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1,006</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1,006</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1,006</w:t>
            </w:r>
          </w:p>
        </w:tc>
        <w:tc>
          <w:tcPr>
            <w:tcW w:w="870"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020133">
              <w:rPr>
                <w:rFonts w:ascii="Calibri" w:eastAsia="Calibri" w:hAnsi="Calibri"/>
                <w:sz w:val="16"/>
                <w:szCs w:val="16"/>
              </w:rPr>
              <w:t>1,006</w:t>
            </w:r>
          </w:p>
        </w:tc>
        <w:tc>
          <w:tcPr>
            <w:tcW w:w="877" w:type="dxa"/>
            <w:shd w:val="clear" w:color="auto" w:fill="D9D9D9" w:themeFill="background1" w:themeFillShade="D9"/>
            <w:tcMar>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sz w:val="16"/>
                <w:szCs w:val="16"/>
              </w:rPr>
            </w:pPr>
            <w:r w:rsidRPr="00020133">
              <w:rPr>
                <w:rFonts w:ascii="Calibri" w:eastAsia="Calibri" w:hAnsi="Calibri"/>
                <w:sz w:val="16"/>
                <w:szCs w:val="16"/>
              </w:rPr>
              <w:t>1,006</w:t>
            </w:r>
          </w:p>
        </w:tc>
        <w:tc>
          <w:tcPr>
            <w:tcW w:w="844" w:type="dxa"/>
            <w:shd w:val="clear" w:color="auto" w:fill="D9D9D9" w:themeFill="background1" w:themeFillShade="D9"/>
            <w:tcMar>
              <w:right w:w="58" w:type="dxa"/>
            </w:tcMar>
            <w:vAlign w:val="center"/>
          </w:tcPr>
          <w:p w:rsidR="00A93DF7" w:rsidRPr="00020133" w:rsidRDefault="00A93DF7" w:rsidP="00902496">
            <w:pPr>
              <w:widowControl w:val="0"/>
              <w:adjustRightInd/>
              <w:spacing w:before="40" w:after="40" w:line="240" w:lineRule="auto"/>
              <w:ind w:left="210"/>
              <w:jc w:val="right"/>
              <w:textAlignment w:val="auto"/>
              <w:rPr>
                <w:rFonts w:ascii="Calibri" w:eastAsia="Calibri" w:hAnsi="Calibri"/>
                <w:sz w:val="16"/>
                <w:szCs w:val="16"/>
              </w:rPr>
            </w:pPr>
            <w:r w:rsidRPr="00020133">
              <w:rPr>
                <w:rFonts w:ascii="Calibri" w:eastAsia="Calibri" w:hAnsi="Calibri"/>
                <w:sz w:val="16"/>
                <w:szCs w:val="16"/>
              </w:rPr>
              <w:t>1,006</w:t>
            </w:r>
          </w:p>
        </w:tc>
      </w:tr>
      <w:tr w:rsidR="00A93DF7" w:rsidRPr="00020133" w:rsidTr="00614842">
        <w:trPr>
          <w:gridAfter w:val="1"/>
          <w:wAfter w:w="11" w:type="dxa"/>
          <w:cantSplit/>
          <w:trHeight w:val="20"/>
          <w:jc w:val="center"/>
        </w:trPr>
        <w:tc>
          <w:tcPr>
            <w:tcW w:w="4702" w:type="dxa"/>
            <w:shd w:val="clear" w:color="auto" w:fill="DBE5F1"/>
            <w:tcMar>
              <w:top w:w="29" w:type="dxa"/>
              <w:left w:w="58" w:type="dxa"/>
              <w:bottom w:w="29" w:type="dxa"/>
              <w:right w:w="58" w:type="dxa"/>
            </w:tcMar>
            <w:vAlign w:val="center"/>
          </w:tcPr>
          <w:p w:rsidR="00A93DF7" w:rsidRPr="002518EA" w:rsidRDefault="00A93DF7" w:rsidP="002518EA">
            <w:pPr>
              <w:widowControl w:val="0"/>
              <w:adjustRightInd/>
              <w:spacing w:before="40" w:after="40" w:line="240" w:lineRule="auto"/>
              <w:ind w:left="134"/>
              <w:textAlignment w:val="auto"/>
              <w:rPr>
                <w:rFonts w:ascii="Calibri" w:eastAsia="Calibri" w:hAnsi="Calibri" w:cs="Calibri"/>
                <w:sz w:val="16"/>
                <w:szCs w:val="16"/>
              </w:rPr>
            </w:pPr>
            <w:r w:rsidRPr="002518EA">
              <w:rPr>
                <w:rFonts w:ascii="Calibri" w:eastAsia="Calibri" w:hAnsi="Calibri"/>
                <w:b/>
                <w:sz w:val="16"/>
                <w:szCs w:val="16"/>
              </w:rPr>
              <w:t>Wind capacity value</w:t>
            </w:r>
            <w:r w:rsidR="008C747A" w:rsidRPr="002518EA">
              <w:rPr>
                <w:rFonts w:ascii="Calibri" w:eastAsia="Calibri" w:hAnsi="Calibri"/>
                <w:b/>
                <w:sz w:val="16"/>
                <w:szCs w:val="16"/>
              </w:rPr>
              <w:t xml:space="preserve"> </w:t>
            </w:r>
          </w:p>
        </w:tc>
        <w:tc>
          <w:tcPr>
            <w:tcW w:w="871" w:type="dxa"/>
            <w:shd w:val="clear" w:color="auto" w:fill="auto"/>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265"/>
              <w:jc w:val="right"/>
              <w:textAlignment w:val="auto"/>
              <w:rPr>
                <w:rFonts w:ascii="Calibri" w:eastAsia="Calibri" w:hAnsi="Calibri" w:cs="Calibri"/>
                <w:sz w:val="16"/>
                <w:szCs w:val="16"/>
              </w:rPr>
            </w:pPr>
            <w:r w:rsidRPr="002518EA">
              <w:rPr>
                <w:rFonts w:ascii="Calibri" w:eastAsia="Calibri" w:hAnsi="Calibri"/>
                <w:sz w:val="16"/>
                <w:szCs w:val="16"/>
              </w:rPr>
              <w:t>366</w:t>
            </w:r>
          </w:p>
        </w:tc>
        <w:tc>
          <w:tcPr>
            <w:tcW w:w="907" w:type="dxa"/>
            <w:shd w:val="clear" w:color="auto" w:fill="auto"/>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265"/>
              <w:jc w:val="right"/>
              <w:textAlignment w:val="auto"/>
              <w:rPr>
                <w:rFonts w:ascii="Calibri" w:eastAsia="Calibri" w:hAnsi="Calibri" w:cs="Calibri"/>
                <w:sz w:val="16"/>
                <w:szCs w:val="16"/>
              </w:rPr>
            </w:pPr>
            <w:r w:rsidRPr="002518EA">
              <w:rPr>
                <w:rFonts w:ascii="Calibri" w:eastAsia="Calibri" w:hAnsi="Calibri"/>
                <w:sz w:val="16"/>
                <w:szCs w:val="16"/>
              </w:rPr>
              <w:t>366</w:t>
            </w:r>
          </w:p>
        </w:tc>
        <w:tc>
          <w:tcPr>
            <w:tcW w:w="835" w:type="dxa"/>
            <w:shd w:val="clear" w:color="auto" w:fill="D9D9D9" w:themeFill="background1" w:themeFillShade="D9"/>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265"/>
              <w:jc w:val="right"/>
              <w:textAlignment w:val="auto"/>
              <w:rPr>
                <w:rFonts w:ascii="Calibri" w:eastAsia="Calibri" w:hAnsi="Calibri" w:cs="Calibri"/>
                <w:sz w:val="16"/>
                <w:szCs w:val="16"/>
              </w:rPr>
            </w:pPr>
            <w:r w:rsidRPr="002518EA">
              <w:rPr>
                <w:rFonts w:ascii="Calibri" w:eastAsia="Calibri" w:hAnsi="Calibri"/>
                <w:sz w:val="16"/>
                <w:szCs w:val="16"/>
              </w:rPr>
              <w:t>366</w:t>
            </w:r>
          </w:p>
        </w:tc>
        <w:tc>
          <w:tcPr>
            <w:tcW w:w="871" w:type="dxa"/>
            <w:shd w:val="clear" w:color="auto" w:fill="D9D9D9" w:themeFill="background1" w:themeFillShade="D9"/>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265"/>
              <w:jc w:val="right"/>
              <w:textAlignment w:val="auto"/>
              <w:rPr>
                <w:rFonts w:ascii="Calibri" w:eastAsia="Calibri" w:hAnsi="Calibri" w:cs="Calibri"/>
                <w:sz w:val="16"/>
                <w:szCs w:val="16"/>
              </w:rPr>
            </w:pPr>
            <w:r w:rsidRPr="002518EA">
              <w:rPr>
                <w:rFonts w:ascii="Calibri" w:eastAsia="Calibri" w:hAnsi="Calibri"/>
                <w:sz w:val="16"/>
                <w:szCs w:val="16"/>
              </w:rPr>
              <w:t>366</w:t>
            </w:r>
          </w:p>
        </w:tc>
        <w:tc>
          <w:tcPr>
            <w:tcW w:w="871" w:type="dxa"/>
            <w:shd w:val="clear" w:color="auto" w:fill="auto"/>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2518EA">
              <w:rPr>
                <w:rFonts w:ascii="Calibri" w:eastAsia="Calibri" w:hAnsi="Calibri"/>
                <w:sz w:val="16"/>
                <w:szCs w:val="16"/>
              </w:rPr>
              <w:t>1,457</w:t>
            </w:r>
          </w:p>
        </w:tc>
        <w:tc>
          <w:tcPr>
            <w:tcW w:w="871" w:type="dxa"/>
            <w:shd w:val="clear" w:color="auto" w:fill="auto"/>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2518EA">
              <w:rPr>
                <w:rFonts w:ascii="Calibri" w:eastAsia="Calibri" w:hAnsi="Calibri"/>
                <w:sz w:val="16"/>
                <w:szCs w:val="16"/>
              </w:rPr>
              <w:t>1,900</w:t>
            </w:r>
          </w:p>
        </w:tc>
        <w:tc>
          <w:tcPr>
            <w:tcW w:w="871" w:type="dxa"/>
            <w:shd w:val="clear" w:color="auto" w:fill="D9D9D9" w:themeFill="background1" w:themeFillShade="D9"/>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265"/>
              <w:jc w:val="right"/>
              <w:textAlignment w:val="auto"/>
              <w:rPr>
                <w:rFonts w:ascii="Calibri" w:eastAsia="Calibri" w:hAnsi="Calibri" w:cs="Calibri"/>
                <w:sz w:val="16"/>
                <w:szCs w:val="16"/>
              </w:rPr>
            </w:pPr>
            <w:r w:rsidRPr="002518EA">
              <w:rPr>
                <w:rFonts w:ascii="Calibri" w:eastAsia="Calibri" w:hAnsi="Calibri"/>
                <w:sz w:val="16"/>
                <w:szCs w:val="16"/>
              </w:rPr>
              <w:t>366</w:t>
            </w:r>
          </w:p>
        </w:tc>
        <w:tc>
          <w:tcPr>
            <w:tcW w:w="871" w:type="dxa"/>
            <w:shd w:val="clear" w:color="auto" w:fill="D9D9D9" w:themeFill="background1" w:themeFillShade="D9"/>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265"/>
              <w:jc w:val="right"/>
              <w:textAlignment w:val="auto"/>
              <w:rPr>
                <w:rFonts w:ascii="Calibri" w:eastAsia="Calibri" w:hAnsi="Calibri" w:cs="Calibri"/>
                <w:sz w:val="16"/>
                <w:szCs w:val="16"/>
              </w:rPr>
            </w:pPr>
            <w:r w:rsidRPr="002518EA">
              <w:rPr>
                <w:rFonts w:ascii="Calibri" w:eastAsia="Calibri" w:hAnsi="Calibri"/>
                <w:sz w:val="16"/>
                <w:szCs w:val="16"/>
              </w:rPr>
              <w:t>366</w:t>
            </w:r>
          </w:p>
        </w:tc>
        <w:tc>
          <w:tcPr>
            <w:tcW w:w="871" w:type="dxa"/>
            <w:shd w:val="clear" w:color="auto" w:fill="auto"/>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265"/>
              <w:jc w:val="right"/>
              <w:textAlignment w:val="auto"/>
              <w:rPr>
                <w:rFonts w:ascii="Calibri" w:eastAsia="Calibri" w:hAnsi="Calibri" w:cs="Calibri"/>
                <w:sz w:val="16"/>
                <w:szCs w:val="16"/>
              </w:rPr>
            </w:pPr>
            <w:r w:rsidRPr="002518EA">
              <w:rPr>
                <w:rFonts w:ascii="Calibri" w:eastAsia="Calibri" w:hAnsi="Calibri"/>
                <w:sz w:val="16"/>
                <w:szCs w:val="16"/>
              </w:rPr>
              <w:t>366</w:t>
            </w:r>
          </w:p>
        </w:tc>
        <w:tc>
          <w:tcPr>
            <w:tcW w:w="870" w:type="dxa"/>
            <w:shd w:val="clear" w:color="auto" w:fill="auto"/>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266"/>
              <w:jc w:val="right"/>
              <w:textAlignment w:val="auto"/>
              <w:rPr>
                <w:rFonts w:ascii="Calibri" w:eastAsia="Calibri" w:hAnsi="Calibri" w:cs="Calibri"/>
                <w:sz w:val="16"/>
                <w:szCs w:val="16"/>
              </w:rPr>
            </w:pPr>
            <w:r w:rsidRPr="002518EA">
              <w:rPr>
                <w:rFonts w:ascii="Calibri" w:eastAsia="Calibri" w:hAnsi="Calibri"/>
                <w:sz w:val="16"/>
                <w:szCs w:val="16"/>
              </w:rPr>
              <w:t>366</w:t>
            </w:r>
          </w:p>
        </w:tc>
        <w:tc>
          <w:tcPr>
            <w:tcW w:w="877" w:type="dxa"/>
            <w:shd w:val="clear" w:color="auto" w:fill="D9D9D9" w:themeFill="background1" w:themeFillShade="D9"/>
            <w:tcMar>
              <w:right w:w="58" w:type="dxa"/>
            </w:tcMar>
            <w:vAlign w:val="center"/>
          </w:tcPr>
          <w:p w:rsidR="00A93DF7" w:rsidRPr="002518EA" w:rsidRDefault="00A93DF7" w:rsidP="00902496">
            <w:pPr>
              <w:widowControl w:val="0"/>
              <w:adjustRightInd/>
              <w:spacing w:before="40" w:after="40" w:line="240" w:lineRule="auto"/>
              <w:ind w:left="266"/>
              <w:jc w:val="right"/>
              <w:textAlignment w:val="auto"/>
              <w:rPr>
                <w:rFonts w:ascii="Calibri" w:eastAsia="Calibri" w:hAnsi="Calibri"/>
                <w:sz w:val="16"/>
                <w:szCs w:val="16"/>
              </w:rPr>
            </w:pPr>
            <w:r w:rsidRPr="002518EA">
              <w:rPr>
                <w:rFonts w:ascii="Calibri" w:eastAsia="Calibri" w:hAnsi="Calibri"/>
                <w:sz w:val="16"/>
                <w:szCs w:val="16"/>
              </w:rPr>
              <w:t>366</w:t>
            </w:r>
          </w:p>
        </w:tc>
        <w:tc>
          <w:tcPr>
            <w:tcW w:w="844" w:type="dxa"/>
            <w:shd w:val="clear" w:color="auto" w:fill="D9D9D9" w:themeFill="background1" w:themeFillShade="D9"/>
            <w:tcMar>
              <w:right w:w="58" w:type="dxa"/>
            </w:tcMar>
            <w:vAlign w:val="center"/>
          </w:tcPr>
          <w:p w:rsidR="00A93DF7" w:rsidRPr="002518EA" w:rsidRDefault="00A93DF7" w:rsidP="00902496">
            <w:pPr>
              <w:widowControl w:val="0"/>
              <w:adjustRightInd/>
              <w:spacing w:before="40" w:after="40" w:line="240" w:lineRule="auto"/>
              <w:ind w:left="266"/>
              <w:jc w:val="right"/>
              <w:textAlignment w:val="auto"/>
              <w:rPr>
                <w:rFonts w:ascii="Calibri" w:eastAsia="Calibri" w:hAnsi="Calibri"/>
                <w:sz w:val="16"/>
                <w:szCs w:val="16"/>
              </w:rPr>
            </w:pPr>
            <w:r w:rsidRPr="002518EA">
              <w:rPr>
                <w:rFonts w:ascii="Calibri" w:eastAsia="Calibri" w:hAnsi="Calibri"/>
                <w:sz w:val="16"/>
                <w:szCs w:val="16"/>
              </w:rPr>
              <w:t>366</w:t>
            </w:r>
          </w:p>
        </w:tc>
      </w:tr>
      <w:tr w:rsidR="00A93DF7" w:rsidRPr="00020133" w:rsidTr="00614842">
        <w:trPr>
          <w:gridAfter w:val="1"/>
          <w:wAfter w:w="11" w:type="dxa"/>
          <w:cantSplit/>
          <w:trHeight w:val="20"/>
          <w:jc w:val="center"/>
        </w:trPr>
        <w:tc>
          <w:tcPr>
            <w:tcW w:w="4702" w:type="dxa"/>
            <w:shd w:val="clear" w:color="auto" w:fill="DBE5F1"/>
            <w:tcMar>
              <w:top w:w="29" w:type="dxa"/>
              <w:left w:w="58" w:type="dxa"/>
              <w:bottom w:w="29" w:type="dxa"/>
              <w:right w:w="58" w:type="dxa"/>
            </w:tcMar>
            <w:vAlign w:val="center"/>
          </w:tcPr>
          <w:p w:rsidR="00A93DF7" w:rsidRPr="002518EA" w:rsidRDefault="00A93DF7" w:rsidP="004620D6">
            <w:pPr>
              <w:widowControl w:val="0"/>
              <w:adjustRightInd/>
              <w:spacing w:before="40" w:after="40" w:line="240" w:lineRule="auto"/>
              <w:ind w:left="134"/>
              <w:textAlignment w:val="auto"/>
              <w:rPr>
                <w:rFonts w:ascii="Calibri" w:eastAsia="Calibri" w:hAnsi="Calibri" w:cs="Calibri"/>
                <w:sz w:val="16"/>
                <w:szCs w:val="16"/>
              </w:rPr>
            </w:pPr>
            <w:r w:rsidRPr="002518EA">
              <w:rPr>
                <w:rFonts w:ascii="Calibri" w:eastAsia="Calibri" w:hAnsi="Calibri"/>
                <w:b/>
                <w:sz w:val="16"/>
                <w:szCs w:val="16"/>
              </w:rPr>
              <w:t>Gas after retirements</w:t>
            </w:r>
            <w:r w:rsidR="00AD1752" w:rsidRPr="002518EA">
              <w:rPr>
                <w:rFonts w:ascii="Calibri" w:eastAsia="Calibri" w:hAnsi="Calibri"/>
                <w:b/>
                <w:sz w:val="16"/>
                <w:szCs w:val="16"/>
              </w:rPr>
              <w:t xml:space="preserve"> (SCC)</w:t>
            </w:r>
          </w:p>
        </w:tc>
        <w:tc>
          <w:tcPr>
            <w:tcW w:w="871" w:type="dxa"/>
            <w:shd w:val="clear" w:color="auto" w:fill="auto"/>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2518EA">
              <w:rPr>
                <w:rFonts w:ascii="Calibri" w:eastAsia="Calibri" w:hAnsi="Calibri"/>
                <w:sz w:val="16"/>
                <w:szCs w:val="16"/>
              </w:rPr>
              <w:t>16,582</w:t>
            </w:r>
          </w:p>
        </w:tc>
        <w:tc>
          <w:tcPr>
            <w:tcW w:w="907" w:type="dxa"/>
            <w:shd w:val="clear" w:color="auto" w:fill="auto"/>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2518EA">
              <w:rPr>
                <w:rFonts w:ascii="Calibri" w:eastAsia="Calibri" w:hAnsi="Calibri"/>
                <w:sz w:val="16"/>
                <w:szCs w:val="16"/>
              </w:rPr>
              <w:t>16,011</w:t>
            </w:r>
          </w:p>
        </w:tc>
        <w:tc>
          <w:tcPr>
            <w:tcW w:w="835" w:type="dxa"/>
            <w:shd w:val="clear" w:color="auto" w:fill="D9D9D9" w:themeFill="background1" w:themeFillShade="D9"/>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2518EA">
              <w:rPr>
                <w:rFonts w:ascii="Calibri" w:eastAsia="Calibri" w:hAnsi="Calibri"/>
                <w:sz w:val="16"/>
                <w:szCs w:val="16"/>
              </w:rPr>
              <w:t>16,582</w:t>
            </w:r>
          </w:p>
        </w:tc>
        <w:tc>
          <w:tcPr>
            <w:tcW w:w="871" w:type="dxa"/>
            <w:shd w:val="clear" w:color="auto" w:fill="D9D9D9" w:themeFill="background1" w:themeFillShade="D9"/>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2518EA">
              <w:rPr>
                <w:rFonts w:ascii="Calibri" w:eastAsia="Calibri" w:hAnsi="Calibri"/>
                <w:sz w:val="16"/>
                <w:szCs w:val="16"/>
              </w:rPr>
              <w:t>16,011</w:t>
            </w:r>
          </w:p>
        </w:tc>
        <w:tc>
          <w:tcPr>
            <w:tcW w:w="871" w:type="dxa"/>
            <w:shd w:val="clear" w:color="auto" w:fill="auto"/>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2518EA">
              <w:rPr>
                <w:rFonts w:ascii="Calibri" w:eastAsia="Calibri" w:hAnsi="Calibri"/>
                <w:sz w:val="16"/>
                <w:szCs w:val="16"/>
              </w:rPr>
              <w:t>16,582</w:t>
            </w:r>
          </w:p>
        </w:tc>
        <w:tc>
          <w:tcPr>
            <w:tcW w:w="871" w:type="dxa"/>
            <w:shd w:val="clear" w:color="auto" w:fill="auto"/>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2518EA">
              <w:rPr>
                <w:rFonts w:ascii="Calibri" w:eastAsia="Calibri" w:hAnsi="Calibri"/>
                <w:sz w:val="16"/>
                <w:szCs w:val="16"/>
              </w:rPr>
              <w:t>16,011</w:t>
            </w:r>
          </w:p>
        </w:tc>
        <w:tc>
          <w:tcPr>
            <w:tcW w:w="871" w:type="dxa"/>
            <w:shd w:val="clear" w:color="auto" w:fill="D9D9D9" w:themeFill="background1" w:themeFillShade="D9"/>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2518EA">
              <w:rPr>
                <w:rFonts w:ascii="Calibri" w:eastAsia="Calibri" w:hAnsi="Calibri"/>
                <w:sz w:val="16"/>
                <w:szCs w:val="16"/>
              </w:rPr>
              <w:t>16,676</w:t>
            </w:r>
          </w:p>
        </w:tc>
        <w:tc>
          <w:tcPr>
            <w:tcW w:w="871" w:type="dxa"/>
            <w:shd w:val="clear" w:color="auto" w:fill="D9D9D9" w:themeFill="background1" w:themeFillShade="D9"/>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2518EA">
              <w:rPr>
                <w:rFonts w:ascii="Calibri" w:eastAsia="Calibri" w:hAnsi="Calibri"/>
                <w:sz w:val="16"/>
                <w:szCs w:val="16"/>
              </w:rPr>
              <w:t>16,676</w:t>
            </w:r>
          </w:p>
        </w:tc>
        <w:tc>
          <w:tcPr>
            <w:tcW w:w="871" w:type="dxa"/>
            <w:shd w:val="clear" w:color="auto" w:fill="auto"/>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2518EA">
              <w:rPr>
                <w:rFonts w:ascii="Calibri" w:eastAsia="Calibri" w:hAnsi="Calibri"/>
                <w:sz w:val="16"/>
                <w:szCs w:val="16"/>
              </w:rPr>
              <w:t>16,582</w:t>
            </w:r>
          </w:p>
        </w:tc>
        <w:tc>
          <w:tcPr>
            <w:tcW w:w="870" w:type="dxa"/>
            <w:shd w:val="clear" w:color="auto" w:fill="auto"/>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158"/>
              <w:jc w:val="right"/>
              <w:textAlignment w:val="auto"/>
              <w:rPr>
                <w:rFonts w:ascii="Calibri" w:eastAsia="Calibri" w:hAnsi="Calibri" w:cs="Calibri"/>
                <w:sz w:val="16"/>
                <w:szCs w:val="16"/>
              </w:rPr>
            </w:pPr>
            <w:r w:rsidRPr="002518EA">
              <w:rPr>
                <w:rFonts w:ascii="Calibri" w:eastAsia="Calibri" w:hAnsi="Calibri"/>
                <w:sz w:val="16"/>
                <w:szCs w:val="16"/>
              </w:rPr>
              <w:t>16,011</w:t>
            </w:r>
          </w:p>
        </w:tc>
        <w:tc>
          <w:tcPr>
            <w:tcW w:w="877" w:type="dxa"/>
            <w:shd w:val="clear" w:color="auto" w:fill="D9D9D9" w:themeFill="background1" w:themeFillShade="D9"/>
            <w:tcMar>
              <w:right w:w="58" w:type="dxa"/>
            </w:tcMar>
            <w:vAlign w:val="center"/>
          </w:tcPr>
          <w:p w:rsidR="00A93DF7" w:rsidRPr="002518EA" w:rsidRDefault="00A93DF7" w:rsidP="00902496">
            <w:pPr>
              <w:widowControl w:val="0"/>
              <w:adjustRightInd/>
              <w:spacing w:before="40" w:after="40" w:line="240" w:lineRule="auto"/>
              <w:ind w:left="158"/>
              <w:jc w:val="right"/>
              <w:textAlignment w:val="auto"/>
              <w:rPr>
                <w:rFonts w:ascii="Calibri" w:eastAsia="Calibri" w:hAnsi="Calibri"/>
                <w:sz w:val="16"/>
                <w:szCs w:val="16"/>
              </w:rPr>
            </w:pPr>
            <w:r w:rsidRPr="002518EA">
              <w:rPr>
                <w:rFonts w:ascii="Calibri" w:eastAsia="Calibri" w:hAnsi="Calibri"/>
                <w:sz w:val="16"/>
                <w:szCs w:val="16"/>
              </w:rPr>
              <w:t>16,582</w:t>
            </w:r>
          </w:p>
        </w:tc>
        <w:tc>
          <w:tcPr>
            <w:tcW w:w="844" w:type="dxa"/>
            <w:shd w:val="clear" w:color="auto" w:fill="D9D9D9" w:themeFill="background1" w:themeFillShade="D9"/>
            <w:tcMar>
              <w:right w:w="58" w:type="dxa"/>
            </w:tcMar>
            <w:vAlign w:val="center"/>
          </w:tcPr>
          <w:p w:rsidR="00A93DF7" w:rsidRPr="002518EA" w:rsidRDefault="00A93DF7" w:rsidP="00902496">
            <w:pPr>
              <w:widowControl w:val="0"/>
              <w:adjustRightInd/>
              <w:spacing w:before="40" w:after="40" w:line="240" w:lineRule="auto"/>
              <w:ind w:left="158"/>
              <w:jc w:val="right"/>
              <w:textAlignment w:val="auto"/>
              <w:rPr>
                <w:rFonts w:ascii="Calibri" w:eastAsia="Calibri" w:hAnsi="Calibri"/>
                <w:sz w:val="16"/>
                <w:szCs w:val="16"/>
              </w:rPr>
            </w:pPr>
            <w:r w:rsidRPr="002518EA">
              <w:rPr>
                <w:rFonts w:ascii="Calibri" w:eastAsia="Calibri" w:hAnsi="Calibri"/>
                <w:sz w:val="16"/>
                <w:szCs w:val="16"/>
              </w:rPr>
              <w:t>16,011</w:t>
            </w:r>
          </w:p>
        </w:tc>
      </w:tr>
      <w:tr w:rsidR="00A93DF7" w:rsidRPr="00020133" w:rsidTr="00614842">
        <w:trPr>
          <w:gridAfter w:val="1"/>
          <w:wAfter w:w="11" w:type="dxa"/>
          <w:cantSplit/>
          <w:trHeight w:val="20"/>
          <w:jc w:val="center"/>
        </w:trPr>
        <w:tc>
          <w:tcPr>
            <w:tcW w:w="4702" w:type="dxa"/>
            <w:shd w:val="clear" w:color="auto" w:fill="DBE5F1"/>
            <w:tcMar>
              <w:top w:w="29" w:type="dxa"/>
              <w:left w:w="58" w:type="dxa"/>
              <w:bottom w:w="29" w:type="dxa"/>
              <w:right w:w="58" w:type="dxa"/>
            </w:tcMar>
            <w:vAlign w:val="center"/>
          </w:tcPr>
          <w:p w:rsidR="00A93DF7" w:rsidRPr="00924838" w:rsidRDefault="00A93DF7" w:rsidP="00AD1752">
            <w:pPr>
              <w:widowControl w:val="0"/>
              <w:adjustRightInd/>
              <w:spacing w:before="40" w:after="40" w:line="240" w:lineRule="auto"/>
              <w:ind w:left="134"/>
              <w:textAlignment w:val="auto"/>
              <w:rPr>
                <w:rFonts w:ascii="Calibri" w:eastAsia="Calibri" w:hAnsi="Calibri" w:cs="Calibri"/>
                <w:sz w:val="16"/>
                <w:szCs w:val="16"/>
              </w:rPr>
            </w:pPr>
            <w:r w:rsidRPr="00924838">
              <w:rPr>
                <w:rFonts w:ascii="Calibri" w:eastAsia="Calibri" w:hAnsi="Calibri"/>
                <w:b/>
                <w:sz w:val="16"/>
                <w:szCs w:val="16"/>
              </w:rPr>
              <w:t>Oil after retirements</w:t>
            </w:r>
            <w:r w:rsidR="00AD1752" w:rsidRPr="00924838">
              <w:rPr>
                <w:rFonts w:ascii="Calibri" w:eastAsia="Calibri" w:hAnsi="Calibri"/>
                <w:b/>
                <w:sz w:val="16"/>
                <w:szCs w:val="16"/>
              </w:rPr>
              <w:t xml:space="preserve"> (SCC)</w:t>
            </w:r>
          </w:p>
        </w:tc>
        <w:tc>
          <w:tcPr>
            <w:tcW w:w="871" w:type="dxa"/>
            <w:shd w:val="clear" w:color="auto" w:fill="auto"/>
            <w:tcMar>
              <w:top w:w="29" w:type="dxa"/>
              <w:left w:w="58" w:type="dxa"/>
              <w:bottom w:w="29" w:type="dxa"/>
              <w:right w:w="58" w:type="dxa"/>
            </w:tcMar>
            <w:vAlign w:val="center"/>
          </w:tcPr>
          <w:p w:rsidR="00A93DF7" w:rsidRPr="00924838" w:rsidRDefault="00A93DF7" w:rsidP="00902496">
            <w:pPr>
              <w:widowControl w:val="0"/>
              <w:adjustRightInd/>
              <w:spacing w:before="40" w:after="40" w:line="240" w:lineRule="auto"/>
              <w:ind w:left="209"/>
              <w:jc w:val="right"/>
              <w:textAlignment w:val="auto"/>
              <w:rPr>
                <w:rFonts w:ascii="Calibri" w:eastAsia="Calibri" w:hAnsi="Calibri" w:cs="Calibri"/>
                <w:sz w:val="16"/>
                <w:szCs w:val="16"/>
              </w:rPr>
            </w:pPr>
            <w:r w:rsidRPr="00924838">
              <w:rPr>
                <w:rFonts w:ascii="Calibri" w:eastAsia="Calibri" w:hAnsi="Calibri"/>
                <w:sz w:val="16"/>
                <w:szCs w:val="16"/>
              </w:rPr>
              <w:t>4,509</w:t>
            </w:r>
          </w:p>
        </w:tc>
        <w:tc>
          <w:tcPr>
            <w:tcW w:w="907" w:type="dxa"/>
            <w:shd w:val="clear" w:color="auto" w:fill="auto"/>
            <w:tcMar>
              <w:top w:w="29" w:type="dxa"/>
              <w:left w:w="58" w:type="dxa"/>
              <w:bottom w:w="29" w:type="dxa"/>
              <w:right w:w="58" w:type="dxa"/>
            </w:tcMar>
            <w:vAlign w:val="center"/>
          </w:tcPr>
          <w:p w:rsidR="00A93DF7" w:rsidRPr="00924838"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924838">
              <w:rPr>
                <w:rFonts w:ascii="Calibri" w:eastAsia="Calibri" w:hAnsi="Calibri"/>
                <w:sz w:val="16"/>
                <w:szCs w:val="16"/>
              </w:rPr>
              <w:t>2,114</w:t>
            </w:r>
          </w:p>
        </w:tc>
        <w:tc>
          <w:tcPr>
            <w:tcW w:w="835" w:type="dxa"/>
            <w:shd w:val="clear" w:color="auto" w:fill="D9D9D9" w:themeFill="background1" w:themeFillShade="D9"/>
            <w:tcMar>
              <w:top w:w="29" w:type="dxa"/>
              <w:left w:w="58" w:type="dxa"/>
              <w:bottom w:w="29" w:type="dxa"/>
              <w:right w:w="58" w:type="dxa"/>
            </w:tcMar>
            <w:vAlign w:val="center"/>
          </w:tcPr>
          <w:p w:rsidR="00A93DF7" w:rsidRPr="00924838" w:rsidRDefault="00A93DF7" w:rsidP="00902496">
            <w:pPr>
              <w:widowControl w:val="0"/>
              <w:adjustRightInd/>
              <w:spacing w:before="40" w:after="40" w:line="240" w:lineRule="auto"/>
              <w:ind w:left="209"/>
              <w:jc w:val="right"/>
              <w:textAlignment w:val="auto"/>
              <w:rPr>
                <w:rFonts w:ascii="Calibri" w:eastAsia="Calibri" w:hAnsi="Calibri" w:cs="Calibri"/>
                <w:sz w:val="16"/>
                <w:szCs w:val="16"/>
              </w:rPr>
            </w:pPr>
            <w:r w:rsidRPr="00924838">
              <w:rPr>
                <w:rFonts w:ascii="Calibri" w:eastAsia="Calibri" w:hAnsi="Calibri"/>
                <w:sz w:val="16"/>
                <w:szCs w:val="16"/>
              </w:rPr>
              <w:t>4,509</w:t>
            </w:r>
          </w:p>
        </w:tc>
        <w:tc>
          <w:tcPr>
            <w:tcW w:w="871" w:type="dxa"/>
            <w:shd w:val="clear" w:color="auto" w:fill="D9D9D9" w:themeFill="background1" w:themeFillShade="D9"/>
            <w:tcMar>
              <w:top w:w="29" w:type="dxa"/>
              <w:left w:w="58" w:type="dxa"/>
              <w:bottom w:w="29" w:type="dxa"/>
              <w:right w:w="58" w:type="dxa"/>
            </w:tcMar>
            <w:vAlign w:val="center"/>
          </w:tcPr>
          <w:p w:rsidR="00A93DF7" w:rsidRPr="00924838"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924838">
              <w:rPr>
                <w:rFonts w:ascii="Calibri" w:eastAsia="Calibri" w:hAnsi="Calibri"/>
                <w:sz w:val="16"/>
                <w:szCs w:val="16"/>
              </w:rPr>
              <w:t>2,114</w:t>
            </w:r>
          </w:p>
        </w:tc>
        <w:tc>
          <w:tcPr>
            <w:tcW w:w="871" w:type="dxa"/>
            <w:shd w:val="clear" w:color="auto" w:fill="auto"/>
            <w:tcMar>
              <w:top w:w="29" w:type="dxa"/>
              <w:left w:w="58" w:type="dxa"/>
              <w:bottom w:w="29" w:type="dxa"/>
              <w:right w:w="58" w:type="dxa"/>
            </w:tcMar>
            <w:vAlign w:val="center"/>
          </w:tcPr>
          <w:p w:rsidR="00A93DF7" w:rsidRPr="00924838"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924838">
              <w:rPr>
                <w:rFonts w:ascii="Calibri" w:eastAsia="Calibri" w:hAnsi="Calibri"/>
                <w:sz w:val="16"/>
                <w:szCs w:val="16"/>
              </w:rPr>
              <w:t>4,509</w:t>
            </w:r>
          </w:p>
        </w:tc>
        <w:tc>
          <w:tcPr>
            <w:tcW w:w="871" w:type="dxa"/>
            <w:shd w:val="clear" w:color="auto" w:fill="auto"/>
            <w:tcMar>
              <w:top w:w="29" w:type="dxa"/>
              <w:left w:w="58" w:type="dxa"/>
              <w:bottom w:w="29" w:type="dxa"/>
              <w:right w:w="58" w:type="dxa"/>
            </w:tcMar>
            <w:vAlign w:val="center"/>
          </w:tcPr>
          <w:p w:rsidR="00A93DF7" w:rsidRPr="00924838"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924838">
              <w:rPr>
                <w:rFonts w:ascii="Calibri" w:eastAsia="Calibri" w:hAnsi="Calibri"/>
                <w:sz w:val="16"/>
                <w:szCs w:val="16"/>
              </w:rPr>
              <w:t>2,114</w:t>
            </w:r>
          </w:p>
        </w:tc>
        <w:tc>
          <w:tcPr>
            <w:tcW w:w="871" w:type="dxa"/>
            <w:shd w:val="clear" w:color="auto" w:fill="D9D9D9" w:themeFill="background1" w:themeFillShade="D9"/>
            <w:tcMar>
              <w:top w:w="29" w:type="dxa"/>
              <w:left w:w="58" w:type="dxa"/>
              <w:bottom w:w="29" w:type="dxa"/>
              <w:right w:w="58" w:type="dxa"/>
            </w:tcMar>
            <w:vAlign w:val="center"/>
          </w:tcPr>
          <w:p w:rsidR="00A93DF7" w:rsidRPr="00924838"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924838">
              <w:rPr>
                <w:rFonts w:ascii="Calibri" w:eastAsia="Calibri" w:hAnsi="Calibri"/>
                <w:sz w:val="16"/>
                <w:szCs w:val="16"/>
              </w:rPr>
              <w:t>6,109</w:t>
            </w:r>
          </w:p>
        </w:tc>
        <w:tc>
          <w:tcPr>
            <w:tcW w:w="871" w:type="dxa"/>
            <w:shd w:val="clear" w:color="auto" w:fill="D9D9D9" w:themeFill="background1" w:themeFillShade="D9"/>
            <w:tcMar>
              <w:top w:w="29" w:type="dxa"/>
              <w:left w:w="58" w:type="dxa"/>
              <w:bottom w:w="29" w:type="dxa"/>
              <w:right w:w="58" w:type="dxa"/>
            </w:tcMar>
            <w:vAlign w:val="center"/>
          </w:tcPr>
          <w:p w:rsidR="00A93DF7" w:rsidRPr="00924838"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924838">
              <w:rPr>
                <w:rFonts w:ascii="Calibri" w:eastAsia="Calibri" w:hAnsi="Calibri"/>
                <w:sz w:val="16"/>
                <w:szCs w:val="16"/>
              </w:rPr>
              <w:t>6,109</w:t>
            </w:r>
          </w:p>
        </w:tc>
        <w:tc>
          <w:tcPr>
            <w:tcW w:w="871" w:type="dxa"/>
            <w:shd w:val="clear" w:color="auto" w:fill="auto"/>
            <w:tcMar>
              <w:top w:w="29" w:type="dxa"/>
              <w:left w:w="58" w:type="dxa"/>
              <w:bottom w:w="29" w:type="dxa"/>
              <w:right w:w="58" w:type="dxa"/>
            </w:tcMar>
            <w:vAlign w:val="center"/>
          </w:tcPr>
          <w:p w:rsidR="00A93DF7" w:rsidRPr="00924838"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924838">
              <w:rPr>
                <w:rFonts w:ascii="Calibri" w:eastAsia="Calibri" w:hAnsi="Calibri"/>
                <w:sz w:val="16"/>
                <w:szCs w:val="16"/>
              </w:rPr>
              <w:t>4,509</w:t>
            </w:r>
          </w:p>
        </w:tc>
        <w:tc>
          <w:tcPr>
            <w:tcW w:w="870" w:type="dxa"/>
            <w:shd w:val="clear" w:color="auto" w:fill="auto"/>
            <w:tcMar>
              <w:top w:w="29" w:type="dxa"/>
              <w:left w:w="58" w:type="dxa"/>
              <w:bottom w:w="29" w:type="dxa"/>
              <w:right w:w="58" w:type="dxa"/>
            </w:tcMar>
            <w:vAlign w:val="center"/>
          </w:tcPr>
          <w:p w:rsidR="00A93DF7" w:rsidRPr="00924838"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924838">
              <w:rPr>
                <w:rFonts w:ascii="Calibri" w:eastAsia="Calibri" w:hAnsi="Calibri"/>
                <w:sz w:val="16"/>
                <w:szCs w:val="16"/>
              </w:rPr>
              <w:t>2,114</w:t>
            </w:r>
          </w:p>
        </w:tc>
        <w:tc>
          <w:tcPr>
            <w:tcW w:w="877" w:type="dxa"/>
            <w:shd w:val="clear" w:color="auto" w:fill="D9D9D9" w:themeFill="background1" w:themeFillShade="D9"/>
            <w:tcMar>
              <w:right w:w="58" w:type="dxa"/>
            </w:tcMar>
            <w:vAlign w:val="center"/>
          </w:tcPr>
          <w:p w:rsidR="00A93DF7" w:rsidRPr="00924838" w:rsidRDefault="00A93DF7" w:rsidP="00902496">
            <w:pPr>
              <w:widowControl w:val="0"/>
              <w:adjustRightInd/>
              <w:spacing w:before="40" w:after="40" w:line="240" w:lineRule="auto"/>
              <w:ind w:left="210"/>
              <w:jc w:val="right"/>
              <w:textAlignment w:val="auto"/>
              <w:rPr>
                <w:rFonts w:ascii="Calibri" w:eastAsia="Calibri" w:hAnsi="Calibri"/>
                <w:sz w:val="16"/>
                <w:szCs w:val="16"/>
              </w:rPr>
            </w:pPr>
            <w:r w:rsidRPr="00924838">
              <w:rPr>
                <w:rFonts w:ascii="Calibri" w:eastAsia="Calibri" w:hAnsi="Calibri"/>
                <w:sz w:val="16"/>
                <w:szCs w:val="16"/>
              </w:rPr>
              <w:t>4,509</w:t>
            </w:r>
          </w:p>
        </w:tc>
        <w:tc>
          <w:tcPr>
            <w:tcW w:w="844" w:type="dxa"/>
            <w:shd w:val="clear" w:color="auto" w:fill="D9D9D9" w:themeFill="background1" w:themeFillShade="D9"/>
            <w:tcMar>
              <w:right w:w="58" w:type="dxa"/>
            </w:tcMar>
            <w:vAlign w:val="center"/>
          </w:tcPr>
          <w:p w:rsidR="00A93DF7" w:rsidRPr="00924838" w:rsidRDefault="00A93DF7" w:rsidP="00902496">
            <w:pPr>
              <w:widowControl w:val="0"/>
              <w:adjustRightInd/>
              <w:spacing w:before="40" w:after="40" w:line="240" w:lineRule="auto"/>
              <w:ind w:left="210"/>
              <w:jc w:val="right"/>
              <w:textAlignment w:val="auto"/>
              <w:rPr>
                <w:rFonts w:ascii="Calibri" w:eastAsia="Calibri" w:hAnsi="Calibri"/>
                <w:sz w:val="16"/>
                <w:szCs w:val="16"/>
              </w:rPr>
            </w:pPr>
            <w:r w:rsidRPr="00924838">
              <w:rPr>
                <w:rFonts w:ascii="Calibri" w:eastAsia="Calibri" w:hAnsi="Calibri"/>
                <w:sz w:val="16"/>
                <w:szCs w:val="16"/>
              </w:rPr>
              <w:t>2,114</w:t>
            </w:r>
          </w:p>
        </w:tc>
      </w:tr>
      <w:tr w:rsidR="00A93DF7" w:rsidRPr="00020133" w:rsidTr="00614842">
        <w:trPr>
          <w:gridAfter w:val="1"/>
          <w:wAfter w:w="11" w:type="dxa"/>
          <w:cantSplit/>
          <w:trHeight w:val="20"/>
          <w:jc w:val="center"/>
        </w:trPr>
        <w:tc>
          <w:tcPr>
            <w:tcW w:w="4702" w:type="dxa"/>
            <w:shd w:val="clear" w:color="auto" w:fill="DBE5F1"/>
            <w:tcMar>
              <w:top w:w="29" w:type="dxa"/>
              <w:left w:w="58" w:type="dxa"/>
              <w:bottom w:w="29" w:type="dxa"/>
              <w:right w:w="58" w:type="dxa"/>
            </w:tcMar>
            <w:vAlign w:val="center"/>
          </w:tcPr>
          <w:p w:rsidR="00A93DF7" w:rsidRPr="00924838" w:rsidRDefault="00A93DF7" w:rsidP="00AD1752">
            <w:pPr>
              <w:widowControl w:val="0"/>
              <w:adjustRightInd/>
              <w:spacing w:before="40" w:after="40" w:line="240" w:lineRule="auto"/>
              <w:ind w:left="134"/>
              <w:textAlignment w:val="auto"/>
              <w:rPr>
                <w:rFonts w:ascii="Calibri" w:eastAsia="Calibri" w:hAnsi="Calibri" w:cs="Calibri"/>
                <w:sz w:val="16"/>
                <w:szCs w:val="16"/>
              </w:rPr>
            </w:pPr>
            <w:r w:rsidRPr="00924838">
              <w:rPr>
                <w:rFonts w:ascii="Calibri" w:eastAsia="Calibri" w:hAnsi="Calibri"/>
                <w:b/>
                <w:sz w:val="16"/>
                <w:szCs w:val="16"/>
              </w:rPr>
              <w:t>Coal after retirements</w:t>
            </w:r>
            <w:r w:rsidR="00AD1752" w:rsidRPr="00924838">
              <w:rPr>
                <w:rFonts w:ascii="Calibri" w:eastAsia="Calibri" w:hAnsi="Calibri"/>
                <w:b/>
                <w:sz w:val="16"/>
                <w:szCs w:val="16"/>
              </w:rPr>
              <w:t xml:space="preserve"> (SCC)</w:t>
            </w:r>
          </w:p>
        </w:tc>
        <w:tc>
          <w:tcPr>
            <w:tcW w:w="871" w:type="dxa"/>
            <w:shd w:val="clear" w:color="auto" w:fill="auto"/>
            <w:tcMar>
              <w:top w:w="29" w:type="dxa"/>
              <w:left w:w="58" w:type="dxa"/>
              <w:bottom w:w="29" w:type="dxa"/>
              <w:right w:w="58" w:type="dxa"/>
            </w:tcMar>
            <w:vAlign w:val="center"/>
          </w:tcPr>
          <w:p w:rsidR="00A93DF7" w:rsidRPr="00924838"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924838">
              <w:rPr>
                <w:rFonts w:ascii="Calibri" w:eastAsia="Calibri" w:hAnsi="Calibri"/>
                <w:sz w:val="16"/>
                <w:szCs w:val="16"/>
              </w:rPr>
              <w:t>0</w:t>
            </w:r>
          </w:p>
        </w:tc>
        <w:tc>
          <w:tcPr>
            <w:tcW w:w="907" w:type="dxa"/>
            <w:shd w:val="clear" w:color="auto" w:fill="auto"/>
            <w:tcMar>
              <w:top w:w="29" w:type="dxa"/>
              <w:left w:w="58" w:type="dxa"/>
              <w:bottom w:w="29" w:type="dxa"/>
              <w:right w:w="58" w:type="dxa"/>
            </w:tcMar>
            <w:vAlign w:val="center"/>
          </w:tcPr>
          <w:p w:rsidR="00A93DF7" w:rsidRPr="00924838"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924838">
              <w:rPr>
                <w:rFonts w:ascii="Calibri" w:eastAsia="Calibri" w:hAnsi="Calibri"/>
                <w:sz w:val="16"/>
                <w:szCs w:val="16"/>
              </w:rPr>
              <w:t>0</w:t>
            </w:r>
          </w:p>
        </w:tc>
        <w:tc>
          <w:tcPr>
            <w:tcW w:w="835" w:type="dxa"/>
            <w:shd w:val="clear" w:color="auto" w:fill="D9D9D9" w:themeFill="background1" w:themeFillShade="D9"/>
            <w:tcMar>
              <w:top w:w="29" w:type="dxa"/>
              <w:left w:w="58" w:type="dxa"/>
              <w:bottom w:w="29" w:type="dxa"/>
              <w:right w:w="58" w:type="dxa"/>
            </w:tcMar>
            <w:vAlign w:val="center"/>
          </w:tcPr>
          <w:p w:rsidR="00A93DF7" w:rsidRPr="00924838"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924838">
              <w:rPr>
                <w:rFonts w:ascii="Calibri" w:eastAsia="Calibri" w:hAnsi="Calibri"/>
                <w:sz w:val="16"/>
                <w:szCs w:val="16"/>
              </w:rPr>
              <w:t>0</w:t>
            </w:r>
          </w:p>
        </w:tc>
        <w:tc>
          <w:tcPr>
            <w:tcW w:w="871" w:type="dxa"/>
            <w:shd w:val="clear" w:color="auto" w:fill="D9D9D9" w:themeFill="background1" w:themeFillShade="D9"/>
            <w:tcMar>
              <w:top w:w="29" w:type="dxa"/>
              <w:left w:w="58" w:type="dxa"/>
              <w:bottom w:w="29" w:type="dxa"/>
              <w:right w:w="58" w:type="dxa"/>
            </w:tcMar>
            <w:vAlign w:val="center"/>
          </w:tcPr>
          <w:p w:rsidR="00A93DF7" w:rsidRPr="00924838"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924838">
              <w:rPr>
                <w:rFonts w:ascii="Calibri" w:eastAsia="Calibri" w:hAnsi="Calibri"/>
                <w:sz w:val="16"/>
                <w:szCs w:val="16"/>
              </w:rPr>
              <w:t>0</w:t>
            </w:r>
          </w:p>
        </w:tc>
        <w:tc>
          <w:tcPr>
            <w:tcW w:w="871" w:type="dxa"/>
            <w:shd w:val="clear" w:color="auto" w:fill="auto"/>
            <w:tcMar>
              <w:top w:w="29" w:type="dxa"/>
              <w:left w:w="58" w:type="dxa"/>
              <w:bottom w:w="29" w:type="dxa"/>
              <w:right w:w="58" w:type="dxa"/>
            </w:tcMar>
            <w:vAlign w:val="center"/>
          </w:tcPr>
          <w:p w:rsidR="00A93DF7" w:rsidRPr="00924838" w:rsidRDefault="00A93DF7" w:rsidP="00902496">
            <w:pPr>
              <w:widowControl w:val="0"/>
              <w:adjustRightInd/>
              <w:spacing w:before="40" w:after="40" w:line="240" w:lineRule="auto"/>
              <w:ind w:left="3"/>
              <w:jc w:val="right"/>
              <w:textAlignment w:val="auto"/>
              <w:rPr>
                <w:rFonts w:ascii="Calibri" w:eastAsia="Calibri" w:hAnsi="Calibri" w:cs="Calibri"/>
                <w:sz w:val="16"/>
                <w:szCs w:val="16"/>
              </w:rPr>
            </w:pPr>
            <w:r w:rsidRPr="00924838">
              <w:rPr>
                <w:rFonts w:ascii="Calibri" w:eastAsia="Calibri" w:hAnsi="Calibri"/>
                <w:sz w:val="16"/>
                <w:szCs w:val="16"/>
              </w:rPr>
              <w:t>0</w:t>
            </w:r>
          </w:p>
        </w:tc>
        <w:tc>
          <w:tcPr>
            <w:tcW w:w="871" w:type="dxa"/>
            <w:shd w:val="clear" w:color="auto" w:fill="auto"/>
            <w:tcMar>
              <w:top w:w="29" w:type="dxa"/>
              <w:left w:w="58" w:type="dxa"/>
              <w:bottom w:w="29" w:type="dxa"/>
              <w:right w:w="58" w:type="dxa"/>
            </w:tcMar>
            <w:vAlign w:val="center"/>
          </w:tcPr>
          <w:p w:rsidR="00A93DF7" w:rsidRPr="00924838" w:rsidRDefault="00A93DF7" w:rsidP="00902496">
            <w:pPr>
              <w:widowControl w:val="0"/>
              <w:adjustRightInd/>
              <w:spacing w:before="40" w:after="40" w:line="240" w:lineRule="auto"/>
              <w:ind w:left="4"/>
              <w:jc w:val="right"/>
              <w:textAlignment w:val="auto"/>
              <w:rPr>
                <w:rFonts w:ascii="Calibri" w:eastAsia="Calibri" w:hAnsi="Calibri" w:cs="Calibri"/>
                <w:sz w:val="16"/>
                <w:szCs w:val="16"/>
              </w:rPr>
            </w:pPr>
            <w:r w:rsidRPr="00924838">
              <w:rPr>
                <w:rFonts w:ascii="Calibri" w:eastAsia="Calibri" w:hAnsi="Calibri"/>
                <w:sz w:val="16"/>
                <w:szCs w:val="16"/>
              </w:rPr>
              <w:t>0</w:t>
            </w:r>
          </w:p>
        </w:tc>
        <w:tc>
          <w:tcPr>
            <w:tcW w:w="871" w:type="dxa"/>
            <w:shd w:val="clear" w:color="auto" w:fill="D9D9D9" w:themeFill="background1" w:themeFillShade="D9"/>
            <w:tcMar>
              <w:top w:w="29" w:type="dxa"/>
              <w:left w:w="58" w:type="dxa"/>
              <w:bottom w:w="29" w:type="dxa"/>
              <w:right w:w="58" w:type="dxa"/>
            </w:tcMar>
            <w:vAlign w:val="center"/>
          </w:tcPr>
          <w:p w:rsidR="00A93DF7" w:rsidRPr="00924838" w:rsidRDefault="00A93DF7" w:rsidP="00902496">
            <w:pPr>
              <w:widowControl w:val="0"/>
              <w:adjustRightInd/>
              <w:spacing w:before="40" w:after="40" w:line="240" w:lineRule="auto"/>
              <w:ind w:left="265"/>
              <w:jc w:val="right"/>
              <w:textAlignment w:val="auto"/>
              <w:rPr>
                <w:rFonts w:ascii="Calibri" w:eastAsia="Calibri" w:hAnsi="Calibri" w:cs="Calibri"/>
                <w:sz w:val="16"/>
                <w:szCs w:val="16"/>
              </w:rPr>
            </w:pPr>
            <w:r w:rsidRPr="00924838">
              <w:rPr>
                <w:rFonts w:ascii="Calibri" w:eastAsia="Calibri" w:hAnsi="Calibri"/>
                <w:sz w:val="16"/>
                <w:szCs w:val="16"/>
              </w:rPr>
              <w:t>917</w:t>
            </w:r>
          </w:p>
        </w:tc>
        <w:tc>
          <w:tcPr>
            <w:tcW w:w="871" w:type="dxa"/>
            <w:shd w:val="clear" w:color="auto" w:fill="D9D9D9" w:themeFill="background1" w:themeFillShade="D9"/>
            <w:tcMar>
              <w:top w:w="29" w:type="dxa"/>
              <w:left w:w="58" w:type="dxa"/>
              <w:bottom w:w="29" w:type="dxa"/>
              <w:right w:w="58" w:type="dxa"/>
            </w:tcMar>
            <w:vAlign w:val="center"/>
          </w:tcPr>
          <w:p w:rsidR="00A93DF7" w:rsidRPr="00924838" w:rsidRDefault="00A93DF7" w:rsidP="00902496">
            <w:pPr>
              <w:widowControl w:val="0"/>
              <w:adjustRightInd/>
              <w:spacing w:before="40" w:after="40" w:line="240" w:lineRule="auto"/>
              <w:ind w:left="265"/>
              <w:jc w:val="right"/>
              <w:textAlignment w:val="auto"/>
              <w:rPr>
                <w:rFonts w:ascii="Calibri" w:eastAsia="Calibri" w:hAnsi="Calibri" w:cs="Calibri"/>
                <w:sz w:val="16"/>
                <w:szCs w:val="16"/>
              </w:rPr>
            </w:pPr>
            <w:r w:rsidRPr="00924838">
              <w:rPr>
                <w:rFonts w:ascii="Calibri" w:eastAsia="Calibri" w:hAnsi="Calibri"/>
                <w:sz w:val="16"/>
                <w:szCs w:val="16"/>
              </w:rPr>
              <w:t>917</w:t>
            </w:r>
          </w:p>
        </w:tc>
        <w:tc>
          <w:tcPr>
            <w:tcW w:w="871" w:type="dxa"/>
            <w:shd w:val="clear" w:color="auto" w:fill="auto"/>
            <w:tcMar>
              <w:top w:w="29" w:type="dxa"/>
              <w:left w:w="58" w:type="dxa"/>
              <w:bottom w:w="29" w:type="dxa"/>
              <w:right w:w="58" w:type="dxa"/>
            </w:tcMar>
            <w:vAlign w:val="center"/>
          </w:tcPr>
          <w:p w:rsidR="00A93DF7" w:rsidRPr="00924838" w:rsidRDefault="00A93DF7" w:rsidP="00902496">
            <w:pPr>
              <w:widowControl w:val="0"/>
              <w:adjustRightInd/>
              <w:spacing w:before="40" w:after="40" w:line="240" w:lineRule="auto"/>
              <w:ind w:left="4"/>
              <w:jc w:val="right"/>
              <w:textAlignment w:val="auto"/>
              <w:rPr>
                <w:rFonts w:ascii="Calibri" w:eastAsia="Calibri" w:hAnsi="Calibri" w:cs="Calibri"/>
                <w:sz w:val="16"/>
                <w:szCs w:val="16"/>
              </w:rPr>
            </w:pPr>
            <w:r w:rsidRPr="00924838">
              <w:rPr>
                <w:rFonts w:ascii="Calibri" w:eastAsia="Calibri" w:hAnsi="Calibri"/>
                <w:sz w:val="16"/>
                <w:szCs w:val="16"/>
              </w:rPr>
              <w:t>0</w:t>
            </w:r>
          </w:p>
        </w:tc>
        <w:tc>
          <w:tcPr>
            <w:tcW w:w="870" w:type="dxa"/>
            <w:shd w:val="clear" w:color="auto" w:fill="auto"/>
            <w:tcMar>
              <w:top w:w="29" w:type="dxa"/>
              <w:left w:w="58" w:type="dxa"/>
              <w:bottom w:w="29" w:type="dxa"/>
              <w:right w:w="58" w:type="dxa"/>
            </w:tcMar>
            <w:vAlign w:val="center"/>
          </w:tcPr>
          <w:p w:rsidR="00A93DF7" w:rsidRPr="00924838" w:rsidRDefault="00A93DF7" w:rsidP="00902496">
            <w:pPr>
              <w:widowControl w:val="0"/>
              <w:adjustRightInd/>
              <w:spacing w:before="40" w:after="40" w:line="240" w:lineRule="auto"/>
              <w:ind w:left="4"/>
              <w:jc w:val="right"/>
              <w:textAlignment w:val="auto"/>
              <w:rPr>
                <w:rFonts w:ascii="Calibri" w:eastAsia="Calibri" w:hAnsi="Calibri" w:cs="Calibri"/>
                <w:sz w:val="16"/>
                <w:szCs w:val="16"/>
              </w:rPr>
            </w:pPr>
            <w:r w:rsidRPr="00924838">
              <w:rPr>
                <w:rFonts w:ascii="Calibri" w:eastAsia="Calibri" w:hAnsi="Calibri"/>
                <w:sz w:val="16"/>
                <w:szCs w:val="16"/>
              </w:rPr>
              <w:t>0</w:t>
            </w:r>
          </w:p>
        </w:tc>
        <w:tc>
          <w:tcPr>
            <w:tcW w:w="877" w:type="dxa"/>
            <w:shd w:val="clear" w:color="auto" w:fill="D9D9D9" w:themeFill="background1" w:themeFillShade="D9"/>
            <w:tcMar>
              <w:right w:w="58" w:type="dxa"/>
            </w:tcMar>
            <w:vAlign w:val="center"/>
          </w:tcPr>
          <w:p w:rsidR="00A93DF7" w:rsidRPr="00924838" w:rsidRDefault="00A93DF7" w:rsidP="00902496">
            <w:pPr>
              <w:widowControl w:val="0"/>
              <w:adjustRightInd/>
              <w:spacing w:before="40" w:after="40" w:line="240" w:lineRule="auto"/>
              <w:ind w:left="4"/>
              <w:jc w:val="right"/>
              <w:textAlignment w:val="auto"/>
              <w:rPr>
                <w:rFonts w:ascii="Calibri" w:eastAsia="Calibri" w:hAnsi="Calibri"/>
                <w:sz w:val="16"/>
                <w:szCs w:val="16"/>
              </w:rPr>
            </w:pPr>
            <w:r w:rsidRPr="00924838">
              <w:rPr>
                <w:rFonts w:ascii="Calibri" w:eastAsia="Calibri" w:hAnsi="Calibri"/>
                <w:sz w:val="16"/>
                <w:szCs w:val="16"/>
              </w:rPr>
              <w:t>0</w:t>
            </w:r>
          </w:p>
        </w:tc>
        <w:tc>
          <w:tcPr>
            <w:tcW w:w="844" w:type="dxa"/>
            <w:shd w:val="clear" w:color="auto" w:fill="D9D9D9" w:themeFill="background1" w:themeFillShade="D9"/>
            <w:tcMar>
              <w:right w:w="58" w:type="dxa"/>
            </w:tcMar>
            <w:vAlign w:val="center"/>
          </w:tcPr>
          <w:p w:rsidR="00A93DF7" w:rsidRPr="00924838" w:rsidRDefault="00A93DF7" w:rsidP="00902496">
            <w:pPr>
              <w:widowControl w:val="0"/>
              <w:adjustRightInd/>
              <w:spacing w:before="40" w:after="40" w:line="240" w:lineRule="auto"/>
              <w:ind w:left="4"/>
              <w:jc w:val="right"/>
              <w:textAlignment w:val="auto"/>
              <w:rPr>
                <w:rFonts w:ascii="Calibri" w:eastAsia="Calibri" w:hAnsi="Calibri"/>
                <w:sz w:val="16"/>
                <w:szCs w:val="16"/>
              </w:rPr>
            </w:pPr>
            <w:r w:rsidRPr="00924838">
              <w:rPr>
                <w:rFonts w:ascii="Calibri" w:eastAsia="Calibri" w:hAnsi="Calibri"/>
                <w:sz w:val="16"/>
                <w:szCs w:val="16"/>
              </w:rPr>
              <w:t>0</w:t>
            </w:r>
          </w:p>
        </w:tc>
      </w:tr>
      <w:tr w:rsidR="00A93DF7" w:rsidRPr="00020133" w:rsidTr="00614842">
        <w:trPr>
          <w:gridAfter w:val="1"/>
          <w:wAfter w:w="11" w:type="dxa"/>
          <w:cantSplit/>
          <w:trHeight w:val="20"/>
          <w:jc w:val="center"/>
        </w:trPr>
        <w:tc>
          <w:tcPr>
            <w:tcW w:w="4702" w:type="dxa"/>
            <w:shd w:val="clear" w:color="auto" w:fill="DBE5F1"/>
            <w:tcMar>
              <w:top w:w="29" w:type="dxa"/>
              <w:left w:w="58" w:type="dxa"/>
              <w:bottom w:w="29" w:type="dxa"/>
              <w:right w:w="58" w:type="dxa"/>
            </w:tcMar>
            <w:vAlign w:val="center"/>
          </w:tcPr>
          <w:p w:rsidR="00A93DF7" w:rsidRPr="002518EA" w:rsidRDefault="00A93DF7" w:rsidP="00AD1752">
            <w:pPr>
              <w:widowControl w:val="0"/>
              <w:adjustRightInd/>
              <w:spacing w:before="40" w:after="40" w:line="240" w:lineRule="auto"/>
              <w:ind w:left="134"/>
              <w:textAlignment w:val="auto"/>
              <w:rPr>
                <w:rFonts w:ascii="Calibri" w:eastAsia="Calibri" w:hAnsi="Calibri" w:cs="Calibri"/>
                <w:sz w:val="16"/>
                <w:szCs w:val="16"/>
                <w:highlight w:val="yellow"/>
              </w:rPr>
            </w:pPr>
            <w:r w:rsidRPr="00924838">
              <w:rPr>
                <w:rFonts w:ascii="Calibri" w:eastAsia="Calibri" w:hAnsi="Calibri"/>
                <w:b/>
                <w:sz w:val="16"/>
                <w:szCs w:val="16"/>
              </w:rPr>
              <w:t xml:space="preserve">Total </w:t>
            </w:r>
            <w:r w:rsidR="00AD1752" w:rsidRPr="00924838">
              <w:rPr>
                <w:rFonts w:ascii="Calibri" w:eastAsia="Calibri" w:hAnsi="Calibri"/>
                <w:b/>
                <w:sz w:val="16"/>
                <w:szCs w:val="16"/>
              </w:rPr>
              <w:t>cap</w:t>
            </w:r>
            <w:r w:rsidR="008633C2" w:rsidRPr="00924838">
              <w:rPr>
                <w:rFonts w:ascii="Calibri" w:eastAsia="Calibri" w:hAnsi="Calibri"/>
                <w:b/>
                <w:sz w:val="16"/>
                <w:szCs w:val="16"/>
              </w:rPr>
              <w:t>a</w:t>
            </w:r>
            <w:r w:rsidR="00AD1752" w:rsidRPr="00924838">
              <w:rPr>
                <w:rFonts w:ascii="Calibri" w:eastAsia="Calibri" w:hAnsi="Calibri"/>
                <w:b/>
                <w:sz w:val="16"/>
                <w:szCs w:val="16"/>
              </w:rPr>
              <w:t xml:space="preserve">city </w:t>
            </w:r>
            <w:r w:rsidR="00444C3D" w:rsidRPr="00924838">
              <w:rPr>
                <w:rFonts w:ascii="Calibri" w:eastAsia="Calibri" w:hAnsi="Calibri"/>
                <w:b/>
                <w:sz w:val="16"/>
                <w:szCs w:val="16"/>
              </w:rPr>
              <w:t xml:space="preserve">for </w:t>
            </w:r>
            <w:r w:rsidRPr="00924838">
              <w:rPr>
                <w:rFonts w:ascii="Calibri" w:eastAsia="Calibri" w:hAnsi="Calibri"/>
                <w:b/>
                <w:sz w:val="16"/>
                <w:szCs w:val="16"/>
              </w:rPr>
              <w:t>existing resources after retirements</w:t>
            </w:r>
          </w:p>
        </w:tc>
        <w:tc>
          <w:tcPr>
            <w:tcW w:w="871" w:type="dxa"/>
            <w:shd w:val="clear" w:color="auto" w:fill="auto"/>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2518EA">
              <w:rPr>
                <w:rFonts w:ascii="Calibri" w:eastAsia="Calibri" w:hAnsi="Calibri"/>
                <w:sz w:val="16"/>
                <w:szCs w:val="16"/>
              </w:rPr>
              <w:t>34,157</w:t>
            </w:r>
          </w:p>
        </w:tc>
        <w:tc>
          <w:tcPr>
            <w:tcW w:w="907" w:type="dxa"/>
            <w:shd w:val="clear" w:color="auto" w:fill="auto"/>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2518EA">
              <w:rPr>
                <w:rFonts w:ascii="Calibri" w:eastAsia="Calibri" w:hAnsi="Calibri"/>
                <w:sz w:val="16"/>
                <w:szCs w:val="16"/>
              </w:rPr>
              <w:t>32,086</w:t>
            </w:r>
          </w:p>
        </w:tc>
        <w:tc>
          <w:tcPr>
            <w:tcW w:w="835" w:type="dxa"/>
            <w:shd w:val="clear" w:color="auto" w:fill="D9D9D9" w:themeFill="background1" w:themeFillShade="D9"/>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2518EA">
              <w:rPr>
                <w:rFonts w:ascii="Calibri" w:eastAsia="Calibri" w:hAnsi="Calibri"/>
                <w:sz w:val="16"/>
                <w:szCs w:val="16"/>
              </w:rPr>
              <w:t>34,157</w:t>
            </w:r>
          </w:p>
        </w:tc>
        <w:tc>
          <w:tcPr>
            <w:tcW w:w="871" w:type="dxa"/>
            <w:shd w:val="clear" w:color="auto" w:fill="D9D9D9" w:themeFill="background1" w:themeFillShade="D9"/>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2518EA">
              <w:rPr>
                <w:rFonts w:ascii="Calibri" w:eastAsia="Calibri" w:hAnsi="Calibri"/>
                <w:sz w:val="16"/>
                <w:szCs w:val="16"/>
              </w:rPr>
              <w:t>32,086</w:t>
            </w:r>
          </w:p>
        </w:tc>
        <w:tc>
          <w:tcPr>
            <w:tcW w:w="871" w:type="dxa"/>
            <w:shd w:val="clear" w:color="auto" w:fill="auto"/>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2518EA">
              <w:rPr>
                <w:rFonts w:ascii="Calibri" w:eastAsia="Calibri" w:hAnsi="Calibri"/>
                <w:sz w:val="16"/>
                <w:szCs w:val="16"/>
              </w:rPr>
              <w:t>38,248</w:t>
            </w:r>
          </w:p>
        </w:tc>
        <w:tc>
          <w:tcPr>
            <w:tcW w:w="871" w:type="dxa"/>
            <w:shd w:val="clear" w:color="auto" w:fill="auto"/>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2518EA">
              <w:rPr>
                <w:rFonts w:ascii="Calibri" w:eastAsia="Calibri" w:hAnsi="Calibri"/>
                <w:sz w:val="16"/>
                <w:szCs w:val="16"/>
              </w:rPr>
              <w:t>38,890</w:t>
            </w:r>
          </w:p>
        </w:tc>
        <w:tc>
          <w:tcPr>
            <w:tcW w:w="871" w:type="dxa"/>
            <w:shd w:val="clear" w:color="auto" w:fill="D9D9D9" w:themeFill="background1" w:themeFillShade="D9"/>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2518EA">
              <w:rPr>
                <w:rFonts w:ascii="Calibri" w:eastAsia="Calibri" w:hAnsi="Calibri"/>
                <w:sz w:val="16"/>
                <w:szCs w:val="16"/>
              </w:rPr>
              <w:t>36,768</w:t>
            </w:r>
          </w:p>
        </w:tc>
        <w:tc>
          <w:tcPr>
            <w:tcW w:w="871" w:type="dxa"/>
            <w:shd w:val="clear" w:color="auto" w:fill="D9D9D9" w:themeFill="background1" w:themeFillShade="D9"/>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2518EA">
              <w:rPr>
                <w:rFonts w:ascii="Calibri" w:eastAsia="Calibri" w:hAnsi="Calibri"/>
                <w:sz w:val="16"/>
                <w:szCs w:val="16"/>
              </w:rPr>
              <w:t>37,663</w:t>
            </w:r>
          </w:p>
        </w:tc>
        <w:tc>
          <w:tcPr>
            <w:tcW w:w="871" w:type="dxa"/>
            <w:shd w:val="clear" w:color="auto" w:fill="auto"/>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2518EA">
              <w:rPr>
                <w:rFonts w:ascii="Calibri" w:eastAsia="Calibri" w:hAnsi="Calibri"/>
                <w:sz w:val="16"/>
                <w:szCs w:val="16"/>
              </w:rPr>
              <w:t>34,157</w:t>
            </w:r>
          </w:p>
        </w:tc>
        <w:tc>
          <w:tcPr>
            <w:tcW w:w="870" w:type="dxa"/>
            <w:shd w:val="clear" w:color="auto" w:fill="auto"/>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158"/>
              <w:jc w:val="right"/>
              <w:textAlignment w:val="auto"/>
              <w:rPr>
                <w:rFonts w:ascii="Calibri" w:eastAsia="Calibri" w:hAnsi="Calibri" w:cs="Calibri"/>
                <w:sz w:val="16"/>
                <w:szCs w:val="16"/>
              </w:rPr>
            </w:pPr>
            <w:r w:rsidRPr="002518EA">
              <w:rPr>
                <w:rFonts w:ascii="Calibri" w:eastAsia="Calibri" w:hAnsi="Calibri"/>
                <w:sz w:val="16"/>
                <w:szCs w:val="16"/>
              </w:rPr>
              <w:t>32,086</w:t>
            </w:r>
          </w:p>
        </w:tc>
        <w:tc>
          <w:tcPr>
            <w:tcW w:w="877" w:type="dxa"/>
            <w:shd w:val="clear" w:color="auto" w:fill="D9D9D9" w:themeFill="background1" w:themeFillShade="D9"/>
            <w:tcMar>
              <w:right w:w="58" w:type="dxa"/>
            </w:tcMar>
            <w:vAlign w:val="center"/>
          </w:tcPr>
          <w:p w:rsidR="00A93DF7" w:rsidRPr="002518EA" w:rsidRDefault="00A93DF7" w:rsidP="00902496">
            <w:pPr>
              <w:widowControl w:val="0"/>
              <w:adjustRightInd/>
              <w:spacing w:before="40" w:after="40" w:line="240" w:lineRule="auto"/>
              <w:ind w:left="158"/>
              <w:jc w:val="right"/>
              <w:textAlignment w:val="auto"/>
              <w:rPr>
                <w:rFonts w:ascii="Calibri" w:eastAsia="Calibri" w:hAnsi="Calibri"/>
                <w:sz w:val="16"/>
                <w:szCs w:val="16"/>
              </w:rPr>
            </w:pPr>
            <w:r w:rsidRPr="002518EA">
              <w:rPr>
                <w:rFonts w:ascii="Calibri" w:eastAsia="Calibri" w:hAnsi="Calibri"/>
                <w:sz w:val="16"/>
                <w:szCs w:val="16"/>
              </w:rPr>
              <w:t>34,157</w:t>
            </w:r>
          </w:p>
        </w:tc>
        <w:tc>
          <w:tcPr>
            <w:tcW w:w="844" w:type="dxa"/>
            <w:shd w:val="clear" w:color="auto" w:fill="D9D9D9" w:themeFill="background1" w:themeFillShade="D9"/>
            <w:tcMar>
              <w:right w:w="58" w:type="dxa"/>
            </w:tcMar>
            <w:vAlign w:val="center"/>
          </w:tcPr>
          <w:p w:rsidR="00A93DF7" w:rsidRPr="002518EA" w:rsidRDefault="00A93DF7" w:rsidP="00902496">
            <w:pPr>
              <w:widowControl w:val="0"/>
              <w:adjustRightInd/>
              <w:spacing w:before="40" w:after="40" w:line="240" w:lineRule="auto"/>
              <w:ind w:left="158"/>
              <w:jc w:val="right"/>
              <w:textAlignment w:val="auto"/>
              <w:rPr>
                <w:rFonts w:ascii="Calibri" w:eastAsia="Calibri" w:hAnsi="Calibri"/>
                <w:sz w:val="16"/>
                <w:szCs w:val="16"/>
              </w:rPr>
            </w:pPr>
            <w:r w:rsidRPr="002518EA">
              <w:rPr>
                <w:rFonts w:ascii="Calibri" w:eastAsia="Calibri" w:hAnsi="Calibri"/>
                <w:sz w:val="16"/>
                <w:szCs w:val="16"/>
              </w:rPr>
              <w:t>32,086</w:t>
            </w:r>
          </w:p>
        </w:tc>
      </w:tr>
      <w:tr w:rsidR="00A93DF7" w:rsidRPr="00020133" w:rsidTr="00614842">
        <w:trPr>
          <w:gridAfter w:val="1"/>
          <w:wAfter w:w="11" w:type="dxa"/>
          <w:cantSplit/>
          <w:trHeight w:val="20"/>
          <w:jc w:val="center"/>
        </w:trPr>
        <w:tc>
          <w:tcPr>
            <w:tcW w:w="4702" w:type="dxa"/>
            <w:shd w:val="clear" w:color="auto" w:fill="DBE5F1"/>
            <w:tcMar>
              <w:top w:w="29" w:type="dxa"/>
              <w:left w:w="58" w:type="dxa"/>
              <w:bottom w:w="29" w:type="dxa"/>
              <w:right w:w="58" w:type="dxa"/>
            </w:tcMar>
            <w:vAlign w:val="center"/>
          </w:tcPr>
          <w:p w:rsidR="00A93DF7" w:rsidRPr="00473D3B" w:rsidRDefault="00AF50AC" w:rsidP="003369B6">
            <w:pPr>
              <w:widowControl w:val="0"/>
              <w:adjustRightInd/>
              <w:spacing w:before="40" w:after="40" w:line="240" w:lineRule="auto"/>
              <w:ind w:left="134"/>
              <w:textAlignment w:val="auto"/>
              <w:rPr>
                <w:rFonts w:ascii="Calibri" w:eastAsia="Calibri" w:hAnsi="Calibri" w:cs="Calibri"/>
                <w:sz w:val="16"/>
                <w:szCs w:val="16"/>
              </w:rPr>
            </w:pPr>
            <w:r w:rsidRPr="00473D3B">
              <w:rPr>
                <w:rFonts w:ascii="Calibri" w:eastAsia="Calibri" w:hAnsi="Calibri"/>
                <w:b/>
                <w:sz w:val="16"/>
                <w:szCs w:val="16"/>
              </w:rPr>
              <w:t>B</w:t>
            </w:r>
            <w:r w:rsidR="00A93DF7" w:rsidRPr="00473D3B">
              <w:rPr>
                <w:rFonts w:ascii="Calibri" w:eastAsia="Calibri" w:hAnsi="Calibri"/>
                <w:b/>
                <w:sz w:val="16"/>
                <w:szCs w:val="16"/>
              </w:rPr>
              <w:t>attery storage</w:t>
            </w:r>
            <w:r w:rsidR="00444C3D" w:rsidRPr="00473D3B">
              <w:rPr>
                <w:rFonts w:ascii="Calibri" w:eastAsia="Calibri" w:hAnsi="Calibri"/>
                <w:b/>
                <w:sz w:val="16"/>
                <w:szCs w:val="16"/>
              </w:rPr>
              <w:t xml:space="preserve"> </w:t>
            </w:r>
            <w:r w:rsidR="002518EA" w:rsidRPr="00473D3B">
              <w:rPr>
                <w:rFonts w:ascii="Calibri" w:eastAsia="Calibri" w:hAnsi="Calibri"/>
                <w:b/>
                <w:sz w:val="16"/>
                <w:szCs w:val="16"/>
              </w:rPr>
              <w:t>(</w:t>
            </w:r>
            <w:r w:rsidR="003369B6">
              <w:rPr>
                <w:rFonts w:ascii="Calibri" w:eastAsia="Calibri" w:hAnsi="Calibri"/>
                <w:b/>
                <w:sz w:val="16"/>
                <w:szCs w:val="16"/>
              </w:rPr>
              <w:t>SCC</w:t>
            </w:r>
            <w:r w:rsidR="002518EA" w:rsidRPr="00473D3B">
              <w:rPr>
                <w:rFonts w:ascii="Calibri" w:eastAsia="Calibri" w:hAnsi="Calibri"/>
                <w:b/>
                <w:sz w:val="16"/>
                <w:szCs w:val="16"/>
              </w:rPr>
              <w:t>)</w:t>
            </w:r>
          </w:p>
        </w:tc>
        <w:tc>
          <w:tcPr>
            <w:tcW w:w="871" w:type="dxa"/>
            <w:shd w:val="clear" w:color="auto" w:fill="auto"/>
            <w:tcMar>
              <w:top w:w="29" w:type="dxa"/>
              <w:left w:w="58" w:type="dxa"/>
              <w:bottom w:w="29" w:type="dxa"/>
              <w:right w:w="58" w:type="dxa"/>
            </w:tcMar>
            <w:vAlign w:val="center"/>
          </w:tcPr>
          <w:p w:rsidR="00A93DF7" w:rsidRPr="00473D3B" w:rsidRDefault="00A93DF7" w:rsidP="00902496">
            <w:pPr>
              <w:widowControl w:val="0"/>
              <w:adjustRightInd/>
              <w:spacing w:before="40" w:after="40" w:line="240" w:lineRule="auto"/>
              <w:ind w:left="255"/>
              <w:jc w:val="right"/>
              <w:textAlignment w:val="auto"/>
              <w:rPr>
                <w:rFonts w:ascii="Calibri" w:eastAsia="Calibri" w:hAnsi="Calibri" w:cs="Calibri"/>
                <w:sz w:val="16"/>
                <w:szCs w:val="16"/>
              </w:rPr>
            </w:pPr>
            <w:r w:rsidRPr="00473D3B">
              <w:rPr>
                <w:rFonts w:ascii="Calibri" w:eastAsia="Calibri" w:hAnsi="Calibri"/>
                <w:sz w:val="16"/>
                <w:szCs w:val="16"/>
              </w:rPr>
              <w:t>N/A</w:t>
            </w:r>
          </w:p>
        </w:tc>
        <w:tc>
          <w:tcPr>
            <w:tcW w:w="907" w:type="dxa"/>
            <w:shd w:val="clear" w:color="auto" w:fill="auto"/>
            <w:tcMar>
              <w:top w:w="29" w:type="dxa"/>
              <w:left w:w="58" w:type="dxa"/>
              <w:bottom w:w="29" w:type="dxa"/>
              <w:right w:w="58" w:type="dxa"/>
            </w:tcMar>
            <w:vAlign w:val="center"/>
          </w:tcPr>
          <w:p w:rsidR="00A93DF7" w:rsidRPr="00473D3B" w:rsidRDefault="00A93DF7" w:rsidP="00902496">
            <w:pPr>
              <w:widowControl w:val="0"/>
              <w:adjustRightInd/>
              <w:spacing w:before="40" w:after="40" w:line="240" w:lineRule="auto"/>
              <w:ind w:left="255"/>
              <w:jc w:val="right"/>
              <w:textAlignment w:val="auto"/>
              <w:rPr>
                <w:rFonts w:ascii="Calibri" w:eastAsia="Calibri" w:hAnsi="Calibri" w:cs="Calibri"/>
                <w:sz w:val="16"/>
                <w:szCs w:val="16"/>
              </w:rPr>
            </w:pPr>
            <w:r w:rsidRPr="00473D3B">
              <w:rPr>
                <w:rFonts w:ascii="Calibri" w:eastAsia="Calibri" w:hAnsi="Calibri"/>
                <w:sz w:val="16"/>
                <w:szCs w:val="16"/>
              </w:rPr>
              <w:t>N/A</w:t>
            </w:r>
          </w:p>
        </w:tc>
        <w:tc>
          <w:tcPr>
            <w:tcW w:w="835" w:type="dxa"/>
            <w:shd w:val="clear" w:color="auto" w:fill="D9D9D9" w:themeFill="background1" w:themeFillShade="D9"/>
            <w:tcMar>
              <w:top w:w="29" w:type="dxa"/>
              <w:left w:w="58" w:type="dxa"/>
              <w:bottom w:w="29" w:type="dxa"/>
              <w:right w:w="58" w:type="dxa"/>
            </w:tcMar>
            <w:vAlign w:val="center"/>
          </w:tcPr>
          <w:p w:rsidR="00A93DF7" w:rsidRPr="00473D3B" w:rsidRDefault="00A93DF7" w:rsidP="00902496">
            <w:pPr>
              <w:widowControl w:val="0"/>
              <w:adjustRightInd/>
              <w:spacing w:before="40" w:after="40" w:line="240" w:lineRule="auto"/>
              <w:ind w:left="255"/>
              <w:jc w:val="right"/>
              <w:textAlignment w:val="auto"/>
              <w:rPr>
                <w:rFonts w:ascii="Calibri" w:eastAsia="Calibri" w:hAnsi="Calibri" w:cs="Calibri"/>
                <w:sz w:val="16"/>
                <w:szCs w:val="16"/>
              </w:rPr>
            </w:pPr>
            <w:r w:rsidRPr="00473D3B">
              <w:rPr>
                <w:rFonts w:ascii="Calibri" w:eastAsia="Calibri" w:hAnsi="Calibri"/>
                <w:sz w:val="16"/>
                <w:szCs w:val="16"/>
              </w:rPr>
              <w:t>N/A</w:t>
            </w:r>
          </w:p>
        </w:tc>
        <w:tc>
          <w:tcPr>
            <w:tcW w:w="871" w:type="dxa"/>
            <w:shd w:val="clear" w:color="auto" w:fill="D9D9D9" w:themeFill="background1" w:themeFillShade="D9"/>
            <w:tcMar>
              <w:top w:w="29" w:type="dxa"/>
              <w:left w:w="58" w:type="dxa"/>
              <w:bottom w:w="29" w:type="dxa"/>
              <w:right w:w="58" w:type="dxa"/>
            </w:tcMar>
            <w:vAlign w:val="center"/>
          </w:tcPr>
          <w:p w:rsidR="00A93DF7" w:rsidRPr="00473D3B" w:rsidRDefault="00A93DF7" w:rsidP="00902496">
            <w:pPr>
              <w:widowControl w:val="0"/>
              <w:adjustRightInd/>
              <w:spacing w:before="40" w:after="40" w:line="240" w:lineRule="auto"/>
              <w:ind w:left="255"/>
              <w:jc w:val="right"/>
              <w:textAlignment w:val="auto"/>
              <w:rPr>
                <w:rFonts w:ascii="Calibri" w:eastAsia="Calibri" w:hAnsi="Calibri" w:cs="Calibri"/>
                <w:sz w:val="16"/>
                <w:szCs w:val="16"/>
              </w:rPr>
            </w:pPr>
            <w:r w:rsidRPr="00473D3B">
              <w:rPr>
                <w:rFonts w:ascii="Calibri" w:eastAsia="Calibri" w:hAnsi="Calibri"/>
                <w:sz w:val="16"/>
                <w:szCs w:val="16"/>
              </w:rPr>
              <w:t>N/A</w:t>
            </w:r>
          </w:p>
        </w:tc>
        <w:tc>
          <w:tcPr>
            <w:tcW w:w="871" w:type="dxa"/>
            <w:shd w:val="clear" w:color="auto" w:fill="auto"/>
            <w:tcMar>
              <w:top w:w="29" w:type="dxa"/>
              <w:left w:w="58" w:type="dxa"/>
              <w:bottom w:w="29" w:type="dxa"/>
              <w:right w:w="58" w:type="dxa"/>
            </w:tcMar>
            <w:vAlign w:val="center"/>
          </w:tcPr>
          <w:p w:rsidR="00A93DF7" w:rsidRPr="00473D3B"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473D3B">
              <w:rPr>
                <w:rFonts w:ascii="Calibri" w:eastAsia="Calibri" w:hAnsi="Calibri"/>
                <w:sz w:val="16"/>
                <w:szCs w:val="16"/>
              </w:rPr>
              <w:t>1</w:t>
            </w:r>
            <w:r w:rsidR="00444C3D" w:rsidRPr="00473D3B">
              <w:rPr>
                <w:rFonts w:ascii="Calibri" w:eastAsia="Calibri" w:hAnsi="Calibri"/>
                <w:sz w:val="16"/>
                <w:szCs w:val="16"/>
              </w:rPr>
              <w:t>,</w:t>
            </w:r>
            <w:r w:rsidRPr="00473D3B">
              <w:rPr>
                <w:rFonts w:ascii="Calibri" w:eastAsia="Calibri" w:hAnsi="Calibri"/>
                <w:sz w:val="16"/>
                <w:szCs w:val="16"/>
              </w:rPr>
              <w:t>200</w:t>
            </w:r>
          </w:p>
        </w:tc>
        <w:tc>
          <w:tcPr>
            <w:tcW w:w="871" w:type="dxa"/>
            <w:shd w:val="clear" w:color="auto" w:fill="auto"/>
            <w:tcMar>
              <w:top w:w="29" w:type="dxa"/>
              <w:left w:w="58" w:type="dxa"/>
              <w:bottom w:w="29" w:type="dxa"/>
              <w:right w:w="58" w:type="dxa"/>
            </w:tcMar>
            <w:vAlign w:val="center"/>
          </w:tcPr>
          <w:p w:rsidR="00A93DF7" w:rsidRPr="00473D3B" w:rsidRDefault="00A93DF7" w:rsidP="00902496">
            <w:pPr>
              <w:widowControl w:val="0"/>
              <w:adjustRightInd/>
              <w:spacing w:before="40" w:after="40" w:line="240" w:lineRule="auto"/>
              <w:ind w:left="210"/>
              <w:jc w:val="right"/>
              <w:textAlignment w:val="auto"/>
              <w:rPr>
                <w:rFonts w:ascii="Calibri" w:eastAsia="Calibri" w:hAnsi="Calibri" w:cs="Calibri"/>
                <w:sz w:val="16"/>
                <w:szCs w:val="16"/>
              </w:rPr>
            </w:pPr>
            <w:r w:rsidRPr="00473D3B">
              <w:rPr>
                <w:rFonts w:ascii="Calibri" w:eastAsia="Calibri" w:hAnsi="Calibri"/>
                <w:sz w:val="16"/>
                <w:szCs w:val="16"/>
              </w:rPr>
              <w:t>2</w:t>
            </w:r>
            <w:r w:rsidR="00444C3D" w:rsidRPr="00473D3B">
              <w:rPr>
                <w:rFonts w:ascii="Calibri" w:eastAsia="Calibri" w:hAnsi="Calibri"/>
                <w:sz w:val="16"/>
                <w:szCs w:val="16"/>
              </w:rPr>
              <w:t>,</w:t>
            </w:r>
            <w:r w:rsidRPr="00473D3B">
              <w:rPr>
                <w:rFonts w:ascii="Calibri" w:eastAsia="Calibri" w:hAnsi="Calibri"/>
                <w:sz w:val="16"/>
                <w:szCs w:val="16"/>
              </w:rPr>
              <w:t>500</w:t>
            </w:r>
          </w:p>
        </w:tc>
        <w:tc>
          <w:tcPr>
            <w:tcW w:w="871" w:type="dxa"/>
            <w:shd w:val="clear" w:color="auto" w:fill="D9D9D9" w:themeFill="background1" w:themeFillShade="D9"/>
            <w:tcMar>
              <w:top w:w="29" w:type="dxa"/>
              <w:left w:w="58" w:type="dxa"/>
              <w:bottom w:w="29" w:type="dxa"/>
              <w:right w:w="58" w:type="dxa"/>
            </w:tcMar>
            <w:vAlign w:val="center"/>
          </w:tcPr>
          <w:p w:rsidR="00A93DF7" w:rsidRPr="00473D3B" w:rsidRDefault="00A93DF7" w:rsidP="00902496">
            <w:pPr>
              <w:widowControl w:val="0"/>
              <w:adjustRightInd/>
              <w:spacing w:before="40" w:after="40" w:line="240" w:lineRule="auto"/>
              <w:ind w:left="256"/>
              <w:jc w:val="right"/>
              <w:textAlignment w:val="auto"/>
              <w:rPr>
                <w:rFonts w:ascii="Calibri" w:eastAsia="Calibri" w:hAnsi="Calibri" w:cs="Calibri"/>
                <w:sz w:val="16"/>
                <w:szCs w:val="16"/>
              </w:rPr>
            </w:pPr>
            <w:r w:rsidRPr="00473D3B">
              <w:rPr>
                <w:rFonts w:ascii="Calibri" w:eastAsia="Calibri" w:hAnsi="Calibri"/>
                <w:sz w:val="16"/>
                <w:szCs w:val="16"/>
              </w:rPr>
              <w:t>N/A</w:t>
            </w:r>
          </w:p>
        </w:tc>
        <w:tc>
          <w:tcPr>
            <w:tcW w:w="871" w:type="dxa"/>
            <w:shd w:val="clear" w:color="auto" w:fill="D9D9D9" w:themeFill="background1" w:themeFillShade="D9"/>
            <w:tcMar>
              <w:top w:w="29" w:type="dxa"/>
              <w:left w:w="58" w:type="dxa"/>
              <w:bottom w:w="29" w:type="dxa"/>
              <w:right w:w="58" w:type="dxa"/>
            </w:tcMar>
            <w:vAlign w:val="center"/>
          </w:tcPr>
          <w:p w:rsidR="00A93DF7" w:rsidRPr="00473D3B" w:rsidRDefault="00A93DF7" w:rsidP="00902496">
            <w:pPr>
              <w:widowControl w:val="0"/>
              <w:adjustRightInd/>
              <w:spacing w:before="40" w:after="40" w:line="240" w:lineRule="auto"/>
              <w:ind w:left="256"/>
              <w:jc w:val="right"/>
              <w:textAlignment w:val="auto"/>
              <w:rPr>
                <w:rFonts w:ascii="Calibri" w:eastAsia="Calibri" w:hAnsi="Calibri" w:cs="Calibri"/>
                <w:sz w:val="16"/>
                <w:szCs w:val="16"/>
              </w:rPr>
            </w:pPr>
            <w:r w:rsidRPr="00473D3B">
              <w:rPr>
                <w:rFonts w:ascii="Calibri" w:eastAsia="Calibri" w:hAnsi="Calibri"/>
                <w:sz w:val="16"/>
                <w:szCs w:val="16"/>
              </w:rPr>
              <w:t>N/A</w:t>
            </w:r>
          </w:p>
        </w:tc>
        <w:tc>
          <w:tcPr>
            <w:tcW w:w="871" w:type="dxa"/>
            <w:shd w:val="clear" w:color="auto" w:fill="auto"/>
            <w:tcMar>
              <w:top w:w="29" w:type="dxa"/>
              <w:left w:w="58" w:type="dxa"/>
              <w:bottom w:w="29" w:type="dxa"/>
              <w:right w:w="58" w:type="dxa"/>
            </w:tcMar>
            <w:vAlign w:val="center"/>
          </w:tcPr>
          <w:p w:rsidR="00A93DF7" w:rsidRPr="00473D3B" w:rsidRDefault="00A93DF7" w:rsidP="00902496">
            <w:pPr>
              <w:widowControl w:val="0"/>
              <w:adjustRightInd/>
              <w:spacing w:before="40" w:after="40" w:line="240" w:lineRule="auto"/>
              <w:ind w:left="256"/>
              <w:jc w:val="right"/>
              <w:textAlignment w:val="auto"/>
              <w:rPr>
                <w:rFonts w:ascii="Calibri" w:eastAsia="Calibri" w:hAnsi="Calibri" w:cs="Calibri"/>
                <w:sz w:val="16"/>
                <w:szCs w:val="16"/>
              </w:rPr>
            </w:pPr>
            <w:r w:rsidRPr="00473D3B">
              <w:rPr>
                <w:rFonts w:ascii="Calibri" w:eastAsia="Calibri" w:hAnsi="Calibri"/>
                <w:sz w:val="16"/>
                <w:szCs w:val="16"/>
              </w:rPr>
              <w:t>N/A</w:t>
            </w:r>
          </w:p>
        </w:tc>
        <w:tc>
          <w:tcPr>
            <w:tcW w:w="870" w:type="dxa"/>
            <w:shd w:val="clear" w:color="auto" w:fill="auto"/>
            <w:tcMar>
              <w:top w:w="29" w:type="dxa"/>
              <w:left w:w="58" w:type="dxa"/>
              <w:bottom w:w="29" w:type="dxa"/>
              <w:right w:w="58" w:type="dxa"/>
            </w:tcMar>
            <w:vAlign w:val="center"/>
          </w:tcPr>
          <w:p w:rsidR="00A93DF7" w:rsidRPr="00473D3B" w:rsidRDefault="00A93DF7" w:rsidP="00902496">
            <w:pPr>
              <w:widowControl w:val="0"/>
              <w:adjustRightInd/>
              <w:spacing w:before="40" w:after="40" w:line="240" w:lineRule="auto"/>
              <w:ind w:left="256"/>
              <w:jc w:val="right"/>
              <w:textAlignment w:val="auto"/>
              <w:rPr>
                <w:rFonts w:ascii="Calibri" w:eastAsia="Calibri" w:hAnsi="Calibri" w:cs="Calibri"/>
                <w:sz w:val="16"/>
                <w:szCs w:val="16"/>
              </w:rPr>
            </w:pPr>
            <w:r w:rsidRPr="00473D3B">
              <w:rPr>
                <w:rFonts w:ascii="Calibri" w:eastAsia="Calibri" w:hAnsi="Calibri"/>
                <w:sz w:val="16"/>
                <w:szCs w:val="16"/>
              </w:rPr>
              <w:t>N/A</w:t>
            </w:r>
          </w:p>
        </w:tc>
        <w:tc>
          <w:tcPr>
            <w:tcW w:w="877" w:type="dxa"/>
            <w:shd w:val="clear" w:color="auto" w:fill="D9D9D9" w:themeFill="background1" w:themeFillShade="D9"/>
            <w:tcMar>
              <w:right w:w="58" w:type="dxa"/>
            </w:tcMar>
            <w:vAlign w:val="center"/>
          </w:tcPr>
          <w:p w:rsidR="00A93DF7" w:rsidRPr="00473D3B" w:rsidRDefault="00A93DF7" w:rsidP="00902496">
            <w:pPr>
              <w:widowControl w:val="0"/>
              <w:adjustRightInd/>
              <w:spacing w:before="40" w:after="40" w:line="240" w:lineRule="auto"/>
              <w:ind w:left="256"/>
              <w:jc w:val="right"/>
              <w:textAlignment w:val="auto"/>
              <w:rPr>
                <w:rFonts w:ascii="Calibri" w:eastAsia="Calibri" w:hAnsi="Calibri"/>
                <w:sz w:val="16"/>
                <w:szCs w:val="16"/>
              </w:rPr>
            </w:pPr>
            <w:r w:rsidRPr="00473D3B">
              <w:rPr>
                <w:rFonts w:ascii="Calibri" w:eastAsia="Calibri" w:hAnsi="Calibri"/>
                <w:sz w:val="16"/>
                <w:szCs w:val="16"/>
              </w:rPr>
              <w:t>N/A</w:t>
            </w:r>
          </w:p>
        </w:tc>
        <w:tc>
          <w:tcPr>
            <w:tcW w:w="844" w:type="dxa"/>
            <w:shd w:val="clear" w:color="auto" w:fill="D9D9D9" w:themeFill="background1" w:themeFillShade="D9"/>
            <w:tcMar>
              <w:right w:w="58" w:type="dxa"/>
            </w:tcMar>
            <w:vAlign w:val="center"/>
          </w:tcPr>
          <w:p w:rsidR="00A93DF7" w:rsidRPr="00473D3B" w:rsidRDefault="00A93DF7" w:rsidP="00902496">
            <w:pPr>
              <w:widowControl w:val="0"/>
              <w:adjustRightInd/>
              <w:spacing w:before="40" w:after="40" w:line="240" w:lineRule="auto"/>
              <w:ind w:left="256"/>
              <w:jc w:val="right"/>
              <w:textAlignment w:val="auto"/>
              <w:rPr>
                <w:rFonts w:ascii="Calibri" w:eastAsia="Calibri" w:hAnsi="Calibri"/>
                <w:sz w:val="16"/>
                <w:szCs w:val="16"/>
              </w:rPr>
            </w:pPr>
            <w:r w:rsidRPr="00473D3B">
              <w:rPr>
                <w:rFonts w:ascii="Calibri" w:eastAsia="Calibri" w:hAnsi="Calibri"/>
                <w:sz w:val="16"/>
                <w:szCs w:val="16"/>
              </w:rPr>
              <w:t>N/A</w:t>
            </w:r>
          </w:p>
        </w:tc>
      </w:tr>
      <w:tr w:rsidR="00A93DF7" w:rsidRPr="00020133" w:rsidTr="001868C6">
        <w:trPr>
          <w:gridAfter w:val="1"/>
          <w:wAfter w:w="11" w:type="dxa"/>
          <w:cantSplit/>
          <w:trHeight w:val="263"/>
          <w:jc w:val="center"/>
        </w:trPr>
        <w:tc>
          <w:tcPr>
            <w:tcW w:w="4702" w:type="dxa"/>
            <w:shd w:val="clear" w:color="auto" w:fill="DBE5F1"/>
            <w:tcMar>
              <w:top w:w="29" w:type="dxa"/>
              <w:left w:w="58" w:type="dxa"/>
              <w:bottom w:w="29" w:type="dxa"/>
              <w:right w:w="58" w:type="dxa"/>
            </w:tcMar>
            <w:vAlign w:val="center"/>
          </w:tcPr>
          <w:p w:rsidR="00A93DF7" w:rsidRPr="002518EA" w:rsidRDefault="00A93DF7" w:rsidP="00614842">
            <w:pPr>
              <w:widowControl w:val="0"/>
              <w:adjustRightInd/>
              <w:spacing w:before="40" w:after="40" w:line="240" w:lineRule="auto"/>
              <w:ind w:left="134"/>
              <w:textAlignment w:val="auto"/>
              <w:rPr>
                <w:rFonts w:ascii="Calibri" w:eastAsia="Calibri" w:hAnsi="Calibri" w:cs="Calibri"/>
                <w:sz w:val="16"/>
                <w:szCs w:val="16"/>
              </w:rPr>
            </w:pPr>
            <w:r w:rsidRPr="002518EA">
              <w:rPr>
                <w:rFonts w:ascii="Calibri" w:eastAsia="Calibri" w:hAnsi="Calibri"/>
                <w:b/>
                <w:sz w:val="16"/>
                <w:szCs w:val="16"/>
              </w:rPr>
              <w:t>Renewables to meet RPSs (capacity value)</w:t>
            </w:r>
            <w:r w:rsidRPr="002518EA">
              <w:rPr>
                <w:rFonts w:ascii="Calibri" w:eastAsia="Calibri" w:hAnsi="Calibri"/>
                <w:b/>
                <w:position w:val="5"/>
                <w:sz w:val="16"/>
                <w:szCs w:val="16"/>
              </w:rPr>
              <w:t>(</w:t>
            </w:r>
            <w:r w:rsidR="00614842" w:rsidRPr="002518EA">
              <w:rPr>
                <w:rFonts w:ascii="Calibri" w:eastAsia="Calibri" w:hAnsi="Calibri"/>
                <w:b/>
                <w:position w:val="5"/>
                <w:sz w:val="16"/>
                <w:szCs w:val="16"/>
              </w:rPr>
              <w:t>b</w:t>
            </w:r>
            <w:r w:rsidRPr="002518EA">
              <w:rPr>
                <w:rFonts w:ascii="Calibri" w:eastAsia="Calibri" w:hAnsi="Calibri"/>
                <w:b/>
                <w:position w:val="5"/>
                <w:sz w:val="16"/>
                <w:szCs w:val="16"/>
              </w:rPr>
              <w:t>)</w:t>
            </w:r>
          </w:p>
        </w:tc>
        <w:tc>
          <w:tcPr>
            <w:tcW w:w="871" w:type="dxa"/>
            <w:shd w:val="clear" w:color="auto" w:fill="auto"/>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265"/>
              <w:jc w:val="right"/>
              <w:textAlignment w:val="auto"/>
              <w:rPr>
                <w:rFonts w:ascii="Calibri" w:eastAsia="Calibri" w:hAnsi="Calibri" w:cs="Calibri"/>
                <w:sz w:val="16"/>
                <w:szCs w:val="16"/>
              </w:rPr>
            </w:pPr>
            <w:r w:rsidRPr="002518EA">
              <w:rPr>
                <w:rFonts w:ascii="Calibri" w:eastAsia="Calibri" w:hAnsi="Calibri"/>
                <w:sz w:val="16"/>
                <w:szCs w:val="16"/>
              </w:rPr>
              <w:t>488</w:t>
            </w:r>
          </w:p>
        </w:tc>
        <w:tc>
          <w:tcPr>
            <w:tcW w:w="907" w:type="dxa"/>
            <w:shd w:val="clear" w:color="auto" w:fill="auto"/>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265"/>
              <w:jc w:val="right"/>
              <w:textAlignment w:val="auto"/>
              <w:rPr>
                <w:rFonts w:ascii="Calibri" w:eastAsia="Calibri" w:hAnsi="Calibri" w:cs="Calibri"/>
                <w:sz w:val="16"/>
                <w:szCs w:val="16"/>
              </w:rPr>
            </w:pPr>
            <w:r w:rsidRPr="002518EA">
              <w:rPr>
                <w:rFonts w:ascii="Calibri" w:eastAsia="Calibri" w:hAnsi="Calibri"/>
                <w:sz w:val="16"/>
                <w:szCs w:val="16"/>
              </w:rPr>
              <w:t>687</w:t>
            </w:r>
          </w:p>
        </w:tc>
        <w:tc>
          <w:tcPr>
            <w:tcW w:w="835" w:type="dxa"/>
            <w:shd w:val="clear" w:color="auto" w:fill="D9D9D9" w:themeFill="background1" w:themeFillShade="D9"/>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2518EA">
              <w:rPr>
                <w:rFonts w:ascii="Calibri" w:eastAsia="Calibri" w:hAnsi="Calibri"/>
                <w:sz w:val="16"/>
                <w:szCs w:val="16"/>
              </w:rPr>
              <w:t>0</w:t>
            </w:r>
          </w:p>
        </w:tc>
        <w:tc>
          <w:tcPr>
            <w:tcW w:w="871" w:type="dxa"/>
            <w:shd w:val="clear" w:color="auto" w:fill="D9D9D9" w:themeFill="background1" w:themeFillShade="D9"/>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2518EA">
              <w:rPr>
                <w:rFonts w:ascii="Calibri" w:eastAsia="Calibri" w:hAnsi="Calibri"/>
                <w:sz w:val="16"/>
                <w:szCs w:val="16"/>
              </w:rPr>
              <w:t>0</w:t>
            </w:r>
          </w:p>
        </w:tc>
        <w:tc>
          <w:tcPr>
            <w:tcW w:w="871" w:type="dxa"/>
            <w:shd w:val="clear" w:color="auto" w:fill="auto"/>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3"/>
              <w:jc w:val="right"/>
              <w:textAlignment w:val="auto"/>
              <w:rPr>
                <w:rFonts w:ascii="Calibri" w:eastAsia="Calibri" w:hAnsi="Calibri" w:cs="Calibri"/>
                <w:sz w:val="16"/>
                <w:szCs w:val="16"/>
              </w:rPr>
            </w:pPr>
            <w:r w:rsidRPr="002518EA">
              <w:rPr>
                <w:rFonts w:ascii="Calibri" w:eastAsia="Calibri" w:hAnsi="Calibri"/>
                <w:sz w:val="16"/>
                <w:szCs w:val="16"/>
              </w:rPr>
              <w:t>0</w:t>
            </w:r>
          </w:p>
        </w:tc>
        <w:tc>
          <w:tcPr>
            <w:tcW w:w="871" w:type="dxa"/>
            <w:shd w:val="clear" w:color="auto" w:fill="auto"/>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4"/>
              <w:jc w:val="right"/>
              <w:textAlignment w:val="auto"/>
              <w:rPr>
                <w:rFonts w:ascii="Calibri" w:eastAsia="Calibri" w:hAnsi="Calibri" w:cs="Calibri"/>
                <w:sz w:val="16"/>
                <w:szCs w:val="16"/>
              </w:rPr>
            </w:pPr>
            <w:r w:rsidRPr="002518EA">
              <w:rPr>
                <w:rFonts w:ascii="Calibri" w:eastAsia="Calibri" w:hAnsi="Calibri"/>
                <w:sz w:val="16"/>
                <w:szCs w:val="16"/>
              </w:rPr>
              <w:t>0</w:t>
            </w:r>
          </w:p>
        </w:tc>
        <w:tc>
          <w:tcPr>
            <w:tcW w:w="871" w:type="dxa"/>
            <w:shd w:val="clear" w:color="auto" w:fill="D9D9D9" w:themeFill="background1" w:themeFillShade="D9"/>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256"/>
              <w:jc w:val="right"/>
              <w:textAlignment w:val="auto"/>
              <w:rPr>
                <w:rFonts w:ascii="Calibri" w:eastAsia="Calibri" w:hAnsi="Calibri" w:cs="Calibri"/>
                <w:sz w:val="16"/>
                <w:szCs w:val="16"/>
              </w:rPr>
            </w:pPr>
            <w:r w:rsidRPr="002518EA">
              <w:rPr>
                <w:rFonts w:ascii="Calibri" w:eastAsia="Calibri" w:hAnsi="Calibri"/>
                <w:sz w:val="16"/>
                <w:szCs w:val="16"/>
              </w:rPr>
              <w:t>N/A</w:t>
            </w:r>
          </w:p>
        </w:tc>
        <w:tc>
          <w:tcPr>
            <w:tcW w:w="871" w:type="dxa"/>
            <w:shd w:val="clear" w:color="auto" w:fill="D9D9D9" w:themeFill="background1" w:themeFillShade="D9"/>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256"/>
              <w:jc w:val="right"/>
              <w:textAlignment w:val="auto"/>
              <w:rPr>
                <w:rFonts w:ascii="Calibri" w:eastAsia="Calibri" w:hAnsi="Calibri" w:cs="Calibri"/>
                <w:sz w:val="16"/>
                <w:szCs w:val="16"/>
              </w:rPr>
            </w:pPr>
            <w:r w:rsidRPr="002518EA">
              <w:rPr>
                <w:rFonts w:ascii="Calibri" w:eastAsia="Calibri" w:hAnsi="Calibri"/>
                <w:sz w:val="16"/>
                <w:szCs w:val="16"/>
              </w:rPr>
              <w:t>N/A</w:t>
            </w:r>
          </w:p>
        </w:tc>
        <w:tc>
          <w:tcPr>
            <w:tcW w:w="871" w:type="dxa"/>
            <w:shd w:val="clear" w:color="auto" w:fill="auto"/>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256"/>
              <w:jc w:val="right"/>
              <w:textAlignment w:val="auto"/>
              <w:rPr>
                <w:rFonts w:ascii="Calibri" w:eastAsia="Calibri" w:hAnsi="Calibri" w:cs="Calibri"/>
                <w:sz w:val="16"/>
                <w:szCs w:val="16"/>
              </w:rPr>
            </w:pPr>
            <w:r w:rsidRPr="002518EA">
              <w:rPr>
                <w:rFonts w:ascii="Calibri" w:eastAsia="Calibri" w:hAnsi="Calibri"/>
                <w:sz w:val="16"/>
                <w:szCs w:val="16"/>
              </w:rPr>
              <w:t>N/A</w:t>
            </w:r>
          </w:p>
        </w:tc>
        <w:tc>
          <w:tcPr>
            <w:tcW w:w="870" w:type="dxa"/>
            <w:shd w:val="clear" w:color="auto" w:fill="auto"/>
            <w:tcMar>
              <w:top w:w="29" w:type="dxa"/>
              <w:left w:w="58" w:type="dxa"/>
              <w:bottom w:w="29" w:type="dxa"/>
              <w:right w:w="58" w:type="dxa"/>
            </w:tcMar>
            <w:vAlign w:val="center"/>
          </w:tcPr>
          <w:p w:rsidR="00A93DF7" w:rsidRPr="002518EA" w:rsidRDefault="00A93DF7" w:rsidP="00902496">
            <w:pPr>
              <w:widowControl w:val="0"/>
              <w:adjustRightInd/>
              <w:spacing w:before="40" w:after="40" w:line="240" w:lineRule="auto"/>
              <w:ind w:left="256"/>
              <w:jc w:val="right"/>
              <w:textAlignment w:val="auto"/>
              <w:rPr>
                <w:rFonts w:ascii="Calibri" w:eastAsia="Calibri" w:hAnsi="Calibri" w:cs="Calibri"/>
                <w:sz w:val="16"/>
                <w:szCs w:val="16"/>
              </w:rPr>
            </w:pPr>
            <w:r w:rsidRPr="002518EA">
              <w:rPr>
                <w:rFonts w:ascii="Calibri" w:eastAsia="Calibri" w:hAnsi="Calibri"/>
                <w:sz w:val="16"/>
                <w:szCs w:val="16"/>
              </w:rPr>
              <w:t>N/A</w:t>
            </w:r>
          </w:p>
        </w:tc>
        <w:tc>
          <w:tcPr>
            <w:tcW w:w="877" w:type="dxa"/>
            <w:shd w:val="clear" w:color="auto" w:fill="D9D9D9" w:themeFill="background1" w:themeFillShade="D9"/>
            <w:tcMar>
              <w:right w:w="58" w:type="dxa"/>
            </w:tcMar>
            <w:vAlign w:val="center"/>
          </w:tcPr>
          <w:p w:rsidR="00A93DF7" w:rsidRPr="002518EA" w:rsidRDefault="00A93DF7" w:rsidP="00902496">
            <w:pPr>
              <w:widowControl w:val="0"/>
              <w:adjustRightInd/>
              <w:spacing w:before="40" w:after="40" w:line="240" w:lineRule="auto"/>
              <w:ind w:left="256"/>
              <w:jc w:val="right"/>
              <w:textAlignment w:val="auto"/>
              <w:rPr>
                <w:rFonts w:ascii="Calibri" w:eastAsia="Calibri" w:hAnsi="Calibri"/>
                <w:sz w:val="16"/>
                <w:szCs w:val="16"/>
              </w:rPr>
            </w:pPr>
            <w:r w:rsidRPr="002518EA">
              <w:rPr>
                <w:rFonts w:ascii="Calibri" w:eastAsia="Calibri" w:hAnsi="Calibri"/>
                <w:sz w:val="16"/>
                <w:szCs w:val="16"/>
              </w:rPr>
              <w:t>0</w:t>
            </w:r>
          </w:p>
        </w:tc>
        <w:tc>
          <w:tcPr>
            <w:tcW w:w="844" w:type="dxa"/>
            <w:shd w:val="clear" w:color="auto" w:fill="D9D9D9" w:themeFill="background1" w:themeFillShade="D9"/>
            <w:tcMar>
              <w:right w:w="58" w:type="dxa"/>
            </w:tcMar>
            <w:vAlign w:val="center"/>
          </w:tcPr>
          <w:p w:rsidR="00A93DF7" w:rsidRPr="002518EA" w:rsidRDefault="00A93DF7" w:rsidP="00902496">
            <w:pPr>
              <w:widowControl w:val="0"/>
              <w:adjustRightInd/>
              <w:spacing w:before="40" w:after="40" w:line="240" w:lineRule="auto"/>
              <w:ind w:left="256"/>
              <w:jc w:val="right"/>
              <w:textAlignment w:val="auto"/>
              <w:rPr>
                <w:rFonts w:ascii="Calibri" w:eastAsia="Calibri" w:hAnsi="Calibri"/>
                <w:sz w:val="16"/>
                <w:szCs w:val="16"/>
              </w:rPr>
            </w:pPr>
            <w:r w:rsidRPr="002518EA">
              <w:rPr>
                <w:rFonts w:ascii="Calibri" w:eastAsia="Calibri" w:hAnsi="Calibri"/>
                <w:sz w:val="16"/>
                <w:szCs w:val="16"/>
              </w:rPr>
              <w:t>0</w:t>
            </w:r>
          </w:p>
        </w:tc>
      </w:tr>
      <w:tr w:rsidR="00A93DF7" w:rsidRPr="00020133" w:rsidTr="002518EA">
        <w:trPr>
          <w:gridAfter w:val="1"/>
          <w:wAfter w:w="11" w:type="dxa"/>
          <w:cantSplit/>
          <w:trHeight w:val="200"/>
          <w:jc w:val="center"/>
        </w:trPr>
        <w:tc>
          <w:tcPr>
            <w:tcW w:w="4702" w:type="dxa"/>
            <w:shd w:val="clear" w:color="auto" w:fill="DBE5F1"/>
            <w:tcMar>
              <w:top w:w="29" w:type="dxa"/>
              <w:left w:w="58" w:type="dxa"/>
              <w:bottom w:w="29" w:type="dxa"/>
              <w:right w:w="58" w:type="dxa"/>
            </w:tcMar>
            <w:vAlign w:val="center"/>
          </w:tcPr>
          <w:p w:rsidR="00A93DF7" w:rsidRPr="00020133" w:rsidRDefault="00A93DF7" w:rsidP="00444C3D">
            <w:pPr>
              <w:widowControl w:val="0"/>
              <w:adjustRightInd/>
              <w:spacing w:before="40" w:after="40" w:line="240" w:lineRule="auto"/>
              <w:ind w:left="134" w:right="792"/>
              <w:textAlignment w:val="auto"/>
              <w:rPr>
                <w:rFonts w:ascii="Calibri" w:eastAsia="Calibri" w:hAnsi="Calibri" w:cs="Calibri"/>
                <w:sz w:val="16"/>
                <w:szCs w:val="16"/>
              </w:rPr>
            </w:pPr>
            <w:r w:rsidRPr="00924838">
              <w:rPr>
                <w:rFonts w:ascii="Calibri" w:eastAsia="Calibri" w:hAnsi="Calibri"/>
                <w:b/>
                <w:sz w:val="16"/>
                <w:szCs w:val="16"/>
              </w:rPr>
              <w:t xml:space="preserve">Total </w:t>
            </w:r>
            <w:r w:rsidR="00444C3D" w:rsidRPr="002518EA">
              <w:rPr>
                <w:rFonts w:ascii="Calibri" w:eastAsia="Calibri" w:hAnsi="Calibri"/>
                <w:b/>
                <w:sz w:val="16"/>
                <w:szCs w:val="16"/>
              </w:rPr>
              <w:t>capacity for</w:t>
            </w:r>
            <w:r w:rsidR="00444C3D" w:rsidRPr="00924838">
              <w:rPr>
                <w:rFonts w:ascii="Calibri" w:eastAsia="Calibri" w:hAnsi="Calibri"/>
                <w:b/>
                <w:sz w:val="16"/>
                <w:szCs w:val="16"/>
              </w:rPr>
              <w:t xml:space="preserve"> </w:t>
            </w:r>
            <w:r w:rsidRPr="00924838">
              <w:rPr>
                <w:rFonts w:ascii="Calibri" w:eastAsia="Calibri" w:hAnsi="Calibri"/>
                <w:b/>
                <w:sz w:val="16"/>
                <w:szCs w:val="16"/>
              </w:rPr>
              <w:t>existing</w:t>
            </w:r>
            <w:r w:rsidRPr="00020133">
              <w:rPr>
                <w:rFonts w:ascii="Calibri" w:eastAsia="Calibri" w:hAnsi="Calibri"/>
                <w:b/>
                <w:sz w:val="16"/>
                <w:szCs w:val="16"/>
              </w:rPr>
              <w:t xml:space="preserve"> resource plus storage and RPS renewables</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020133">
              <w:rPr>
                <w:rFonts w:ascii="Calibri" w:eastAsia="Calibri" w:hAnsi="Calibri"/>
                <w:sz w:val="16"/>
                <w:szCs w:val="16"/>
              </w:rPr>
              <w:t>34,646</w:t>
            </w:r>
          </w:p>
        </w:tc>
        <w:tc>
          <w:tcPr>
            <w:tcW w:w="907"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020133">
              <w:rPr>
                <w:rFonts w:ascii="Calibri" w:eastAsia="Calibri" w:hAnsi="Calibri"/>
                <w:sz w:val="16"/>
                <w:szCs w:val="16"/>
              </w:rPr>
              <w:t>32,773</w:t>
            </w:r>
          </w:p>
        </w:tc>
        <w:tc>
          <w:tcPr>
            <w:tcW w:w="835"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020133">
              <w:rPr>
                <w:rFonts w:ascii="Calibri" w:eastAsia="Calibri" w:hAnsi="Calibri"/>
                <w:sz w:val="16"/>
                <w:szCs w:val="16"/>
              </w:rPr>
              <w:t>34,157</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020133">
              <w:rPr>
                <w:rFonts w:ascii="Calibri" w:eastAsia="Calibri" w:hAnsi="Calibri"/>
                <w:sz w:val="16"/>
                <w:szCs w:val="16"/>
              </w:rPr>
              <w:t>32,086</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020133">
              <w:rPr>
                <w:rFonts w:ascii="Calibri" w:eastAsia="Calibri" w:hAnsi="Calibri"/>
                <w:sz w:val="16"/>
                <w:szCs w:val="16"/>
              </w:rPr>
              <w:t>39,448</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020133">
              <w:rPr>
                <w:rFonts w:ascii="Calibri" w:eastAsia="Calibri" w:hAnsi="Calibri"/>
                <w:sz w:val="16"/>
                <w:szCs w:val="16"/>
              </w:rPr>
              <w:t>41,390</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020133">
              <w:rPr>
                <w:rFonts w:ascii="Calibri" w:eastAsia="Calibri" w:hAnsi="Calibri"/>
                <w:sz w:val="16"/>
                <w:szCs w:val="16"/>
              </w:rPr>
              <w:t>36,768</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020133">
              <w:rPr>
                <w:rFonts w:ascii="Calibri" w:eastAsia="Calibri" w:hAnsi="Calibri"/>
                <w:sz w:val="16"/>
                <w:szCs w:val="16"/>
              </w:rPr>
              <w:t>37,663</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020133">
              <w:rPr>
                <w:rFonts w:ascii="Calibri" w:eastAsia="Calibri" w:hAnsi="Calibri"/>
                <w:sz w:val="16"/>
                <w:szCs w:val="16"/>
              </w:rPr>
              <w:t>34,157</w:t>
            </w:r>
          </w:p>
        </w:tc>
        <w:tc>
          <w:tcPr>
            <w:tcW w:w="870"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58"/>
              <w:jc w:val="right"/>
              <w:textAlignment w:val="auto"/>
              <w:rPr>
                <w:rFonts w:ascii="Calibri" w:eastAsia="Calibri" w:hAnsi="Calibri" w:cs="Calibri"/>
                <w:sz w:val="16"/>
                <w:szCs w:val="16"/>
              </w:rPr>
            </w:pPr>
            <w:r w:rsidRPr="00020133">
              <w:rPr>
                <w:rFonts w:ascii="Calibri" w:eastAsia="Calibri" w:hAnsi="Calibri"/>
                <w:sz w:val="16"/>
                <w:szCs w:val="16"/>
              </w:rPr>
              <w:t>32,086</w:t>
            </w:r>
          </w:p>
        </w:tc>
        <w:tc>
          <w:tcPr>
            <w:tcW w:w="877" w:type="dxa"/>
            <w:shd w:val="clear" w:color="auto" w:fill="D9D9D9" w:themeFill="background1" w:themeFillShade="D9"/>
            <w:tcMar>
              <w:right w:w="58" w:type="dxa"/>
            </w:tcMar>
            <w:vAlign w:val="center"/>
          </w:tcPr>
          <w:p w:rsidR="00A93DF7" w:rsidRPr="00020133" w:rsidRDefault="00A93DF7" w:rsidP="00902496">
            <w:pPr>
              <w:widowControl w:val="0"/>
              <w:adjustRightInd/>
              <w:spacing w:before="40" w:after="40" w:line="240" w:lineRule="auto"/>
              <w:ind w:left="158"/>
              <w:jc w:val="right"/>
              <w:textAlignment w:val="auto"/>
              <w:rPr>
                <w:rFonts w:ascii="Calibri" w:eastAsia="Calibri" w:hAnsi="Calibri"/>
                <w:sz w:val="16"/>
                <w:szCs w:val="16"/>
              </w:rPr>
            </w:pPr>
            <w:r w:rsidRPr="00020133">
              <w:rPr>
                <w:rFonts w:ascii="Calibri" w:eastAsia="Calibri" w:hAnsi="Calibri"/>
                <w:sz w:val="16"/>
                <w:szCs w:val="16"/>
              </w:rPr>
              <w:t>34,157</w:t>
            </w:r>
          </w:p>
        </w:tc>
        <w:tc>
          <w:tcPr>
            <w:tcW w:w="844" w:type="dxa"/>
            <w:shd w:val="clear" w:color="auto" w:fill="D9D9D9" w:themeFill="background1" w:themeFillShade="D9"/>
            <w:tcMar>
              <w:right w:w="58" w:type="dxa"/>
            </w:tcMar>
            <w:vAlign w:val="center"/>
          </w:tcPr>
          <w:p w:rsidR="00A93DF7" w:rsidRPr="00020133" w:rsidRDefault="00A93DF7" w:rsidP="00902496">
            <w:pPr>
              <w:widowControl w:val="0"/>
              <w:adjustRightInd/>
              <w:spacing w:before="40" w:after="40" w:line="240" w:lineRule="auto"/>
              <w:ind w:left="158"/>
              <w:jc w:val="right"/>
              <w:textAlignment w:val="auto"/>
              <w:rPr>
                <w:rFonts w:ascii="Calibri" w:eastAsia="Calibri" w:hAnsi="Calibri"/>
                <w:sz w:val="16"/>
                <w:szCs w:val="16"/>
              </w:rPr>
            </w:pPr>
            <w:r w:rsidRPr="00020133">
              <w:rPr>
                <w:rFonts w:ascii="Calibri" w:eastAsia="Calibri" w:hAnsi="Calibri"/>
                <w:sz w:val="16"/>
                <w:szCs w:val="16"/>
              </w:rPr>
              <w:t>32,086</w:t>
            </w:r>
          </w:p>
        </w:tc>
      </w:tr>
      <w:tr w:rsidR="00A93DF7" w:rsidRPr="00020133" w:rsidTr="00614842">
        <w:trPr>
          <w:gridAfter w:val="1"/>
          <w:wAfter w:w="11" w:type="dxa"/>
          <w:cantSplit/>
          <w:trHeight w:val="20"/>
          <w:jc w:val="center"/>
        </w:trPr>
        <w:tc>
          <w:tcPr>
            <w:tcW w:w="4702" w:type="dxa"/>
            <w:shd w:val="clear" w:color="auto" w:fill="DBE5F1"/>
            <w:tcMar>
              <w:top w:w="29" w:type="dxa"/>
              <w:left w:w="58" w:type="dxa"/>
              <w:bottom w:w="29" w:type="dxa"/>
              <w:right w:w="58" w:type="dxa"/>
            </w:tcMar>
            <w:vAlign w:val="center"/>
          </w:tcPr>
          <w:p w:rsidR="00A93DF7" w:rsidRPr="00020133" w:rsidRDefault="00A93DF7" w:rsidP="00614842">
            <w:pPr>
              <w:widowControl w:val="0"/>
              <w:adjustRightInd/>
              <w:spacing w:before="40" w:after="40" w:line="240" w:lineRule="auto"/>
              <w:ind w:left="134"/>
              <w:textAlignment w:val="auto"/>
              <w:rPr>
                <w:rFonts w:ascii="Calibri" w:eastAsia="Calibri" w:hAnsi="Calibri" w:cs="Calibri"/>
                <w:sz w:val="16"/>
                <w:szCs w:val="16"/>
              </w:rPr>
            </w:pPr>
            <w:r w:rsidRPr="00020133">
              <w:rPr>
                <w:rFonts w:ascii="Calibri" w:eastAsia="Calibri" w:hAnsi="Calibri"/>
                <w:b/>
                <w:sz w:val="16"/>
                <w:szCs w:val="16"/>
              </w:rPr>
              <w:t>Net Installed Capacity Requirement</w:t>
            </w:r>
            <w:r w:rsidRPr="00020133">
              <w:rPr>
                <w:rFonts w:ascii="Calibri" w:eastAsia="Calibri" w:hAnsi="Calibri"/>
                <w:b/>
                <w:position w:val="5"/>
                <w:sz w:val="16"/>
                <w:szCs w:val="16"/>
              </w:rPr>
              <w:t>(</w:t>
            </w:r>
            <w:r w:rsidR="00614842" w:rsidRPr="00020133">
              <w:rPr>
                <w:rFonts w:ascii="Calibri" w:eastAsia="Calibri" w:hAnsi="Calibri"/>
                <w:b/>
                <w:position w:val="5"/>
                <w:sz w:val="16"/>
                <w:szCs w:val="16"/>
              </w:rPr>
              <w:t>c</w:t>
            </w:r>
            <w:r w:rsidRPr="00020133">
              <w:rPr>
                <w:rFonts w:ascii="Calibri" w:eastAsia="Calibri" w:hAnsi="Calibri"/>
                <w:b/>
                <w:position w:val="5"/>
                <w:sz w:val="16"/>
                <w:szCs w:val="16"/>
              </w:rPr>
              <w:t>)</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020133">
              <w:rPr>
                <w:rFonts w:ascii="Calibri" w:eastAsia="Calibri" w:hAnsi="Calibri"/>
                <w:sz w:val="16"/>
                <w:szCs w:val="16"/>
              </w:rPr>
              <w:t>35,302</w:t>
            </w:r>
          </w:p>
        </w:tc>
        <w:tc>
          <w:tcPr>
            <w:tcW w:w="907"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020133">
              <w:rPr>
                <w:rFonts w:ascii="Calibri" w:eastAsia="Calibri" w:hAnsi="Calibri"/>
                <w:sz w:val="16"/>
                <w:szCs w:val="16"/>
              </w:rPr>
              <w:t>36,919</w:t>
            </w:r>
          </w:p>
        </w:tc>
        <w:tc>
          <w:tcPr>
            <w:tcW w:w="835"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020133">
              <w:rPr>
                <w:rFonts w:ascii="Calibri" w:eastAsia="Calibri" w:hAnsi="Calibri"/>
                <w:sz w:val="16"/>
                <w:szCs w:val="16"/>
              </w:rPr>
              <w:t>35,302</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020133">
              <w:rPr>
                <w:rFonts w:ascii="Calibri" w:eastAsia="Calibri" w:hAnsi="Calibri"/>
                <w:sz w:val="16"/>
                <w:szCs w:val="16"/>
              </w:rPr>
              <w:t>36,919</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020133">
              <w:rPr>
                <w:rFonts w:ascii="Calibri" w:eastAsia="Calibri" w:hAnsi="Calibri"/>
                <w:sz w:val="16"/>
                <w:szCs w:val="16"/>
              </w:rPr>
              <w:t>34,804</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020133">
              <w:rPr>
                <w:rFonts w:ascii="Calibri" w:eastAsia="Calibri" w:hAnsi="Calibri"/>
                <w:sz w:val="16"/>
                <w:szCs w:val="16"/>
              </w:rPr>
              <w:t>36,273</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020133">
              <w:rPr>
                <w:rFonts w:ascii="Calibri" w:eastAsia="Calibri" w:hAnsi="Calibri"/>
                <w:sz w:val="16"/>
                <w:szCs w:val="16"/>
              </w:rPr>
              <w:t>35,302</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020133">
              <w:rPr>
                <w:rFonts w:ascii="Calibri" w:eastAsia="Calibri" w:hAnsi="Calibri"/>
                <w:sz w:val="16"/>
                <w:szCs w:val="16"/>
              </w:rPr>
              <w:t>36,919</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57"/>
              <w:jc w:val="right"/>
              <w:textAlignment w:val="auto"/>
              <w:rPr>
                <w:rFonts w:ascii="Calibri" w:eastAsia="Calibri" w:hAnsi="Calibri" w:cs="Calibri"/>
                <w:sz w:val="16"/>
                <w:szCs w:val="16"/>
              </w:rPr>
            </w:pPr>
            <w:r w:rsidRPr="00020133">
              <w:rPr>
                <w:rFonts w:ascii="Calibri" w:eastAsia="Calibri" w:hAnsi="Calibri"/>
                <w:sz w:val="16"/>
                <w:szCs w:val="16"/>
              </w:rPr>
              <w:t>35,302</w:t>
            </w:r>
          </w:p>
        </w:tc>
        <w:tc>
          <w:tcPr>
            <w:tcW w:w="870"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58"/>
              <w:jc w:val="right"/>
              <w:textAlignment w:val="auto"/>
              <w:rPr>
                <w:rFonts w:ascii="Calibri" w:eastAsia="Calibri" w:hAnsi="Calibri" w:cs="Calibri"/>
                <w:sz w:val="16"/>
                <w:szCs w:val="16"/>
              </w:rPr>
            </w:pPr>
            <w:r w:rsidRPr="00020133">
              <w:rPr>
                <w:rFonts w:ascii="Calibri" w:eastAsia="Calibri" w:hAnsi="Calibri"/>
                <w:sz w:val="16"/>
                <w:szCs w:val="16"/>
              </w:rPr>
              <w:t>36,919</w:t>
            </w:r>
          </w:p>
        </w:tc>
        <w:tc>
          <w:tcPr>
            <w:tcW w:w="877" w:type="dxa"/>
            <w:shd w:val="clear" w:color="auto" w:fill="D9D9D9" w:themeFill="background1" w:themeFillShade="D9"/>
            <w:tcMar>
              <w:right w:w="58" w:type="dxa"/>
            </w:tcMar>
            <w:vAlign w:val="center"/>
          </w:tcPr>
          <w:p w:rsidR="00A93DF7" w:rsidRPr="00020133" w:rsidRDefault="00A93DF7" w:rsidP="00902496">
            <w:pPr>
              <w:widowControl w:val="0"/>
              <w:adjustRightInd/>
              <w:spacing w:before="40" w:after="40" w:line="240" w:lineRule="auto"/>
              <w:ind w:left="158"/>
              <w:jc w:val="right"/>
              <w:textAlignment w:val="auto"/>
              <w:rPr>
                <w:rFonts w:ascii="Calibri" w:eastAsia="Calibri" w:hAnsi="Calibri"/>
                <w:sz w:val="16"/>
                <w:szCs w:val="16"/>
              </w:rPr>
            </w:pPr>
            <w:r w:rsidRPr="00020133">
              <w:rPr>
                <w:rFonts w:ascii="Calibri" w:eastAsia="Calibri" w:hAnsi="Calibri"/>
                <w:sz w:val="16"/>
                <w:szCs w:val="16"/>
              </w:rPr>
              <w:t xml:space="preserve">35,302 </w:t>
            </w:r>
          </w:p>
        </w:tc>
        <w:tc>
          <w:tcPr>
            <w:tcW w:w="844" w:type="dxa"/>
            <w:shd w:val="clear" w:color="auto" w:fill="D9D9D9" w:themeFill="background1" w:themeFillShade="D9"/>
            <w:tcMar>
              <w:right w:w="58" w:type="dxa"/>
            </w:tcMar>
            <w:vAlign w:val="center"/>
          </w:tcPr>
          <w:p w:rsidR="00A93DF7" w:rsidRPr="00020133" w:rsidRDefault="00A93DF7" w:rsidP="00902496">
            <w:pPr>
              <w:widowControl w:val="0"/>
              <w:adjustRightInd/>
              <w:spacing w:before="40" w:after="40" w:line="240" w:lineRule="auto"/>
              <w:ind w:left="158"/>
              <w:jc w:val="right"/>
              <w:textAlignment w:val="auto"/>
              <w:rPr>
                <w:rFonts w:ascii="Calibri" w:eastAsia="Calibri" w:hAnsi="Calibri"/>
                <w:sz w:val="16"/>
                <w:szCs w:val="16"/>
              </w:rPr>
            </w:pPr>
            <w:r w:rsidRPr="00020133">
              <w:rPr>
                <w:rFonts w:ascii="Calibri" w:eastAsia="Calibri" w:hAnsi="Calibri"/>
                <w:sz w:val="16"/>
                <w:szCs w:val="16"/>
              </w:rPr>
              <w:t>36,919</w:t>
            </w:r>
          </w:p>
        </w:tc>
      </w:tr>
      <w:tr w:rsidR="00A93DF7" w:rsidRPr="00020133" w:rsidTr="00614842">
        <w:trPr>
          <w:gridAfter w:val="1"/>
          <w:wAfter w:w="11" w:type="dxa"/>
          <w:cantSplit/>
          <w:trHeight w:val="20"/>
          <w:jc w:val="center"/>
        </w:trPr>
        <w:tc>
          <w:tcPr>
            <w:tcW w:w="4702" w:type="dxa"/>
            <w:shd w:val="clear" w:color="auto" w:fill="DBE5F1"/>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34" w:right="180"/>
              <w:textAlignment w:val="auto"/>
              <w:rPr>
                <w:rFonts w:ascii="Calibri" w:eastAsia="Calibri" w:hAnsi="Calibri" w:cs="Calibri"/>
                <w:sz w:val="16"/>
                <w:szCs w:val="16"/>
              </w:rPr>
            </w:pPr>
            <w:r w:rsidRPr="00020133">
              <w:rPr>
                <w:rFonts w:ascii="Calibri" w:eastAsia="Calibri" w:hAnsi="Calibri"/>
                <w:b/>
                <w:sz w:val="16"/>
                <w:szCs w:val="16"/>
              </w:rPr>
              <w:t>NGCC capacity added to replace retirement and to meet NICR</w:t>
            </w:r>
          </w:p>
        </w:tc>
        <w:tc>
          <w:tcPr>
            <w:tcW w:w="871" w:type="dxa"/>
            <w:shd w:val="clear" w:color="auto" w:fill="auto"/>
            <w:tcMar>
              <w:top w:w="29" w:type="dxa"/>
              <w:left w:w="58" w:type="dxa"/>
              <w:bottom w:w="29" w:type="dxa"/>
              <w:right w:w="58" w:type="dxa"/>
            </w:tcMar>
            <w:vAlign w:val="center"/>
          </w:tcPr>
          <w:p w:rsidR="00A93DF7" w:rsidRPr="00020133" w:rsidRDefault="00A93DF7" w:rsidP="00614842">
            <w:pPr>
              <w:widowControl w:val="0"/>
              <w:adjustRightInd/>
              <w:spacing w:before="40" w:after="40" w:line="240" w:lineRule="auto"/>
              <w:ind w:left="233"/>
              <w:jc w:val="right"/>
              <w:textAlignment w:val="auto"/>
              <w:rPr>
                <w:rFonts w:ascii="Calibri" w:eastAsia="Calibri" w:hAnsi="Calibri" w:cs="Calibri"/>
                <w:sz w:val="16"/>
                <w:szCs w:val="16"/>
              </w:rPr>
            </w:pPr>
            <w:r w:rsidRPr="00020133">
              <w:rPr>
                <w:rFonts w:ascii="Calibri" w:eastAsia="Calibri" w:hAnsi="Calibri"/>
                <w:sz w:val="16"/>
                <w:szCs w:val="16"/>
              </w:rPr>
              <w:t>656</w:t>
            </w:r>
            <w:r w:rsidRPr="00020133">
              <w:rPr>
                <w:rFonts w:ascii="Calibri" w:eastAsia="Calibri" w:hAnsi="Calibri"/>
                <w:sz w:val="16"/>
                <w:szCs w:val="16"/>
                <w:vertAlign w:val="superscript"/>
              </w:rPr>
              <w:t>(</w:t>
            </w:r>
            <w:r w:rsidR="00614842" w:rsidRPr="00020133">
              <w:rPr>
                <w:rFonts w:ascii="Calibri" w:eastAsia="Calibri" w:hAnsi="Calibri"/>
                <w:sz w:val="16"/>
                <w:szCs w:val="16"/>
                <w:vertAlign w:val="superscript"/>
              </w:rPr>
              <w:t>d</w:t>
            </w:r>
            <w:r w:rsidRPr="00020133">
              <w:rPr>
                <w:rFonts w:ascii="Calibri" w:eastAsia="Calibri" w:hAnsi="Calibri"/>
                <w:sz w:val="16"/>
                <w:szCs w:val="16"/>
                <w:vertAlign w:val="superscript"/>
              </w:rPr>
              <w:t>)</w:t>
            </w:r>
          </w:p>
        </w:tc>
        <w:tc>
          <w:tcPr>
            <w:tcW w:w="907" w:type="dxa"/>
            <w:shd w:val="clear" w:color="auto" w:fill="auto"/>
            <w:tcMar>
              <w:top w:w="29" w:type="dxa"/>
              <w:left w:w="58" w:type="dxa"/>
              <w:bottom w:w="29" w:type="dxa"/>
              <w:right w:w="58" w:type="dxa"/>
            </w:tcMar>
            <w:vAlign w:val="center"/>
          </w:tcPr>
          <w:p w:rsidR="00A93DF7" w:rsidRPr="00020133" w:rsidRDefault="00A93DF7" w:rsidP="00614842">
            <w:pPr>
              <w:widowControl w:val="0"/>
              <w:adjustRightInd/>
              <w:spacing w:before="40" w:after="40" w:line="240" w:lineRule="auto"/>
              <w:ind w:left="181"/>
              <w:jc w:val="right"/>
              <w:textAlignment w:val="auto"/>
              <w:rPr>
                <w:rFonts w:ascii="Calibri" w:eastAsia="Calibri" w:hAnsi="Calibri" w:cs="Calibri"/>
                <w:sz w:val="16"/>
                <w:szCs w:val="16"/>
              </w:rPr>
            </w:pPr>
            <w:r w:rsidRPr="00020133">
              <w:rPr>
                <w:rFonts w:ascii="Calibri" w:eastAsia="Calibri" w:hAnsi="Calibri"/>
                <w:sz w:val="16"/>
                <w:szCs w:val="16"/>
              </w:rPr>
              <w:t>4,146</w:t>
            </w:r>
            <w:r w:rsidRPr="00020133">
              <w:rPr>
                <w:rFonts w:ascii="Calibri" w:eastAsia="Calibri" w:hAnsi="Calibri"/>
                <w:sz w:val="16"/>
                <w:szCs w:val="16"/>
                <w:vertAlign w:val="superscript"/>
              </w:rPr>
              <w:t>(</w:t>
            </w:r>
            <w:r w:rsidR="00614842" w:rsidRPr="00020133">
              <w:rPr>
                <w:rFonts w:ascii="Calibri" w:eastAsia="Calibri" w:hAnsi="Calibri"/>
                <w:sz w:val="16"/>
                <w:szCs w:val="16"/>
                <w:vertAlign w:val="superscript"/>
              </w:rPr>
              <w:t>d</w:t>
            </w:r>
            <w:r w:rsidRPr="00020133">
              <w:rPr>
                <w:rFonts w:ascii="Calibri" w:eastAsia="Calibri" w:hAnsi="Calibri"/>
                <w:sz w:val="16"/>
                <w:szCs w:val="16"/>
                <w:vertAlign w:val="superscript"/>
              </w:rPr>
              <w:t>)</w:t>
            </w:r>
          </w:p>
        </w:tc>
        <w:tc>
          <w:tcPr>
            <w:tcW w:w="835"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3"/>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4"/>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56"/>
              <w:jc w:val="right"/>
              <w:textAlignment w:val="auto"/>
              <w:rPr>
                <w:rFonts w:ascii="Calibri" w:eastAsia="Calibri" w:hAnsi="Calibri" w:cs="Calibri"/>
                <w:sz w:val="16"/>
                <w:szCs w:val="16"/>
              </w:rPr>
            </w:pPr>
            <w:r w:rsidRPr="00020133">
              <w:rPr>
                <w:rFonts w:ascii="Calibri" w:eastAsia="Calibri" w:hAnsi="Calibri"/>
                <w:sz w:val="16"/>
                <w:szCs w:val="16"/>
              </w:rPr>
              <w:t>N/A</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56"/>
              <w:jc w:val="right"/>
              <w:textAlignment w:val="auto"/>
              <w:rPr>
                <w:rFonts w:ascii="Calibri" w:eastAsia="Calibri" w:hAnsi="Calibri" w:cs="Calibri"/>
                <w:sz w:val="16"/>
                <w:szCs w:val="16"/>
              </w:rPr>
            </w:pPr>
            <w:r w:rsidRPr="00020133">
              <w:rPr>
                <w:rFonts w:ascii="Calibri" w:eastAsia="Calibri" w:hAnsi="Calibri"/>
                <w:sz w:val="16"/>
                <w:szCs w:val="16"/>
              </w:rPr>
              <w:t>N/A</w:t>
            </w:r>
          </w:p>
        </w:tc>
        <w:tc>
          <w:tcPr>
            <w:tcW w:w="871" w:type="dxa"/>
            <w:shd w:val="clear" w:color="auto" w:fill="auto"/>
            <w:tcMar>
              <w:top w:w="29" w:type="dxa"/>
              <w:left w:w="58" w:type="dxa"/>
              <w:bottom w:w="29" w:type="dxa"/>
              <w:right w:w="58" w:type="dxa"/>
            </w:tcMar>
            <w:vAlign w:val="center"/>
          </w:tcPr>
          <w:p w:rsidR="00A93DF7" w:rsidRPr="00020133" w:rsidRDefault="00A93DF7" w:rsidP="00614842">
            <w:pPr>
              <w:widowControl w:val="0"/>
              <w:adjustRightInd/>
              <w:spacing w:before="40" w:after="40" w:line="240" w:lineRule="auto"/>
              <w:ind w:left="181"/>
              <w:jc w:val="right"/>
              <w:textAlignment w:val="auto"/>
              <w:rPr>
                <w:rFonts w:ascii="Calibri" w:eastAsia="Calibri" w:hAnsi="Calibri" w:cs="Calibri"/>
                <w:sz w:val="16"/>
                <w:szCs w:val="16"/>
              </w:rPr>
            </w:pPr>
            <w:r w:rsidRPr="00020133">
              <w:rPr>
                <w:rFonts w:ascii="Calibri" w:eastAsia="Calibri" w:hAnsi="Calibri"/>
                <w:sz w:val="16"/>
                <w:szCs w:val="16"/>
              </w:rPr>
              <w:t>1,144</w:t>
            </w:r>
            <w:r w:rsidRPr="00020133">
              <w:rPr>
                <w:rFonts w:ascii="Calibri" w:eastAsia="Calibri" w:hAnsi="Calibri"/>
                <w:sz w:val="16"/>
                <w:szCs w:val="16"/>
                <w:vertAlign w:val="superscript"/>
              </w:rPr>
              <w:t>(</w:t>
            </w:r>
            <w:r w:rsidR="00614842" w:rsidRPr="00020133">
              <w:rPr>
                <w:rFonts w:ascii="Calibri" w:eastAsia="Calibri" w:hAnsi="Calibri"/>
                <w:sz w:val="16"/>
                <w:szCs w:val="16"/>
                <w:vertAlign w:val="superscript"/>
              </w:rPr>
              <w:t>d</w:t>
            </w:r>
            <w:r w:rsidRPr="00020133">
              <w:rPr>
                <w:rFonts w:ascii="Calibri" w:eastAsia="Calibri" w:hAnsi="Calibri"/>
                <w:sz w:val="16"/>
                <w:szCs w:val="16"/>
                <w:vertAlign w:val="superscript"/>
              </w:rPr>
              <w:t>)</w:t>
            </w:r>
          </w:p>
        </w:tc>
        <w:tc>
          <w:tcPr>
            <w:tcW w:w="870" w:type="dxa"/>
            <w:shd w:val="clear" w:color="auto" w:fill="auto"/>
            <w:tcMar>
              <w:top w:w="29" w:type="dxa"/>
              <w:left w:w="58" w:type="dxa"/>
              <w:bottom w:w="29" w:type="dxa"/>
              <w:right w:w="58" w:type="dxa"/>
            </w:tcMar>
            <w:vAlign w:val="center"/>
          </w:tcPr>
          <w:p w:rsidR="00A93DF7" w:rsidRPr="00020133" w:rsidRDefault="00A93DF7" w:rsidP="00614842">
            <w:pPr>
              <w:widowControl w:val="0"/>
              <w:adjustRightInd/>
              <w:spacing w:before="40" w:after="40" w:line="240" w:lineRule="auto"/>
              <w:ind w:left="182"/>
              <w:jc w:val="right"/>
              <w:textAlignment w:val="auto"/>
              <w:rPr>
                <w:rFonts w:ascii="Calibri" w:eastAsia="Calibri" w:hAnsi="Calibri" w:cs="Calibri"/>
                <w:sz w:val="16"/>
                <w:szCs w:val="16"/>
              </w:rPr>
            </w:pPr>
            <w:r w:rsidRPr="00020133">
              <w:rPr>
                <w:rFonts w:ascii="Calibri" w:eastAsia="Calibri" w:hAnsi="Calibri"/>
                <w:sz w:val="16"/>
                <w:szCs w:val="16"/>
              </w:rPr>
              <w:t>4,833</w:t>
            </w:r>
            <w:r w:rsidRPr="00020133">
              <w:rPr>
                <w:rFonts w:ascii="Calibri" w:eastAsia="Calibri" w:hAnsi="Calibri"/>
                <w:sz w:val="16"/>
                <w:szCs w:val="16"/>
                <w:vertAlign w:val="superscript"/>
              </w:rPr>
              <w:t>(</w:t>
            </w:r>
            <w:r w:rsidR="00614842" w:rsidRPr="00020133">
              <w:rPr>
                <w:rFonts w:ascii="Calibri" w:eastAsia="Calibri" w:hAnsi="Calibri"/>
                <w:sz w:val="16"/>
                <w:szCs w:val="16"/>
                <w:vertAlign w:val="superscript"/>
              </w:rPr>
              <w:t>d</w:t>
            </w:r>
            <w:r w:rsidRPr="00020133">
              <w:rPr>
                <w:rFonts w:ascii="Calibri" w:eastAsia="Calibri" w:hAnsi="Calibri"/>
                <w:sz w:val="16"/>
                <w:szCs w:val="16"/>
                <w:vertAlign w:val="superscript"/>
              </w:rPr>
              <w:t>)</w:t>
            </w:r>
          </w:p>
        </w:tc>
        <w:tc>
          <w:tcPr>
            <w:tcW w:w="877" w:type="dxa"/>
            <w:shd w:val="clear" w:color="auto" w:fill="D9D9D9" w:themeFill="background1" w:themeFillShade="D9"/>
            <w:tcMar>
              <w:right w:w="58" w:type="dxa"/>
            </w:tcMar>
            <w:vAlign w:val="center"/>
          </w:tcPr>
          <w:p w:rsidR="00A93DF7" w:rsidRPr="00020133" w:rsidRDefault="00A93DF7" w:rsidP="00723CA2">
            <w:pPr>
              <w:widowControl w:val="0"/>
              <w:adjustRightInd/>
              <w:spacing w:before="40" w:after="40" w:line="240" w:lineRule="auto"/>
              <w:ind w:left="182"/>
              <w:jc w:val="right"/>
              <w:textAlignment w:val="auto"/>
              <w:rPr>
                <w:rFonts w:ascii="Calibri" w:eastAsia="Calibri" w:hAnsi="Calibri"/>
                <w:sz w:val="16"/>
                <w:szCs w:val="16"/>
              </w:rPr>
            </w:pPr>
            <w:r w:rsidRPr="00020133">
              <w:rPr>
                <w:rFonts w:ascii="Calibri" w:eastAsia="Calibri" w:hAnsi="Calibri"/>
                <w:sz w:val="16"/>
                <w:szCs w:val="16"/>
              </w:rPr>
              <w:t>0</w:t>
            </w:r>
          </w:p>
        </w:tc>
        <w:tc>
          <w:tcPr>
            <w:tcW w:w="844" w:type="dxa"/>
            <w:shd w:val="clear" w:color="auto" w:fill="D9D9D9" w:themeFill="background1" w:themeFillShade="D9"/>
            <w:tcMar>
              <w:right w:w="58" w:type="dxa"/>
            </w:tcMar>
            <w:vAlign w:val="center"/>
          </w:tcPr>
          <w:p w:rsidR="00A93DF7" w:rsidRPr="00020133" w:rsidRDefault="00A93DF7" w:rsidP="00723CA2">
            <w:pPr>
              <w:widowControl w:val="0"/>
              <w:adjustRightInd/>
              <w:spacing w:before="40" w:after="40" w:line="240" w:lineRule="auto"/>
              <w:ind w:left="182"/>
              <w:jc w:val="right"/>
              <w:textAlignment w:val="auto"/>
              <w:rPr>
                <w:rFonts w:ascii="Calibri" w:eastAsia="Calibri" w:hAnsi="Calibri"/>
                <w:sz w:val="16"/>
                <w:szCs w:val="16"/>
              </w:rPr>
            </w:pPr>
            <w:r w:rsidRPr="00020133">
              <w:rPr>
                <w:rFonts w:ascii="Calibri" w:eastAsia="Calibri" w:hAnsi="Calibri"/>
                <w:sz w:val="16"/>
                <w:szCs w:val="16"/>
              </w:rPr>
              <w:t>0</w:t>
            </w:r>
          </w:p>
        </w:tc>
      </w:tr>
      <w:tr w:rsidR="00A93DF7" w:rsidRPr="00020133" w:rsidTr="00614842">
        <w:trPr>
          <w:gridAfter w:val="1"/>
          <w:wAfter w:w="11" w:type="dxa"/>
          <w:cantSplit/>
          <w:trHeight w:val="20"/>
          <w:jc w:val="center"/>
        </w:trPr>
        <w:tc>
          <w:tcPr>
            <w:tcW w:w="4702" w:type="dxa"/>
            <w:shd w:val="clear" w:color="auto" w:fill="DBE5F1"/>
            <w:tcMar>
              <w:top w:w="29" w:type="dxa"/>
              <w:left w:w="58" w:type="dxa"/>
              <w:bottom w:w="29" w:type="dxa"/>
              <w:right w:w="58" w:type="dxa"/>
            </w:tcMar>
            <w:vAlign w:val="center"/>
          </w:tcPr>
          <w:p w:rsidR="00A93DF7" w:rsidRPr="00020133" w:rsidRDefault="00A93DF7" w:rsidP="002518EA">
            <w:pPr>
              <w:widowControl w:val="0"/>
              <w:adjustRightInd/>
              <w:spacing w:before="40" w:after="40" w:line="240" w:lineRule="auto"/>
              <w:ind w:left="134" w:right="304"/>
              <w:textAlignment w:val="auto"/>
              <w:rPr>
                <w:rFonts w:ascii="Calibri" w:eastAsia="Calibri" w:hAnsi="Calibri" w:cs="Calibri"/>
                <w:sz w:val="16"/>
                <w:szCs w:val="16"/>
              </w:rPr>
            </w:pPr>
            <w:r w:rsidRPr="00020133">
              <w:rPr>
                <w:rFonts w:ascii="Calibri" w:eastAsia="Calibri" w:hAnsi="Calibri"/>
                <w:b/>
                <w:sz w:val="16"/>
                <w:szCs w:val="16"/>
              </w:rPr>
              <w:t>Renewable capacity added to replace retirement and to meet NICR</w:t>
            </w:r>
            <w:r w:rsidR="001F2AB5">
              <w:rPr>
                <w:rFonts w:ascii="Calibri" w:eastAsia="Calibri" w:hAnsi="Calibri"/>
                <w:b/>
                <w:sz w:val="16"/>
                <w:szCs w:val="16"/>
              </w:rPr>
              <w:t xml:space="preserve"> (</w:t>
            </w:r>
            <w:r w:rsidR="002518EA">
              <w:rPr>
                <w:rFonts w:ascii="Calibri" w:eastAsia="Calibri" w:hAnsi="Calibri"/>
                <w:b/>
                <w:sz w:val="16"/>
                <w:szCs w:val="16"/>
              </w:rPr>
              <w:t>c</w:t>
            </w:r>
            <w:r w:rsidR="001F2AB5">
              <w:rPr>
                <w:rFonts w:ascii="Calibri" w:eastAsia="Calibri" w:hAnsi="Calibri"/>
                <w:b/>
                <w:sz w:val="16"/>
                <w:szCs w:val="16"/>
              </w:rPr>
              <w:t>apacity value for w</w:t>
            </w:r>
            <w:r w:rsidR="002518EA">
              <w:rPr>
                <w:rFonts w:ascii="Calibri" w:eastAsia="Calibri" w:hAnsi="Calibri"/>
                <w:b/>
                <w:sz w:val="16"/>
                <w:szCs w:val="16"/>
              </w:rPr>
              <w:t>ind and</w:t>
            </w:r>
            <w:r w:rsidR="001F2AB5">
              <w:rPr>
                <w:rFonts w:ascii="Calibri" w:eastAsia="Calibri" w:hAnsi="Calibri"/>
                <w:b/>
                <w:sz w:val="16"/>
                <w:szCs w:val="16"/>
              </w:rPr>
              <w:t xml:space="preserve"> PV; SCC for other renewable resources, such as biomass.) </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907"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35" w:type="dxa"/>
            <w:shd w:val="clear" w:color="auto" w:fill="D9D9D9" w:themeFill="background1" w:themeFillShade="D9"/>
            <w:tcMar>
              <w:top w:w="29" w:type="dxa"/>
              <w:left w:w="58" w:type="dxa"/>
              <w:bottom w:w="29" w:type="dxa"/>
              <w:right w:w="58" w:type="dxa"/>
            </w:tcMar>
            <w:vAlign w:val="center"/>
          </w:tcPr>
          <w:p w:rsidR="00A93DF7" w:rsidRPr="00020133" w:rsidRDefault="00A93DF7" w:rsidP="00614842">
            <w:pPr>
              <w:widowControl w:val="0"/>
              <w:adjustRightInd/>
              <w:spacing w:before="40" w:after="40" w:line="240" w:lineRule="auto"/>
              <w:ind w:left="173"/>
              <w:jc w:val="right"/>
              <w:textAlignment w:val="auto"/>
              <w:rPr>
                <w:rFonts w:ascii="Calibri" w:eastAsia="Calibri" w:hAnsi="Calibri" w:cs="Calibri"/>
                <w:sz w:val="16"/>
                <w:szCs w:val="16"/>
              </w:rPr>
            </w:pPr>
            <w:r w:rsidRPr="00020133">
              <w:rPr>
                <w:rFonts w:ascii="Calibri" w:eastAsia="Calibri" w:hAnsi="Calibri"/>
                <w:sz w:val="16"/>
                <w:szCs w:val="16"/>
              </w:rPr>
              <w:t>1,144</w:t>
            </w:r>
            <w:r w:rsidRPr="00020133">
              <w:rPr>
                <w:rFonts w:ascii="Calibri" w:eastAsia="Calibri" w:hAnsi="Calibri"/>
                <w:sz w:val="16"/>
                <w:szCs w:val="16"/>
                <w:vertAlign w:val="superscript"/>
              </w:rPr>
              <w:t>(</w:t>
            </w:r>
            <w:r w:rsidR="00614842" w:rsidRPr="00020133">
              <w:rPr>
                <w:rFonts w:ascii="Calibri" w:eastAsia="Calibri" w:hAnsi="Calibri"/>
                <w:sz w:val="16"/>
                <w:szCs w:val="16"/>
                <w:vertAlign w:val="superscript"/>
              </w:rPr>
              <w:t>e</w:t>
            </w:r>
            <w:r w:rsidRPr="00020133">
              <w:rPr>
                <w:rFonts w:ascii="Calibri" w:eastAsia="Calibri" w:hAnsi="Calibri"/>
                <w:sz w:val="16"/>
                <w:szCs w:val="16"/>
                <w:vertAlign w:val="superscript"/>
              </w:rPr>
              <w:t>)</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614842">
            <w:pPr>
              <w:widowControl w:val="0"/>
              <w:adjustRightInd/>
              <w:spacing w:before="40" w:after="40" w:line="240" w:lineRule="auto"/>
              <w:ind w:left="173"/>
              <w:jc w:val="right"/>
              <w:textAlignment w:val="auto"/>
              <w:rPr>
                <w:rFonts w:ascii="Calibri" w:eastAsia="Calibri" w:hAnsi="Calibri" w:cs="Calibri"/>
                <w:sz w:val="16"/>
                <w:szCs w:val="16"/>
              </w:rPr>
            </w:pPr>
            <w:r w:rsidRPr="00020133">
              <w:rPr>
                <w:rFonts w:ascii="Calibri" w:eastAsia="Calibri" w:hAnsi="Calibri"/>
                <w:sz w:val="16"/>
                <w:szCs w:val="16"/>
              </w:rPr>
              <w:t>4,833</w:t>
            </w:r>
            <w:r w:rsidRPr="00020133">
              <w:rPr>
                <w:rFonts w:ascii="Calibri" w:eastAsia="Calibri" w:hAnsi="Calibri"/>
                <w:sz w:val="16"/>
                <w:szCs w:val="16"/>
                <w:vertAlign w:val="superscript"/>
              </w:rPr>
              <w:t>(</w:t>
            </w:r>
            <w:r w:rsidR="00614842" w:rsidRPr="00020133">
              <w:rPr>
                <w:rFonts w:ascii="Calibri" w:eastAsia="Calibri" w:hAnsi="Calibri"/>
                <w:sz w:val="16"/>
                <w:szCs w:val="16"/>
                <w:vertAlign w:val="superscript"/>
              </w:rPr>
              <w:t>e</w:t>
            </w:r>
            <w:r w:rsidRPr="00020133">
              <w:rPr>
                <w:rFonts w:ascii="Calibri" w:eastAsia="Calibri" w:hAnsi="Calibri"/>
                <w:sz w:val="16"/>
                <w:szCs w:val="16"/>
                <w:vertAlign w:val="superscript"/>
              </w:rPr>
              <w:t>)</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3"/>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4"/>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56"/>
              <w:jc w:val="right"/>
              <w:textAlignment w:val="auto"/>
              <w:rPr>
                <w:rFonts w:ascii="Calibri" w:eastAsia="Calibri" w:hAnsi="Calibri" w:cs="Calibri"/>
                <w:sz w:val="16"/>
                <w:szCs w:val="16"/>
              </w:rPr>
            </w:pPr>
            <w:r w:rsidRPr="00020133">
              <w:rPr>
                <w:rFonts w:ascii="Calibri" w:eastAsia="Calibri" w:hAnsi="Calibri"/>
                <w:sz w:val="16"/>
                <w:szCs w:val="16"/>
              </w:rPr>
              <w:t>N/A</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56"/>
              <w:jc w:val="right"/>
              <w:textAlignment w:val="auto"/>
              <w:rPr>
                <w:rFonts w:ascii="Calibri" w:eastAsia="Calibri" w:hAnsi="Calibri" w:cs="Calibri"/>
                <w:sz w:val="16"/>
                <w:szCs w:val="16"/>
              </w:rPr>
            </w:pPr>
            <w:r w:rsidRPr="00020133">
              <w:rPr>
                <w:rFonts w:ascii="Calibri" w:eastAsia="Calibri" w:hAnsi="Calibri"/>
                <w:sz w:val="16"/>
                <w:szCs w:val="16"/>
              </w:rPr>
              <w:t>N/A</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4"/>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70"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4"/>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77" w:type="dxa"/>
            <w:shd w:val="clear" w:color="auto" w:fill="D9D9D9" w:themeFill="background1" w:themeFillShade="D9"/>
            <w:tcMar>
              <w:right w:w="58" w:type="dxa"/>
            </w:tcMar>
            <w:vAlign w:val="center"/>
          </w:tcPr>
          <w:p w:rsidR="00A93DF7" w:rsidRPr="00020133" w:rsidRDefault="00A93DF7" w:rsidP="00614842">
            <w:pPr>
              <w:widowControl w:val="0"/>
              <w:adjustRightInd/>
              <w:spacing w:before="40" w:after="40" w:line="240" w:lineRule="auto"/>
              <w:ind w:left="4"/>
              <w:jc w:val="right"/>
              <w:textAlignment w:val="auto"/>
              <w:rPr>
                <w:rFonts w:ascii="Calibri" w:eastAsia="Calibri" w:hAnsi="Calibri"/>
                <w:sz w:val="16"/>
                <w:szCs w:val="16"/>
              </w:rPr>
            </w:pPr>
            <w:r w:rsidRPr="00020133">
              <w:rPr>
                <w:rFonts w:ascii="Calibri" w:eastAsia="Calibri" w:hAnsi="Calibri"/>
                <w:sz w:val="16"/>
                <w:szCs w:val="16"/>
              </w:rPr>
              <w:t>1,144</w:t>
            </w:r>
            <w:r w:rsidRPr="00020133">
              <w:rPr>
                <w:rFonts w:ascii="Calibri" w:eastAsia="Calibri" w:hAnsi="Calibri"/>
                <w:sz w:val="16"/>
                <w:szCs w:val="16"/>
                <w:vertAlign w:val="superscript"/>
              </w:rPr>
              <w:t>(</w:t>
            </w:r>
            <w:r w:rsidR="00614842" w:rsidRPr="00020133">
              <w:rPr>
                <w:rFonts w:ascii="Calibri" w:eastAsia="Calibri" w:hAnsi="Calibri"/>
                <w:sz w:val="16"/>
                <w:szCs w:val="16"/>
                <w:vertAlign w:val="superscript"/>
              </w:rPr>
              <w:t>f</w:t>
            </w:r>
            <w:r w:rsidRPr="00020133">
              <w:rPr>
                <w:rFonts w:ascii="Calibri" w:eastAsia="Calibri" w:hAnsi="Calibri"/>
                <w:sz w:val="16"/>
                <w:szCs w:val="16"/>
                <w:vertAlign w:val="superscript"/>
              </w:rPr>
              <w:t>)</w:t>
            </w:r>
          </w:p>
        </w:tc>
        <w:tc>
          <w:tcPr>
            <w:tcW w:w="844" w:type="dxa"/>
            <w:shd w:val="clear" w:color="auto" w:fill="D9D9D9" w:themeFill="background1" w:themeFillShade="D9"/>
            <w:tcMar>
              <w:right w:w="58" w:type="dxa"/>
            </w:tcMar>
            <w:vAlign w:val="center"/>
          </w:tcPr>
          <w:p w:rsidR="00A93DF7" w:rsidRPr="00020133" w:rsidRDefault="00A93DF7" w:rsidP="00614842">
            <w:pPr>
              <w:widowControl w:val="0"/>
              <w:adjustRightInd/>
              <w:spacing w:before="40" w:after="40" w:line="240" w:lineRule="auto"/>
              <w:ind w:left="4"/>
              <w:jc w:val="right"/>
              <w:textAlignment w:val="auto"/>
              <w:rPr>
                <w:rFonts w:ascii="Calibri" w:eastAsia="Calibri" w:hAnsi="Calibri"/>
                <w:sz w:val="16"/>
                <w:szCs w:val="16"/>
              </w:rPr>
            </w:pPr>
            <w:r w:rsidRPr="00020133">
              <w:rPr>
                <w:rFonts w:ascii="Calibri" w:eastAsia="Calibri" w:hAnsi="Calibri"/>
                <w:sz w:val="16"/>
                <w:szCs w:val="16"/>
              </w:rPr>
              <w:t>4,833</w:t>
            </w:r>
            <w:r w:rsidRPr="00020133">
              <w:rPr>
                <w:rFonts w:ascii="Calibri" w:eastAsia="Calibri" w:hAnsi="Calibri"/>
                <w:sz w:val="16"/>
                <w:szCs w:val="16"/>
                <w:vertAlign w:val="superscript"/>
              </w:rPr>
              <w:t>(</w:t>
            </w:r>
            <w:r w:rsidR="00614842" w:rsidRPr="00020133">
              <w:rPr>
                <w:rFonts w:ascii="Calibri" w:eastAsia="Calibri" w:hAnsi="Calibri"/>
                <w:sz w:val="16"/>
                <w:szCs w:val="16"/>
                <w:vertAlign w:val="superscript"/>
              </w:rPr>
              <w:t>f</w:t>
            </w:r>
            <w:r w:rsidRPr="00020133">
              <w:rPr>
                <w:rFonts w:ascii="Calibri" w:eastAsia="Calibri" w:hAnsi="Calibri"/>
                <w:sz w:val="16"/>
                <w:szCs w:val="16"/>
                <w:vertAlign w:val="superscript"/>
              </w:rPr>
              <w:t>)</w:t>
            </w:r>
          </w:p>
        </w:tc>
      </w:tr>
      <w:tr w:rsidR="00A93DF7" w:rsidRPr="00020133" w:rsidTr="00614842">
        <w:trPr>
          <w:gridAfter w:val="1"/>
          <w:wAfter w:w="11" w:type="dxa"/>
          <w:cantSplit/>
          <w:trHeight w:val="20"/>
          <w:jc w:val="center"/>
        </w:trPr>
        <w:tc>
          <w:tcPr>
            <w:tcW w:w="4702" w:type="dxa"/>
            <w:shd w:val="clear" w:color="auto" w:fill="DBE5F1"/>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134"/>
              <w:textAlignment w:val="auto"/>
              <w:rPr>
                <w:rFonts w:ascii="Calibri" w:eastAsia="Calibri" w:hAnsi="Calibri" w:cs="Calibri"/>
                <w:sz w:val="16"/>
                <w:szCs w:val="16"/>
              </w:rPr>
            </w:pPr>
            <w:r w:rsidRPr="00020133">
              <w:rPr>
                <w:rFonts w:ascii="Calibri" w:eastAsia="Calibri" w:hAnsi="Calibri"/>
                <w:b/>
                <w:sz w:val="16"/>
                <w:szCs w:val="16"/>
              </w:rPr>
              <w:t>Additional NGCC capacity to meet NICR</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907"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35"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3"/>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4"/>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4"/>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4"/>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4"/>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70"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4"/>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77" w:type="dxa"/>
            <w:shd w:val="clear" w:color="auto" w:fill="D9D9D9" w:themeFill="background1" w:themeFillShade="D9"/>
            <w:tcMar>
              <w:right w:w="58" w:type="dxa"/>
            </w:tcMar>
            <w:vAlign w:val="center"/>
          </w:tcPr>
          <w:p w:rsidR="00A93DF7" w:rsidRPr="00020133" w:rsidRDefault="00A93DF7" w:rsidP="00902496">
            <w:pPr>
              <w:widowControl w:val="0"/>
              <w:adjustRightInd/>
              <w:spacing w:before="40" w:after="40" w:line="240" w:lineRule="auto"/>
              <w:ind w:left="4"/>
              <w:jc w:val="right"/>
              <w:textAlignment w:val="auto"/>
              <w:rPr>
                <w:rFonts w:ascii="Calibri" w:eastAsia="Calibri" w:hAnsi="Calibri"/>
                <w:sz w:val="16"/>
                <w:szCs w:val="16"/>
              </w:rPr>
            </w:pPr>
            <w:r w:rsidRPr="00020133">
              <w:rPr>
                <w:rFonts w:ascii="Calibri" w:eastAsia="Calibri" w:hAnsi="Calibri"/>
                <w:sz w:val="16"/>
                <w:szCs w:val="16"/>
              </w:rPr>
              <w:t>0</w:t>
            </w:r>
          </w:p>
        </w:tc>
        <w:tc>
          <w:tcPr>
            <w:tcW w:w="844" w:type="dxa"/>
            <w:shd w:val="clear" w:color="auto" w:fill="D9D9D9" w:themeFill="background1" w:themeFillShade="D9"/>
            <w:tcMar>
              <w:right w:w="58" w:type="dxa"/>
            </w:tcMar>
            <w:vAlign w:val="center"/>
          </w:tcPr>
          <w:p w:rsidR="00A93DF7" w:rsidRPr="00020133" w:rsidRDefault="00A93DF7" w:rsidP="00902496">
            <w:pPr>
              <w:widowControl w:val="0"/>
              <w:adjustRightInd/>
              <w:spacing w:before="40" w:after="40" w:line="240" w:lineRule="auto"/>
              <w:ind w:left="4"/>
              <w:jc w:val="right"/>
              <w:textAlignment w:val="auto"/>
              <w:rPr>
                <w:rFonts w:ascii="Calibri" w:eastAsia="Calibri" w:hAnsi="Calibri"/>
                <w:sz w:val="16"/>
                <w:szCs w:val="16"/>
              </w:rPr>
            </w:pPr>
            <w:r w:rsidRPr="00020133">
              <w:rPr>
                <w:rFonts w:ascii="Calibri" w:eastAsia="Calibri" w:hAnsi="Calibri"/>
                <w:sz w:val="16"/>
                <w:szCs w:val="16"/>
              </w:rPr>
              <w:t>0</w:t>
            </w:r>
          </w:p>
        </w:tc>
      </w:tr>
      <w:tr w:rsidR="00A93DF7" w:rsidRPr="00020133" w:rsidTr="00614842">
        <w:trPr>
          <w:gridAfter w:val="1"/>
          <w:wAfter w:w="11" w:type="dxa"/>
          <w:cantSplit/>
          <w:trHeight w:val="20"/>
          <w:jc w:val="center"/>
        </w:trPr>
        <w:tc>
          <w:tcPr>
            <w:tcW w:w="4702" w:type="dxa"/>
            <w:shd w:val="clear" w:color="auto" w:fill="DBE5F1"/>
            <w:tcMar>
              <w:top w:w="29" w:type="dxa"/>
              <w:left w:w="58" w:type="dxa"/>
              <w:bottom w:w="29" w:type="dxa"/>
              <w:right w:w="58" w:type="dxa"/>
            </w:tcMar>
            <w:vAlign w:val="center"/>
          </w:tcPr>
          <w:p w:rsidR="00A93DF7" w:rsidRPr="00020133" w:rsidRDefault="00A93DF7" w:rsidP="008754D2">
            <w:pPr>
              <w:widowControl w:val="0"/>
              <w:adjustRightInd/>
              <w:spacing w:before="40" w:after="40" w:line="240" w:lineRule="auto"/>
              <w:ind w:left="134"/>
              <w:textAlignment w:val="auto"/>
              <w:rPr>
                <w:rFonts w:ascii="Calibri" w:eastAsia="Calibri" w:hAnsi="Calibri" w:cs="Calibri"/>
                <w:sz w:val="16"/>
                <w:szCs w:val="16"/>
              </w:rPr>
            </w:pPr>
            <w:r w:rsidRPr="00020133">
              <w:rPr>
                <w:rFonts w:ascii="Calibri" w:eastAsia="Calibri" w:hAnsi="Calibri"/>
                <w:b/>
                <w:sz w:val="16"/>
                <w:szCs w:val="16"/>
              </w:rPr>
              <w:t>Additional renewable capacity to meet NICR</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907"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35"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2"/>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3"/>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4"/>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4"/>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71" w:type="dxa"/>
            <w:shd w:val="clear" w:color="auto" w:fill="D9D9D9" w:themeFill="background1" w:themeFillShade="D9"/>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4"/>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71"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4"/>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70" w:type="dxa"/>
            <w:shd w:val="clear" w:color="auto" w:fill="auto"/>
            <w:tcMar>
              <w:top w:w="29" w:type="dxa"/>
              <w:left w:w="58" w:type="dxa"/>
              <w:bottom w:w="29" w:type="dxa"/>
              <w:right w:w="58" w:type="dxa"/>
            </w:tcMar>
            <w:vAlign w:val="center"/>
          </w:tcPr>
          <w:p w:rsidR="00A93DF7" w:rsidRPr="00020133" w:rsidRDefault="00A93DF7" w:rsidP="00902496">
            <w:pPr>
              <w:widowControl w:val="0"/>
              <w:adjustRightInd/>
              <w:spacing w:before="40" w:after="40" w:line="240" w:lineRule="auto"/>
              <w:ind w:left="4"/>
              <w:jc w:val="right"/>
              <w:textAlignment w:val="auto"/>
              <w:rPr>
                <w:rFonts w:ascii="Calibri" w:eastAsia="Calibri" w:hAnsi="Calibri" w:cs="Calibri"/>
                <w:sz w:val="16"/>
                <w:szCs w:val="16"/>
              </w:rPr>
            </w:pPr>
            <w:r w:rsidRPr="00020133">
              <w:rPr>
                <w:rFonts w:ascii="Calibri" w:eastAsia="Calibri" w:hAnsi="Calibri"/>
                <w:sz w:val="16"/>
                <w:szCs w:val="16"/>
              </w:rPr>
              <w:t>0</w:t>
            </w:r>
          </w:p>
        </w:tc>
        <w:tc>
          <w:tcPr>
            <w:tcW w:w="877" w:type="dxa"/>
            <w:shd w:val="clear" w:color="auto" w:fill="D9D9D9" w:themeFill="background1" w:themeFillShade="D9"/>
            <w:tcMar>
              <w:right w:w="58" w:type="dxa"/>
            </w:tcMar>
            <w:vAlign w:val="center"/>
          </w:tcPr>
          <w:p w:rsidR="00A93DF7" w:rsidRPr="00020133" w:rsidRDefault="00A93DF7" w:rsidP="00902496">
            <w:pPr>
              <w:widowControl w:val="0"/>
              <w:adjustRightInd/>
              <w:spacing w:before="40" w:after="40" w:line="240" w:lineRule="auto"/>
              <w:ind w:left="4"/>
              <w:jc w:val="right"/>
              <w:textAlignment w:val="auto"/>
              <w:rPr>
                <w:rFonts w:ascii="Calibri" w:eastAsia="Calibri" w:hAnsi="Calibri"/>
                <w:sz w:val="16"/>
                <w:szCs w:val="16"/>
              </w:rPr>
            </w:pPr>
            <w:r w:rsidRPr="00020133">
              <w:rPr>
                <w:rFonts w:ascii="Calibri" w:eastAsia="Calibri" w:hAnsi="Calibri"/>
                <w:sz w:val="16"/>
                <w:szCs w:val="16"/>
              </w:rPr>
              <w:t>0</w:t>
            </w:r>
          </w:p>
        </w:tc>
        <w:tc>
          <w:tcPr>
            <w:tcW w:w="844" w:type="dxa"/>
            <w:shd w:val="clear" w:color="auto" w:fill="D9D9D9" w:themeFill="background1" w:themeFillShade="D9"/>
            <w:tcMar>
              <w:right w:w="58" w:type="dxa"/>
            </w:tcMar>
            <w:vAlign w:val="center"/>
          </w:tcPr>
          <w:p w:rsidR="00A93DF7" w:rsidRPr="00020133" w:rsidRDefault="00A93DF7" w:rsidP="00902496">
            <w:pPr>
              <w:widowControl w:val="0"/>
              <w:adjustRightInd/>
              <w:spacing w:before="40" w:after="40" w:line="240" w:lineRule="auto"/>
              <w:ind w:left="4"/>
              <w:jc w:val="right"/>
              <w:textAlignment w:val="auto"/>
              <w:rPr>
                <w:rFonts w:ascii="Calibri" w:eastAsia="Calibri" w:hAnsi="Calibri"/>
                <w:sz w:val="16"/>
                <w:szCs w:val="16"/>
              </w:rPr>
            </w:pPr>
            <w:r w:rsidRPr="00020133">
              <w:rPr>
                <w:rFonts w:ascii="Calibri" w:eastAsia="Calibri" w:hAnsi="Calibri"/>
                <w:sz w:val="16"/>
                <w:szCs w:val="16"/>
              </w:rPr>
              <w:t>0</w:t>
            </w:r>
          </w:p>
        </w:tc>
      </w:tr>
    </w:tbl>
    <w:p w:rsidR="00CC3C1D" w:rsidRDefault="00CC3C1D" w:rsidP="001868C6">
      <w:pPr>
        <w:spacing w:before="120" w:after="80" w:line="240" w:lineRule="auto"/>
        <w:ind w:left="-810" w:right="-990" w:hanging="270"/>
        <w:rPr>
          <w:rFonts w:asciiTheme="minorHAnsi" w:hAnsiTheme="minorHAnsi"/>
          <w:b/>
          <w:sz w:val="16"/>
          <w:szCs w:val="16"/>
        </w:rPr>
      </w:pPr>
      <w:r>
        <w:rPr>
          <w:rFonts w:asciiTheme="minorHAnsi" w:hAnsiTheme="minorHAnsi"/>
          <w:b/>
          <w:sz w:val="16"/>
          <w:szCs w:val="16"/>
        </w:rPr>
        <w:br w:type="page"/>
      </w:r>
    </w:p>
    <w:p w:rsidR="00CC3C1D" w:rsidRPr="00CC3C1D" w:rsidRDefault="00CC3C1D" w:rsidP="001868C6">
      <w:pPr>
        <w:spacing w:before="120" w:after="80" w:line="240" w:lineRule="auto"/>
        <w:ind w:left="-810" w:right="-990" w:hanging="270"/>
        <w:rPr>
          <w:rFonts w:asciiTheme="minorHAnsi" w:hAnsiTheme="minorHAnsi"/>
          <w:b/>
          <w:sz w:val="16"/>
          <w:szCs w:val="16"/>
        </w:rPr>
      </w:pPr>
      <w:r w:rsidRPr="00CC3C1D">
        <w:rPr>
          <w:rFonts w:asciiTheme="minorHAnsi" w:hAnsiTheme="minorHAnsi"/>
          <w:b/>
          <w:sz w:val="16"/>
          <w:szCs w:val="16"/>
        </w:rPr>
        <w:lastRenderedPageBreak/>
        <w:t xml:space="preserve">Notes for </w:t>
      </w:r>
      <w:r w:rsidRPr="00473D3B">
        <w:rPr>
          <w:rFonts w:asciiTheme="minorHAnsi" w:hAnsiTheme="minorHAnsi"/>
          <w:b/>
          <w:sz w:val="16"/>
          <w:szCs w:val="16"/>
        </w:rPr>
        <w:fldChar w:fldCharType="begin"/>
      </w:r>
      <w:r w:rsidRPr="00CC3C1D">
        <w:rPr>
          <w:rFonts w:asciiTheme="minorHAnsi" w:hAnsiTheme="minorHAnsi"/>
          <w:b/>
          <w:sz w:val="16"/>
          <w:szCs w:val="16"/>
        </w:rPr>
        <w:instrText xml:space="preserve"> REF _Ref461381035 \h </w:instrText>
      </w:r>
      <w:r w:rsidRPr="00473D3B">
        <w:rPr>
          <w:rFonts w:asciiTheme="minorHAnsi" w:hAnsiTheme="minorHAnsi"/>
          <w:b/>
          <w:sz w:val="16"/>
          <w:szCs w:val="16"/>
        </w:rPr>
        <w:instrText xml:space="preserve"> \* MERGEFORMAT </w:instrText>
      </w:r>
      <w:r w:rsidRPr="00473D3B">
        <w:rPr>
          <w:rFonts w:asciiTheme="minorHAnsi" w:hAnsiTheme="minorHAnsi"/>
          <w:b/>
          <w:sz w:val="16"/>
          <w:szCs w:val="16"/>
        </w:rPr>
      </w:r>
      <w:r w:rsidRPr="00473D3B">
        <w:rPr>
          <w:rFonts w:asciiTheme="minorHAnsi" w:hAnsiTheme="minorHAnsi"/>
          <w:b/>
          <w:sz w:val="16"/>
          <w:szCs w:val="16"/>
        </w:rPr>
        <w:fldChar w:fldCharType="separate"/>
      </w:r>
      <w:r w:rsidR="00742B49" w:rsidRPr="00473D3B">
        <w:rPr>
          <w:rFonts w:asciiTheme="minorHAnsi" w:hAnsiTheme="minorHAnsi"/>
          <w:b/>
          <w:sz w:val="16"/>
          <w:szCs w:val="16"/>
        </w:rPr>
        <w:t xml:space="preserve">Table </w:t>
      </w:r>
      <w:r w:rsidR="00742B49" w:rsidRPr="00473D3B">
        <w:rPr>
          <w:rFonts w:asciiTheme="minorHAnsi" w:hAnsiTheme="minorHAnsi"/>
          <w:b/>
          <w:noProof/>
          <w:sz w:val="16"/>
          <w:szCs w:val="16"/>
        </w:rPr>
        <w:t>5</w:t>
      </w:r>
      <w:r w:rsidR="00742B49" w:rsidRPr="00473D3B">
        <w:rPr>
          <w:rFonts w:asciiTheme="minorHAnsi" w:hAnsiTheme="minorHAnsi"/>
          <w:b/>
          <w:noProof/>
          <w:sz w:val="16"/>
          <w:szCs w:val="16"/>
        </w:rPr>
        <w:noBreakHyphen/>
        <w:t>5</w:t>
      </w:r>
      <w:r w:rsidRPr="00473D3B">
        <w:rPr>
          <w:rFonts w:asciiTheme="minorHAnsi" w:hAnsiTheme="minorHAnsi"/>
          <w:b/>
          <w:sz w:val="16"/>
          <w:szCs w:val="16"/>
        </w:rPr>
        <w:fldChar w:fldCharType="end"/>
      </w:r>
    </w:p>
    <w:p w:rsidR="00902496" w:rsidRPr="00020133" w:rsidRDefault="009D553E" w:rsidP="001868C6">
      <w:pPr>
        <w:spacing w:before="120" w:after="80" w:line="240" w:lineRule="auto"/>
        <w:ind w:left="-810" w:right="-990" w:hanging="270"/>
        <w:rPr>
          <w:rFonts w:ascii="Calibri" w:hAnsi="Calibri"/>
          <w:sz w:val="16"/>
          <w:szCs w:val="16"/>
        </w:rPr>
      </w:pPr>
      <w:r w:rsidRPr="00020133">
        <w:rPr>
          <w:rFonts w:ascii="Calibri" w:hAnsi="Calibri"/>
          <w:sz w:val="16"/>
          <w:szCs w:val="16"/>
        </w:rPr>
        <w:t>(</w:t>
      </w:r>
      <w:r w:rsidR="00614842" w:rsidRPr="00020133">
        <w:rPr>
          <w:rFonts w:ascii="Calibri" w:hAnsi="Calibri"/>
          <w:sz w:val="16"/>
          <w:szCs w:val="16"/>
        </w:rPr>
        <w:t>a</w:t>
      </w:r>
      <w:r w:rsidRPr="00020133">
        <w:rPr>
          <w:rFonts w:ascii="Calibri" w:hAnsi="Calibri"/>
          <w:sz w:val="16"/>
          <w:szCs w:val="16"/>
        </w:rPr>
        <w:t>)</w:t>
      </w:r>
      <w:r w:rsidR="00F1055C">
        <w:rPr>
          <w:rFonts w:ascii="Calibri" w:hAnsi="Calibri"/>
          <w:sz w:val="16"/>
          <w:szCs w:val="16"/>
        </w:rPr>
        <w:tab/>
      </w:r>
      <w:r w:rsidR="00902496" w:rsidRPr="00020133">
        <w:rPr>
          <w:rFonts w:ascii="Calibri" w:hAnsi="Calibri"/>
          <w:sz w:val="16"/>
          <w:szCs w:val="16"/>
        </w:rPr>
        <w:t xml:space="preserve">Import capacity includes </w:t>
      </w:r>
      <w:r w:rsidRPr="00020133">
        <w:rPr>
          <w:rFonts w:ascii="Calibri" w:hAnsi="Calibri"/>
          <w:sz w:val="16"/>
          <w:szCs w:val="16"/>
        </w:rPr>
        <w:t xml:space="preserve">New York Power Authority </w:t>
      </w:r>
      <w:r w:rsidR="00902496" w:rsidRPr="00020133">
        <w:rPr>
          <w:rFonts w:ascii="Calibri" w:hAnsi="Calibri"/>
          <w:sz w:val="16"/>
          <w:szCs w:val="16"/>
        </w:rPr>
        <w:t>imports under a long</w:t>
      </w:r>
      <w:r w:rsidR="00F304EA" w:rsidRPr="00020133">
        <w:rPr>
          <w:rFonts w:ascii="Calibri" w:hAnsi="Calibri"/>
          <w:sz w:val="16"/>
          <w:szCs w:val="16"/>
        </w:rPr>
        <w:t>-</w:t>
      </w:r>
      <w:r w:rsidR="00902496" w:rsidRPr="00020133">
        <w:rPr>
          <w:rFonts w:ascii="Calibri" w:hAnsi="Calibri"/>
          <w:sz w:val="16"/>
          <w:szCs w:val="16"/>
        </w:rPr>
        <w:t>term contract plus the average capacity supply obligations associated with energy flows from New Brunswick, Highgate</w:t>
      </w:r>
      <w:r w:rsidR="00F304EA" w:rsidRPr="00020133">
        <w:rPr>
          <w:rFonts w:ascii="Calibri" w:hAnsi="Calibri"/>
          <w:sz w:val="16"/>
          <w:szCs w:val="16"/>
        </w:rPr>
        <w:t>,</w:t>
      </w:r>
      <w:r w:rsidR="00902496" w:rsidRPr="00020133">
        <w:rPr>
          <w:rFonts w:ascii="Calibri" w:hAnsi="Calibri"/>
          <w:sz w:val="16"/>
          <w:szCs w:val="16"/>
        </w:rPr>
        <w:t xml:space="preserve"> and Phase II occurring during 2013, 2014</w:t>
      </w:r>
      <w:r w:rsidR="00F304EA" w:rsidRPr="00020133">
        <w:rPr>
          <w:rFonts w:ascii="Calibri" w:hAnsi="Calibri"/>
          <w:sz w:val="16"/>
          <w:szCs w:val="16"/>
        </w:rPr>
        <w:t>,</w:t>
      </w:r>
      <w:r w:rsidR="00902496" w:rsidRPr="00020133">
        <w:rPr>
          <w:rFonts w:ascii="Calibri" w:hAnsi="Calibri"/>
          <w:sz w:val="16"/>
          <w:szCs w:val="16"/>
        </w:rPr>
        <w:t xml:space="preserve"> and 2015. Scenario 3 assumes additional import capacity of 1,500 MW in 2025 and 2,000 MW in 2030, respectively.</w:t>
      </w:r>
    </w:p>
    <w:p w:rsidR="00902496" w:rsidRPr="00020133" w:rsidRDefault="009D553E" w:rsidP="001868C6">
      <w:pPr>
        <w:spacing w:after="80" w:line="240" w:lineRule="auto"/>
        <w:ind w:left="-810" w:right="-990" w:hanging="270"/>
        <w:rPr>
          <w:rFonts w:ascii="Calibri" w:hAnsi="Calibri"/>
          <w:sz w:val="16"/>
          <w:szCs w:val="16"/>
        </w:rPr>
      </w:pPr>
      <w:r w:rsidRPr="00020133">
        <w:rPr>
          <w:rFonts w:ascii="Calibri" w:hAnsi="Calibri"/>
          <w:sz w:val="16"/>
          <w:szCs w:val="16"/>
        </w:rPr>
        <w:t>(</w:t>
      </w:r>
      <w:r w:rsidR="00614842" w:rsidRPr="00020133">
        <w:rPr>
          <w:rFonts w:ascii="Calibri" w:hAnsi="Calibri"/>
          <w:sz w:val="16"/>
          <w:szCs w:val="16"/>
        </w:rPr>
        <w:t>b</w:t>
      </w:r>
      <w:r w:rsidRPr="00020133">
        <w:rPr>
          <w:rFonts w:ascii="Calibri" w:hAnsi="Calibri"/>
          <w:sz w:val="16"/>
          <w:szCs w:val="16"/>
        </w:rPr>
        <w:t>)</w:t>
      </w:r>
      <w:r w:rsidR="004620D6">
        <w:rPr>
          <w:rFonts w:ascii="Calibri" w:hAnsi="Calibri"/>
          <w:sz w:val="16"/>
          <w:szCs w:val="16"/>
        </w:rPr>
        <w:tab/>
      </w:r>
      <w:r w:rsidR="00902496" w:rsidRPr="00020133">
        <w:rPr>
          <w:rFonts w:ascii="Calibri" w:hAnsi="Calibri"/>
          <w:sz w:val="16"/>
          <w:szCs w:val="16"/>
        </w:rPr>
        <w:t xml:space="preserve">Renewable resources in the </w:t>
      </w:r>
      <w:r w:rsidR="00BB2DE7">
        <w:rPr>
          <w:rFonts w:ascii="Calibri" w:hAnsi="Calibri"/>
          <w:sz w:val="16"/>
          <w:szCs w:val="16"/>
        </w:rPr>
        <w:t>I</w:t>
      </w:r>
      <w:r w:rsidR="00902496" w:rsidRPr="00020133">
        <w:rPr>
          <w:rFonts w:ascii="Calibri" w:hAnsi="Calibri"/>
          <w:sz w:val="16"/>
          <w:szCs w:val="16"/>
        </w:rPr>
        <w:t xml:space="preserve">nterconnection </w:t>
      </w:r>
      <w:r w:rsidR="00BB2DE7">
        <w:rPr>
          <w:rFonts w:ascii="Calibri" w:hAnsi="Calibri"/>
          <w:sz w:val="16"/>
          <w:szCs w:val="16"/>
        </w:rPr>
        <w:t>Q</w:t>
      </w:r>
      <w:r w:rsidR="00902496" w:rsidRPr="00020133">
        <w:rPr>
          <w:rFonts w:ascii="Calibri" w:hAnsi="Calibri"/>
          <w:sz w:val="16"/>
          <w:szCs w:val="16"/>
        </w:rPr>
        <w:t>ueue for Scenario 1 are sufficient to meet RPS requirements. Scenarios 2</w:t>
      </w:r>
      <w:r w:rsidR="008633C2">
        <w:rPr>
          <w:rFonts w:ascii="Calibri" w:hAnsi="Calibri"/>
          <w:sz w:val="16"/>
          <w:szCs w:val="16"/>
        </w:rPr>
        <w:t>, 3,</w:t>
      </w:r>
      <w:r w:rsidR="00902496" w:rsidRPr="00020133">
        <w:rPr>
          <w:rFonts w:ascii="Calibri" w:hAnsi="Calibri"/>
          <w:sz w:val="16"/>
          <w:szCs w:val="16"/>
        </w:rPr>
        <w:t xml:space="preserve"> and </w:t>
      </w:r>
      <w:r w:rsidR="008633C2">
        <w:rPr>
          <w:rFonts w:ascii="Calibri" w:hAnsi="Calibri"/>
          <w:sz w:val="16"/>
          <w:szCs w:val="16"/>
        </w:rPr>
        <w:t>6</w:t>
      </w:r>
      <w:r w:rsidR="00902496" w:rsidRPr="00020133">
        <w:rPr>
          <w:rFonts w:ascii="Calibri" w:hAnsi="Calibri"/>
          <w:sz w:val="16"/>
          <w:szCs w:val="16"/>
        </w:rPr>
        <w:t xml:space="preserve"> meet </w:t>
      </w:r>
      <w:r w:rsidRPr="00020133">
        <w:rPr>
          <w:rFonts w:ascii="Calibri" w:hAnsi="Calibri"/>
          <w:sz w:val="16"/>
          <w:szCs w:val="16"/>
        </w:rPr>
        <w:t xml:space="preserve">the </w:t>
      </w:r>
      <w:r w:rsidR="00902496" w:rsidRPr="00020133">
        <w:rPr>
          <w:rFonts w:ascii="Calibri" w:hAnsi="Calibri"/>
          <w:sz w:val="16"/>
          <w:szCs w:val="16"/>
        </w:rPr>
        <w:t>RPS</w:t>
      </w:r>
      <w:r w:rsidRPr="00020133">
        <w:rPr>
          <w:rFonts w:ascii="Calibri" w:hAnsi="Calibri"/>
          <w:sz w:val="16"/>
          <w:szCs w:val="16"/>
        </w:rPr>
        <w:t>s</w:t>
      </w:r>
      <w:r w:rsidR="00902496" w:rsidRPr="00020133">
        <w:rPr>
          <w:rFonts w:ascii="Calibri" w:hAnsi="Calibri"/>
          <w:sz w:val="16"/>
          <w:szCs w:val="16"/>
        </w:rPr>
        <w:t xml:space="preserve"> and reflect additional renewables. Scenarios 4 and 5 u</w:t>
      </w:r>
      <w:r w:rsidR="00F304EA" w:rsidRPr="00020133">
        <w:rPr>
          <w:rFonts w:ascii="Calibri" w:hAnsi="Calibri"/>
          <w:sz w:val="16"/>
          <w:szCs w:val="16"/>
        </w:rPr>
        <w:t>se</w:t>
      </w:r>
      <w:r w:rsidR="00902496" w:rsidRPr="00020133">
        <w:rPr>
          <w:rFonts w:ascii="Calibri" w:hAnsi="Calibri"/>
          <w:sz w:val="16"/>
          <w:szCs w:val="16"/>
        </w:rPr>
        <w:t xml:space="preserve"> </w:t>
      </w:r>
      <w:r w:rsidR="00F304EA" w:rsidRPr="00020133">
        <w:rPr>
          <w:rFonts w:ascii="Calibri" w:hAnsi="Calibri"/>
          <w:sz w:val="16"/>
          <w:szCs w:val="16"/>
        </w:rPr>
        <w:t>a</w:t>
      </w:r>
      <w:r w:rsidR="00902496" w:rsidRPr="00020133">
        <w:rPr>
          <w:rFonts w:ascii="Calibri" w:hAnsi="Calibri"/>
          <w:sz w:val="16"/>
          <w:szCs w:val="16"/>
        </w:rPr>
        <w:t xml:space="preserve">lternate </w:t>
      </w:r>
      <w:r w:rsidR="00F304EA" w:rsidRPr="00020133">
        <w:rPr>
          <w:rFonts w:ascii="Calibri" w:hAnsi="Calibri"/>
          <w:sz w:val="16"/>
          <w:szCs w:val="16"/>
        </w:rPr>
        <w:t>c</w:t>
      </w:r>
      <w:r w:rsidR="00902496" w:rsidRPr="00020133">
        <w:rPr>
          <w:rFonts w:ascii="Calibri" w:hAnsi="Calibri"/>
          <w:sz w:val="16"/>
          <w:szCs w:val="16"/>
        </w:rPr>
        <w:t xml:space="preserve">ompliance </w:t>
      </w:r>
      <w:r w:rsidR="00F304EA" w:rsidRPr="00020133">
        <w:rPr>
          <w:rFonts w:ascii="Calibri" w:hAnsi="Calibri"/>
          <w:sz w:val="16"/>
          <w:szCs w:val="16"/>
        </w:rPr>
        <w:t>p</w:t>
      </w:r>
      <w:r w:rsidR="00902496" w:rsidRPr="00020133">
        <w:rPr>
          <w:rFonts w:ascii="Calibri" w:hAnsi="Calibri"/>
          <w:sz w:val="16"/>
          <w:szCs w:val="16"/>
        </w:rPr>
        <w:t>ayments</w:t>
      </w:r>
      <w:r w:rsidRPr="00020133">
        <w:rPr>
          <w:rFonts w:ascii="Calibri" w:hAnsi="Calibri"/>
          <w:sz w:val="16"/>
          <w:szCs w:val="16"/>
        </w:rPr>
        <w:t xml:space="preserve"> to meet the RPSs</w:t>
      </w:r>
      <w:r w:rsidR="00902496" w:rsidRPr="00020133">
        <w:rPr>
          <w:rFonts w:ascii="Calibri" w:hAnsi="Calibri"/>
          <w:sz w:val="16"/>
          <w:szCs w:val="16"/>
        </w:rPr>
        <w:t>.</w:t>
      </w:r>
    </w:p>
    <w:p w:rsidR="00723CA2" w:rsidRPr="00020133" w:rsidRDefault="00723CA2" w:rsidP="001868C6">
      <w:pPr>
        <w:spacing w:after="80" w:line="240" w:lineRule="auto"/>
        <w:ind w:left="-810" w:right="-990" w:hanging="270"/>
        <w:rPr>
          <w:rFonts w:ascii="Calibri" w:hAnsi="Calibri"/>
          <w:sz w:val="16"/>
          <w:szCs w:val="16"/>
        </w:rPr>
      </w:pPr>
      <w:r w:rsidRPr="00924838">
        <w:rPr>
          <w:rFonts w:ascii="Calibri" w:hAnsi="Calibri"/>
          <w:sz w:val="16"/>
          <w:szCs w:val="16"/>
        </w:rPr>
        <w:t>(</w:t>
      </w:r>
      <w:r w:rsidR="00614842" w:rsidRPr="00924838">
        <w:rPr>
          <w:rFonts w:ascii="Calibri" w:hAnsi="Calibri"/>
          <w:sz w:val="16"/>
          <w:szCs w:val="16"/>
        </w:rPr>
        <w:t>c</w:t>
      </w:r>
      <w:r w:rsidRPr="00924838">
        <w:rPr>
          <w:rFonts w:ascii="Calibri" w:hAnsi="Calibri"/>
          <w:sz w:val="16"/>
          <w:szCs w:val="16"/>
        </w:rPr>
        <w:t>)</w:t>
      </w:r>
      <w:r w:rsidR="00F1055C">
        <w:rPr>
          <w:rFonts w:ascii="Calibri" w:hAnsi="Calibri"/>
          <w:sz w:val="16"/>
          <w:szCs w:val="16"/>
        </w:rPr>
        <w:tab/>
      </w:r>
      <w:r w:rsidRPr="00924838">
        <w:rPr>
          <w:rFonts w:asciiTheme="minorHAnsi" w:hAnsiTheme="minorHAnsi"/>
          <w:sz w:val="16"/>
          <w:szCs w:val="16"/>
        </w:rPr>
        <w:t xml:space="preserve">The </w:t>
      </w:r>
      <w:r w:rsidRPr="00924838">
        <w:rPr>
          <w:rFonts w:ascii="Calibri" w:hAnsi="Calibri"/>
          <w:sz w:val="16"/>
          <w:szCs w:val="16"/>
        </w:rPr>
        <w:t>NICR calculation was based on assuming 114% of the net 50/50 peak load and rounding to the nearest 100 MW.</w:t>
      </w:r>
      <w:r w:rsidR="00B33D82" w:rsidRPr="00924838">
        <w:rPr>
          <w:rFonts w:ascii="Calibri" w:hAnsi="Calibri"/>
          <w:sz w:val="16"/>
          <w:szCs w:val="16"/>
        </w:rPr>
        <w:t xml:space="preserve"> </w:t>
      </w:r>
      <w:r w:rsidR="00B33D82" w:rsidRPr="001868C6">
        <w:rPr>
          <w:rFonts w:ascii="Calibri" w:hAnsi="Calibri"/>
          <w:sz w:val="16"/>
          <w:szCs w:val="16"/>
        </w:rPr>
        <w:t>Summer SCC</w:t>
      </w:r>
      <w:r w:rsidR="00B33D82" w:rsidRPr="00924838">
        <w:rPr>
          <w:rFonts w:ascii="Calibri" w:hAnsi="Calibri"/>
          <w:sz w:val="16"/>
          <w:szCs w:val="16"/>
        </w:rPr>
        <w:t xml:space="preserve"> values</w:t>
      </w:r>
      <w:r w:rsidR="00B33D82" w:rsidRPr="00020133">
        <w:rPr>
          <w:rFonts w:ascii="Calibri" w:hAnsi="Calibri"/>
          <w:sz w:val="16"/>
          <w:szCs w:val="16"/>
        </w:rPr>
        <w:t xml:space="preserve"> were assumed for all units having capacity supply obligations in FCA</w:t>
      </w:r>
      <w:r w:rsidR="00BA3FCF" w:rsidRPr="00020133">
        <w:rPr>
          <w:rFonts w:ascii="Calibri" w:hAnsi="Calibri"/>
          <w:sz w:val="16"/>
          <w:szCs w:val="16"/>
        </w:rPr>
        <w:t xml:space="preserve"> </w:t>
      </w:r>
      <w:r w:rsidR="00B33D82" w:rsidRPr="00020133">
        <w:rPr>
          <w:rFonts w:ascii="Calibri" w:hAnsi="Calibri"/>
          <w:sz w:val="16"/>
          <w:szCs w:val="16"/>
        </w:rPr>
        <w:t xml:space="preserve">#10, but capacity values were used for wind and PV resources. </w:t>
      </w:r>
    </w:p>
    <w:p w:rsidR="00902496" w:rsidRPr="00020133" w:rsidRDefault="009D553E" w:rsidP="001868C6">
      <w:pPr>
        <w:spacing w:after="80" w:line="240" w:lineRule="auto"/>
        <w:ind w:left="-810" w:right="-990" w:hanging="270"/>
        <w:rPr>
          <w:rFonts w:ascii="Calibri" w:hAnsi="Calibri"/>
          <w:sz w:val="16"/>
          <w:szCs w:val="16"/>
        </w:rPr>
      </w:pPr>
      <w:r w:rsidRPr="00020133">
        <w:rPr>
          <w:rFonts w:ascii="Calibri" w:hAnsi="Calibri"/>
          <w:sz w:val="16"/>
          <w:szCs w:val="16"/>
        </w:rPr>
        <w:t>(</w:t>
      </w:r>
      <w:r w:rsidR="00614842" w:rsidRPr="00020133">
        <w:rPr>
          <w:rFonts w:ascii="Calibri" w:hAnsi="Calibri"/>
          <w:sz w:val="16"/>
          <w:szCs w:val="16"/>
        </w:rPr>
        <w:t>d</w:t>
      </w:r>
      <w:r w:rsidRPr="00020133">
        <w:rPr>
          <w:rFonts w:ascii="Calibri" w:hAnsi="Calibri"/>
          <w:sz w:val="16"/>
          <w:szCs w:val="16"/>
        </w:rPr>
        <w:t>)</w:t>
      </w:r>
      <w:r w:rsidR="004620D6">
        <w:rPr>
          <w:rFonts w:ascii="Calibri" w:hAnsi="Calibri"/>
          <w:sz w:val="16"/>
          <w:szCs w:val="16"/>
        </w:rPr>
        <w:tab/>
      </w:r>
      <w:r w:rsidR="00902496" w:rsidRPr="00020133">
        <w:rPr>
          <w:rFonts w:ascii="Calibri" w:hAnsi="Calibri"/>
          <w:sz w:val="16"/>
          <w:szCs w:val="16"/>
        </w:rPr>
        <w:t>Scenario 1 and Scenario 5 need to replace the retired capacity with NGCC. Scenario 1 requires 656 MW and 4,146 MW in 2025 and 2030, respectively. Scenario 5 requires 1,144 MW and 4,833 MW in 2025 and 2030, respectively.</w:t>
      </w:r>
    </w:p>
    <w:p w:rsidR="00902496" w:rsidRPr="00020133" w:rsidRDefault="009D553E" w:rsidP="001868C6">
      <w:pPr>
        <w:spacing w:after="80" w:line="240" w:lineRule="auto"/>
        <w:ind w:left="-810" w:right="-990" w:hanging="270"/>
        <w:rPr>
          <w:rFonts w:ascii="Calibri" w:hAnsi="Calibri"/>
          <w:sz w:val="16"/>
          <w:szCs w:val="16"/>
        </w:rPr>
      </w:pPr>
      <w:r w:rsidRPr="00020133">
        <w:rPr>
          <w:rFonts w:ascii="Calibri" w:hAnsi="Calibri"/>
          <w:sz w:val="16"/>
          <w:szCs w:val="16"/>
        </w:rPr>
        <w:t>(</w:t>
      </w:r>
      <w:r w:rsidR="00614842" w:rsidRPr="00020133">
        <w:rPr>
          <w:rFonts w:ascii="Calibri" w:hAnsi="Calibri"/>
          <w:sz w:val="16"/>
          <w:szCs w:val="16"/>
        </w:rPr>
        <w:t>e</w:t>
      </w:r>
      <w:r w:rsidRPr="00020133">
        <w:rPr>
          <w:rFonts w:ascii="Calibri" w:hAnsi="Calibri"/>
          <w:sz w:val="16"/>
          <w:szCs w:val="16"/>
        </w:rPr>
        <w:t>)</w:t>
      </w:r>
      <w:r w:rsidR="00F1055C">
        <w:rPr>
          <w:rFonts w:ascii="Calibri" w:hAnsi="Calibri"/>
          <w:sz w:val="16"/>
          <w:szCs w:val="16"/>
        </w:rPr>
        <w:tab/>
      </w:r>
      <w:r w:rsidR="00902496" w:rsidRPr="00020133">
        <w:rPr>
          <w:rFonts w:ascii="Calibri" w:hAnsi="Calibri"/>
          <w:sz w:val="16"/>
          <w:szCs w:val="16"/>
        </w:rPr>
        <w:t>Scenario 2 requires a capacity value of 1,144 MW of renewables in 2025 and 4,833 MW of renewables in 2030 to replace the retired legacy units. Assuming the typical capacity</w:t>
      </w:r>
      <w:r w:rsidR="0056222F" w:rsidRPr="00020133">
        <w:rPr>
          <w:rFonts w:ascii="Calibri" w:hAnsi="Calibri"/>
          <w:sz w:val="16"/>
          <w:szCs w:val="16"/>
        </w:rPr>
        <w:t>-</w:t>
      </w:r>
      <w:r w:rsidR="00902496" w:rsidRPr="00020133">
        <w:rPr>
          <w:rFonts w:ascii="Calibri" w:hAnsi="Calibri"/>
          <w:sz w:val="16"/>
          <w:szCs w:val="16"/>
        </w:rPr>
        <w:t xml:space="preserve">value percentages used in the </w:t>
      </w:r>
      <w:r w:rsidR="00902496" w:rsidRPr="0097425C">
        <w:rPr>
          <w:rFonts w:ascii="Calibri" w:hAnsi="Calibri"/>
          <w:sz w:val="16"/>
          <w:szCs w:val="16"/>
        </w:rPr>
        <w:t xml:space="preserve">RPS </w:t>
      </w:r>
      <w:r w:rsidR="0056222F" w:rsidRPr="0097425C">
        <w:rPr>
          <w:rFonts w:ascii="Calibri" w:hAnsi="Calibri"/>
          <w:sz w:val="16"/>
          <w:szCs w:val="16"/>
        </w:rPr>
        <w:t>s</w:t>
      </w:r>
      <w:r w:rsidR="00902496" w:rsidRPr="0097425C">
        <w:rPr>
          <w:rFonts w:ascii="Calibri" w:hAnsi="Calibri"/>
          <w:sz w:val="16"/>
          <w:szCs w:val="16"/>
        </w:rPr>
        <w:t>preadsheet,</w:t>
      </w:r>
      <w:r w:rsidR="00902496" w:rsidRPr="00020133">
        <w:rPr>
          <w:rFonts w:ascii="Calibri" w:hAnsi="Calibri"/>
          <w:sz w:val="16"/>
          <w:szCs w:val="16"/>
        </w:rPr>
        <w:t xml:space="preserve"> over 3.5 times the total capacity of the queued projects as of April 1, 2016</w:t>
      </w:r>
      <w:r w:rsidR="00F304EA" w:rsidRPr="00020133">
        <w:rPr>
          <w:rFonts w:ascii="Calibri" w:hAnsi="Calibri"/>
          <w:sz w:val="16"/>
          <w:szCs w:val="16"/>
        </w:rPr>
        <w:t>,</w:t>
      </w:r>
      <w:r w:rsidR="00902496" w:rsidRPr="00020133">
        <w:rPr>
          <w:rFonts w:ascii="Calibri" w:hAnsi="Calibri"/>
          <w:sz w:val="16"/>
          <w:szCs w:val="16"/>
        </w:rPr>
        <w:t xml:space="preserve"> were needed: 13,300 MW of onshore wind and 1,700 MW of offshore wind (rounded to nearest 100).</w:t>
      </w:r>
      <w:r w:rsidR="0056222F" w:rsidRPr="00020133">
        <w:rPr>
          <w:rFonts w:ascii="Calibri" w:hAnsi="Calibri"/>
          <w:sz w:val="16"/>
          <w:szCs w:val="16"/>
        </w:rPr>
        <w:t xml:space="preserve"> </w:t>
      </w:r>
      <w:r w:rsidR="0056222F" w:rsidRPr="0097425C">
        <w:rPr>
          <w:rFonts w:ascii="Calibri" w:hAnsi="Calibri"/>
          <w:sz w:val="16"/>
          <w:szCs w:val="16"/>
        </w:rPr>
        <w:t xml:space="preserve">Refer </w:t>
      </w:r>
      <w:r w:rsidR="0056222F" w:rsidRPr="0058192F">
        <w:rPr>
          <w:rFonts w:ascii="Calibri" w:hAnsi="Calibri"/>
          <w:sz w:val="16"/>
          <w:szCs w:val="16"/>
        </w:rPr>
        <w:t xml:space="preserve">to Section </w:t>
      </w:r>
      <w:r w:rsidR="0058192F" w:rsidRPr="0058192F">
        <w:rPr>
          <w:rFonts w:ascii="Calibri" w:hAnsi="Calibri"/>
          <w:sz w:val="16"/>
          <w:szCs w:val="16"/>
        </w:rPr>
        <w:fldChar w:fldCharType="begin"/>
      </w:r>
      <w:r w:rsidR="0058192F" w:rsidRPr="0058192F">
        <w:rPr>
          <w:rFonts w:ascii="Calibri" w:hAnsi="Calibri"/>
          <w:sz w:val="16"/>
          <w:szCs w:val="16"/>
        </w:rPr>
        <w:instrText xml:space="preserve"> REF _Ref483475763 \r \h </w:instrText>
      </w:r>
      <w:r w:rsidR="0058192F">
        <w:rPr>
          <w:rFonts w:ascii="Calibri" w:hAnsi="Calibri"/>
          <w:sz w:val="16"/>
          <w:szCs w:val="16"/>
        </w:rPr>
        <w:instrText xml:space="preserve"> \* MERGEFORMAT </w:instrText>
      </w:r>
      <w:r w:rsidR="0058192F" w:rsidRPr="0058192F">
        <w:rPr>
          <w:rFonts w:ascii="Calibri" w:hAnsi="Calibri"/>
          <w:sz w:val="16"/>
          <w:szCs w:val="16"/>
        </w:rPr>
      </w:r>
      <w:r w:rsidR="0058192F" w:rsidRPr="0058192F">
        <w:rPr>
          <w:rFonts w:ascii="Calibri" w:hAnsi="Calibri"/>
          <w:sz w:val="16"/>
          <w:szCs w:val="16"/>
        </w:rPr>
        <w:fldChar w:fldCharType="separate"/>
      </w:r>
      <w:r w:rsidR="00742B49">
        <w:rPr>
          <w:rFonts w:ascii="Calibri" w:hAnsi="Calibri"/>
          <w:sz w:val="16"/>
          <w:szCs w:val="16"/>
        </w:rPr>
        <w:t>5.3.4</w:t>
      </w:r>
      <w:r w:rsidR="0058192F" w:rsidRPr="0058192F">
        <w:rPr>
          <w:rFonts w:ascii="Calibri" w:hAnsi="Calibri"/>
          <w:sz w:val="16"/>
          <w:szCs w:val="16"/>
        </w:rPr>
        <w:fldChar w:fldCharType="end"/>
      </w:r>
      <w:r w:rsidR="0056222F" w:rsidRPr="0058192F">
        <w:rPr>
          <w:rFonts w:ascii="Calibri" w:hAnsi="Calibri"/>
          <w:sz w:val="16"/>
          <w:szCs w:val="16"/>
        </w:rPr>
        <w:t xml:space="preserve"> for</w:t>
      </w:r>
      <w:r w:rsidR="0056222F" w:rsidRPr="00020133">
        <w:rPr>
          <w:rFonts w:ascii="Calibri" w:hAnsi="Calibri"/>
          <w:sz w:val="16"/>
          <w:szCs w:val="16"/>
        </w:rPr>
        <w:t xml:space="preserve"> more information on the RPS spreadsheet.</w:t>
      </w:r>
    </w:p>
    <w:p w:rsidR="00083147" w:rsidRPr="00020133" w:rsidRDefault="00083147" w:rsidP="001868C6">
      <w:pPr>
        <w:spacing w:after="80" w:line="240" w:lineRule="auto"/>
        <w:ind w:left="-810" w:right="-990" w:hanging="270"/>
        <w:rPr>
          <w:rFonts w:ascii="Calibri" w:hAnsi="Calibri"/>
          <w:sz w:val="16"/>
          <w:szCs w:val="16"/>
        </w:rPr>
      </w:pPr>
      <w:r w:rsidRPr="00020133">
        <w:rPr>
          <w:rFonts w:ascii="Calibri" w:hAnsi="Calibri"/>
          <w:sz w:val="16"/>
          <w:szCs w:val="16"/>
        </w:rPr>
        <w:t>(</w:t>
      </w:r>
      <w:r w:rsidR="00614842" w:rsidRPr="00020133">
        <w:rPr>
          <w:rFonts w:ascii="Calibri" w:hAnsi="Calibri"/>
          <w:sz w:val="16"/>
          <w:szCs w:val="16"/>
        </w:rPr>
        <w:t>f</w:t>
      </w:r>
      <w:r w:rsidRPr="00020133">
        <w:rPr>
          <w:rFonts w:ascii="Calibri" w:hAnsi="Calibri"/>
          <w:sz w:val="16"/>
          <w:szCs w:val="16"/>
        </w:rPr>
        <w:t>)</w:t>
      </w:r>
      <w:r w:rsidR="00F1055C">
        <w:rPr>
          <w:rFonts w:ascii="Calibri" w:hAnsi="Calibri"/>
          <w:sz w:val="16"/>
          <w:szCs w:val="16"/>
        </w:rPr>
        <w:tab/>
      </w:r>
      <w:r w:rsidRPr="00020133">
        <w:rPr>
          <w:rFonts w:ascii="Calibri" w:hAnsi="Calibri"/>
          <w:sz w:val="16"/>
          <w:szCs w:val="16"/>
        </w:rPr>
        <w:t>Scenario 6 also requires a capacity value of 1,144 MW of renewables in 2025 and 4,833 MW of renewables in 2030 to replace the retired legacy units. Based on stakeholders’ request, onshore wind, offshore wind, and photovoltaic each provide 1/3 of the replacement capacity.</w:t>
      </w:r>
    </w:p>
    <w:p w:rsidR="00902496" w:rsidRPr="006D0AEF" w:rsidRDefault="00902496" w:rsidP="009D553E">
      <w:pPr>
        <w:spacing w:after="0" w:line="240" w:lineRule="auto"/>
        <w:rPr>
          <w:rFonts w:ascii="Calibri" w:hAnsi="Calibri"/>
          <w:sz w:val="18"/>
          <w:szCs w:val="18"/>
        </w:rPr>
      </w:pPr>
    </w:p>
    <w:p w:rsidR="008754D2" w:rsidRDefault="008754D2" w:rsidP="007F0C09">
      <w:pPr>
        <w:sectPr w:rsidR="008754D2" w:rsidSect="00CC3C1D">
          <w:footerReference w:type="default" r:id="rId28"/>
          <w:pgSz w:w="15840" w:h="12240" w:orient="landscape" w:code="1"/>
          <w:pgMar w:top="90" w:right="1440" w:bottom="360" w:left="1440" w:header="180" w:footer="705" w:gutter="0"/>
          <w:cols w:space="720"/>
          <w:docGrid w:linePitch="360"/>
        </w:sectPr>
      </w:pPr>
    </w:p>
    <w:p w:rsidR="00F90E42" w:rsidRPr="00437E18" w:rsidRDefault="00F90E42" w:rsidP="005C6415">
      <w:pPr>
        <w:pStyle w:val="Heading3"/>
      </w:pPr>
      <w:bookmarkStart w:id="116" w:name="_Toc486405979"/>
      <w:bookmarkStart w:id="117" w:name="_Ref462143175"/>
      <w:r w:rsidRPr="00437E18">
        <w:lastRenderedPageBreak/>
        <w:t>Capacity Value Assumptions</w:t>
      </w:r>
      <w:bookmarkEnd w:id="116"/>
    </w:p>
    <w:p w:rsidR="009733F0" w:rsidRDefault="00C43815" w:rsidP="009733F0">
      <w:r w:rsidRPr="00410161">
        <w:t xml:space="preserve">Consistent with </w:t>
      </w:r>
      <w:r w:rsidR="00BB2DE7" w:rsidRPr="00410161">
        <w:fldChar w:fldCharType="begin"/>
      </w:r>
      <w:r w:rsidR="00BB2DE7" w:rsidRPr="00410161">
        <w:instrText xml:space="preserve"> REF _Ref461381035 \h </w:instrText>
      </w:r>
      <w:r w:rsidR="00065D4E" w:rsidRPr="00410161">
        <w:instrText xml:space="preserve"> \* MERGEFORMAT </w:instrText>
      </w:r>
      <w:r w:rsidR="00BB2DE7" w:rsidRPr="00410161">
        <w:fldChar w:fldCharType="separate"/>
      </w:r>
      <w:r w:rsidR="00742B49" w:rsidRPr="00410161">
        <w:t xml:space="preserve">Table </w:t>
      </w:r>
      <w:r w:rsidR="00742B49" w:rsidRPr="00410161">
        <w:rPr>
          <w:noProof/>
        </w:rPr>
        <w:t>5</w:t>
      </w:r>
      <w:r w:rsidR="00742B49" w:rsidRPr="00410161">
        <w:rPr>
          <w:noProof/>
        </w:rPr>
        <w:noBreakHyphen/>
        <w:t>5</w:t>
      </w:r>
      <w:r w:rsidR="00BB2DE7" w:rsidRPr="00410161">
        <w:fldChar w:fldCharType="end"/>
      </w:r>
      <w:r w:rsidRPr="00410161">
        <w:t xml:space="preserve">, </w:t>
      </w:r>
      <w:r w:rsidR="009733F0" w:rsidRPr="00410161">
        <w:fldChar w:fldCharType="begin"/>
      </w:r>
      <w:r w:rsidR="009733F0" w:rsidRPr="00410161">
        <w:instrText xml:space="preserve"> REF _Ref461379461 \h </w:instrText>
      </w:r>
      <w:r w:rsidR="00065D4E" w:rsidRPr="00410161">
        <w:instrText xml:space="preserve"> \* MERGEFORMAT </w:instrText>
      </w:r>
      <w:r w:rsidR="009733F0" w:rsidRPr="00410161">
        <w:fldChar w:fldCharType="separate"/>
      </w:r>
      <w:r w:rsidR="00742B49" w:rsidRPr="00410161">
        <w:t xml:space="preserve">Figure </w:t>
      </w:r>
      <w:r w:rsidR="00742B49" w:rsidRPr="00410161">
        <w:rPr>
          <w:noProof/>
        </w:rPr>
        <w:t>5</w:t>
      </w:r>
      <w:r w:rsidR="00742B49" w:rsidRPr="00410161">
        <w:rPr>
          <w:noProof/>
        </w:rPr>
        <w:noBreakHyphen/>
        <w:t>2</w:t>
      </w:r>
      <w:r w:rsidR="009733F0" w:rsidRPr="00410161">
        <w:fldChar w:fldCharType="end"/>
      </w:r>
      <w:r w:rsidR="009733F0" w:rsidRPr="00410161">
        <w:t xml:space="preserve"> and</w:t>
      </w:r>
      <w:r w:rsidR="00065D4E" w:rsidRPr="00410161">
        <w:t xml:space="preserve"> </w:t>
      </w:r>
      <w:r w:rsidR="00BB2DE7" w:rsidRPr="00410161">
        <w:fldChar w:fldCharType="begin"/>
      </w:r>
      <w:r w:rsidR="00BB2DE7" w:rsidRPr="00410161">
        <w:instrText xml:space="preserve"> REF _Ref483407751 \h </w:instrText>
      </w:r>
      <w:r w:rsidR="00065D4E" w:rsidRPr="00410161">
        <w:instrText xml:space="preserve"> \* MERGEFORMAT </w:instrText>
      </w:r>
      <w:r w:rsidR="00BB2DE7" w:rsidRPr="00410161">
        <w:fldChar w:fldCharType="separate"/>
      </w:r>
      <w:r w:rsidR="00742B49" w:rsidRPr="00410161">
        <w:t xml:space="preserve">Table </w:t>
      </w:r>
      <w:r w:rsidR="00742B49" w:rsidRPr="00410161">
        <w:rPr>
          <w:noProof/>
        </w:rPr>
        <w:t>5</w:t>
      </w:r>
      <w:r w:rsidR="00742B49" w:rsidRPr="00410161">
        <w:rPr>
          <w:noProof/>
        </w:rPr>
        <w:noBreakHyphen/>
        <w:t>6</w:t>
      </w:r>
      <w:r w:rsidR="00BB2DE7" w:rsidRPr="00410161">
        <w:fldChar w:fldCharType="end"/>
      </w:r>
      <w:r w:rsidR="00065D4E" w:rsidRPr="00410161">
        <w:t xml:space="preserve"> show the capacity value assumptions used for each resource type in each scenario for 2025, and </w:t>
      </w:r>
      <w:r w:rsidR="009733F0" w:rsidRPr="00410161">
        <w:fldChar w:fldCharType="begin"/>
      </w:r>
      <w:r w:rsidR="009733F0" w:rsidRPr="00410161">
        <w:instrText xml:space="preserve"> REF _Ref461379735 \h </w:instrText>
      </w:r>
      <w:r w:rsidR="00065D4E" w:rsidRPr="00410161">
        <w:instrText xml:space="preserve"> \* MERGEFORMAT </w:instrText>
      </w:r>
      <w:r w:rsidR="009733F0" w:rsidRPr="00410161">
        <w:fldChar w:fldCharType="separate"/>
      </w:r>
      <w:r w:rsidR="00742B49" w:rsidRPr="00410161">
        <w:t xml:space="preserve">Figure </w:t>
      </w:r>
      <w:r w:rsidR="00742B49" w:rsidRPr="00410161">
        <w:rPr>
          <w:noProof/>
        </w:rPr>
        <w:t>5</w:t>
      </w:r>
      <w:r w:rsidR="00742B49" w:rsidRPr="00410161">
        <w:rPr>
          <w:noProof/>
        </w:rPr>
        <w:noBreakHyphen/>
        <w:t>3</w:t>
      </w:r>
      <w:r w:rsidR="009733F0" w:rsidRPr="00410161">
        <w:fldChar w:fldCharType="end"/>
      </w:r>
      <w:r w:rsidR="009733F0" w:rsidRPr="00410161">
        <w:t xml:space="preserve"> </w:t>
      </w:r>
      <w:r w:rsidR="00065D4E" w:rsidRPr="00410161">
        <w:t xml:space="preserve">and </w:t>
      </w:r>
      <w:r w:rsidR="00065D4E" w:rsidRPr="00410161">
        <w:fldChar w:fldCharType="begin"/>
      </w:r>
      <w:r w:rsidR="00065D4E" w:rsidRPr="00410161">
        <w:instrText xml:space="preserve"> REF _Ref483407755 \h  \* MERGEFORMAT </w:instrText>
      </w:r>
      <w:r w:rsidR="00065D4E" w:rsidRPr="00410161">
        <w:fldChar w:fldCharType="separate"/>
      </w:r>
      <w:r w:rsidR="00742B49" w:rsidRPr="00410161">
        <w:t xml:space="preserve">Table </w:t>
      </w:r>
      <w:r w:rsidR="00742B49" w:rsidRPr="00410161">
        <w:rPr>
          <w:noProof/>
        </w:rPr>
        <w:t>5</w:t>
      </w:r>
      <w:r w:rsidR="00742B49" w:rsidRPr="00410161">
        <w:rPr>
          <w:noProof/>
        </w:rPr>
        <w:noBreakHyphen/>
        <w:t>7</w:t>
      </w:r>
      <w:r w:rsidR="00065D4E" w:rsidRPr="00410161">
        <w:fldChar w:fldCharType="end"/>
      </w:r>
      <w:r w:rsidR="00065D4E" w:rsidRPr="00410161">
        <w:t xml:space="preserve"> </w:t>
      </w:r>
      <w:r w:rsidR="009733F0" w:rsidRPr="00410161">
        <w:t xml:space="preserve">show </w:t>
      </w:r>
      <w:r w:rsidR="00D151D1" w:rsidRPr="00410161">
        <w:t>these assumptions</w:t>
      </w:r>
      <w:r w:rsidR="00625C9C" w:rsidRPr="00410161">
        <w:t xml:space="preserve"> </w:t>
      </w:r>
      <w:r w:rsidR="00A43594" w:rsidRPr="00410161">
        <w:t xml:space="preserve">for </w:t>
      </w:r>
      <w:r w:rsidR="009733F0" w:rsidRPr="00410161">
        <w:t>2030</w:t>
      </w:r>
      <w:r w:rsidR="0005513C" w:rsidRPr="00410161">
        <w:t>.</w:t>
      </w:r>
      <w:r w:rsidR="00EB1618" w:rsidRPr="00410161">
        <w:t xml:space="preserve"> </w:t>
      </w:r>
    </w:p>
    <w:p w:rsidR="00BB2DE7" w:rsidRDefault="00804419" w:rsidP="00A277FB">
      <w:pPr>
        <w:spacing w:after="0" w:line="240" w:lineRule="auto"/>
        <w:jc w:val="center"/>
      </w:pPr>
      <w:r w:rsidRPr="00804419">
        <w:t xml:space="preserve"> </w:t>
      </w:r>
      <w:r w:rsidR="00BB2DE7" w:rsidRPr="00BB2DE7">
        <w:rPr>
          <w:noProof/>
        </w:rPr>
        <w:drawing>
          <wp:inline distT="0" distB="0" distL="0" distR="0" wp14:anchorId="15982565" wp14:editId="08DF3FAB">
            <wp:extent cx="4584065" cy="2743200"/>
            <wp:effectExtent l="19050" t="19050" r="2603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84065" cy="2743200"/>
                    </a:xfrm>
                    <a:prstGeom prst="rect">
                      <a:avLst/>
                    </a:prstGeom>
                    <a:noFill/>
                    <a:ln w="3175">
                      <a:solidFill>
                        <a:schemeClr val="tx1"/>
                      </a:solidFill>
                    </a:ln>
                  </pic:spPr>
                </pic:pic>
              </a:graphicData>
            </a:graphic>
          </wp:inline>
        </w:drawing>
      </w:r>
    </w:p>
    <w:p w:rsidR="009733F0" w:rsidRDefault="009733F0" w:rsidP="008C747A">
      <w:pPr>
        <w:pStyle w:val="Caption"/>
        <w:spacing w:before="120" w:after="80"/>
        <w:ind w:left="1166" w:right="1080"/>
      </w:pPr>
      <w:bookmarkStart w:id="118" w:name="_Ref461379461"/>
      <w:bookmarkStart w:id="119" w:name="_Toc486406062"/>
      <w:r w:rsidRPr="008C747A">
        <w:t xml:space="preserve">Figure </w:t>
      </w:r>
      <w:fldSimple w:instr=" STYLEREF 1 \s ">
        <w:r w:rsidR="00742B49">
          <w:rPr>
            <w:noProof/>
          </w:rPr>
          <w:t>5</w:t>
        </w:r>
      </w:fldSimple>
      <w:r w:rsidR="00024994">
        <w:noBreakHyphen/>
      </w:r>
      <w:fldSimple w:instr=" SEQ Figure \* ARABIC \s 1 ">
        <w:r w:rsidR="00742B49">
          <w:rPr>
            <w:noProof/>
          </w:rPr>
          <w:t>2</w:t>
        </w:r>
      </w:fldSimple>
      <w:bookmarkEnd w:id="118"/>
      <w:r w:rsidRPr="008C747A">
        <w:t xml:space="preserve">: 2025 </w:t>
      </w:r>
      <w:r w:rsidR="000F663A">
        <w:t xml:space="preserve">Capacity </w:t>
      </w:r>
      <w:r w:rsidR="00410161">
        <w:t>v</w:t>
      </w:r>
      <w:r w:rsidR="000F663A">
        <w:t xml:space="preserve">alue </w:t>
      </w:r>
      <w:r w:rsidR="00410161">
        <w:t>a</w:t>
      </w:r>
      <w:r w:rsidR="000F663A">
        <w:t xml:space="preserve">ssumptions by </w:t>
      </w:r>
      <w:r w:rsidR="00410161">
        <w:t>r</w:t>
      </w:r>
      <w:r w:rsidR="000F663A">
        <w:t xml:space="preserve">esource </w:t>
      </w:r>
      <w:r w:rsidR="00410161">
        <w:t>t</w:t>
      </w:r>
      <w:r w:rsidR="000F663A">
        <w:t>ype (MW).</w:t>
      </w:r>
      <w:bookmarkEnd w:id="119"/>
    </w:p>
    <w:p w:rsidR="000F663A" w:rsidRPr="00410161" w:rsidRDefault="00431552" w:rsidP="0041087B">
      <w:pPr>
        <w:spacing w:line="240" w:lineRule="auto"/>
        <w:ind w:left="1166" w:right="1080"/>
        <w:rPr>
          <w:rFonts w:asciiTheme="minorHAnsi" w:hAnsiTheme="minorHAnsi"/>
          <w:sz w:val="16"/>
          <w:szCs w:val="16"/>
        </w:rPr>
      </w:pPr>
      <w:r w:rsidRPr="00410161">
        <w:rPr>
          <w:rFonts w:asciiTheme="minorHAnsi" w:hAnsiTheme="minorHAnsi"/>
          <w:b/>
          <w:sz w:val="16"/>
          <w:szCs w:val="16"/>
        </w:rPr>
        <w:t xml:space="preserve">Note: </w:t>
      </w:r>
      <w:r w:rsidRPr="00410161">
        <w:rPr>
          <w:rFonts w:asciiTheme="minorHAnsi" w:hAnsiTheme="minorHAnsi"/>
          <w:sz w:val="16"/>
          <w:szCs w:val="16"/>
        </w:rPr>
        <w:t xml:space="preserve">“ES” stands for </w:t>
      </w:r>
      <w:r w:rsidRPr="00410161">
        <w:rPr>
          <w:rFonts w:asciiTheme="minorHAnsi" w:hAnsiTheme="minorHAnsi"/>
          <w:i/>
          <w:sz w:val="16"/>
          <w:szCs w:val="16"/>
        </w:rPr>
        <w:t>energy storage</w:t>
      </w:r>
      <w:r w:rsidR="00410161">
        <w:rPr>
          <w:rFonts w:asciiTheme="minorHAnsi" w:hAnsiTheme="minorHAnsi"/>
          <w:sz w:val="16"/>
          <w:szCs w:val="16"/>
        </w:rPr>
        <w:t xml:space="preserve">. </w:t>
      </w:r>
      <w:r w:rsidR="000F663A" w:rsidRPr="00410161">
        <w:rPr>
          <w:rFonts w:asciiTheme="minorHAnsi" w:hAnsiTheme="minorHAnsi"/>
          <w:sz w:val="16"/>
          <w:szCs w:val="16"/>
        </w:rPr>
        <w:t xml:space="preserve">“EE/DR” includes </w:t>
      </w:r>
      <w:r w:rsidR="00410161" w:rsidRPr="00410161">
        <w:rPr>
          <w:rFonts w:asciiTheme="minorHAnsi" w:hAnsiTheme="minorHAnsi"/>
          <w:sz w:val="16"/>
          <w:szCs w:val="16"/>
        </w:rPr>
        <w:t>e</w:t>
      </w:r>
      <w:r w:rsidR="000F663A" w:rsidRPr="00410161">
        <w:rPr>
          <w:rFonts w:asciiTheme="minorHAnsi" w:hAnsiTheme="minorHAnsi"/>
          <w:sz w:val="16"/>
          <w:szCs w:val="16"/>
        </w:rPr>
        <w:t xml:space="preserve">nergy </w:t>
      </w:r>
      <w:r w:rsidR="00410161" w:rsidRPr="00410161">
        <w:rPr>
          <w:rFonts w:asciiTheme="minorHAnsi" w:hAnsiTheme="minorHAnsi"/>
          <w:sz w:val="16"/>
          <w:szCs w:val="16"/>
        </w:rPr>
        <w:t>e</w:t>
      </w:r>
      <w:r w:rsidR="000F663A" w:rsidRPr="00410161">
        <w:rPr>
          <w:rFonts w:asciiTheme="minorHAnsi" w:hAnsiTheme="minorHAnsi"/>
          <w:sz w:val="16"/>
          <w:szCs w:val="16"/>
        </w:rPr>
        <w:t xml:space="preserve">fficiency (i.e. </w:t>
      </w:r>
      <w:r w:rsidR="00410161" w:rsidRPr="00410161">
        <w:rPr>
          <w:rFonts w:asciiTheme="minorHAnsi" w:hAnsiTheme="minorHAnsi"/>
          <w:sz w:val="16"/>
          <w:szCs w:val="16"/>
        </w:rPr>
        <w:t>p</w:t>
      </w:r>
      <w:r w:rsidR="000F663A" w:rsidRPr="00410161">
        <w:rPr>
          <w:rFonts w:asciiTheme="minorHAnsi" w:hAnsiTheme="minorHAnsi"/>
          <w:sz w:val="16"/>
          <w:szCs w:val="16"/>
        </w:rPr>
        <w:t xml:space="preserve">assive </w:t>
      </w:r>
      <w:r w:rsidR="00410161" w:rsidRPr="00410161">
        <w:rPr>
          <w:rFonts w:asciiTheme="minorHAnsi" w:hAnsiTheme="minorHAnsi"/>
          <w:sz w:val="16"/>
          <w:szCs w:val="16"/>
        </w:rPr>
        <w:t>d</w:t>
      </w:r>
      <w:r w:rsidR="000F663A" w:rsidRPr="00410161">
        <w:rPr>
          <w:rFonts w:asciiTheme="minorHAnsi" w:hAnsiTheme="minorHAnsi"/>
          <w:sz w:val="16"/>
          <w:szCs w:val="16"/>
        </w:rPr>
        <w:t xml:space="preserve">emand </w:t>
      </w:r>
      <w:r w:rsidR="00410161" w:rsidRPr="00410161">
        <w:rPr>
          <w:rFonts w:asciiTheme="minorHAnsi" w:hAnsiTheme="minorHAnsi"/>
          <w:sz w:val="16"/>
          <w:szCs w:val="16"/>
        </w:rPr>
        <w:t>r</w:t>
      </w:r>
      <w:r w:rsidR="000F663A" w:rsidRPr="00410161">
        <w:rPr>
          <w:rFonts w:asciiTheme="minorHAnsi" w:hAnsiTheme="minorHAnsi"/>
          <w:sz w:val="16"/>
          <w:szCs w:val="16"/>
        </w:rPr>
        <w:t>esources)</w:t>
      </w:r>
      <w:r w:rsidR="00410161">
        <w:rPr>
          <w:rFonts w:asciiTheme="minorHAnsi" w:hAnsiTheme="minorHAnsi"/>
          <w:sz w:val="16"/>
          <w:szCs w:val="16"/>
        </w:rPr>
        <w:t>,</w:t>
      </w:r>
      <w:r w:rsidR="000F663A" w:rsidRPr="00410161">
        <w:rPr>
          <w:rFonts w:asciiTheme="minorHAnsi" w:hAnsiTheme="minorHAnsi"/>
          <w:sz w:val="16"/>
          <w:szCs w:val="16"/>
        </w:rPr>
        <w:t xml:space="preserve"> plus ADR</w:t>
      </w:r>
      <w:r w:rsidR="00410161" w:rsidRPr="00410161">
        <w:rPr>
          <w:rFonts w:asciiTheme="minorHAnsi" w:hAnsiTheme="minorHAnsi"/>
          <w:sz w:val="16"/>
          <w:szCs w:val="16"/>
        </w:rPr>
        <w:t>,</w:t>
      </w:r>
      <w:r w:rsidR="000F663A" w:rsidRPr="00410161">
        <w:rPr>
          <w:rFonts w:asciiTheme="minorHAnsi" w:hAnsiTheme="minorHAnsi"/>
          <w:sz w:val="16"/>
          <w:szCs w:val="16"/>
        </w:rPr>
        <w:t xml:space="preserve"> plus </w:t>
      </w:r>
      <w:r w:rsidR="00410161" w:rsidRPr="00410161">
        <w:rPr>
          <w:rFonts w:asciiTheme="minorHAnsi" w:hAnsiTheme="minorHAnsi"/>
          <w:sz w:val="16"/>
          <w:szCs w:val="16"/>
        </w:rPr>
        <w:t>p</w:t>
      </w:r>
      <w:r w:rsidR="000F663A" w:rsidRPr="00410161">
        <w:rPr>
          <w:rFonts w:asciiTheme="minorHAnsi" w:hAnsiTheme="minorHAnsi"/>
          <w:sz w:val="16"/>
          <w:szCs w:val="16"/>
        </w:rPr>
        <w:t>rice</w:t>
      </w:r>
      <w:r w:rsidR="00410161" w:rsidRPr="00410161">
        <w:rPr>
          <w:rFonts w:asciiTheme="minorHAnsi" w:hAnsiTheme="minorHAnsi"/>
          <w:sz w:val="16"/>
          <w:szCs w:val="16"/>
        </w:rPr>
        <w:t>-r</w:t>
      </w:r>
      <w:r w:rsidR="000F663A" w:rsidRPr="00410161">
        <w:rPr>
          <w:rFonts w:asciiTheme="minorHAnsi" w:hAnsiTheme="minorHAnsi"/>
          <w:sz w:val="16"/>
          <w:szCs w:val="16"/>
        </w:rPr>
        <w:t xml:space="preserve">esponsive </w:t>
      </w:r>
      <w:r w:rsidR="00410161" w:rsidRPr="00410161">
        <w:rPr>
          <w:rFonts w:asciiTheme="minorHAnsi" w:hAnsiTheme="minorHAnsi"/>
          <w:sz w:val="16"/>
          <w:szCs w:val="16"/>
        </w:rPr>
        <w:t>d</w:t>
      </w:r>
      <w:r w:rsidR="000F663A" w:rsidRPr="00410161">
        <w:rPr>
          <w:rFonts w:asciiTheme="minorHAnsi" w:hAnsiTheme="minorHAnsi"/>
          <w:sz w:val="16"/>
          <w:szCs w:val="16"/>
        </w:rPr>
        <w:t>emand (PRD)</w:t>
      </w:r>
      <w:r w:rsidR="00410161" w:rsidRPr="00410161">
        <w:rPr>
          <w:rFonts w:asciiTheme="minorHAnsi" w:hAnsiTheme="minorHAnsi"/>
          <w:sz w:val="16"/>
          <w:szCs w:val="16"/>
        </w:rPr>
        <w:t>.</w:t>
      </w:r>
      <w:r w:rsidR="000F663A" w:rsidRPr="00410161">
        <w:rPr>
          <w:rFonts w:asciiTheme="minorHAnsi" w:hAnsiTheme="minorHAnsi"/>
          <w:sz w:val="16"/>
          <w:szCs w:val="16"/>
        </w:rPr>
        <w:t xml:space="preserve">   </w:t>
      </w:r>
    </w:p>
    <w:p w:rsidR="006D27D8" w:rsidRDefault="00BB2DE7" w:rsidP="002C6BF4">
      <w:pPr>
        <w:pStyle w:val="Caption"/>
        <w:jc w:val="center"/>
        <w:rPr>
          <w:rFonts w:asciiTheme="minorHAnsi" w:hAnsiTheme="minorHAnsi"/>
          <w:sz w:val="18"/>
          <w:szCs w:val="18"/>
        </w:rPr>
      </w:pPr>
      <w:bookmarkStart w:id="120" w:name="_Ref483407751"/>
      <w:bookmarkStart w:id="121" w:name="_Toc486406020"/>
      <w:r>
        <w:t xml:space="preserve">Table </w:t>
      </w:r>
      <w:fldSimple w:instr=" STYLEREF 1 \s ">
        <w:r w:rsidR="004248FE">
          <w:rPr>
            <w:noProof/>
          </w:rPr>
          <w:t>5</w:t>
        </w:r>
      </w:fldSimple>
      <w:r w:rsidR="004248FE">
        <w:noBreakHyphen/>
      </w:r>
      <w:fldSimple w:instr=" SEQ Table \* ARABIC \s 1 ">
        <w:r w:rsidR="004248FE">
          <w:rPr>
            <w:noProof/>
          </w:rPr>
          <w:t>6</w:t>
        </w:r>
      </w:fldSimple>
      <w:bookmarkEnd w:id="120"/>
      <w:r>
        <w:br/>
      </w:r>
      <w:r w:rsidR="00065D4E" w:rsidRPr="0041087B">
        <w:t>C</w:t>
      </w:r>
      <w:r w:rsidRPr="0041087B">
        <w:t xml:space="preserve">apacity </w:t>
      </w:r>
      <w:r w:rsidR="00065D4E" w:rsidRPr="0041087B">
        <w:t>V</w:t>
      </w:r>
      <w:r w:rsidRPr="0041087B">
        <w:t xml:space="preserve">alue </w:t>
      </w:r>
      <w:r w:rsidR="00065D4E" w:rsidRPr="0041087B">
        <w:t>A</w:t>
      </w:r>
      <w:r w:rsidRPr="0041087B">
        <w:t xml:space="preserve">ssumptions for </w:t>
      </w:r>
      <w:r w:rsidR="00065D4E" w:rsidRPr="0041087B">
        <w:t>V</w:t>
      </w:r>
      <w:r w:rsidRPr="0041087B">
        <w:t xml:space="preserve">arious </w:t>
      </w:r>
      <w:r w:rsidR="00065D4E" w:rsidRPr="0041087B">
        <w:t>R</w:t>
      </w:r>
      <w:r w:rsidRPr="0041087B">
        <w:t>esources</w:t>
      </w:r>
      <w:r w:rsidR="00065D4E" w:rsidRPr="0041087B">
        <w:t>, 2025</w:t>
      </w:r>
      <w:r w:rsidRPr="0041087B">
        <w:t xml:space="preserve"> (MW)</w:t>
      </w:r>
      <w:r w:rsidR="0041087B" w:rsidRPr="00474D29">
        <w:rPr>
          <w:sz w:val="18"/>
          <w:vertAlign w:val="superscript"/>
        </w:rPr>
        <w:t>(a)</w:t>
      </w:r>
      <w:bookmarkEnd w:id="121"/>
    </w:p>
    <w:tbl>
      <w:tblPr>
        <w:tblW w:w="105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66"/>
        <w:gridCol w:w="810"/>
        <w:gridCol w:w="941"/>
        <w:gridCol w:w="913"/>
        <w:gridCol w:w="526"/>
        <w:gridCol w:w="720"/>
        <w:gridCol w:w="719"/>
        <w:gridCol w:w="825"/>
        <w:gridCol w:w="614"/>
        <w:gridCol w:w="719"/>
        <w:gridCol w:w="720"/>
        <w:gridCol w:w="719"/>
        <w:gridCol w:w="720"/>
      </w:tblGrid>
      <w:tr w:rsidR="00A74420" w:rsidRPr="00A74420" w:rsidTr="000D4B7A">
        <w:trPr>
          <w:jc w:val="center"/>
        </w:trPr>
        <w:tc>
          <w:tcPr>
            <w:tcW w:w="1566" w:type="dxa"/>
            <w:shd w:val="clear" w:color="auto" w:fill="4F81BD" w:themeFill="accent1"/>
            <w:vAlign w:val="center"/>
          </w:tcPr>
          <w:p w:rsidR="005D463B" w:rsidRPr="00A74420" w:rsidRDefault="005D463B" w:rsidP="00065D4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Scenario</w:t>
            </w:r>
          </w:p>
        </w:tc>
        <w:tc>
          <w:tcPr>
            <w:tcW w:w="810" w:type="dxa"/>
            <w:shd w:val="clear" w:color="auto" w:fill="4F81BD" w:themeFill="accent1"/>
            <w:vAlign w:val="center"/>
          </w:tcPr>
          <w:p w:rsidR="005D463B" w:rsidRPr="00A74420" w:rsidRDefault="005D463B" w:rsidP="00065D4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Wood</w:t>
            </w:r>
          </w:p>
        </w:tc>
        <w:tc>
          <w:tcPr>
            <w:tcW w:w="941" w:type="dxa"/>
            <w:shd w:val="clear" w:color="auto" w:fill="4F81BD" w:themeFill="accent1"/>
            <w:vAlign w:val="center"/>
          </w:tcPr>
          <w:p w:rsidR="005D463B" w:rsidRPr="00A74420" w:rsidRDefault="005D463B" w:rsidP="00065D4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Onshore</w:t>
            </w:r>
          </w:p>
          <w:p w:rsidR="005D463B" w:rsidRPr="00A74420" w:rsidRDefault="005D463B" w:rsidP="00065D4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Wind</w:t>
            </w:r>
          </w:p>
        </w:tc>
        <w:tc>
          <w:tcPr>
            <w:tcW w:w="913" w:type="dxa"/>
            <w:shd w:val="clear" w:color="auto" w:fill="4F81BD" w:themeFill="accent1"/>
            <w:vAlign w:val="center"/>
          </w:tcPr>
          <w:p w:rsidR="005D463B" w:rsidRPr="00A74420" w:rsidRDefault="005D463B" w:rsidP="00065D4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Offshore</w:t>
            </w:r>
          </w:p>
          <w:p w:rsidR="005D463B" w:rsidRPr="00A74420" w:rsidRDefault="005D463B" w:rsidP="00065D4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Wind</w:t>
            </w:r>
          </w:p>
        </w:tc>
        <w:tc>
          <w:tcPr>
            <w:tcW w:w="526" w:type="dxa"/>
            <w:shd w:val="clear" w:color="auto" w:fill="4F81BD" w:themeFill="accent1"/>
            <w:vAlign w:val="center"/>
          </w:tcPr>
          <w:p w:rsidR="005D463B" w:rsidRPr="00A74420" w:rsidRDefault="005D463B" w:rsidP="00065D4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PV</w:t>
            </w:r>
          </w:p>
        </w:tc>
        <w:tc>
          <w:tcPr>
            <w:tcW w:w="720" w:type="dxa"/>
            <w:shd w:val="clear" w:color="auto" w:fill="4F81BD" w:themeFill="accent1"/>
            <w:vAlign w:val="center"/>
          </w:tcPr>
          <w:p w:rsidR="005D463B" w:rsidRPr="00A74420" w:rsidRDefault="005D463B" w:rsidP="00065D4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Oil</w:t>
            </w:r>
          </w:p>
        </w:tc>
        <w:tc>
          <w:tcPr>
            <w:tcW w:w="719" w:type="dxa"/>
            <w:shd w:val="clear" w:color="auto" w:fill="4F81BD" w:themeFill="accent1"/>
            <w:vAlign w:val="center"/>
          </w:tcPr>
          <w:p w:rsidR="005D463B" w:rsidRPr="00A74420" w:rsidRDefault="005D463B" w:rsidP="00065D4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NG</w:t>
            </w:r>
          </w:p>
        </w:tc>
        <w:tc>
          <w:tcPr>
            <w:tcW w:w="825" w:type="dxa"/>
            <w:shd w:val="clear" w:color="auto" w:fill="4F81BD" w:themeFill="accent1"/>
            <w:vAlign w:val="center"/>
          </w:tcPr>
          <w:p w:rsidR="005D463B" w:rsidRPr="00A74420" w:rsidRDefault="005D463B" w:rsidP="00065D4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Import</w:t>
            </w:r>
          </w:p>
        </w:tc>
        <w:tc>
          <w:tcPr>
            <w:tcW w:w="614" w:type="dxa"/>
            <w:shd w:val="clear" w:color="auto" w:fill="4F81BD" w:themeFill="accent1"/>
            <w:vAlign w:val="center"/>
          </w:tcPr>
          <w:p w:rsidR="005D463B" w:rsidRPr="00A74420" w:rsidRDefault="005D463B" w:rsidP="00065D4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Coal</w:t>
            </w:r>
          </w:p>
        </w:tc>
        <w:tc>
          <w:tcPr>
            <w:tcW w:w="719" w:type="dxa"/>
            <w:shd w:val="clear" w:color="auto" w:fill="4F81BD" w:themeFill="accent1"/>
            <w:vAlign w:val="center"/>
          </w:tcPr>
          <w:p w:rsidR="005D463B" w:rsidRPr="00A74420" w:rsidRDefault="005D463B" w:rsidP="00065D4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EE/DR</w:t>
            </w:r>
          </w:p>
        </w:tc>
        <w:tc>
          <w:tcPr>
            <w:tcW w:w="720" w:type="dxa"/>
            <w:shd w:val="clear" w:color="auto" w:fill="4F81BD" w:themeFill="accent1"/>
            <w:vAlign w:val="center"/>
          </w:tcPr>
          <w:p w:rsidR="005D463B" w:rsidRPr="00A74420" w:rsidRDefault="005D463B" w:rsidP="00065D4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Hydro/ES</w:t>
            </w:r>
          </w:p>
        </w:tc>
        <w:tc>
          <w:tcPr>
            <w:tcW w:w="719" w:type="dxa"/>
            <w:shd w:val="clear" w:color="auto" w:fill="4F81BD" w:themeFill="accent1"/>
            <w:vAlign w:val="center"/>
          </w:tcPr>
          <w:p w:rsidR="005D463B" w:rsidRPr="00A74420" w:rsidRDefault="005D463B" w:rsidP="00065D4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Misc.</w:t>
            </w:r>
          </w:p>
        </w:tc>
        <w:tc>
          <w:tcPr>
            <w:tcW w:w="720" w:type="dxa"/>
            <w:shd w:val="clear" w:color="auto" w:fill="4F81BD" w:themeFill="accent1"/>
            <w:vAlign w:val="center"/>
          </w:tcPr>
          <w:p w:rsidR="005D463B" w:rsidRPr="00A74420" w:rsidRDefault="005D463B" w:rsidP="00065D4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Nuc</w:t>
            </w:r>
          </w:p>
        </w:tc>
      </w:tr>
      <w:tr w:rsidR="00A74420" w:rsidRPr="00A74420" w:rsidTr="00A74420">
        <w:trPr>
          <w:jc w:val="center"/>
        </w:trPr>
        <w:tc>
          <w:tcPr>
            <w:tcW w:w="1566" w:type="dxa"/>
            <w:shd w:val="clear" w:color="auto" w:fill="auto"/>
            <w:tcMar>
              <w:left w:w="115" w:type="dxa"/>
              <w:right w:w="0" w:type="dxa"/>
            </w:tcMar>
            <w:vAlign w:val="center"/>
          </w:tcPr>
          <w:p w:rsidR="008528DF" w:rsidRPr="00A74420" w:rsidRDefault="008528DF" w:rsidP="00065D4E">
            <w:pPr>
              <w:adjustRightInd/>
              <w:spacing w:before="40" w:after="40" w:line="240" w:lineRule="auto"/>
              <w:textAlignment w:val="auto"/>
              <w:rPr>
                <w:rFonts w:asciiTheme="minorHAnsi" w:eastAsia="Calibri" w:hAnsiTheme="minorHAnsi" w:cstheme="minorHAnsi"/>
                <w:b/>
                <w:sz w:val="18"/>
                <w:szCs w:val="18"/>
              </w:rPr>
            </w:pPr>
            <w:r w:rsidRPr="00A74420">
              <w:rPr>
                <w:rFonts w:asciiTheme="minorHAnsi" w:eastAsia="Calibri" w:hAnsiTheme="minorHAnsi" w:cstheme="minorHAnsi"/>
                <w:b/>
                <w:sz w:val="18"/>
                <w:szCs w:val="18"/>
              </w:rPr>
              <w:t>RPS + Gas</w:t>
            </w:r>
          </w:p>
        </w:tc>
        <w:tc>
          <w:tcPr>
            <w:tcW w:w="810"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489</w:t>
            </w:r>
          </w:p>
        </w:tc>
        <w:tc>
          <w:tcPr>
            <w:tcW w:w="941" w:type="dxa"/>
            <w:tcMar>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709</w:t>
            </w:r>
          </w:p>
        </w:tc>
        <w:tc>
          <w:tcPr>
            <w:tcW w:w="913"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145</w:t>
            </w:r>
          </w:p>
        </w:tc>
        <w:tc>
          <w:tcPr>
            <w:tcW w:w="526"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62</w:t>
            </w:r>
          </w:p>
        </w:tc>
        <w:tc>
          <w:tcPr>
            <w:tcW w:w="720"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4,509</w:t>
            </w:r>
          </w:p>
        </w:tc>
        <w:tc>
          <w:tcPr>
            <w:tcW w:w="719"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17,238</w:t>
            </w:r>
          </w:p>
        </w:tc>
        <w:tc>
          <w:tcPr>
            <w:tcW w:w="825"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1,006</w:t>
            </w:r>
          </w:p>
        </w:tc>
        <w:tc>
          <w:tcPr>
            <w:tcW w:w="614"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0</w:t>
            </w:r>
          </w:p>
        </w:tc>
        <w:tc>
          <w:tcPr>
            <w:tcW w:w="719"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4,163</w:t>
            </w:r>
          </w:p>
        </w:tc>
        <w:tc>
          <w:tcPr>
            <w:tcW w:w="720"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3,116</w:t>
            </w:r>
          </w:p>
        </w:tc>
        <w:tc>
          <w:tcPr>
            <w:tcW w:w="719"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517</w:t>
            </w:r>
          </w:p>
        </w:tc>
        <w:tc>
          <w:tcPr>
            <w:tcW w:w="720"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3,347</w:t>
            </w:r>
          </w:p>
        </w:tc>
      </w:tr>
      <w:tr w:rsidR="00A74420" w:rsidRPr="00A74420" w:rsidTr="00A74420">
        <w:trPr>
          <w:jc w:val="center"/>
        </w:trPr>
        <w:tc>
          <w:tcPr>
            <w:tcW w:w="1566" w:type="dxa"/>
            <w:shd w:val="clear" w:color="auto" w:fill="DBE5F1" w:themeFill="accent1" w:themeFillTint="33"/>
            <w:tcMar>
              <w:left w:w="115" w:type="dxa"/>
              <w:right w:w="0" w:type="dxa"/>
            </w:tcMar>
            <w:vAlign w:val="center"/>
          </w:tcPr>
          <w:p w:rsidR="008528DF" w:rsidRPr="00A74420" w:rsidRDefault="008528DF" w:rsidP="00065D4E">
            <w:pPr>
              <w:adjustRightInd/>
              <w:spacing w:before="40" w:after="40" w:line="240" w:lineRule="auto"/>
              <w:textAlignment w:val="auto"/>
              <w:rPr>
                <w:rFonts w:asciiTheme="minorHAnsi" w:eastAsia="Calibri" w:hAnsiTheme="minorHAnsi" w:cstheme="minorHAnsi"/>
                <w:b/>
                <w:sz w:val="18"/>
                <w:szCs w:val="18"/>
              </w:rPr>
            </w:pPr>
            <w:r w:rsidRPr="00A74420">
              <w:rPr>
                <w:rFonts w:asciiTheme="minorHAnsi" w:eastAsia="Calibri" w:hAnsiTheme="minorHAnsi" w:cstheme="minorHAnsi"/>
                <w:b/>
                <w:sz w:val="18"/>
                <w:szCs w:val="18"/>
              </w:rPr>
              <w:t>ISO Queue</w:t>
            </w:r>
          </w:p>
        </w:tc>
        <w:tc>
          <w:tcPr>
            <w:tcW w:w="810"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489</w:t>
            </w:r>
          </w:p>
        </w:tc>
        <w:tc>
          <w:tcPr>
            <w:tcW w:w="941" w:type="dxa"/>
            <w:shd w:val="clear" w:color="auto" w:fill="DBE5F1" w:themeFill="accent1" w:themeFillTint="33"/>
            <w:tcMar>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1065</w:t>
            </w:r>
          </w:p>
        </w:tc>
        <w:tc>
          <w:tcPr>
            <w:tcW w:w="913"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145</w:t>
            </w:r>
          </w:p>
        </w:tc>
        <w:tc>
          <w:tcPr>
            <w:tcW w:w="526"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62</w:t>
            </w:r>
          </w:p>
        </w:tc>
        <w:tc>
          <w:tcPr>
            <w:tcW w:w="720"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4,509</w:t>
            </w:r>
          </w:p>
        </w:tc>
        <w:tc>
          <w:tcPr>
            <w:tcW w:w="719"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16,582</w:t>
            </w:r>
          </w:p>
        </w:tc>
        <w:tc>
          <w:tcPr>
            <w:tcW w:w="825"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1,006</w:t>
            </w:r>
          </w:p>
        </w:tc>
        <w:tc>
          <w:tcPr>
            <w:tcW w:w="614"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0</w:t>
            </w:r>
          </w:p>
        </w:tc>
        <w:tc>
          <w:tcPr>
            <w:tcW w:w="719"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4,163</w:t>
            </w:r>
          </w:p>
        </w:tc>
        <w:tc>
          <w:tcPr>
            <w:tcW w:w="720"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3,116</w:t>
            </w:r>
          </w:p>
        </w:tc>
        <w:tc>
          <w:tcPr>
            <w:tcW w:w="719"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517</w:t>
            </w:r>
          </w:p>
        </w:tc>
        <w:tc>
          <w:tcPr>
            <w:tcW w:w="720"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3,347</w:t>
            </w:r>
          </w:p>
        </w:tc>
      </w:tr>
      <w:tr w:rsidR="00A74420" w:rsidRPr="00A74420" w:rsidTr="00A74420">
        <w:trPr>
          <w:jc w:val="center"/>
        </w:trPr>
        <w:tc>
          <w:tcPr>
            <w:tcW w:w="1566" w:type="dxa"/>
            <w:shd w:val="clear" w:color="auto" w:fill="auto"/>
            <w:tcMar>
              <w:left w:w="115" w:type="dxa"/>
              <w:right w:w="0" w:type="dxa"/>
            </w:tcMar>
            <w:vAlign w:val="center"/>
          </w:tcPr>
          <w:p w:rsidR="008528DF" w:rsidRPr="00A74420" w:rsidRDefault="008528DF" w:rsidP="00065D4E">
            <w:pPr>
              <w:adjustRightInd/>
              <w:spacing w:before="40" w:after="40" w:line="240" w:lineRule="auto"/>
              <w:textAlignment w:val="auto"/>
              <w:rPr>
                <w:rFonts w:asciiTheme="minorHAnsi" w:eastAsia="Calibri" w:hAnsiTheme="minorHAnsi" w:cstheme="minorHAnsi"/>
                <w:b/>
                <w:sz w:val="18"/>
                <w:szCs w:val="18"/>
              </w:rPr>
            </w:pPr>
            <w:r w:rsidRPr="00A74420">
              <w:rPr>
                <w:rFonts w:asciiTheme="minorHAnsi" w:eastAsia="Calibri" w:hAnsiTheme="minorHAnsi" w:cstheme="minorHAnsi"/>
                <w:b/>
                <w:sz w:val="18"/>
                <w:szCs w:val="18"/>
              </w:rPr>
              <w:t>Renew Plus</w:t>
            </w:r>
          </w:p>
        </w:tc>
        <w:tc>
          <w:tcPr>
            <w:tcW w:w="810"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489</w:t>
            </w:r>
          </w:p>
        </w:tc>
        <w:tc>
          <w:tcPr>
            <w:tcW w:w="941" w:type="dxa"/>
            <w:tcMar>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1012</w:t>
            </w:r>
          </w:p>
        </w:tc>
        <w:tc>
          <w:tcPr>
            <w:tcW w:w="913"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445</w:t>
            </w:r>
          </w:p>
        </w:tc>
        <w:tc>
          <w:tcPr>
            <w:tcW w:w="526"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62</w:t>
            </w:r>
          </w:p>
        </w:tc>
        <w:tc>
          <w:tcPr>
            <w:tcW w:w="720"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4,509</w:t>
            </w:r>
          </w:p>
        </w:tc>
        <w:tc>
          <w:tcPr>
            <w:tcW w:w="719"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16,582</w:t>
            </w:r>
          </w:p>
        </w:tc>
        <w:tc>
          <w:tcPr>
            <w:tcW w:w="825"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2,506</w:t>
            </w:r>
          </w:p>
        </w:tc>
        <w:tc>
          <w:tcPr>
            <w:tcW w:w="614"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0</w:t>
            </w:r>
          </w:p>
        </w:tc>
        <w:tc>
          <w:tcPr>
            <w:tcW w:w="719"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5,663</w:t>
            </w:r>
          </w:p>
        </w:tc>
        <w:tc>
          <w:tcPr>
            <w:tcW w:w="720"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4,316</w:t>
            </w:r>
          </w:p>
        </w:tc>
        <w:tc>
          <w:tcPr>
            <w:tcW w:w="719"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517</w:t>
            </w:r>
          </w:p>
        </w:tc>
        <w:tc>
          <w:tcPr>
            <w:tcW w:w="720"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3,347</w:t>
            </w:r>
          </w:p>
        </w:tc>
      </w:tr>
      <w:tr w:rsidR="00A74420" w:rsidRPr="00A74420" w:rsidTr="00A74420">
        <w:trPr>
          <w:jc w:val="center"/>
        </w:trPr>
        <w:tc>
          <w:tcPr>
            <w:tcW w:w="1566" w:type="dxa"/>
            <w:shd w:val="clear" w:color="auto" w:fill="DBE5F1" w:themeFill="accent1" w:themeFillTint="33"/>
            <w:tcMar>
              <w:left w:w="115" w:type="dxa"/>
              <w:right w:w="0" w:type="dxa"/>
            </w:tcMar>
            <w:vAlign w:val="center"/>
          </w:tcPr>
          <w:p w:rsidR="008528DF" w:rsidRPr="00A74420" w:rsidRDefault="008528DF" w:rsidP="00065D4E">
            <w:pPr>
              <w:adjustRightInd/>
              <w:spacing w:before="40" w:after="40" w:line="240" w:lineRule="auto"/>
              <w:textAlignment w:val="auto"/>
              <w:rPr>
                <w:rFonts w:asciiTheme="minorHAnsi" w:eastAsia="Calibri" w:hAnsiTheme="minorHAnsi" w:cstheme="minorHAnsi"/>
                <w:b/>
                <w:sz w:val="18"/>
                <w:szCs w:val="18"/>
              </w:rPr>
            </w:pPr>
            <w:r w:rsidRPr="00A74420">
              <w:rPr>
                <w:rFonts w:asciiTheme="minorHAnsi" w:eastAsia="Calibri" w:hAnsiTheme="minorHAnsi" w:cstheme="minorHAnsi"/>
                <w:b/>
                <w:sz w:val="18"/>
                <w:szCs w:val="18"/>
              </w:rPr>
              <w:t>No Retire</w:t>
            </w:r>
          </w:p>
        </w:tc>
        <w:tc>
          <w:tcPr>
            <w:tcW w:w="810"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489</w:t>
            </w:r>
          </w:p>
        </w:tc>
        <w:tc>
          <w:tcPr>
            <w:tcW w:w="941" w:type="dxa"/>
            <w:shd w:val="clear" w:color="auto" w:fill="DBE5F1" w:themeFill="accent1" w:themeFillTint="33"/>
            <w:tcMar>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221</w:t>
            </w:r>
          </w:p>
        </w:tc>
        <w:tc>
          <w:tcPr>
            <w:tcW w:w="913"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145</w:t>
            </w:r>
          </w:p>
        </w:tc>
        <w:tc>
          <w:tcPr>
            <w:tcW w:w="526"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62</w:t>
            </w:r>
          </w:p>
        </w:tc>
        <w:tc>
          <w:tcPr>
            <w:tcW w:w="720"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6,109</w:t>
            </w:r>
          </w:p>
        </w:tc>
        <w:tc>
          <w:tcPr>
            <w:tcW w:w="719"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16,676</w:t>
            </w:r>
          </w:p>
        </w:tc>
        <w:tc>
          <w:tcPr>
            <w:tcW w:w="825"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1,006</w:t>
            </w:r>
          </w:p>
        </w:tc>
        <w:tc>
          <w:tcPr>
            <w:tcW w:w="614"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917</w:t>
            </w:r>
          </w:p>
        </w:tc>
        <w:tc>
          <w:tcPr>
            <w:tcW w:w="719"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4,163</w:t>
            </w:r>
          </w:p>
        </w:tc>
        <w:tc>
          <w:tcPr>
            <w:tcW w:w="720"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3,116</w:t>
            </w:r>
          </w:p>
        </w:tc>
        <w:tc>
          <w:tcPr>
            <w:tcW w:w="719"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517</w:t>
            </w:r>
          </w:p>
        </w:tc>
        <w:tc>
          <w:tcPr>
            <w:tcW w:w="720"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3,347</w:t>
            </w:r>
          </w:p>
        </w:tc>
      </w:tr>
      <w:tr w:rsidR="00A74420" w:rsidRPr="00A74420" w:rsidTr="00A74420">
        <w:trPr>
          <w:jc w:val="center"/>
        </w:trPr>
        <w:tc>
          <w:tcPr>
            <w:tcW w:w="1566" w:type="dxa"/>
            <w:shd w:val="clear" w:color="auto" w:fill="auto"/>
            <w:tcMar>
              <w:left w:w="115" w:type="dxa"/>
              <w:right w:w="0" w:type="dxa"/>
            </w:tcMar>
            <w:vAlign w:val="center"/>
          </w:tcPr>
          <w:p w:rsidR="008528DF" w:rsidRPr="00A74420" w:rsidRDefault="008528DF" w:rsidP="00065D4E">
            <w:pPr>
              <w:adjustRightInd/>
              <w:spacing w:before="40" w:after="40" w:line="240" w:lineRule="auto"/>
              <w:textAlignment w:val="auto"/>
              <w:rPr>
                <w:rFonts w:asciiTheme="minorHAnsi" w:eastAsia="Calibri" w:hAnsiTheme="minorHAnsi" w:cstheme="minorHAnsi"/>
                <w:b/>
                <w:sz w:val="18"/>
                <w:szCs w:val="18"/>
              </w:rPr>
            </w:pPr>
            <w:r w:rsidRPr="00A74420">
              <w:rPr>
                <w:rFonts w:asciiTheme="minorHAnsi" w:eastAsia="Calibri" w:hAnsiTheme="minorHAnsi" w:cstheme="minorHAnsi"/>
                <w:b/>
                <w:sz w:val="18"/>
                <w:szCs w:val="18"/>
              </w:rPr>
              <w:t>ACP + Gas</w:t>
            </w:r>
          </w:p>
        </w:tc>
        <w:tc>
          <w:tcPr>
            <w:tcW w:w="810"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489</w:t>
            </w:r>
          </w:p>
        </w:tc>
        <w:tc>
          <w:tcPr>
            <w:tcW w:w="941" w:type="dxa"/>
            <w:tcMar>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221</w:t>
            </w:r>
          </w:p>
        </w:tc>
        <w:tc>
          <w:tcPr>
            <w:tcW w:w="913"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145</w:t>
            </w:r>
          </w:p>
        </w:tc>
        <w:tc>
          <w:tcPr>
            <w:tcW w:w="526"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62</w:t>
            </w:r>
          </w:p>
        </w:tc>
        <w:tc>
          <w:tcPr>
            <w:tcW w:w="720"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4,509</w:t>
            </w:r>
          </w:p>
        </w:tc>
        <w:tc>
          <w:tcPr>
            <w:tcW w:w="719"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17,727</w:t>
            </w:r>
          </w:p>
        </w:tc>
        <w:tc>
          <w:tcPr>
            <w:tcW w:w="825"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1,006</w:t>
            </w:r>
          </w:p>
        </w:tc>
        <w:tc>
          <w:tcPr>
            <w:tcW w:w="614"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0</w:t>
            </w:r>
          </w:p>
        </w:tc>
        <w:tc>
          <w:tcPr>
            <w:tcW w:w="719"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4,163</w:t>
            </w:r>
          </w:p>
        </w:tc>
        <w:tc>
          <w:tcPr>
            <w:tcW w:w="720"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3,116</w:t>
            </w:r>
          </w:p>
        </w:tc>
        <w:tc>
          <w:tcPr>
            <w:tcW w:w="719"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517</w:t>
            </w:r>
          </w:p>
        </w:tc>
        <w:tc>
          <w:tcPr>
            <w:tcW w:w="720" w:type="dxa"/>
            <w:shd w:val="clear" w:color="auto" w:fill="auto"/>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3,347</w:t>
            </w:r>
          </w:p>
        </w:tc>
      </w:tr>
      <w:tr w:rsidR="00A74420" w:rsidRPr="00A74420" w:rsidTr="00A74420">
        <w:trPr>
          <w:jc w:val="center"/>
        </w:trPr>
        <w:tc>
          <w:tcPr>
            <w:tcW w:w="1566" w:type="dxa"/>
            <w:shd w:val="clear" w:color="auto" w:fill="DBE5F1" w:themeFill="accent1" w:themeFillTint="33"/>
            <w:tcMar>
              <w:left w:w="115" w:type="dxa"/>
              <w:right w:w="0" w:type="dxa"/>
            </w:tcMar>
            <w:vAlign w:val="center"/>
          </w:tcPr>
          <w:p w:rsidR="008528DF" w:rsidRPr="00A74420" w:rsidRDefault="008528DF" w:rsidP="00065D4E">
            <w:pPr>
              <w:adjustRightInd/>
              <w:spacing w:before="40" w:after="40" w:line="240" w:lineRule="auto"/>
              <w:textAlignment w:val="auto"/>
              <w:rPr>
                <w:rFonts w:asciiTheme="minorHAnsi" w:eastAsia="Calibri" w:hAnsiTheme="minorHAnsi" w:cstheme="minorHAnsi"/>
                <w:b/>
                <w:sz w:val="18"/>
                <w:szCs w:val="18"/>
              </w:rPr>
            </w:pPr>
            <w:r w:rsidRPr="00A74420">
              <w:rPr>
                <w:rFonts w:asciiTheme="minorHAnsi" w:eastAsia="Calibri" w:hAnsiTheme="minorHAnsi" w:cstheme="minorHAnsi"/>
                <w:b/>
                <w:sz w:val="18"/>
                <w:szCs w:val="18"/>
              </w:rPr>
              <w:t>RPS + Geo Renew</w:t>
            </w:r>
          </w:p>
        </w:tc>
        <w:tc>
          <w:tcPr>
            <w:tcW w:w="810"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489</w:t>
            </w:r>
          </w:p>
        </w:tc>
        <w:tc>
          <w:tcPr>
            <w:tcW w:w="941" w:type="dxa"/>
            <w:shd w:val="clear" w:color="auto" w:fill="DBE5F1" w:themeFill="accent1" w:themeFillTint="33"/>
            <w:tcMar>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603</w:t>
            </w:r>
          </w:p>
        </w:tc>
        <w:tc>
          <w:tcPr>
            <w:tcW w:w="913"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526</w:t>
            </w:r>
          </w:p>
        </w:tc>
        <w:tc>
          <w:tcPr>
            <w:tcW w:w="526"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443</w:t>
            </w:r>
          </w:p>
        </w:tc>
        <w:tc>
          <w:tcPr>
            <w:tcW w:w="720"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4,509</w:t>
            </w:r>
          </w:p>
        </w:tc>
        <w:tc>
          <w:tcPr>
            <w:tcW w:w="719"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16,582</w:t>
            </w:r>
          </w:p>
        </w:tc>
        <w:tc>
          <w:tcPr>
            <w:tcW w:w="825"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1,006</w:t>
            </w:r>
          </w:p>
        </w:tc>
        <w:tc>
          <w:tcPr>
            <w:tcW w:w="614"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0</w:t>
            </w:r>
          </w:p>
        </w:tc>
        <w:tc>
          <w:tcPr>
            <w:tcW w:w="719"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4,163</w:t>
            </w:r>
          </w:p>
        </w:tc>
        <w:tc>
          <w:tcPr>
            <w:tcW w:w="720"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3,116</w:t>
            </w:r>
          </w:p>
        </w:tc>
        <w:tc>
          <w:tcPr>
            <w:tcW w:w="719"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517</w:t>
            </w:r>
          </w:p>
        </w:tc>
        <w:tc>
          <w:tcPr>
            <w:tcW w:w="720" w:type="dxa"/>
            <w:shd w:val="clear" w:color="auto" w:fill="DBE5F1" w:themeFill="accent1" w:themeFillTint="33"/>
            <w:tcMar>
              <w:left w:w="0" w:type="dxa"/>
              <w:right w:w="115" w:type="dxa"/>
            </w:tcMar>
            <w:vAlign w:val="center"/>
          </w:tcPr>
          <w:p w:rsidR="008528DF" w:rsidRPr="00A74420" w:rsidRDefault="008528DF" w:rsidP="00A74420">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eastAsia="Calibri" w:hAnsiTheme="minorHAnsi" w:cstheme="minorHAnsi"/>
                <w:sz w:val="18"/>
                <w:szCs w:val="18"/>
              </w:rPr>
              <w:t>3,347</w:t>
            </w:r>
          </w:p>
        </w:tc>
      </w:tr>
    </w:tbl>
    <w:p w:rsidR="00CC442E" w:rsidRPr="00B46640" w:rsidRDefault="0041087B" w:rsidP="00A74420">
      <w:pPr>
        <w:spacing w:before="120" w:line="240" w:lineRule="auto"/>
        <w:ind w:left="-540" w:right="1080"/>
        <w:rPr>
          <w:rFonts w:asciiTheme="minorHAnsi" w:hAnsiTheme="minorHAnsi"/>
          <w:sz w:val="16"/>
          <w:szCs w:val="16"/>
        </w:rPr>
      </w:pPr>
      <w:r w:rsidRPr="00B46640">
        <w:rPr>
          <w:rFonts w:asciiTheme="minorHAnsi" w:hAnsiTheme="minorHAnsi"/>
          <w:sz w:val="16"/>
          <w:szCs w:val="16"/>
        </w:rPr>
        <w:t xml:space="preserve">(a) </w:t>
      </w:r>
      <w:r w:rsidR="00CC442E" w:rsidRPr="00B46640">
        <w:rPr>
          <w:rFonts w:asciiTheme="minorHAnsi" w:hAnsiTheme="minorHAnsi"/>
          <w:sz w:val="16"/>
          <w:szCs w:val="16"/>
        </w:rPr>
        <w:t xml:space="preserve">Typical capacity values are </w:t>
      </w:r>
      <w:r w:rsidR="00F64FBE" w:rsidRPr="00B46640">
        <w:rPr>
          <w:rFonts w:asciiTheme="minorHAnsi" w:hAnsiTheme="minorHAnsi"/>
          <w:sz w:val="16"/>
          <w:szCs w:val="16"/>
        </w:rPr>
        <w:t>used in this study</w:t>
      </w:r>
      <w:r w:rsidRPr="00B46640">
        <w:rPr>
          <w:rFonts w:asciiTheme="minorHAnsi" w:hAnsiTheme="minorHAnsi"/>
          <w:sz w:val="16"/>
          <w:szCs w:val="16"/>
        </w:rPr>
        <w:t xml:space="preserve">; </w:t>
      </w:r>
      <w:r w:rsidR="00F97A3C" w:rsidRPr="00B46640">
        <w:rPr>
          <w:rFonts w:asciiTheme="minorHAnsi" w:hAnsiTheme="minorHAnsi"/>
          <w:sz w:val="16"/>
          <w:szCs w:val="16"/>
        </w:rPr>
        <w:t>26</w:t>
      </w:r>
      <w:r w:rsidR="00F64FBE" w:rsidRPr="00B46640">
        <w:rPr>
          <w:rFonts w:asciiTheme="minorHAnsi" w:hAnsiTheme="minorHAnsi"/>
          <w:sz w:val="16"/>
          <w:szCs w:val="16"/>
        </w:rPr>
        <w:t xml:space="preserve">% for onshore wind and </w:t>
      </w:r>
      <w:r w:rsidR="00F97A3C" w:rsidRPr="00B46640">
        <w:rPr>
          <w:rFonts w:asciiTheme="minorHAnsi" w:hAnsiTheme="minorHAnsi"/>
          <w:sz w:val="16"/>
          <w:szCs w:val="16"/>
        </w:rPr>
        <w:t>30</w:t>
      </w:r>
      <w:r w:rsidR="00F64FBE" w:rsidRPr="00B46640">
        <w:rPr>
          <w:rFonts w:asciiTheme="minorHAnsi" w:hAnsiTheme="minorHAnsi"/>
          <w:sz w:val="16"/>
          <w:szCs w:val="16"/>
        </w:rPr>
        <w:t xml:space="preserve">% for offshore wind. </w:t>
      </w:r>
      <w:r w:rsidR="00CC442E" w:rsidRPr="00B46640">
        <w:rPr>
          <w:rFonts w:asciiTheme="minorHAnsi" w:hAnsiTheme="minorHAnsi"/>
          <w:sz w:val="16"/>
          <w:szCs w:val="16"/>
        </w:rPr>
        <w:t xml:space="preserve"> </w:t>
      </w:r>
    </w:p>
    <w:p w:rsidR="00BB2DE7" w:rsidRPr="005C6415" w:rsidRDefault="00BB2DE7" w:rsidP="000C506F">
      <w:pPr>
        <w:spacing w:after="360" w:line="240" w:lineRule="auto"/>
        <w:ind w:left="1166" w:right="1080"/>
        <w:rPr>
          <w:rFonts w:asciiTheme="minorHAnsi" w:hAnsiTheme="minorHAnsi"/>
          <w:sz w:val="18"/>
          <w:szCs w:val="18"/>
        </w:rPr>
      </w:pPr>
    </w:p>
    <w:p w:rsidR="00731A14" w:rsidRPr="00F60802" w:rsidRDefault="00804419" w:rsidP="00731A14">
      <w:pPr>
        <w:keepNext/>
        <w:keepLines/>
        <w:spacing w:after="0" w:line="240" w:lineRule="auto"/>
        <w:jc w:val="center"/>
      </w:pPr>
      <w:r w:rsidRPr="00804419">
        <w:lastRenderedPageBreak/>
        <w:t xml:space="preserve"> </w:t>
      </w:r>
      <w:r w:rsidR="00731A14" w:rsidRPr="00731A14">
        <w:rPr>
          <w:noProof/>
        </w:rPr>
        <w:drawing>
          <wp:inline distT="0" distB="0" distL="0" distR="0" wp14:anchorId="779A283F" wp14:editId="7006E604">
            <wp:extent cx="4584065" cy="2743200"/>
            <wp:effectExtent l="19050" t="19050" r="2603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4065" cy="2743200"/>
                    </a:xfrm>
                    <a:prstGeom prst="rect">
                      <a:avLst/>
                    </a:prstGeom>
                    <a:noFill/>
                    <a:ln w="3175">
                      <a:solidFill>
                        <a:schemeClr val="tx1"/>
                      </a:solidFill>
                    </a:ln>
                  </pic:spPr>
                </pic:pic>
              </a:graphicData>
            </a:graphic>
          </wp:inline>
        </w:drawing>
      </w:r>
    </w:p>
    <w:p w:rsidR="00BA3FCF" w:rsidRDefault="009733F0" w:rsidP="0041087B">
      <w:pPr>
        <w:pStyle w:val="Caption"/>
        <w:spacing w:before="120" w:after="80"/>
        <w:ind w:left="1080" w:right="1080"/>
      </w:pPr>
      <w:bookmarkStart w:id="122" w:name="_Ref461379735"/>
      <w:bookmarkStart w:id="123" w:name="_Toc486406063"/>
      <w:r>
        <w:t xml:space="preserve">Figure </w:t>
      </w:r>
      <w:fldSimple w:instr=" STYLEREF 1 \s ">
        <w:r w:rsidR="00742B49">
          <w:rPr>
            <w:noProof/>
          </w:rPr>
          <w:t>5</w:t>
        </w:r>
      </w:fldSimple>
      <w:r w:rsidR="00024994">
        <w:noBreakHyphen/>
      </w:r>
      <w:fldSimple w:instr=" SEQ Figure \* ARABIC \s 1 ">
        <w:r w:rsidR="00742B49">
          <w:rPr>
            <w:noProof/>
          </w:rPr>
          <w:t>3</w:t>
        </w:r>
      </w:fldSimple>
      <w:bookmarkEnd w:id="122"/>
      <w:r>
        <w:t xml:space="preserve">: 2030 </w:t>
      </w:r>
      <w:r w:rsidR="0041087B">
        <w:t>c</w:t>
      </w:r>
      <w:r>
        <w:t xml:space="preserve">apacity </w:t>
      </w:r>
      <w:r w:rsidR="0041087B">
        <w:t>v</w:t>
      </w:r>
      <w:r>
        <w:t xml:space="preserve">alue </w:t>
      </w:r>
      <w:r w:rsidR="0041087B">
        <w:t>a</w:t>
      </w:r>
      <w:r>
        <w:t xml:space="preserve">ssumptions </w:t>
      </w:r>
      <w:r w:rsidR="000F663A">
        <w:t>by</w:t>
      </w:r>
      <w:r>
        <w:t xml:space="preserve"> </w:t>
      </w:r>
      <w:r w:rsidR="0041087B">
        <w:t>r</w:t>
      </w:r>
      <w:r>
        <w:t>esource</w:t>
      </w:r>
      <w:r w:rsidR="000F663A">
        <w:t xml:space="preserve"> </w:t>
      </w:r>
      <w:r w:rsidR="0041087B">
        <w:t>t</w:t>
      </w:r>
      <w:r w:rsidR="000F663A">
        <w:t>ype</w:t>
      </w:r>
      <w:r>
        <w:t xml:space="preserve"> (MW).</w:t>
      </w:r>
      <w:bookmarkEnd w:id="123"/>
    </w:p>
    <w:p w:rsidR="0041087B" w:rsidRPr="00410161" w:rsidRDefault="0041087B" w:rsidP="0041087B">
      <w:pPr>
        <w:spacing w:line="240" w:lineRule="auto"/>
        <w:ind w:left="1080" w:right="1080"/>
        <w:rPr>
          <w:rFonts w:asciiTheme="minorHAnsi" w:hAnsiTheme="minorHAnsi"/>
          <w:sz w:val="16"/>
          <w:szCs w:val="16"/>
        </w:rPr>
      </w:pPr>
      <w:r w:rsidRPr="00410161">
        <w:rPr>
          <w:rFonts w:asciiTheme="minorHAnsi" w:hAnsiTheme="minorHAnsi"/>
          <w:b/>
          <w:sz w:val="16"/>
          <w:szCs w:val="16"/>
        </w:rPr>
        <w:t xml:space="preserve">Note: </w:t>
      </w:r>
      <w:r w:rsidRPr="00410161">
        <w:rPr>
          <w:rFonts w:asciiTheme="minorHAnsi" w:hAnsiTheme="minorHAnsi"/>
          <w:sz w:val="16"/>
          <w:szCs w:val="16"/>
        </w:rPr>
        <w:t xml:space="preserve">“ES” stands for </w:t>
      </w:r>
      <w:r w:rsidRPr="00410161">
        <w:rPr>
          <w:rFonts w:asciiTheme="minorHAnsi" w:hAnsiTheme="minorHAnsi"/>
          <w:i/>
          <w:sz w:val="16"/>
          <w:szCs w:val="16"/>
        </w:rPr>
        <w:t>energy storage</w:t>
      </w:r>
      <w:r>
        <w:rPr>
          <w:rFonts w:asciiTheme="minorHAnsi" w:hAnsiTheme="minorHAnsi"/>
          <w:sz w:val="16"/>
          <w:szCs w:val="16"/>
        </w:rPr>
        <w:t xml:space="preserve">. </w:t>
      </w:r>
      <w:r w:rsidRPr="00410161">
        <w:rPr>
          <w:rFonts w:asciiTheme="minorHAnsi" w:hAnsiTheme="minorHAnsi"/>
          <w:sz w:val="16"/>
          <w:szCs w:val="16"/>
        </w:rPr>
        <w:t xml:space="preserve">“EE/DR” includes energy efficiency (i.e. </w:t>
      </w:r>
      <w:r>
        <w:rPr>
          <w:rFonts w:asciiTheme="minorHAnsi" w:hAnsiTheme="minorHAnsi"/>
          <w:sz w:val="16"/>
          <w:szCs w:val="16"/>
        </w:rPr>
        <w:t>PDRs</w:t>
      </w:r>
      <w:r w:rsidRPr="00410161">
        <w:rPr>
          <w:rFonts w:asciiTheme="minorHAnsi" w:hAnsiTheme="minorHAnsi"/>
          <w:sz w:val="16"/>
          <w:szCs w:val="16"/>
        </w:rPr>
        <w:t>)</w:t>
      </w:r>
      <w:r>
        <w:rPr>
          <w:rFonts w:asciiTheme="minorHAnsi" w:hAnsiTheme="minorHAnsi"/>
          <w:sz w:val="16"/>
          <w:szCs w:val="16"/>
        </w:rPr>
        <w:t>,</w:t>
      </w:r>
      <w:r w:rsidRPr="00410161">
        <w:rPr>
          <w:rFonts w:asciiTheme="minorHAnsi" w:hAnsiTheme="minorHAnsi"/>
          <w:sz w:val="16"/>
          <w:szCs w:val="16"/>
        </w:rPr>
        <w:t xml:space="preserve"> plus ADR, plus price-responsive demand.   </w:t>
      </w:r>
    </w:p>
    <w:p w:rsidR="00BB2DE7" w:rsidRDefault="00BB2DE7" w:rsidP="00195B55">
      <w:pPr>
        <w:pStyle w:val="Caption"/>
        <w:jc w:val="center"/>
        <w:rPr>
          <w:sz w:val="18"/>
          <w:vertAlign w:val="superscript"/>
        </w:rPr>
      </w:pPr>
      <w:bookmarkStart w:id="124" w:name="_Ref483407755"/>
      <w:bookmarkStart w:id="125" w:name="_Toc486406021"/>
      <w:r>
        <w:t xml:space="preserve">Table </w:t>
      </w:r>
      <w:fldSimple w:instr=" STYLEREF 1 \s ">
        <w:r w:rsidR="004248FE">
          <w:rPr>
            <w:noProof/>
          </w:rPr>
          <w:t>5</w:t>
        </w:r>
      </w:fldSimple>
      <w:r w:rsidR="004248FE">
        <w:noBreakHyphen/>
      </w:r>
      <w:fldSimple w:instr=" SEQ Table \* ARABIC \s 1 ">
        <w:r w:rsidR="004248FE">
          <w:rPr>
            <w:noProof/>
          </w:rPr>
          <w:t>7</w:t>
        </w:r>
      </w:fldSimple>
      <w:bookmarkEnd w:id="124"/>
      <w:r>
        <w:br/>
      </w:r>
      <w:r w:rsidR="00065D4E" w:rsidRPr="00B46640">
        <w:t xml:space="preserve">Capacity Value Assumptions for Various Resources, 2030 </w:t>
      </w:r>
      <w:r w:rsidRPr="00B46640">
        <w:t>(MW)</w:t>
      </w:r>
      <w:r w:rsidR="00B46640" w:rsidRPr="00B46640">
        <w:rPr>
          <w:sz w:val="18"/>
          <w:vertAlign w:val="superscript"/>
        </w:rPr>
        <w:t>(a)</w:t>
      </w:r>
      <w:bookmarkEnd w:id="125"/>
    </w:p>
    <w:tbl>
      <w:tblPr>
        <w:tblW w:w="105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66"/>
        <w:gridCol w:w="810"/>
        <w:gridCol w:w="941"/>
        <w:gridCol w:w="913"/>
        <w:gridCol w:w="526"/>
        <w:gridCol w:w="720"/>
        <w:gridCol w:w="719"/>
        <w:gridCol w:w="825"/>
        <w:gridCol w:w="614"/>
        <w:gridCol w:w="719"/>
        <w:gridCol w:w="720"/>
        <w:gridCol w:w="719"/>
        <w:gridCol w:w="720"/>
      </w:tblGrid>
      <w:tr w:rsidR="00A74420" w:rsidRPr="00A74420" w:rsidTr="000D4B7A">
        <w:trPr>
          <w:jc w:val="center"/>
        </w:trPr>
        <w:tc>
          <w:tcPr>
            <w:tcW w:w="1566" w:type="dxa"/>
            <w:shd w:val="clear" w:color="auto" w:fill="4F81BD" w:themeFill="accent1"/>
            <w:vAlign w:val="center"/>
          </w:tcPr>
          <w:p w:rsidR="00A74420" w:rsidRPr="00A74420" w:rsidRDefault="00A74420" w:rsidP="004248F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Scenario</w:t>
            </w:r>
          </w:p>
        </w:tc>
        <w:tc>
          <w:tcPr>
            <w:tcW w:w="810" w:type="dxa"/>
            <w:shd w:val="clear" w:color="auto" w:fill="4F81BD" w:themeFill="accent1"/>
            <w:vAlign w:val="center"/>
          </w:tcPr>
          <w:p w:rsidR="00A74420" w:rsidRPr="00A74420" w:rsidRDefault="00A74420" w:rsidP="004248F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Wood</w:t>
            </w:r>
          </w:p>
        </w:tc>
        <w:tc>
          <w:tcPr>
            <w:tcW w:w="941" w:type="dxa"/>
            <w:shd w:val="clear" w:color="auto" w:fill="4F81BD" w:themeFill="accent1"/>
            <w:vAlign w:val="center"/>
          </w:tcPr>
          <w:p w:rsidR="00A74420" w:rsidRPr="00A74420" w:rsidRDefault="00A74420" w:rsidP="004248F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Onshore</w:t>
            </w:r>
          </w:p>
          <w:p w:rsidR="00A74420" w:rsidRPr="00A74420" w:rsidRDefault="00A74420" w:rsidP="004248F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Wind</w:t>
            </w:r>
          </w:p>
        </w:tc>
        <w:tc>
          <w:tcPr>
            <w:tcW w:w="913" w:type="dxa"/>
            <w:shd w:val="clear" w:color="auto" w:fill="4F81BD" w:themeFill="accent1"/>
            <w:vAlign w:val="center"/>
          </w:tcPr>
          <w:p w:rsidR="00A74420" w:rsidRPr="00A74420" w:rsidRDefault="00A74420" w:rsidP="004248F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Offshore</w:t>
            </w:r>
          </w:p>
          <w:p w:rsidR="00A74420" w:rsidRPr="00A74420" w:rsidRDefault="00A74420" w:rsidP="004248F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Wind</w:t>
            </w:r>
          </w:p>
        </w:tc>
        <w:tc>
          <w:tcPr>
            <w:tcW w:w="526" w:type="dxa"/>
            <w:shd w:val="clear" w:color="auto" w:fill="4F81BD" w:themeFill="accent1"/>
            <w:vAlign w:val="center"/>
          </w:tcPr>
          <w:p w:rsidR="00A74420" w:rsidRPr="00A74420" w:rsidRDefault="00A74420" w:rsidP="004248F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PV</w:t>
            </w:r>
          </w:p>
        </w:tc>
        <w:tc>
          <w:tcPr>
            <w:tcW w:w="720" w:type="dxa"/>
            <w:shd w:val="clear" w:color="auto" w:fill="4F81BD" w:themeFill="accent1"/>
            <w:vAlign w:val="center"/>
          </w:tcPr>
          <w:p w:rsidR="00A74420" w:rsidRPr="00A74420" w:rsidRDefault="00A74420" w:rsidP="004248F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Oil</w:t>
            </w:r>
          </w:p>
        </w:tc>
        <w:tc>
          <w:tcPr>
            <w:tcW w:w="719" w:type="dxa"/>
            <w:shd w:val="clear" w:color="auto" w:fill="4F81BD" w:themeFill="accent1"/>
            <w:vAlign w:val="center"/>
          </w:tcPr>
          <w:p w:rsidR="00A74420" w:rsidRPr="00A74420" w:rsidRDefault="00A74420" w:rsidP="004248F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NG</w:t>
            </w:r>
          </w:p>
        </w:tc>
        <w:tc>
          <w:tcPr>
            <w:tcW w:w="825" w:type="dxa"/>
            <w:shd w:val="clear" w:color="auto" w:fill="4F81BD" w:themeFill="accent1"/>
            <w:vAlign w:val="center"/>
          </w:tcPr>
          <w:p w:rsidR="00A74420" w:rsidRPr="00A74420" w:rsidRDefault="00A74420" w:rsidP="004248F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Import</w:t>
            </w:r>
          </w:p>
        </w:tc>
        <w:tc>
          <w:tcPr>
            <w:tcW w:w="614" w:type="dxa"/>
            <w:shd w:val="clear" w:color="auto" w:fill="4F81BD" w:themeFill="accent1"/>
            <w:vAlign w:val="center"/>
          </w:tcPr>
          <w:p w:rsidR="00A74420" w:rsidRPr="00A74420" w:rsidRDefault="00A74420" w:rsidP="004248F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Coal</w:t>
            </w:r>
          </w:p>
        </w:tc>
        <w:tc>
          <w:tcPr>
            <w:tcW w:w="719" w:type="dxa"/>
            <w:shd w:val="clear" w:color="auto" w:fill="4F81BD" w:themeFill="accent1"/>
            <w:vAlign w:val="center"/>
          </w:tcPr>
          <w:p w:rsidR="00A74420" w:rsidRPr="00A74420" w:rsidRDefault="00A74420" w:rsidP="004248F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EE/DR</w:t>
            </w:r>
          </w:p>
        </w:tc>
        <w:tc>
          <w:tcPr>
            <w:tcW w:w="720" w:type="dxa"/>
            <w:shd w:val="clear" w:color="auto" w:fill="4F81BD" w:themeFill="accent1"/>
            <w:vAlign w:val="center"/>
          </w:tcPr>
          <w:p w:rsidR="00A74420" w:rsidRPr="00A74420" w:rsidRDefault="00A74420" w:rsidP="004248F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Hydro/ES</w:t>
            </w:r>
          </w:p>
        </w:tc>
        <w:tc>
          <w:tcPr>
            <w:tcW w:w="719" w:type="dxa"/>
            <w:shd w:val="clear" w:color="auto" w:fill="4F81BD" w:themeFill="accent1"/>
            <w:vAlign w:val="center"/>
          </w:tcPr>
          <w:p w:rsidR="00A74420" w:rsidRPr="00A74420" w:rsidRDefault="00A74420" w:rsidP="004248F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Misc.</w:t>
            </w:r>
          </w:p>
        </w:tc>
        <w:tc>
          <w:tcPr>
            <w:tcW w:w="720" w:type="dxa"/>
            <w:shd w:val="clear" w:color="auto" w:fill="4F81BD" w:themeFill="accent1"/>
            <w:vAlign w:val="center"/>
          </w:tcPr>
          <w:p w:rsidR="00A74420" w:rsidRPr="00A74420" w:rsidRDefault="00A74420" w:rsidP="004248FE">
            <w:pPr>
              <w:adjustRightInd/>
              <w:spacing w:before="40" w:after="40" w:line="240" w:lineRule="auto"/>
              <w:jc w:val="center"/>
              <w:textAlignment w:val="auto"/>
              <w:rPr>
                <w:rFonts w:asciiTheme="minorHAnsi" w:eastAsia="Calibri" w:hAnsiTheme="minorHAnsi" w:cstheme="minorHAnsi"/>
                <w:b/>
                <w:color w:val="FFFFFF" w:themeColor="background1"/>
                <w:sz w:val="18"/>
                <w:szCs w:val="18"/>
              </w:rPr>
            </w:pPr>
            <w:r w:rsidRPr="00A74420">
              <w:rPr>
                <w:rFonts w:asciiTheme="minorHAnsi" w:eastAsia="Calibri" w:hAnsiTheme="minorHAnsi" w:cstheme="minorHAnsi"/>
                <w:b/>
                <w:color w:val="FFFFFF" w:themeColor="background1"/>
                <w:sz w:val="18"/>
                <w:szCs w:val="18"/>
              </w:rPr>
              <w:t>Nuc</w:t>
            </w:r>
          </w:p>
        </w:tc>
      </w:tr>
      <w:tr w:rsidR="00A74420" w:rsidRPr="00A74420" w:rsidTr="00A74420">
        <w:trPr>
          <w:jc w:val="center"/>
        </w:trPr>
        <w:tc>
          <w:tcPr>
            <w:tcW w:w="1566" w:type="dxa"/>
            <w:shd w:val="clear" w:color="auto" w:fill="auto"/>
            <w:tcMar>
              <w:left w:w="115" w:type="dxa"/>
              <w:right w:w="0" w:type="dxa"/>
            </w:tcMar>
            <w:vAlign w:val="center"/>
          </w:tcPr>
          <w:p w:rsidR="00A74420" w:rsidRPr="00A74420" w:rsidRDefault="00A74420" w:rsidP="004248FE">
            <w:pPr>
              <w:adjustRightInd/>
              <w:spacing w:before="40" w:after="40" w:line="240" w:lineRule="auto"/>
              <w:textAlignment w:val="auto"/>
              <w:rPr>
                <w:rFonts w:asciiTheme="minorHAnsi" w:eastAsia="Calibri" w:hAnsiTheme="minorHAnsi" w:cstheme="minorHAnsi"/>
                <w:b/>
                <w:sz w:val="18"/>
                <w:szCs w:val="18"/>
              </w:rPr>
            </w:pPr>
            <w:r w:rsidRPr="00A74420">
              <w:rPr>
                <w:rFonts w:asciiTheme="minorHAnsi" w:eastAsia="Calibri" w:hAnsiTheme="minorHAnsi" w:cstheme="minorHAnsi"/>
                <w:b/>
                <w:sz w:val="18"/>
                <w:szCs w:val="18"/>
              </w:rPr>
              <w:t>RPS + Gas</w:t>
            </w:r>
          </w:p>
        </w:tc>
        <w:tc>
          <w:tcPr>
            <w:tcW w:w="810"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489</w:t>
            </w:r>
          </w:p>
        </w:tc>
        <w:tc>
          <w:tcPr>
            <w:tcW w:w="941" w:type="dxa"/>
            <w:tcMar>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908</w:t>
            </w:r>
          </w:p>
        </w:tc>
        <w:tc>
          <w:tcPr>
            <w:tcW w:w="913"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145</w:t>
            </w:r>
          </w:p>
        </w:tc>
        <w:tc>
          <w:tcPr>
            <w:tcW w:w="526"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62</w:t>
            </w:r>
          </w:p>
        </w:tc>
        <w:tc>
          <w:tcPr>
            <w:tcW w:w="720"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2,114</w:t>
            </w:r>
          </w:p>
        </w:tc>
        <w:tc>
          <w:tcPr>
            <w:tcW w:w="719"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20,157</w:t>
            </w:r>
          </w:p>
        </w:tc>
        <w:tc>
          <w:tcPr>
            <w:tcW w:w="825"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1,006</w:t>
            </w:r>
          </w:p>
        </w:tc>
        <w:tc>
          <w:tcPr>
            <w:tcW w:w="614"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0</w:t>
            </w:r>
          </w:p>
        </w:tc>
        <w:tc>
          <w:tcPr>
            <w:tcW w:w="719"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5,058</w:t>
            </w:r>
          </w:p>
        </w:tc>
        <w:tc>
          <w:tcPr>
            <w:tcW w:w="720"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3,116</w:t>
            </w:r>
          </w:p>
        </w:tc>
        <w:tc>
          <w:tcPr>
            <w:tcW w:w="719"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517</w:t>
            </w:r>
          </w:p>
        </w:tc>
        <w:tc>
          <w:tcPr>
            <w:tcW w:w="720"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3,347</w:t>
            </w:r>
          </w:p>
        </w:tc>
      </w:tr>
      <w:tr w:rsidR="00A74420" w:rsidRPr="00A74420" w:rsidTr="00A74420">
        <w:trPr>
          <w:jc w:val="center"/>
        </w:trPr>
        <w:tc>
          <w:tcPr>
            <w:tcW w:w="1566" w:type="dxa"/>
            <w:shd w:val="clear" w:color="auto" w:fill="DBE5F1" w:themeFill="accent1" w:themeFillTint="33"/>
            <w:tcMar>
              <w:left w:w="115" w:type="dxa"/>
              <w:right w:w="0" w:type="dxa"/>
            </w:tcMar>
            <w:vAlign w:val="center"/>
          </w:tcPr>
          <w:p w:rsidR="00A74420" w:rsidRPr="00A74420" w:rsidRDefault="00A74420" w:rsidP="004248FE">
            <w:pPr>
              <w:adjustRightInd/>
              <w:spacing w:before="40" w:after="40" w:line="240" w:lineRule="auto"/>
              <w:textAlignment w:val="auto"/>
              <w:rPr>
                <w:rFonts w:asciiTheme="minorHAnsi" w:eastAsia="Calibri" w:hAnsiTheme="minorHAnsi" w:cstheme="minorHAnsi"/>
                <w:b/>
                <w:sz w:val="18"/>
                <w:szCs w:val="18"/>
              </w:rPr>
            </w:pPr>
            <w:r w:rsidRPr="00A74420">
              <w:rPr>
                <w:rFonts w:asciiTheme="minorHAnsi" w:eastAsia="Calibri" w:hAnsiTheme="minorHAnsi" w:cstheme="minorHAnsi"/>
                <w:b/>
                <w:sz w:val="18"/>
                <w:szCs w:val="18"/>
              </w:rPr>
              <w:t>ISO Queue</w:t>
            </w:r>
          </w:p>
        </w:tc>
        <w:tc>
          <w:tcPr>
            <w:tcW w:w="810"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489</w:t>
            </w:r>
          </w:p>
        </w:tc>
        <w:tc>
          <w:tcPr>
            <w:tcW w:w="941" w:type="dxa"/>
            <w:shd w:val="clear" w:color="auto" w:fill="DBE5F1" w:themeFill="accent1" w:themeFillTint="33"/>
            <w:tcMar>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3698</w:t>
            </w:r>
          </w:p>
        </w:tc>
        <w:tc>
          <w:tcPr>
            <w:tcW w:w="913"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511</w:t>
            </w:r>
          </w:p>
        </w:tc>
        <w:tc>
          <w:tcPr>
            <w:tcW w:w="526"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62</w:t>
            </w:r>
          </w:p>
        </w:tc>
        <w:tc>
          <w:tcPr>
            <w:tcW w:w="720"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2,114</w:t>
            </w:r>
          </w:p>
        </w:tc>
        <w:tc>
          <w:tcPr>
            <w:tcW w:w="719"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16,011</w:t>
            </w:r>
          </w:p>
        </w:tc>
        <w:tc>
          <w:tcPr>
            <w:tcW w:w="825"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1,006</w:t>
            </w:r>
          </w:p>
        </w:tc>
        <w:tc>
          <w:tcPr>
            <w:tcW w:w="614"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0</w:t>
            </w:r>
          </w:p>
        </w:tc>
        <w:tc>
          <w:tcPr>
            <w:tcW w:w="719"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5,058</w:t>
            </w:r>
          </w:p>
        </w:tc>
        <w:tc>
          <w:tcPr>
            <w:tcW w:w="720"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3,116</w:t>
            </w:r>
          </w:p>
        </w:tc>
        <w:tc>
          <w:tcPr>
            <w:tcW w:w="719"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517</w:t>
            </w:r>
          </w:p>
        </w:tc>
        <w:tc>
          <w:tcPr>
            <w:tcW w:w="720"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3,347</w:t>
            </w:r>
          </w:p>
        </w:tc>
      </w:tr>
      <w:tr w:rsidR="00A74420" w:rsidRPr="00A74420" w:rsidTr="00A74420">
        <w:trPr>
          <w:jc w:val="center"/>
        </w:trPr>
        <w:tc>
          <w:tcPr>
            <w:tcW w:w="1566" w:type="dxa"/>
            <w:shd w:val="clear" w:color="auto" w:fill="auto"/>
            <w:tcMar>
              <w:left w:w="115" w:type="dxa"/>
              <w:right w:w="0" w:type="dxa"/>
            </w:tcMar>
            <w:vAlign w:val="center"/>
          </w:tcPr>
          <w:p w:rsidR="00A74420" w:rsidRPr="00A74420" w:rsidRDefault="00A74420" w:rsidP="004248FE">
            <w:pPr>
              <w:adjustRightInd/>
              <w:spacing w:before="40" w:after="40" w:line="240" w:lineRule="auto"/>
              <w:textAlignment w:val="auto"/>
              <w:rPr>
                <w:rFonts w:asciiTheme="minorHAnsi" w:eastAsia="Calibri" w:hAnsiTheme="minorHAnsi" w:cstheme="minorHAnsi"/>
                <w:b/>
                <w:sz w:val="18"/>
                <w:szCs w:val="18"/>
              </w:rPr>
            </w:pPr>
            <w:r w:rsidRPr="00A74420">
              <w:rPr>
                <w:rFonts w:asciiTheme="minorHAnsi" w:eastAsia="Calibri" w:hAnsiTheme="minorHAnsi" w:cstheme="minorHAnsi"/>
                <w:b/>
                <w:sz w:val="18"/>
                <w:szCs w:val="18"/>
              </w:rPr>
              <w:t>Renew Plus</w:t>
            </w:r>
          </w:p>
        </w:tc>
        <w:tc>
          <w:tcPr>
            <w:tcW w:w="810"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489</w:t>
            </w:r>
          </w:p>
        </w:tc>
        <w:tc>
          <w:tcPr>
            <w:tcW w:w="941" w:type="dxa"/>
            <w:tcMar>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1155</w:t>
            </w:r>
          </w:p>
        </w:tc>
        <w:tc>
          <w:tcPr>
            <w:tcW w:w="913"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745</w:t>
            </w:r>
          </w:p>
        </w:tc>
        <w:tc>
          <w:tcPr>
            <w:tcW w:w="526"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62</w:t>
            </w:r>
          </w:p>
        </w:tc>
        <w:tc>
          <w:tcPr>
            <w:tcW w:w="720"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2,114</w:t>
            </w:r>
          </w:p>
        </w:tc>
        <w:tc>
          <w:tcPr>
            <w:tcW w:w="719"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16,011</w:t>
            </w:r>
          </w:p>
        </w:tc>
        <w:tc>
          <w:tcPr>
            <w:tcW w:w="825"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3,006</w:t>
            </w:r>
          </w:p>
        </w:tc>
        <w:tc>
          <w:tcPr>
            <w:tcW w:w="614"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0</w:t>
            </w:r>
          </w:p>
        </w:tc>
        <w:tc>
          <w:tcPr>
            <w:tcW w:w="719"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8,328</w:t>
            </w:r>
          </w:p>
        </w:tc>
        <w:tc>
          <w:tcPr>
            <w:tcW w:w="720"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5,616</w:t>
            </w:r>
          </w:p>
        </w:tc>
        <w:tc>
          <w:tcPr>
            <w:tcW w:w="719"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517</w:t>
            </w:r>
          </w:p>
        </w:tc>
        <w:tc>
          <w:tcPr>
            <w:tcW w:w="720"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3,347</w:t>
            </w:r>
          </w:p>
        </w:tc>
      </w:tr>
      <w:tr w:rsidR="00A74420" w:rsidRPr="00A74420" w:rsidTr="00A74420">
        <w:trPr>
          <w:jc w:val="center"/>
        </w:trPr>
        <w:tc>
          <w:tcPr>
            <w:tcW w:w="1566" w:type="dxa"/>
            <w:shd w:val="clear" w:color="auto" w:fill="DBE5F1" w:themeFill="accent1" w:themeFillTint="33"/>
            <w:tcMar>
              <w:left w:w="115" w:type="dxa"/>
              <w:right w:w="0" w:type="dxa"/>
            </w:tcMar>
            <w:vAlign w:val="center"/>
          </w:tcPr>
          <w:p w:rsidR="00A74420" w:rsidRPr="00A74420" w:rsidRDefault="00A74420" w:rsidP="004248FE">
            <w:pPr>
              <w:adjustRightInd/>
              <w:spacing w:before="40" w:after="40" w:line="240" w:lineRule="auto"/>
              <w:textAlignment w:val="auto"/>
              <w:rPr>
                <w:rFonts w:asciiTheme="minorHAnsi" w:eastAsia="Calibri" w:hAnsiTheme="minorHAnsi" w:cstheme="minorHAnsi"/>
                <w:b/>
                <w:sz w:val="18"/>
                <w:szCs w:val="18"/>
              </w:rPr>
            </w:pPr>
            <w:r w:rsidRPr="00A74420">
              <w:rPr>
                <w:rFonts w:asciiTheme="minorHAnsi" w:eastAsia="Calibri" w:hAnsiTheme="minorHAnsi" w:cstheme="minorHAnsi"/>
                <w:b/>
                <w:sz w:val="18"/>
                <w:szCs w:val="18"/>
              </w:rPr>
              <w:t>No Retire</w:t>
            </w:r>
          </w:p>
        </w:tc>
        <w:tc>
          <w:tcPr>
            <w:tcW w:w="810"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489</w:t>
            </w:r>
          </w:p>
        </w:tc>
        <w:tc>
          <w:tcPr>
            <w:tcW w:w="941" w:type="dxa"/>
            <w:shd w:val="clear" w:color="auto" w:fill="DBE5F1" w:themeFill="accent1" w:themeFillTint="33"/>
            <w:tcMar>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221</w:t>
            </w:r>
          </w:p>
        </w:tc>
        <w:tc>
          <w:tcPr>
            <w:tcW w:w="913"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145</w:t>
            </w:r>
          </w:p>
        </w:tc>
        <w:tc>
          <w:tcPr>
            <w:tcW w:w="526"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62</w:t>
            </w:r>
          </w:p>
        </w:tc>
        <w:tc>
          <w:tcPr>
            <w:tcW w:w="720"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6,109</w:t>
            </w:r>
          </w:p>
        </w:tc>
        <w:tc>
          <w:tcPr>
            <w:tcW w:w="719"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16,676</w:t>
            </w:r>
          </w:p>
        </w:tc>
        <w:tc>
          <w:tcPr>
            <w:tcW w:w="825"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1,006</w:t>
            </w:r>
          </w:p>
        </w:tc>
        <w:tc>
          <w:tcPr>
            <w:tcW w:w="614"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917</w:t>
            </w:r>
          </w:p>
        </w:tc>
        <w:tc>
          <w:tcPr>
            <w:tcW w:w="719"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5,058</w:t>
            </w:r>
          </w:p>
        </w:tc>
        <w:tc>
          <w:tcPr>
            <w:tcW w:w="720"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3,116</w:t>
            </w:r>
          </w:p>
        </w:tc>
        <w:tc>
          <w:tcPr>
            <w:tcW w:w="719"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517</w:t>
            </w:r>
          </w:p>
        </w:tc>
        <w:tc>
          <w:tcPr>
            <w:tcW w:w="720"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3,347</w:t>
            </w:r>
          </w:p>
        </w:tc>
      </w:tr>
      <w:tr w:rsidR="00A74420" w:rsidRPr="00A74420" w:rsidTr="00A74420">
        <w:trPr>
          <w:jc w:val="center"/>
        </w:trPr>
        <w:tc>
          <w:tcPr>
            <w:tcW w:w="1566" w:type="dxa"/>
            <w:shd w:val="clear" w:color="auto" w:fill="auto"/>
            <w:tcMar>
              <w:left w:w="115" w:type="dxa"/>
              <w:right w:w="0" w:type="dxa"/>
            </w:tcMar>
            <w:vAlign w:val="center"/>
          </w:tcPr>
          <w:p w:rsidR="00A74420" w:rsidRPr="00A74420" w:rsidRDefault="00A74420" w:rsidP="004248FE">
            <w:pPr>
              <w:adjustRightInd/>
              <w:spacing w:before="40" w:after="40" w:line="240" w:lineRule="auto"/>
              <w:textAlignment w:val="auto"/>
              <w:rPr>
                <w:rFonts w:asciiTheme="minorHAnsi" w:eastAsia="Calibri" w:hAnsiTheme="minorHAnsi" w:cstheme="minorHAnsi"/>
                <w:b/>
                <w:sz w:val="18"/>
                <w:szCs w:val="18"/>
              </w:rPr>
            </w:pPr>
            <w:r w:rsidRPr="00A74420">
              <w:rPr>
                <w:rFonts w:asciiTheme="minorHAnsi" w:eastAsia="Calibri" w:hAnsiTheme="minorHAnsi" w:cstheme="minorHAnsi"/>
                <w:b/>
                <w:sz w:val="18"/>
                <w:szCs w:val="18"/>
              </w:rPr>
              <w:t>ACP + Gas</w:t>
            </w:r>
          </w:p>
        </w:tc>
        <w:tc>
          <w:tcPr>
            <w:tcW w:w="810"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489</w:t>
            </w:r>
          </w:p>
        </w:tc>
        <w:tc>
          <w:tcPr>
            <w:tcW w:w="941" w:type="dxa"/>
            <w:tcMar>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221</w:t>
            </w:r>
          </w:p>
        </w:tc>
        <w:tc>
          <w:tcPr>
            <w:tcW w:w="913"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145</w:t>
            </w:r>
          </w:p>
        </w:tc>
        <w:tc>
          <w:tcPr>
            <w:tcW w:w="526"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62</w:t>
            </w:r>
          </w:p>
        </w:tc>
        <w:tc>
          <w:tcPr>
            <w:tcW w:w="720"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2,114</w:t>
            </w:r>
          </w:p>
        </w:tc>
        <w:tc>
          <w:tcPr>
            <w:tcW w:w="719"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20,844</w:t>
            </w:r>
          </w:p>
        </w:tc>
        <w:tc>
          <w:tcPr>
            <w:tcW w:w="825"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1,006</w:t>
            </w:r>
          </w:p>
        </w:tc>
        <w:tc>
          <w:tcPr>
            <w:tcW w:w="614"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0</w:t>
            </w:r>
          </w:p>
        </w:tc>
        <w:tc>
          <w:tcPr>
            <w:tcW w:w="719"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5,058</w:t>
            </w:r>
          </w:p>
        </w:tc>
        <w:tc>
          <w:tcPr>
            <w:tcW w:w="720"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3,116</w:t>
            </w:r>
          </w:p>
        </w:tc>
        <w:tc>
          <w:tcPr>
            <w:tcW w:w="719"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517</w:t>
            </w:r>
          </w:p>
        </w:tc>
        <w:tc>
          <w:tcPr>
            <w:tcW w:w="720" w:type="dxa"/>
            <w:shd w:val="clear" w:color="auto" w:fill="auto"/>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3,347</w:t>
            </w:r>
          </w:p>
        </w:tc>
      </w:tr>
      <w:tr w:rsidR="00A74420" w:rsidRPr="00A74420" w:rsidTr="00A74420">
        <w:trPr>
          <w:jc w:val="center"/>
        </w:trPr>
        <w:tc>
          <w:tcPr>
            <w:tcW w:w="1566" w:type="dxa"/>
            <w:shd w:val="clear" w:color="auto" w:fill="DBE5F1" w:themeFill="accent1" w:themeFillTint="33"/>
            <w:tcMar>
              <w:left w:w="115" w:type="dxa"/>
              <w:right w:w="0" w:type="dxa"/>
            </w:tcMar>
            <w:vAlign w:val="center"/>
          </w:tcPr>
          <w:p w:rsidR="00A74420" w:rsidRPr="00A74420" w:rsidRDefault="00A74420" w:rsidP="004248FE">
            <w:pPr>
              <w:adjustRightInd/>
              <w:spacing w:before="40" w:after="40" w:line="240" w:lineRule="auto"/>
              <w:textAlignment w:val="auto"/>
              <w:rPr>
                <w:rFonts w:asciiTheme="minorHAnsi" w:eastAsia="Calibri" w:hAnsiTheme="minorHAnsi" w:cstheme="minorHAnsi"/>
                <w:b/>
                <w:sz w:val="18"/>
                <w:szCs w:val="18"/>
              </w:rPr>
            </w:pPr>
            <w:r w:rsidRPr="00A74420">
              <w:rPr>
                <w:rFonts w:asciiTheme="minorHAnsi" w:eastAsia="Calibri" w:hAnsiTheme="minorHAnsi" w:cstheme="minorHAnsi"/>
                <w:b/>
                <w:sz w:val="18"/>
                <w:szCs w:val="18"/>
              </w:rPr>
              <w:t>RPS + Geo Renew</w:t>
            </w:r>
          </w:p>
        </w:tc>
        <w:tc>
          <w:tcPr>
            <w:tcW w:w="810"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489</w:t>
            </w:r>
          </w:p>
        </w:tc>
        <w:tc>
          <w:tcPr>
            <w:tcW w:w="941" w:type="dxa"/>
            <w:shd w:val="clear" w:color="auto" w:fill="DBE5F1" w:themeFill="accent1" w:themeFillTint="33"/>
            <w:tcMar>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1832</w:t>
            </w:r>
          </w:p>
        </w:tc>
        <w:tc>
          <w:tcPr>
            <w:tcW w:w="913"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1756</w:t>
            </w:r>
          </w:p>
        </w:tc>
        <w:tc>
          <w:tcPr>
            <w:tcW w:w="526"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1,673</w:t>
            </w:r>
          </w:p>
        </w:tc>
        <w:tc>
          <w:tcPr>
            <w:tcW w:w="720"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2,114</w:t>
            </w:r>
          </w:p>
        </w:tc>
        <w:tc>
          <w:tcPr>
            <w:tcW w:w="719"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16,011</w:t>
            </w:r>
          </w:p>
        </w:tc>
        <w:tc>
          <w:tcPr>
            <w:tcW w:w="825"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1,006</w:t>
            </w:r>
          </w:p>
        </w:tc>
        <w:tc>
          <w:tcPr>
            <w:tcW w:w="614"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0</w:t>
            </w:r>
          </w:p>
        </w:tc>
        <w:tc>
          <w:tcPr>
            <w:tcW w:w="719"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5,058</w:t>
            </w:r>
          </w:p>
        </w:tc>
        <w:tc>
          <w:tcPr>
            <w:tcW w:w="720"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3,116</w:t>
            </w:r>
          </w:p>
        </w:tc>
        <w:tc>
          <w:tcPr>
            <w:tcW w:w="719"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517</w:t>
            </w:r>
          </w:p>
        </w:tc>
        <w:tc>
          <w:tcPr>
            <w:tcW w:w="720" w:type="dxa"/>
            <w:shd w:val="clear" w:color="auto" w:fill="DBE5F1" w:themeFill="accent1" w:themeFillTint="33"/>
            <w:tcMar>
              <w:left w:w="0" w:type="dxa"/>
              <w:right w:w="115" w:type="dxa"/>
            </w:tcMar>
          </w:tcPr>
          <w:p w:rsidR="00A74420" w:rsidRPr="00A74420" w:rsidRDefault="00A74420" w:rsidP="004248FE">
            <w:pPr>
              <w:adjustRightInd/>
              <w:spacing w:before="40" w:after="40" w:line="240" w:lineRule="auto"/>
              <w:jc w:val="right"/>
              <w:textAlignment w:val="auto"/>
              <w:rPr>
                <w:rFonts w:asciiTheme="minorHAnsi" w:eastAsia="Calibri" w:hAnsiTheme="minorHAnsi" w:cstheme="minorHAnsi"/>
                <w:sz w:val="18"/>
                <w:szCs w:val="18"/>
              </w:rPr>
            </w:pPr>
            <w:r w:rsidRPr="00A74420">
              <w:rPr>
                <w:rFonts w:asciiTheme="minorHAnsi" w:hAnsiTheme="minorHAnsi" w:cstheme="minorHAnsi"/>
                <w:sz w:val="18"/>
                <w:szCs w:val="18"/>
              </w:rPr>
              <w:t>3,347</w:t>
            </w:r>
          </w:p>
        </w:tc>
      </w:tr>
    </w:tbl>
    <w:p w:rsidR="00B46640" w:rsidRPr="00B46640" w:rsidRDefault="00B46640" w:rsidP="00B46640">
      <w:pPr>
        <w:spacing w:before="120" w:line="240" w:lineRule="auto"/>
        <w:ind w:left="-540" w:right="1080"/>
        <w:rPr>
          <w:rFonts w:asciiTheme="minorHAnsi" w:hAnsiTheme="minorHAnsi"/>
          <w:sz w:val="16"/>
          <w:szCs w:val="16"/>
        </w:rPr>
      </w:pPr>
      <w:r w:rsidRPr="00B46640">
        <w:rPr>
          <w:rFonts w:asciiTheme="minorHAnsi" w:hAnsiTheme="minorHAnsi"/>
          <w:sz w:val="16"/>
          <w:szCs w:val="16"/>
        </w:rPr>
        <w:t xml:space="preserve">(a) Typical capacity values are used in this study; 26% for onshore wind and 30% for offshore wind.  </w:t>
      </w:r>
    </w:p>
    <w:p w:rsidR="00333297" w:rsidRDefault="00F90E42" w:rsidP="005C6415">
      <w:r w:rsidRPr="005C6415">
        <w:t>All scenarios assumed that the nuclear units at Millstone and Seabrook would</w:t>
      </w:r>
      <w:r w:rsidR="000F663A">
        <w:t xml:space="preserve"> be the first resources dispatched</w:t>
      </w:r>
      <w:r w:rsidRPr="005C6415">
        <w:t xml:space="preserve"> </w:t>
      </w:r>
      <w:r w:rsidR="000F663A">
        <w:t xml:space="preserve">so that they would operate </w:t>
      </w:r>
      <w:r w:rsidRPr="005C6415">
        <w:t xml:space="preserve">at full output and </w:t>
      </w:r>
      <w:r w:rsidR="000F663A">
        <w:t>would only</w:t>
      </w:r>
      <w:r w:rsidRPr="005C6415">
        <w:t xml:space="preserve"> be reduced</w:t>
      </w:r>
      <w:r w:rsidR="000F663A">
        <w:t xml:space="preserve"> in the event</w:t>
      </w:r>
      <w:r w:rsidR="008930A9">
        <w:t xml:space="preserve"> the net loads after EE and PV could not absorb their energy</w:t>
      </w:r>
      <w:r w:rsidRPr="005C6415">
        <w:t>.</w:t>
      </w:r>
      <w:r w:rsidR="00A37A8D" w:rsidRPr="00A37A8D">
        <w:t xml:space="preserve"> </w:t>
      </w:r>
      <w:r w:rsidR="008930A9">
        <w:br/>
      </w:r>
      <w:r w:rsidR="008930A9">
        <w:br/>
      </w:r>
      <w:r w:rsidR="00A37A8D" w:rsidRPr="00A37A8D">
        <w:t>PV resources</w:t>
      </w:r>
      <w:r w:rsidR="00A37A8D">
        <w:t xml:space="preserve"> u</w:t>
      </w:r>
      <w:r w:rsidR="00A37A8D" w:rsidRPr="00A37A8D">
        <w:t xml:space="preserve">sed the NREL database </w:t>
      </w:r>
      <w:r w:rsidR="00A37A8D" w:rsidRPr="005C6415">
        <w:t xml:space="preserve">for photovoltaic production </w:t>
      </w:r>
      <w:r w:rsidR="008930A9">
        <w:t xml:space="preserve">profiles </w:t>
      </w:r>
      <w:r w:rsidR="00A37A8D" w:rsidRPr="005C6415">
        <w:t>in 2006.</w:t>
      </w:r>
      <w:r w:rsidR="00A37A8D" w:rsidRPr="005C6415">
        <w:rPr>
          <w:rStyle w:val="FootnoteReference"/>
        </w:rPr>
        <w:footnoteReference w:id="47"/>
      </w:r>
      <w:r w:rsidR="00A37A8D" w:rsidRPr="00915638">
        <w:t xml:space="preserve"> </w:t>
      </w:r>
      <w:r w:rsidR="00A37A8D" w:rsidRPr="00A37A8D">
        <w:t xml:space="preserve">  </w:t>
      </w:r>
    </w:p>
    <w:p w:rsidR="0084022F" w:rsidRPr="000914EB" w:rsidRDefault="0084022F" w:rsidP="005C6415">
      <w:pPr>
        <w:pStyle w:val="Heading3"/>
      </w:pPr>
      <w:bookmarkStart w:id="126" w:name="_Toc486405980"/>
      <w:r w:rsidRPr="000914EB">
        <w:lastRenderedPageBreak/>
        <w:t>Wind Generation</w:t>
      </w:r>
      <w:bookmarkEnd w:id="126"/>
    </w:p>
    <w:p w:rsidR="009733F0" w:rsidRDefault="00531CC1" w:rsidP="005C6415">
      <w:pPr>
        <w:keepNext/>
        <w:keepLines/>
        <w:spacing w:line="240" w:lineRule="auto"/>
      </w:pPr>
      <w:r>
        <w:t>Similar to</w:t>
      </w:r>
      <w:r w:rsidR="004C04F8" w:rsidRPr="005C6415">
        <w:t xml:space="preserve"> photovoltaic resource</w:t>
      </w:r>
      <w:r>
        <w:t xml:space="preserve"> production profile</w:t>
      </w:r>
      <w:r w:rsidR="004C04F8" w:rsidRPr="005C6415">
        <w:t>s, t</w:t>
      </w:r>
      <w:r w:rsidR="00E55C4C" w:rsidRPr="004C04F8">
        <w:t xml:space="preserve">he study used </w:t>
      </w:r>
      <w:r w:rsidR="00A277FB" w:rsidRPr="005C6415">
        <w:t>NREL</w:t>
      </w:r>
      <w:r w:rsidR="004C04F8">
        <w:t xml:space="preserve"> </w:t>
      </w:r>
      <w:r w:rsidR="00A277FB" w:rsidRPr="005C6415">
        <w:t xml:space="preserve">data to build the </w:t>
      </w:r>
      <w:r w:rsidR="001109CA" w:rsidRPr="005C6415">
        <w:t>energy</w:t>
      </w:r>
      <w:r w:rsidR="00A37A8D" w:rsidRPr="005C6415">
        <w:t xml:space="preserve"> production</w:t>
      </w:r>
      <w:r w:rsidR="001109CA" w:rsidRPr="005C6415">
        <w:t xml:space="preserve"> </w:t>
      </w:r>
      <w:r w:rsidR="00A277FB" w:rsidRPr="005C6415">
        <w:t xml:space="preserve">profiles </w:t>
      </w:r>
      <w:r w:rsidR="00D856A3" w:rsidRPr="005C6415">
        <w:t xml:space="preserve">for </w:t>
      </w:r>
      <w:r w:rsidR="00A37A8D" w:rsidRPr="005C6415">
        <w:t xml:space="preserve">onshore and offshore </w:t>
      </w:r>
      <w:r w:rsidR="00D856A3" w:rsidRPr="005C6415">
        <w:t xml:space="preserve">wind resources </w:t>
      </w:r>
      <w:r w:rsidR="00A277FB" w:rsidRPr="005C6415">
        <w:t xml:space="preserve">and </w:t>
      </w:r>
      <w:r w:rsidR="00D856A3" w:rsidRPr="005C6415">
        <w:t>c</w:t>
      </w:r>
      <w:r w:rsidR="00A277FB" w:rsidRPr="005C6415">
        <w:t xml:space="preserve">alculate </w:t>
      </w:r>
      <w:r w:rsidR="00D856A3" w:rsidRPr="005C6415">
        <w:t xml:space="preserve">the </w:t>
      </w:r>
      <w:r w:rsidR="00A277FB" w:rsidRPr="005C6415">
        <w:t>capacity values</w:t>
      </w:r>
      <w:r w:rsidR="00A753F4" w:rsidRPr="005C6415">
        <w:t xml:space="preserve"> for wind generation</w:t>
      </w:r>
      <w:r w:rsidR="00633936" w:rsidRPr="005C6415">
        <w:t>, which are based on reliability hours</w:t>
      </w:r>
      <w:r w:rsidR="00CD0DD6" w:rsidRPr="005C6415">
        <w:rPr>
          <w:rFonts w:eastAsia="Calibri"/>
        </w:rPr>
        <w:t xml:space="preserve"> </w:t>
      </w:r>
      <w:r w:rsidR="00D856A3" w:rsidRPr="005C6415">
        <w:rPr>
          <w:rFonts w:eastAsia="Calibri"/>
        </w:rPr>
        <w:t>and a percentage of the nameplate</w:t>
      </w:r>
      <w:r w:rsidR="00D856A3" w:rsidRPr="00D856A3">
        <w:rPr>
          <w:rFonts w:eastAsia="Calibri"/>
        </w:rPr>
        <w:t xml:space="preserve"> </w:t>
      </w:r>
      <w:r w:rsidR="00D856A3" w:rsidRPr="000C506F">
        <w:rPr>
          <w:rFonts w:eastAsia="Calibri"/>
        </w:rPr>
        <w:t>assumptions</w:t>
      </w:r>
      <w:r w:rsidR="00A277FB" w:rsidRPr="005C6415">
        <w:t xml:space="preserve">. </w:t>
      </w:r>
      <w:r w:rsidR="00D856A3" w:rsidRPr="00CD0DD6">
        <w:fldChar w:fldCharType="begin"/>
      </w:r>
      <w:r w:rsidR="00D856A3" w:rsidRPr="00CD0DD6">
        <w:instrText xml:space="preserve"> REF _Ref461379809 \h  \* MERGEFORMAT </w:instrText>
      </w:r>
      <w:r w:rsidR="00D856A3" w:rsidRPr="00CD0DD6">
        <w:fldChar w:fldCharType="separate"/>
      </w:r>
      <w:r w:rsidR="00742B49" w:rsidRPr="00F60802">
        <w:t xml:space="preserve">Figure </w:t>
      </w:r>
      <w:r w:rsidR="00742B49">
        <w:rPr>
          <w:noProof/>
        </w:rPr>
        <w:t>5</w:t>
      </w:r>
      <w:r w:rsidR="00742B49">
        <w:rPr>
          <w:noProof/>
        </w:rPr>
        <w:noBreakHyphen/>
        <w:t>4</w:t>
      </w:r>
      <w:r w:rsidR="00D856A3" w:rsidRPr="00CD0DD6">
        <w:fldChar w:fldCharType="end"/>
      </w:r>
      <w:r w:rsidR="00D856A3" w:rsidRPr="00F60802">
        <w:t xml:space="preserve"> show</w:t>
      </w:r>
      <w:r w:rsidR="004248FE">
        <w:t>s</w:t>
      </w:r>
      <w:r w:rsidR="00D856A3" w:rsidRPr="00F60802">
        <w:t xml:space="preserve"> the </w:t>
      </w:r>
      <w:r w:rsidR="00D856A3">
        <w:t>wind nameplate capacities assumed in each scenario for the two study years</w:t>
      </w:r>
      <w:r w:rsidR="00D856A3" w:rsidRPr="00A43594">
        <w:t>.</w:t>
      </w:r>
      <w:r w:rsidR="000C506F">
        <w:t xml:space="preserve"> </w:t>
      </w:r>
      <w:r w:rsidR="00D10A3A">
        <w:t xml:space="preserve">The </w:t>
      </w:r>
      <w:r w:rsidR="00D10A3A" w:rsidRPr="00BA1A19">
        <w:t>figure include</w:t>
      </w:r>
      <w:r w:rsidR="00AF7D42" w:rsidRPr="00BA1A19">
        <w:t>s</w:t>
      </w:r>
      <w:r w:rsidR="00D10A3A" w:rsidRPr="00BA1A19">
        <w:t xml:space="preserve"> wind resource</w:t>
      </w:r>
      <w:r w:rsidR="000E5E61" w:rsidRPr="00BA1A19">
        <w:t xml:space="preserve"> addition</w:t>
      </w:r>
      <w:r w:rsidR="00D10A3A" w:rsidRPr="00BA1A19">
        <w:t>s with I.3.9 appro</w:t>
      </w:r>
      <w:r w:rsidR="00AF7D42" w:rsidRPr="00BA1A19">
        <w:t>vals, but not in service as of April 1, 2016.</w:t>
      </w:r>
      <w:r w:rsidR="00AF7D42">
        <w:t xml:space="preserve">  </w:t>
      </w:r>
      <w:r w:rsidR="00D10A3A">
        <w:t xml:space="preserve"> </w:t>
      </w:r>
    </w:p>
    <w:p w:rsidR="0089789A" w:rsidRDefault="0089789A" w:rsidP="00D570E1">
      <w:pPr>
        <w:keepNext/>
        <w:keepLines/>
        <w:spacing w:after="0" w:line="240" w:lineRule="auto"/>
        <w:jc w:val="center"/>
      </w:pPr>
    </w:p>
    <w:p w:rsidR="005378E6" w:rsidRDefault="005378E6" w:rsidP="005378E6">
      <w:pPr>
        <w:keepNext/>
        <w:keepLines/>
        <w:spacing w:after="0" w:line="240" w:lineRule="auto"/>
        <w:jc w:val="center"/>
      </w:pPr>
      <w:r>
        <w:rPr>
          <w:noProof/>
        </w:rPr>
        <w:drawing>
          <wp:inline distT="0" distB="0" distL="0" distR="0" wp14:anchorId="53B329E7" wp14:editId="1B5B65E7">
            <wp:extent cx="4789170" cy="35928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89170" cy="3592830"/>
                    </a:xfrm>
                    <a:prstGeom prst="rect">
                      <a:avLst/>
                    </a:prstGeom>
                    <a:noFill/>
                    <a:ln>
                      <a:noFill/>
                    </a:ln>
                  </pic:spPr>
                </pic:pic>
              </a:graphicData>
            </a:graphic>
          </wp:inline>
        </w:drawing>
      </w:r>
    </w:p>
    <w:p w:rsidR="009733F0" w:rsidRPr="005378E6" w:rsidRDefault="009733F0" w:rsidP="000C506F">
      <w:pPr>
        <w:pStyle w:val="Caption"/>
        <w:spacing w:before="120" w:after="80"/>
        <w:ind w:left="994" w:right="1080"/>
        <w:rPr>
          <w:color w:val="000000" w:themeColor="text1"/>
        </w:rPr>
      </w:pPr>
      <w:bookmarkStart w:id="127" w:name="_Ref461379809"/>
      <w:bookmarkStart w:id="128" w:name="_Ref476575995"/>
      <w:bookmarkStart w:id="129" w:name="_Toc486406064"/>
      <w:r w:rsidRPr="005378E6">
        <w:rPr>
          <w:color w:val="000000" w:themeColor="text1"/>
        </w:rPr>
        <w:t xml:space="preserve">Figure </w:t>
      </w:r>
      <w:r w:rsidR="00202494" w:rsidRPr="005378E6">
        <w:rPr>
          <w:color w:val="000000" w:themeColor="text1"/>
        </w:rPr>
        <w:fldChar w:fldCharType="begin"/>
      </w:r>
      <w:r w:rsidR="00202494" w:rsidRPr="005378E6">
        <w:rPr>
          <w:color w:val="000000" w:themeColor="text1"/>
        </w:rPr>
        <w:instrText xml:space="preserve"> STYLEREF 1 \s </w:instrText>
      </w:r>
      <w:r w:rsidR="00202494" w:rsidRPr="005378E6">
        <w:rPr>
          <w:color w:val="000000" w:themeColor="text1"/>
        </w:rPr>
        <w:fldChar w:fldCharType="separate"/>
      </w:r>
      <w:r w:rsidR="00742B49" w:rsidRPr="005378E6">
        <w:rPr>
          <w:noProof/>
          <w:color w:val="000000" w:themeColor="text1"/>
        </w:rPr>
        <w:t>5</w:t>
      </w:r>
      <w:r w:rsidR="00202494" w:rsidRPr="005378E6">
        <w:rPr>
          <w:noProof/>
          <w:color w:val="000000" w:themeColor="text1"/>
        </w:rPr>
        <w:fldChar w:fldCharType="end"/>
      </w:r>
      <w:r w:rsidR="00024994" w:rsidRPr="005378E6">
        <w:rPr>
          <w:color w:val="000000" w:themeColor="text1"/>
        </w:rPr>
        <w:noBreakHyphen/>
      </w:r>
      <w:r w:rsidR="00202494" w:rsidRPr="005378E6">
        <w:rPr>
          <w:color w:val="000000" w:themeColor="text1"/>
        </w:rPr>
        <w:fldChar w:fldCharType="begin"/>
      </w:r>
      <w:r w:rsidR="00202494" w:rsidRPr="005378E6">
        <w:rPr>
          <w:color w:val="000000" w:themeColor="text1"/>
        </w:rPr>
        <w:instrText xml:space="preserve"> SEQ Figure \* ARABIC \s 1 </w:instrText>
      </w:r>
      <w:r w:rsidR="00202494" w:rsidRPr="005378E6">
        <w:rPr>
          <w:color w:val="000000" w:themeColor="text1"/>
        </w:rPr>
        <w:fldChar w:fldCharType="separate"/>
      </w:r>
      <w:r w:rsidR="00742B49" w:rsidRPr="005378E6">
        <w:rPr>
          <w:noProof/>
          <w:color w:val="000000" w:themeColor="text1"/>
        </w:rPr>
        <w:t>4</w:t>
      </w:r>
      <w:r w:rsidR="00202494" w:rsidRPr="005378E6">
        <w:rPr>
          <w:noProof/>
          <w:color w:val="000000" w:themeColor="text1"/>
        </w:rPr>
        <w:fldChar w:fldCharType="end"/>
      </w:r>
      <w:bookmarkEnd w:id="127"/>
      <w:bookmarkEnd w:id="128"/>
      <w:r w:rsidRPr="005378E6">
        <w:rPr>
          <w:color w:val="000000" w:themeColor="text1"/>
        </w:rPr>
        <w:t xml:space="preserve">: Wind nameplate capacities assumed for the </w:t>
      </w:r>
      <w:r w:rsidRPr="00BA1A19">
        <w:rPr>
          <w:color w:val="000000" w:themeColor="text1"/>
        </w:rPr>
        <w:t>wind resource</w:t>
      </w:r>
      <w:r w:rsidR="007C37D8" w:rsidRPr="00BA1A19">
        <w:rPr>
          <w:color w:val="000000" w:themeColor="text1"/>
        </w:rPr>
        <w:t>s</w:t>
      </w:r>
      <w:r w:rsidRPr="005378E6">
        <w:rPr>
          <w:color w:val="000000" w:themeColor="text1"/>
        </w:rPr>
        <w:t xml:space="preserve"> 2025 and 2030 (MW).</w:t>
      </w:r>
      <w:bookmarkEnd w:id="129"/>
      <w:r w:rsidR="003E7339" w:rsidRPr="005378E6">
        <w:rPr>
          <w:color w:val="000000" w:themeColor="text1"/>
        </w:rPr>
        <w:t xml:space="preserve"> </w:t>
      </w:r>
    </w:p>
    <w:p w:rsidR="00564740" w:rsidRDefault="00564740" w:rsidP="0089789A">
      <w:pPr>
        <w:spacing w:line="240" w:lineRule="auto"/>
        <w:ind w:left="994" w:right="907"/>
        <w:rPr>
          <w:rFonts w:asciiTheme="minorHAnsi" w:hAnsiTheme="minorHAnsi"/>
          <w:sz w:val="16"/>
          <w:szCs w:val="16"/>
        </w:rPr>
      </w:pPr>
      <w:r w:rsidRPr="003A2CA8">
        <w:rPr>
          <w:rFonts w:asciiTheme="minorHAnsi" w:hAnsiTheme="minorHAnsi"/>
          <w:b/>
          <w:sz w:val="16"/>
          <w:szCs w:val="16"/>
        </w:rPr>
        <w:t xml:space="preserve">Note: </w:t>
      </w:r>
      <w:r w:rsidR="00EE039A" w:rsidRPr="003A2CA8">
        <w:rPr>
          <w:rFonts w:asciiTheme="minorHAnsi" w:hAnsiTheme="minorHAnsi"/>
          <w:sz w:val="16"/>
          <w:szCs w:val="16"/>
        </w:rPr>
        <w:t xml:space="preserve"> </w:t>
      </w:r>
      <w:r w:rsidRPr="003A2CA8">
        <w:rPr>
          <w:rFonts w:asciiTheme="minorHAnsi" w:hAnsiTheme="minorHAnsi"/>
          <w:sz w:val="16"/>
          <w:szCs w:val="16"/>
        </w:rPr>
        <w:t xml:space="preserve">“BHE” </w:t>
      </w:r>
      <w:r w:rsidR="00EE039A" w:rsidRPr="003A2CA8">
        <w:rPr>
          <w:rFonts w:asciiTheme="minorHAnsi" w:hAnsiTheme="minorHAnsi"/>
          <w:sz w:val="16"/>
          <w:szCs w:val="16"/>
        </w:rPr>
        <w:t>represents northeastern Maine; “ME,” western and central Maine/Saco Valley, New Hampshire;</w:t>
      </w:r>
      <w:r w:rsidRPr="003A2CA8">
        <w:rPr>
          <w:rFonts w:asciiTheme="minorHAnsi" w:hAnsiTheme="minorHAnsi"/>
          <w:sz w:val="16"/>
          <w:szCs w:val="16"/>
        </w:rPr>
        <w:t xml:space="preserve"> </w:t>
      </w:r>
      <w:r w:rsidR="00EE039A" w:rsidRPr="003A2CA8">
        <w:rPr>
          <w:rFonts w:asciiTheme="minorHAnsi" w:hAnsiTheme="minorHAnsi"/>
          <w:sz w:val="16"/>
          <w:szCs w:val="16"/>
        </w:rPr>
        <w:t>“VT,” Vermont/southwestern New Hampshire; “NH,” northern, eastern, and central New Hampshire/eastern Vermont, and southwestern Maine; “WMA,” western Massachusetts; “SEMA/RI,”</w:t>
      </w:r>
      <w:r w:rsidR="00EE039A" w:rsidRPr="003A2CA8">
        <w:rPr>
          <w:sz w:val="16"/>
          <w:szCs w:val="16"/>
        </w:rPr>
        <w:t xml:space="preserve"> s</w:t>
      </w:r>
      <w:r w:rsidR="00EE039A" w:rsidRPr="003A2CA8">
        <w:rPr>
          <w:rFonts w:asciiTheme="minorHAnsi" w:hAnsiTheme="minorHAnsi"/>
          <w:sz w:val="16"/>
          <w:szCs w:val="16"/>
        </w:rPr>
        <w:t>outheastern Massachusetts/Newport, Rhode Island, and Rhode Island/bordering Massachusetts.</w:t>
      </w:r>
    </w:p>
    <w:p w:rsidR="0084022F" w:rsidRPr="00FD59E0" w:rsidRDefault="0084022F" w:rsidP="0084022F">
      <w:pPr>
        <w:rPr>
          <w:szCs w:val="20"/>
        </w:rPr>
      </w:pPr>
      <w:r w:rsidRPr="000914EB">
        <w:rPr>
          <w:szCs w:val="20"/>
        </w:rPr>
        <w:t>For</w:t>
      </w:r>
      <w:r w:rsidRPr="00FD59E0">
        <w:rPr>
          <w:szCs w:val="20"/>
        </w:rPr>
        <w:t xml:space="preserve"> the Scenario 3 simulations, wind resources were </w:t>
      </w:r>
      <w:r w:rsidRPr="00A753F4">
        <w:rPr>
          <w:rFonts w:eastAsia="Calibri"/>
          <w:spacing w:val="-1"/>
          <w:szCs w:val="20"/>
        </w:rPr>
        <w:t>scaled</w:t>
      </w:r>
      <w:r w:rsidRPr="00A753F4">
        <w:rPr>
          <w:rFonts w:eastAsia="Calibri"/>
          <w:szCs w:val="20"/>
        </w:rPr>
        <w:t xml:space="preserve"> </w:t>
      </w:r>
      <w:r w:rsidRPr="00A753F4">
        <w:rPr>
          <w:rFonts w:eastAsia="Calibri"/>
          <w:spacing w:val="-1"/>
          <w:szCs w:val="20"/>
        </w:rPr>
        <w:t xml:space="preserve">up from </w:t>
      </w:r>
      <w:r w:rsidRPr="00A753F4">
        <w:rPr>
          <w:rFonts w:eastAsia="Calibri"/>
          <w:spacing w:val="-3"/>
          <w:szCs w:val="20"/>
        </w:rPr>
        <w:t xml:space="preserve">the levels included in the </w:t>
      </w:r>
      <w:r w:rsidRPr="00A753F4">
        <w:rPr>
          <w:rFonts w:eastAsia="Calibri"/>
          <w:spacing w:val="-1"/>
          <w:szCs w:val="20"/>
        </w:rPr>
        <w:t xml:space="preserve">other </w:t>
      </w:r>
      <w:r w:rsidRPr="00A753F4">
        <w:rPr>
          <w:rFonts w:eastAsia="Calibri"/>
          <w:szCs w:val="20"/>
        </w:rPr>
        <w:t>scenarios and w</w:t>
      </w:r>
      <w:r w:rsidRPr="00FD59E0">
        <w:rPr>
          <w:szCs w:val="20"/>
        </w:rPr>
        <w:t>ere modeled as follows:</w:t>
      </w:r>
    </w:p>
    <w:p w:rsidR="0084022F" w:rsidRPr="00FD59E0" w:rsidRDefault="0084022F" w:rsidP="0084022F">
      <w:pPr>
        <w:numPr>
          <w:ilvl w:val="0"/>
          <w:numId w:val="25"/>
        </w:numPr>
        <w:spacing w:after="120"/>
        <w:rPr>
          <w:rFonts w:eastAsia="Calibri"/>
          <w:szCs w:val="20"/>
        </w:rPr>
      </w:pPr>
      <w:r w:rsidRPr="00FD59E0">
        <w:rPr>
          <w:szCs w:val="20"/>
        </w:rPr>
        <w:t>Onshore wind was adde</w:t>
      </w:r>
      <w:r w:rsidR="00CE5355">
        <w:rPr>
          <w:szCs w:val="20"/>
        </w:rPr>
        <w:t xml:space="preserve">d to existing amounts for a </w:t>
      </w:r>
      <w:r w:rsidRPr="0084022F">
        <w:rPr>
          <w:szCs w:val="20"/>
        </w:rPr>
        <w:t>total</w:t>
      </w:r>
      <w:r w:rsidR="00CE5355">
        <w:rPr>
          <w:szCs w:val="20"/>
        </w:rPr>
        <w:t xml:space="preserve"> of</w:t>
      </w:r>
      <w:r w:rsidRPr="0084022F">
        <w:rPr>
          <w:szCs w:val="20"/>
        </w:rPr>
        <w:t xml:space="preserve"> </w:t>
      </w:r>
      <w:r w:rsidRPr="0084022F">
        <w:rPr>
          <w:rFonts w:eastAsia="Calibri"/>
          <w:spacing w:val="-1"/>
          <w:szCs w:val="20"/>
        </w:rPr>
        <w:t>4,250</w:t>
      </w:r>
      <w:r w:rsidRPr="0084022F">
        <w:rPr>
          <w:rFonts w:eastAsia="Calibri"/>
          <w:spacing w:val="-2"/>
          <w:szCs w:val="20"/>
        </w:rPr>
        <w:t xml:space="preserve"> </w:t>
      </w:r>
      <w:r w:rsidRPr="0084022F">
        <w:rPr>
          <w:rFonts w:eastAsia="Calibri"/>
          <w:szCs w:val="20"/>
        </w:rPr>
        <w:t>MW</w:t>
      </w:r>
      <w:r w:rsidRPr="00FD59E0">
        <w:rPr>
          <w:rFonts w:eastAsia="Calibri"/>
          <w:spacing w:val="-2"/>
          <w:szCs w:val="20"/>
        </w:rPr>
        <w:t xml:space="preserve"> by</w:t>
      </w:r>
      <w:r w:rsidRPr="00FD59E0">
        <w:rPr>
          <w:rFonts w:eastAsia="Calibri"/>
          <w:szCs w:val="20"/>
        </w:rPr>
        <w:t xml:space="preserve"> </w:t>
      </w:r>
      <w:r w:rsidRPr="00FD59E0">
        <w:rPr>
          <w:rFonts w:eastAsia="Calibri"/>
          <w:spacing w:val="-1"/>
          <w:szCs w:val="20"/>
        </w:rPr>
        <w:t>2025</w:t>
      </w:r>
      <w:r w:rsidRPr="00FD59E0">
        <w:rPr>
          <w:rFonts w:eastAsia="Calibri"/>
          <w:szCs w:val="20"/>
        </w:rPr>
        <w:t xml:space="preserve"> and</w:t>
      </w:r>
      <w:r w:rsidRPr="00FD59E0">
        <w:rPr>
          <w:rFonts w:eastAsia="Calibri"/>
          <w:spacing w:val="1"/>
          <w:szCs w:val="20"/>
        </w:rPr>
        <w:t xml:space="preserve"> </w:t>
      </w:r>
      <w:r w:rsidRPr="00FD59E0">
        <w:rPr>
          <w:rFonts w:eastAsia="Calibri"/>
          <w:spacing w:val="-1"/>
          <w:szCs w:val="20"/>
        </w:rPr>
        <w:t>4,800</w:t>
      </w:r>
      <w:r w:rsidRPr="00FD59E0">
        <w:rPr>
          <w:rFonts w:eastAsia="Calibri"/>
          <w:spacing w:val="-2"/>
          <w:szCs w:val="20"/>
        </w:rPr>
        <w:t xml:space="preserve"> </w:t>
      </w:r>
      <w:r w:rsidRPr="00FD59E0">
        <w:rPr>
          <w:rFonts w:eastAsia="Calibri"/>
          <w:szCs w:val="20"/>
        </w:rPr>
        <w:t xml:space="preserve">MW </w:t>
      </w:r>
      <w:r w:rsidRPr="00FD59E0">
        <w:rPr>
          <w:rFonts w:eastAsia="Calibri"/>
          <w:spacing w:val="-2"/>
          <w:szCs w:val="20"/>
        </w:rPr>
        <w:t>by</w:t>
      </w:r>
      <w:r w:rsidRPr="00FD59E0">
        <w:rPr>
          <w:rFonts w:eastAsia="Calibri"/>
          <w:spacing w:val="23"/>
          <w:szCs w:val="20"/>
        </w:rPr>
        <w:t xml:space="preserve"> </w:t>
      </w:r>
      <w:r w:rsidRPr="00FD59E0">
        <w:rPr>
          <w:rFonts w:eastAsia="Calibri"/>
          <w:spacing w:val="-1"/>
          <w:szCs w:val="20"/>
        </w:rPr>
        <w:t xml:space="preserve">2030. </w:t>
      </w:r>
    </w:p>
    <w:p w:rsidR="0084022F" w:rsidRPr="00FD59E0" w:rsidRDefault="0084022F" w:rsidP="00CE5355">
      <w:pPr>
        <w:numPr>
          <w:ilvl w:val="0"/>
          <w:numId w:val="25"/>
        </w:numPr>
        <w:rPr>
          <w:rFonts w:eastAsia="Calibri"/>
          <w:szCs w:val="20"/>
        </w:rPr>
      </w:pPr>
      <w:r w:rsidRPr="00FD59E0">
        <w:rPr>
          <w:szCs w:val="20"/>
        </w:rPr>
        <w:t>Offshore wind was added</w:t>
      </w:r>
      <w:r w:rsidR="00CE5355">
        <w:rPr>
          <w:szCs w:val="20"/>
        </w:rPr>
        <w:t xml:space="preserve"> </w:t>
      </w:r>
      <w:r w:rsidR="00CE5355" w:rsidRPr="00CE5355">
        <w:rPr>
          <w:szCs w:val="20"/>
        </w:rPr>
        <w:t xml:space="preserve">to existing amounts </w:t>
      </w:r>
      <w:r w:rsidR="00CE5355">
        <w:rPr>
          <w:szCs w:val="20"/>
        </w:rPr>
        <w:t xml:space="preserve">for a total of </w:t>
      </w:r>
      <w:r w:rsidRPr="00FD59E0">
        <w:rPr>
          <w:szCs w:val="20"/>
        </w:rPr>
        <w:t>1,</w:t>
      </w:r>
      <w:r w:rsidR="000E5E61">
        <w:rPr>
          <w:szCs w:val="20"/>
        </w:rPr>
        <w:t>483</w:t>
      </w:r>
      <w:r w:rsidRPr="00FD59E0">
        <w:rPr>
          <w:szCs w:val="20"/>
        </w:rPr>
        <w:t xml:space="preserve"> MW by 2025 and 2,</w:t>
      </w:r>
      <w:r w:rsidR="000E5E61">
        <w:rPr>
          <w:szCs w:val="20"/>
        </w:rPr>
        <w:t>483</w:t>
      </w:r>
      <w:r w:rsidRPr="00FD59E0">
        <w:rPr>
          <w:szCs w:val="20"/>
        </w:rPr>
        <w:t xml:space="preserve"> MW by 2030</w:t>
      </w:r>
      <w:r w:rsidR="00CE5355">
        <w:rPr>
          <w:szCs w:val="20"/>
        </w:rPr>
        <w:t>.</w:t>
      </w:r>
      <w:r w:rsidRPr="00FD59E0">
        <w:rPr>
          <w:szCs w:val="20"/>
        </w:rPr>
        <w:t xml:space="preserve"> </w:t>
      </w:r>
    </w:p>
    <w:p w:rsidR="0084022F" w:rsidRPr="007A28D4" w:rsidRDefault="0084022F" w:rsidP="0084022F">
      <w:pPr>
        <w:numPr>
          <w:ilvl w:val="1"/>
          <w:numId w:val="25"/>
        </w:numPr>
        <w:spacing w:after="120"/>
        <w:rPr>
          <w:rFonts w:eastAsia="Calibri"/>
          <w:szCs w:val="20"/>
        </w:rPr>
      </w:pPr>
      <w:r w:rsidRPr="00FD59E0">
        <w:rPr>
          <w:szCs w:val="20"/>
        </w:rPr>
        <w:lastRenderedPageBreak/>
        <w:t>This is s</w:t>
      </w:r>
      <w:r w:rsidRPr="00FD59E0">
        <w:rPr>
          <w:rFonts w:eastAsia="Calibri"/>
          <w:szCs w:val="20"/>
        </w:rPr>
        <w:t>imilar</w:t>
      </w:r>
      <w:r w:rsidRPr="00FD59E0">
        <w:rPr>
          <w:rFonts w:eastAsia="Calibri"/>
          <w:spacing w:val="3"/>
          <w:szCs w:val="20"/>
        </w:rPr>
        <w:t xml:space="preserve"> to the wind-</w:t>
      </w:r>
      <w:r w:rsidRPr="00FD59E0">
        <w:rPr>
          <w:rFonts w:eastAsia="Calibri"/>
          <w:szCs w:val="20"/>
        </w:rPr>
        <w:t>addition assumptions</w:t>
      </w:r>
      <w:r w:rsidRPr="00FD59E0">
        <w:rPr>
          <w:rFonts w:eastAsia="Calibri"/>
          <w:spacing w:val="3"/>
          <w:szCs w:val="20"/>
        </w:rPr>
        <w:t xml:space="preserve"> presented in </w:t>
      </w:r>
      <w:r w:rsidRPr="00D570E1">
        <w:rPr>
          <w:rFonts w:eastAsia="Calibri"/>
          <w:szCs w:val="20"/>
        </w:rPr>
        <w:t xml:space="preserve">the </w:t>
      </w:r>
      <w:r w:rsidRPr="007A28D4">
        <w:rPr>
          <w:rFonts w:eastAsia="Calibri"/>
          <w:i/>
          <w:szCs w:val="20"/>
        </w:rPr>
        <w:t>2015</w:t>
      </w:r>
      <w:r w:rsidRPr="007A28D4">
        <w:rPr>
          <w:rFonts w:eastAsia="Calibri"/>
          <w:i/>
          <w:spacing w:val="-6"/>
          <w:szCs w:val="20"/>
        </w:rPr>
        <w:t xml:space="preserve"> </w:t>
      </w:r>
      <w:r w:rsidRPr="007A28D4">
        <w:rPr>
          <w:rFonts w:eastAsia="Calibri"/>
          <w:i/>
          <w:spacing w:val="-2"/>
          <w:szCs w:val="20"/>
        </w:rPr>
        <w:t>Economic</w:t>
      </w:r>
      <w:r w:rsidRPr="007A28D4">
        <w:rPr>
          <w:rFonts w:eastAsia="Calibri"/>
          <w:i/>
          <w:spacing w:val="-6"/>
          <w:szCs w:val="20"/>
        </w:rPr>
        <w:t xml:space="preserve"> </w:t>
      </w:r>
      <w:r w:rsidRPr="007A28D4">
        <w:rPr>
          <w:rFonts w:eastAsia="Calibri"/>
          <w:i/>
          <w:szCs w:val="20"/>
        </w:rPr>
        <w:t>Study</w:t>
      </w:r>
      <w:r w:rsidRPr="007A28D4">
        <w:rPr>
          <w:rFonts w:eastAsia="Calibri"/>
          <w:i/>
          <w:spacing w:val="-3"/>
          <w:szCs w:val="20"/>
        </w:rPr>
        <w:t xml:space="preserve"> </w:t>
      </w:r>
      <w:r w:rsidRPr="007A28D4">
        <w:rPr>
          <w:rFonts w:eastAsia="Calibri"/>
          <w:i/>
          <w:spacing w:val="-2"/>
          <w:szCs w:val="20"/>
        </w:rPr>
        <w:t xml:space="preserve">Evaluation </w:t>
      </w:r>
      <w:r w:rsidRPr="007A28D4">
        <w:rPr>
          <w:rFonts w:eastAsia="Calibri"/>
          <w:i/>
          <w:szCs w:val="20"/>
        </w:rPr>
        <w:t>of</w:t>
      </w:r>
      <w:r w:rsidRPr="007A28D4">
        <w:rPr>
          <w:rFonts w:eastAsia="Calibri"/>
          <w:i/>
          <w:spacing w:val="-2"/>
          <w:szCs w:val="20"/>
        </w:rPr>
        <w:t xml:space="preserve"> </w:t>
      </w:r>
      <w:r w:rsidRPr="007A28D4">
        <w:rPr>
          <w:rFonts w:eastAsia="Calibri"/>
          <w:i/>
          <w:spacing w:val="-3"/>
          <w:szCs w:val="20"/>
        </w:rPr>
        <w:t>Offshore</w:t>
      </w:r>
      <w:r w:rsidRPr="007A28D4">
        <w:rPr>
          <w:rFonts w:eastAsia="Calibri"/>
          <w:i/>
          <w:spacing w:val="-2"/>
          <w:szCs w:val="20"/>
        </w:rPr>
        <w:t xml:space="preserve"> </w:t>
      </w:r>
      <w:r w:rsidRPr="007A28D4">
        <w:rPr>
          <w:rFonts w:eastAsia="Calibri"/>
          <w:i/>
          <w:szCs w:val="20"/>
        </w:rPr>
        <w:t>Wind</w:t>
      </w:r>
      <w:r w:rsidRPr="007A28D4">
        <w:rPr>
          <w:rFonts w:eastAsia="Calibri"/>
          <w:i/>
          <w:spacing w:val="37"/>
          <w:szCs w:val="20"/>
        </w:rPr>
        <w:t xml:space="preserve"> </w:t>
      </w:r>
      <w:r w:rsidRPr="007A28D4">
        <w:rPr>
          <w:rFonts w:eastAsia="Calibri"/>
          <w:i/>
          <w:spacing w:val="-2"/>
          <w:szCs w:val="20"/>
        </w:rPr>
        <w:t>Deploymen</w:t>
      </w:r>
      <w:r w:rsidR="00D570E1" w:rsidRPr="007A28D4">
        <w:rPr>
          <w:rFonts w:eastAsia="Calibri"/>
          <w:i/>
          <w:spacing w:val="-2"/>
          <w:szCs w:val="20"/>
        </w:rPr>
        <w:t>t</w:t>
      </w:r>
      <w:r w:rsidRPr="007A28D4">
        <w:rPr>
          <w:rStyle w:val="FootnoteReference"/>
          <w:rFonts w:eastAsia="Calibri"/>
          <w:spacing w:val="-4"/>
          <w:sz w:val="20"/>
          <w:szCs w:val="20"/>
        </w:rPr>
        <w:footnoteReference w:id="48"/>
      </w:r>
      <w:r w:rsidRPr="007A28D4">
        <w:rPr>
          <w:rFonts w:eastAsia="Calibri"/>
          <w:spacing w:val="-4"/>
          <w:szCs w:val="20"/>
        </w:rPr>
        <w:t xml:space="preserve"> </w:t>
      </w:r>
    </w:p>
    <w:p w:rsidR="0084022F" w:rsidRPr="00FD59E0" w:rsidRDefault="0084022F" w:rsidP="0084022F">
      <w:pPr>
        <w:numPr>
          <w:ilvl w:val="1"/>
          <w:numId w:val="25"/>
        </w:numPr>
        <w:rPr>
          <w:rFonts w:eastAsia="Calibri"/>
          <w:szCs w:val="20"/>
        </w:rPr>
      </w:pPr>
      <w:r w:rsidRPr="00FD59E0">
        <w:rPr>
          <w:rFonts w:eastAsia="Calibri"/>
          <w:spacing w:val="-4"/>
          <w:szCs w:val="20"/>
        </w:rPr>
        <w:t>This wind is assumed to i</w:t>
      </w:r>
      <w:r w:rsidRPr="00FD59E0">
        <w:rPr>
          <w:rFonts w:eastAsia="Calibri"/>
          <w:spacing w:val="-2"/>
          <w:szCs w:val="20"/>
        </w:rPr>
        <w:t>nterconnect</w:t>
      </w:r>
      <w:r w:rsidRPr="00FD59E0">
        <w:rPr>
          <w:rFonts w:eastAsia="Calibri"/>
          <w:spacing w:val="-4"/>
          <w:szCs w:val="20"/>
        </w:rPr>
        <w:t xml:space="preserve"> </w:t>
      </w:r>
      <w:r w:rsidRPr="00FD59E0">
        <w:rPr>
          <w:rFonts w:eastAsia="Calibri"/>
          <w:szCs w:val="20"/>
        </w:rPr>
        <w:t>mainly</w:t>
      </w:r>
      <w:r w:rsidRPr="00FD59E0">
        <w:rPr>
          <w:rFonts w:eastAsia="Calibri"/>
          <w:spacing w:val="1"/>
          <w:szCs w:val="20"/>
        </w:rPr>
        <w:t xml:space="preserve"> </w:t>
      </w:r>
      <w:r w:rsidRPr="0084022F">
        <w:rPr>
          <w:rFonts w:eastAsia="Calibri"/>
          <w:szCs w:val="20"/>
        </w:rPr>
        <w:t>in</w:t>
      </w:r>
      <w:r w:rsidRPr="0084022F">
        <w:rPr>
          <w:rFonts w:eastAsia="Calibri"/>
          <w:spacing w:val="-3"/>
          <w:szCs w:val="20"/>
        </w:rPr>
        <w:t xml:space="preserve"> </w:t>
      </w:r>
      <w:r w:rsidRPr="00EA15C1">
        <w:rPr>
          <w:rFonts w:eastAsia="Calibri"/>
          <w:szCs w:val="20"/>
        </w:rPr>
        <w:t>SEMA and RI</w:t>
      </w:r>
      <w:r w:rsidR="000E5E61">
        <w:rPr>
          <w:rFonts w:eastAsia="Calibri"/>
          <w:szCs w:val="20"/>
        </w:rPr>
        <w:t>, but includes some interconnect</w:t>
      </w:r>
      <w:r w:rsidR="00BA1A19">
        <w:rPr>
          <w:rFonts w:eastAsia="Calibri"/>
          <w:szCs w:val="20"/>
        </w:rPr>
        <w:t>ions</w:t>
      </w:r>
      <w:r w:rsidR="000E5E61">
        <w:rPr>
          <w:rFonts w:eastAsia="Calibri"/>
          <w:szCs w:val="20"/>
        </w:rPr>
        <w:t xml:space="preserve"> to Connecticut</w:t>
      </w:r>
      <w:r w:rsidRPr="00EA15C1">
        <w:rPr>
          <w:rFonts w:eastAsia="Calibri"/>
          <w:szCs w:val="20"/>
        </w:rPr>
        <w:t xml:space="preserve">. </w:t>
      </w:r>
    </w:p>
    <w:p w:rsidR="00993735" w:rsidRDefault="00526A01" w:rsidP="00B46640">
      <w:pPr>
        <w:rPr>
          <w:rFonts w:eastAsia="Calibri"/>
        </w:rPr>
        <w:sectPr w:rsidR="00993735" w:rsidSect="00C40A1D">
          <w:footerReference w:type="default" r:id="rId32"/>
          <w:pgSz w:w="12240" w:h="15840" w:code="1"/>
          <w:pgMar w:top="1440" w:right="1440" w:bottom="1440" w:left="1440" w:header="720" w:footer="720" w:gutter="0"/>
          <w:cols w:space="720"/>
          <w:docGrid w:linePitch="360"/>
        </w:sectPr>
      </w:pPr>
      <w:r w:rsidRPr="00B46640">
        <w:t xml:space="preserve">Table </w:t>
      </w:r>
      <w:r w:rsidR="00EB5279" w:rsidRPr="00B46640">
        <w:t>5-8</w:t>
      </w:r>
      <w:r w:rsidR="00EB7E31" w:rsidRPr="00B46640">
        <w:rPr>
          <w:rFonts w:eastAsia="Calibri"/>
        </w:rPr>
        <w:fldChar w:fldCharType="begin"/>
      </w:r>
      <w:r w:rsidR="00EB7E31" w:rsidRPr="00B46640">
        <w:rPr>
          <w:rFonts w:eastAsia="Calibri"/>
        </w:rPr>
        <w:instrText xml:space="preserve"> REF _Ref476582192 \h </w:instrText>
      </w:r>
      <w:r w:rsidRPr="00B46640">
        <w:rPr>
          <w:rFonts w:eastAsia="Calibri"/>
        </w:rPr>
        <w:instrText xml:space="preserve"> \* MERGEFORMAT </w:instrText>
      </w:r>
      <w:r w:rsidR="00EB7E31" w:rsidRPr="00B46640">
        <w:rPr>
          <w:rFonts w:eastAsia="Calibri"/>
        </w:rPr>
      </w:r>
      <w:r w:rsidR="00EB7E31" w:rsidRPr="00B46640">
        <w:rPr>
          <w:rFonts w:eastAsia="Calibri"/>
        </w:rPr>
        <w:fldChar w:fldCharType="end"/>
      </w:r>
      <w:r w:rsidR="0084022F" w:rsidRPr="00B46640">
        <w:rPr>
          <w:rFonts w:eastAsia="Calibri"/>
        </w:rPr>
        <w:t xml:space="preserve"> shows the assumptions used for onshore </w:t>
      </w:r>
      <w:r w:rsidR="00EB5279" w:rsidRPr="00B46640">
        <w:rPr>
          <w:rFonts w:eastAsia="Calibri"/>
        </w:rPr>
        <w:t xml:space="preserve">and offshore </w:t>
      </w:r>
      <w:r w:rsidR="0084022F" w:rsidRPr="00B46640">
        <w:rPr>
          <w:rFonts w:eastAsia="Calibri"/>
        </w:rPr>
        <w:t xml:space="preserve">wind generation nameplate </w:t>
      </w:r>
      <w:r w:rsidR="00EB5279" w:rsidRPr="00B46640">
        <w:rPr>
          <w:rFonts w:eastAsia="Calibri"/>
        </w:rPr>
        <w:t>values</w:t>
      </w:r>
      <w:r w:rsidR="0084022F" w:rsidRPr="00B46640">
        <w:rPr>
          <w:rFonts w:eastAsia="Calibri"/>
        </w:rPr>
        <w:t xml:space="preserve"> for both study years</w:t>
      </w:r>
      <w:r w:rsidR="00EB7E31" w:rsidRPr="00B46640">
        <w:rPr>
          <w:rFonts w:eastAsia="Calibri"/>
        </w:rPr>
        <w:fldChar w:fldCharType="begin"/>
      </w:r>
      <w:r w:rsidR="00EB7E31" w:rsidRPr="00B46640">
        <w:rPr>
          <w:rFonts w:eastAsia="Calibri"/>
        </w:rPr>
        <w:instrText xml:space="preserve"> REF _Ref476582233 \h </w:instrText>
      </w:r>
      <w:r w:rsidRPr="00B46640">
        <w:rPr>
          <w:rFonts w:eastAsia="Calibri"/>
        </w:rPr>
        <w:instrText xml:space="preserve"> \* MERGEFORMAT </w:instrText>
      </w:r>
      <w:r w:rsidR="00EB7E31" w:rsidRPr="00B46640">
        <w:rPr>
          <w:rFonts w:eastAsia="Calibri"/>
        </w:rPr>
      </w:r>
      <w:r w:rsidR="00EB7E31" w:rsidRPr="00B46640">
        <w:rPr>
          <w:rFonts w:eastAsia="Calibri"/>
        </w:rPr>
        <w:fldChar w:fldCharType="end"/>
      </w:r>
      <w:r w:rsidR="0084022F" w:rsidRPr="00B46640">
        <w:rPr>
          <w:rFonts w:eastAsia="Calibri"/>
        </w:rPr>
        <w:t>.</w:t>
      </w:r>
    </w:p>
    <w:p w:rsidR="008528DF" w:rsidRDefault="004248FE" w:rsidP="004248FE">
      <w:pPr>
        <w:pStyle w:val="Caption"/>
        <w:jc w:val="center"/>
      </w:pPr>
      <w:r>
        <w:lastRenderedPageBreak/>
        <w:t xml:space="preserve">Table </w:t>
      </w:r>
      <w:fldSimple w:instr=" STYLEREF 1 \s ">
        <w:r>
          <w:rPr>
            <w:noProof/>
          </w:rPr>
          <w:t>5</w:t>
        </w:r>
      </w:fldSimple>
      <w:r>
        <w:noBreakHyphen/>
      </w:r>
      <w:fldSimple w:instr=" SEQ Table \* ARABIC \s 1 ">
        <w:r>
          <w:rPr>
            <w:noProof/>
          </w:rPr>
          <w:t>8</w:t>
        </w:r>
      </w:fldSimple>
      <w:bookmarkStart w:id="130" w:name="_Toc486406022"/>
      <w:r w:rsidR="008528DF" w:rsidRPr="00B46640">
        <w:t xml:space="preserve"> </w:t>
      </w:r>
      <w:r w:rsidR="008528DF" w:rsidRPr="00B46640">
        <w:br/>
        <w:t xml:space="preserve">Wind </w:t>
      </w:r>
      <w:r w:rsidR="00993735">
        <w:t>N</w:t>
      </w:r>
      <w:r w:rsidR="008528DF" w:rsidRPr="00B46640">
        <w:t xml:space="preserve">ameplate </w:t>
      </w:r>
      <w:r w:rsidR="00993735">
        <w:t>C</w:t>
      </w:r>
      <w:r w:rsidR="008528DF" w:rsidRPr="00B46640">
        <w:t xml:space="preserve">apacities </w:t>
      </w:r>
      <w:r w:rsidR="00993735">
        <w:t>A</w:t>
      </w:r>
      <w:r w:rsidR="008528DF" w:rsidRPr="00B46640">
        <w:t xml:space="preserve">ssumed for the </w:t>
      </w:r>
      <w:r w:rsidR="00993735">
        <w:t>W</w:t>
      </w:r>
      <w:r w:rsidR="008528DF" w:rsidRPr="00B46640">
        <w:t xml:space="preserve">ind </w:t>
      </w:r>
      <w:r w:rsidR="00993735">
        <w:t>R</w:t>
      </w:r>
      <w:r w:rsidR="008528DF" w:rsidRPr="00B46640">
        <w:t xml:space="preserve">esource </w:t>
      </w:r>
      <w:r w:rsidR="00993735">
        <w:t>A</w:t>
      </w:r>
      <w:r w:rsidR="008528DF" w:rsidRPr="00B46640">
        <w:t>dditions, 2025 and 2030 (MW)</w:t>
      </w:r>
      <w:bookmarkEnd w:id="130"/>
    </w:p>
    <w:tbl>
      <w:tblPr>
        <w:tblW w:w="14130" w:type="dxa"/>
        <w:tblInd w:w="-6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720"/>
        <w:gridCol w:w="1046"/>
        <w:gridCol w:w="951"/>
        <w:gridCol w:w="951"/>
        <w:gridCol w:w="951"/>
        <w:gridCol w:w="951"/>
        <w:gridCol w:w="951"/>
        <w:gridCol w:w="951"/>
        <w:gridCol w:w="951"/>
        <w:gridCol w:w="951"/>
        <w:gridCol w:w="951"/>
        <w:gridCol w:w="951"/>
        <w:gridCol w:w="951"/>
        <w:gridCol w:w="951"/>
        <w:gridCol w:w="952"/>
      </w:tblGrid>
      <w:tr w:rsidR="00C86CF5" w:rsidRPr="00D404E5" w:rsidTr="003B1F3F">
        <w:trPr>
          <w:trHeight w:val="1455"/>
        </w:trPr>
        <w:tc>
          <w:tcPr>
            <w:tcW w:w="720" w:type="dxa"/>
            <w:shd w:val="clear" w:color="auto" w:fill="4F81BD" w:themeFill="accent1"/>
            <w:vAlign w:val="center"/>
            <w:hideMark/>
          </w:tcPr>
          <w:p w:rsidR="00D404E5" w:rsidRPr="00D404E5" w:rsidRDefault="00D404E5" w:rsidP="00D404E5">
            <w:pPr>
              <w:adjustRightInd/>
              <w:spacing w:after="0" w:line="240" w:lineRule="auto"/>
              <w:jc w:val="center"/>
              <w:textAlignment w:val="auto"/>
              <w:rPr>
                <w:rFonts w:asciiTheme="minorHAnsi" w:hAnsiTheme="minorHAnsi"/>
                <w:b/>
                <w:bCs/>
                <w:color w:val="FFFFFF"/>
                <w:sz w:val="18"/>
                <w:szCs w:val="18"/>
              </w:rPr>
            </w:pPr>
            <w:r w:rsidRPr="00D404E5">
              <w:rPr>
                <w:rFonts w:asciiTheme="minorHAnsi" w:hAnsiTheme="minorHAnsi"/>
                <w:b/>
                <w:bCs/>
                <w:color w:val="FFFFFF"/>
                <w:sz w:val="18"/>
                <w:szCs w:val="18"/>
              </w:rPr>
              <w:t>Year</w:t>
            </w:r>
          </w:p>
        </w:tc>
        <w:tc>
          <w:tcPr>
            <w:tcW w:w="1046" w:type="dxa"/>
            <w:shd w:val="clear" w:color="auto" w:fill="4F81BD" w:themeFill="accent1"/>
            <w:vAlign w:val="center"/>
            <w:hideMark/>
          </w:tcPr>
          <w:p w:rsidR="00D404E5" w:rsidRPr="00D404E5" w:rsidRDefault="00D404E5" w:rsidP="00D404E5">
            <w:pPr>
              <w:adjustRightInd/>
              <w:spacing w:after="0" w:line="240" w:lineRule="auto"/>
              <w:jc w:val="center"/>
              <w:textAlignment w:val="auto"/>
              <w:rPr>
                <w:rFonts w:asciiTheme="minorHAnsi" w:hAnsiTheme="minorHAnsi"/>
                <w:b/>
                <w:bCs/>
                <w:color w:val="FFFFFF"/>
                <w:sz w:val="18"/>
                <w:szCs w:val="18"/>
              </w:rPr>
            </w:pPr>
            <w:r w:rsidRPr="00D404E5">
              <w:rPr>
                <w:rFonts w:asciiTheme="minorHAnsi" w:hAnsiTheme="minorHAnsi"/>
                <w:b/>
                <w:bCs/>
                <w:color w:val="FFFFFF"/>
                <w:sz w:val="18"/>
                <w:szCs w:val="18"/>
              </w:rPr>
              <w:t>Scenario</w:t>
            </w:r>
          </w:p>
        </w:tc>
        <w:tc>
          <w:tcPr>
            <w:tcW w:w="951" w:type="dxa"/>
            <w:shd w:val="clear" w:color="auto" w:fill="4F81BD" w:themeFill="accent1"/>
            <w:vAlign w:val="center"/>
          </w:tcPr>
          <w:p w:rsidR="00C86CF5" w:rsidRDefault="00C86CF5" w:rsidP="00D404E5">
            <w:pPr>
              <w:adjustRightInd/>
              <w:spacing w:after="0" w:line="240" w:lineRule="auto"/>
              <w:jc w:val="center"/>
              <w:textAlignment w:val="auto"/>
              <w:rPr>
                <w:rFonts w:asciiTheme="minorHAnsi" w:hAnsiTheme="minorHAnsi"/>
                <w:b/>
                <w:bCs/>
                <w:color w:val="FFFFFF"/>
                <w:sz w:val="18"/>
                <w:szCs w:val="18"/>
              </w:rPr>
            </w:pPr>
            <w:r>
              <w:rPr>
                <w:rFonts w:asciiTheme="minorHAnsi" w:hAnsiTheme="minorHAnsi"/>
                <w:b/>
                <w:bCs/>
                <w:color w:val="FFFFFF"/>
                <w:sz w:val="18"/>
                <w:szCs w:val="18"/>
              </w:rPr>
              <w:t>Offshore</w:t>
            </w:r>
          </w:p>
          <w:p w:rsidR="00C86CF5" w:rsidRDefault="00C86CF5" w:rsidP="00D404E5">
            <w:pPr>
              <w:adjustRightInd/>
              <w:spacing w:after="0" w:line="240" w:lineRule="auto"/>
              <w:jc w:val="center"/>
              <w:textAlignment w:val="auto"/>
              <w:rPr>
                <w:rFonts w:asciiTheme="minorHAnsi" w:hAnsiTheme="minorHAnsi"/>
                <w:b/>
                <w:bCs/>
                <w:color w:val="FFFFFF"/>
                <w:sz w:val="18"/>
                <w:szCs w:val="18"/>
              </w:rPr>
            </w:pPr>
            <w:r>
              <w:rPr>
                <w:rFonts w:asciiTheme="minorHAnsi" w:hAnsiTheme="minorHAnsi"/>
                <w:b/>
                <w:bCs/>
                <w:color w:val="FFFFFF"/>
                <w:sz w:val="18"/>
                <w:szCs w:val="18"/>
              </w:rPr>
              <w:t>Wind In</w:t>
            </w:r>
          </w:p>
          <w:p w:rsidR="00C86CF5" w:rsidRDefault="00C86CF5" w:rsidP="00D404E5">
            <w:pPr>
              <w:adjustRightInd/>
              <w:spacing w:after="0" w:line="240" w:lineRule="auto"/>
              <w:jc w:val="center"/>
              <w:textAlignment w:val="auto"/>
              <w:rPr>
                <w:rFonts w:asciiTheme="minorHAnsi" w:hAnsiTheme="minorHAnsi"/>
                <w:b/>
                <w:bCs/>
                <w:color w:val="FFFFFF"/>
                <w:sz w:val="18"/>
                <w:szCs w:val="18"/>
              </w:rPr>
            </w:pPr>
            <w:r>
              <w:rPr>
                <w:rFonts w:asciiTheme="minorHAnsi" w:hAnsiTheme="minorHAnsi"/>
                <w:b/>
                <w:bCs/>
                <w:color w:val="FFFFFF"/>
                <w:sz w:val="18"/>
                <w:szCs w:val="18"/>
              </w:rPr>
              <w:t>Service</w:t>
            </w:r>
          </w:p>
          <w:p w:rsidR="00D404E5" w:rsidRPr="00D404E5" w:rsidRDefault="00D404E5" w:rsidP="00D404E5">
            <w:pPr>
              <w:adjustRightInd/>
              <w:spacing w:after="0" w:line="240" w:lineRule="auto"/>
              <w:jc w:val="center"/>
              <w:textAlignment w:val="auto"/>
              <w:rPr>
                <w:rFonts w:asciiTheme="minorHAnsi" w:hAnsiTheme="minorHAnsi"/>
                <w:b/>
                <w:bCs/>
                <w:color w:val="FFFFFF"/>
                <w:sz w:val="18"/>
                <w:szCs w:val="18"/>
              </w:rPr>
            </w:pPr>
          </w:p>
        </w:tc>
        <w:tc>
          <w:tcPr>
            <w:tcW w:w="951" w:type="dxa"/>
            <w:shd w:val="clear" w:color="auto" w:fill="4F81BD" w:themeFill="accent1"/>
            <w:vAlign w:val="center"/>
            <w:hideMark/>
          </w:tcPr>
          <w:p w:rsidR="00D404E5" w:rsidRPr="00D404E5" w:rsidRDefault="00D404E5" w:rsidP="003369B6">
            <w:pPr>
              <w:adjustRightInd/>
              <w:spacing w:after="0" w:line="240" w:lineRule="auto"/>
              <w:jc w:val="center"/>
              <w:textAlignment w:val="auto"/>
              <w:rPr>
                <w:rFonts w:asciiTheme="minorHAnsi" w:hAnsiTheme="minorHAnsi"/>
                <w:b/>
                <w:bCs/>
                <w:color w:val="FFFFFF"/>
                <w:sz w:val="18"/>
                <w:szCs w:val="18"/>
              </w:rPr>
            </w:pPr>
            <w:r w:rsidRPr="00D404E5">
              <w:rPr>
                <w:rFonts w:asciiTheme="minorHAnsi" w:hAnsiTheme="minorHAnsi"/>
                <w:b/>
                <w:bCs/>
                <w:color w:val="FFFFFF"/>
                <w:sz w:val="18"/>
                <w:szCs w:val="18"/>
              </w:rPr>
              <w:t>SEMA/RI Offshore Wind Added</w:t>
            </w:r>
          </w:p>
        </w:tc>
        <w:tc>
          <w:tcPr>
            <w:tcW w:w="951" w:type="dxa"/>
            <w:shd w:val="clear" w:color="auto" w:fill="4F81BD" w:themeFill="accent1"/>
            <w:vAlign w:val="center"/>
            <w:hideMark/>
          </w:tcPr>
          <w:p w:rsidR="00D404E5" w:rsidRPr="00D404E5" w:rsidRDefault="00D404E5" w:rsidP="003369B6">
            <w:pPr>
              <w:adjustRightInd/>
              <w:spacing w:after="0" w:line="240" w:lineRule="auto"/>
              <w:jc w:val="center"/>
              <w:textAlignment w:val="auto"/>
              <w:rPr>
                <w:rFonts w:asciiTheme="minorHAnsi" w:hAnsiTheme="minorHAnsi"/>
                <w:b/>
                <w:bCs/>
                <w:color w:val="FFFFFF"/>
                <w:sz w:val="18"/>
                <w:szCs w:val="18"/>
              </w:rPr>
            </w:pPr>
            <w:r w:rsidRPr="00D404E5">
              <w:rPr>
                <w:rFonts w:asciiTheme="minorHAnsi" w:hAnsiTheme="minorHAnsi"/>
                <w:b/>
                <w:bCs/>
                <w:color w:val="FFFFFF"/>
                <w:sz w:val="18"/>
                <w:szCs w:val="18"/>
              </w:rPr>
              <w:t>Total Offshore</w:t>
            </w:r>
          </w:p>
        </w:tc>
        <w:tc>
          <w:tcPr>
            <w:tcW w:w="951" w:type="dxa"/>
            <w:shd w:val="clear" w:color="auto" w:fill="4F81BD" w:themeFill="accent1"/>
            <w:vAlign w:val="center"/>
            <w:hideMark/>
          </w:tcPr>
          <w:p w:rsidR="00D404E5" w:rsidRPr="00D404E5" w:rsidRDefault="00D404E5" w:rsidP="003369B6">
            <w:pPr>
              <w:adjustRightInd/>
              <w:spacing w:after="0" w:line="240" w:lineRule="auto"/>
              <w:jc w:val="center"/>
              <w:textAlignment w:val="auto"/>
              <w:rPr>
                <w:rFonts w:asciiTheme="minorHAnsi" w:hAnsiTheme="minorHAnsi"/>
                <w:b/>
                <w:bCs/>
                <w:color w:val="FFFFFF"/>
                <w:sz w:val="18"/>
                <w:szCs w:val="18"/>
              </w:rPr>
            </w:pPr>
            <w:r w:rsidRPr="00D404E5">
              <w:rPr>
                <w:rFonts w:asciiTheme="minorHAnsi" w:hAnsiTheme="minorHAnsi"/>
                <w:b/>
                <w:bCs/>
                <w:color w:val="FFFFFF"/>
                <w:sz w:val="18"/>
                <w:szCs w:val="18"/>
              </w:rPr>
              <w:t>Onshore Wind In Service</w:t>
            </w:r>
          </w:p>
        </w:tc>
        <w:tc>
          <w:tcPr>
            <w:tcW w:w="951" w:type="dxa"/>
            <w:shd w:val="clear" w:color="auto" w:fill="4F81BD" w:themeFill="accent1"/>
            <w:vAlign w:val="center"/>
            <w:hideMark/>
          </w:tcPr>
          <w:p w:rsidR="00D404E5" w:rsidRPr="00D404E5" w:rsidRDefault="00D404E5" w:rsidP="003369B6">
            <w:pPr>
              <w:adjustRightInd/>
              <w:spacing w:after="0" w:line="240" w:lineRule="auto"/>
              <w:jc w:val="center"/>
              <w:textAlignment w:val="auto"/>
              <w:rPr>
                <w:rFonts w:asciiTheme="minorHAnsi" w:hAnsiTheme="minorHAnsi"/>
                <w:b/>
                <w:bCs/>
                <w:color w:val="FFFFFF"/>
                <w:sz w:val="18"/>
                <w:szCs w:val="18"/>
              </w:rPr>
            </w:pPr>
            <w:r w:rsidRPr="00D404E5">
              <w:rPr>
                <w:rFonts w:asciiTheme="minorHAnsi" w:hAnsiTheme="minorHAnsi"/>
                <w:b/>
                <w:bCs/>
                <w:color w:val="FFFFFF"/>
                <w:sz w:val="18"/>
                <w:szCs w:val="18"/>
              </w:rPr>
              <w:t>BHE Wind Added</w:t>
            </w:r>
          </w:p>
        </w:tc>
        <w:tc>
          <w:tcPr>
            <w:tcW w:w="951" w:type="dxa"/>
            <w:shd w:val="clear" w:color="auto" w:fill="4F81BD" w:themeFill="accent1"/>
            <w:vAlign w:val="center"/>
            <w:hideMark/>
          </w:tcPr>
          <w:p w:rsidR="00D404E5" w:rsidRPr="00D404E5" w:rsidRDefault="00D404E5" w:rsidP="003369B6">
            <w:pPr>
              <w:adjustRightInd/>
              <w:spacing w:after="0" w:line="240" w:lineRule="auto"/>
              <w:jc w:val="center"/>
              <w:textAlignment w:val="auto"/>
              <w:rPr>
                <w:rFonts w:asciiTheme="minorHAnsi" w:hAnsiTheme="minorHAnsi"/>
                <w:b/>
                <w:bCs/>
                <w:color w:val="FFFFFF"/>
                <w:sz w:val="18"/>
                <w:szCs w:val="18"/>
              </w:rPr>
            </w:pPr>
            <w:r w:rsidRPr="00D404E5">
              <w:rPr>
                <w:rFonts w:asciiTheme="minorHAnsi" w:hAnsiTheme="minorHAnsi"/>
                <w:b/>
                <w:bCs/>
                <w:color w:val="FFFFFF"/>
                <w:sz w:val="18"/>
                <w:szCs w:val="18"/>
              </w:rPr>
              <w:t>ME Wind Added</w:t>
            </w:r>
          </w:p>
        </w:tc>
        <w:tc>
          <w:tcPr>
            <w:tcW w:w="951" w:type="dxa"/>
            <w:shd w:val="clear" w:color="auto" w:fill="4F81BD" w:themeFill="accent1"/>
            <w:vAlign w:val="center"/>
            <w:hideMark/>
          </w:tcPr>
          <w:p w:rsidR="00D404E5" w:rsidRPr="00D404E5" w:rsidRDefault="00D404E5" w:rsidP="003369B6">
            <w:pPr>
              <w:adjustRightInd/>
              <w:spacing w:after="0" w:line="240" w:lineRule="auto"/>
              <w:jc w:val="center"/>
              <w:textAlignment w:val="auto"/>
              <w:rPr>
                <w:rFonts w:asciiTheme="minorHAnsi" w:hAnsiTheme="minorHAnsi"/>
                <w:b/>
                <w:bCs/>
                <w:color w:val="FFFFFF"/>
                <w:sz w:val="18"/>
                <w:szCs w:val="18"/>
              </w:rPr>
            </w:pPr>
            <w:r w:rsidRPr="00D404E5">
              <w:rPr>
                <w:rFonts w:asciiTheme="minorHAnsi" w:hAnsiTheme="minorHAnsi"/>
                <w:b/>
                <w:bCs/>
                <w:color w:val="FFFFFF"/>
                <w:sz w:val="18"/>
                <w:szCs w:val="18"/>
              </w:rPr>
              <w:t>NH Wind Added</w:t>
            </w:r>
          </w:p>
        </w:tc>
        <w:tc>
          <w:tcPr>
            <w:tcW w:w="951" w:type="dxa"/>
            <w:shd w:val="clear" w:color="auto" w:fill="4F81BD" w:themeFill="accent1"/>
            <w:vAlign w:val="center"/>
            <w:hideMark/>
          </w:tcPr>
          <w:p w:rsidR="00D404E5" w:rsidRPr="00D404E5" w:rsidRDefault="00D404E5" w:rsidP="003369B6">
            <w:pPr>
              <w:adjustRightInd/>
              <w:spacing w:after="0" w:line="240" w:lineRule="auto"/>
              <w:jc w:val="center"/>
              <w:textAlignment w:val="auto"/>
              <w:rPr>
                <w:rFonts w:asciiTheme="minorHAnsi" w:hAnsiTheme="minorHAnsi"/>
                <w:b/>
                <w:bCs/>
                <w:color w:val="FFFFFF"/>
                <w:sz w:val="18"/>
                <w:szCs w:val="18"/>
              </w:rPr>
            </w:pPr>
            <w:r w:rsidRPr="00D404E5">
              <w:rPr>
                <w:rFonts w:asciiTheme="minorHAnsi" w:hAnsiTheme="minorHAnsi"/>
                <w:b/>
                <w:bCs/>
                <w:color w:val="FFFFFF"/>
                <w:sz w:val="18"/>
                <w:szCs w:val="18"/>
              </w:rPr>
              <w:t>VT Wind Added</w:t>
            </w:r>
          </w:p>
        </w:tc>
        <w:tc>
          <w:tcPr>
            <w:tcW w:w="951" w:type="dxa"/>
            <w:shd w:val="clear" w:color="auto" w:fill="4F81BD" w:themeFill="accent1"/>
            <w:vAlign w:val="center"/>
            <w:hideMark/>
          </w:tcPr>
          <w:p w:rsidR="00D404E5" w:rsidRPr="00D404E5" w:rsidRDefault="00D404E5" w:rsidP="003369B6">
            <w:pPr>
              <w:adjustRightInd/>
              <w:spacing w:after="0" w:line="240" w:lineRule="auto"/>
              <w:jc w:val="center"/>
              <w:textAlignment w:val="auto"/>
              <w:rPr>
                <w:rFonts w:asciiTheme="minorHAnsi" w:hAnsiTheme="minorHAnsi"/>
                <w:b/>
                <w:bCs/>
                <w:color w:val="FFFFFF"/>
                <w:sz w:val="18"/>
                <w:szCs w:val="18"/>
              </w:rPr>
            </w:pPr>
            <w:r w:rsidRPr="00D404E5">
              <w:rPr>
                <w:rFonts w:asciiTheme="minorHAnsi" w:hAnsiTheme="minorHAnsi"/>
                <w:b/>
                <w:bCs/>
                <w:color w:val="FFFFFF"/>
                <w:sz w:val="18"/>
                <w:szCs w:val="18"/>
              </w:rPr>
              <w:t>WMA wind added</w:t>
            </w:r>
          </w:p>
        </w:tc>
        <w:tc>
          <w:tcPr>
            <w:tcW w:w="951" w:type="dxa"/>
            <w:shd w:val="clear" w:color="auto" w:fill="4F81BD" w:themeFill="accent1"/>
            <w:vAlign w:val="center"/>
            <w:hideMark/>
          </w:tcPr>
          <w:p w:rsidR="00D404E5" w:rsidRPr="00D404E5" w:rsidRDefault="00D404E5" w:rsidP="003369B6">
            <w:pPr>
              <w:adjustRightInd/>
              <w:spacing w:after="0" w:line="240" w:lineRule="auto"/>
              <w:jc w:val="center"/>
              <w:textAlignment w:val="auto"/>
              <w:rPr>
                <w:rFonts w:asciiTheme="minorHAnsi" w:hAnsiTheme="minorHAnsi"/>
                <w:b/>
                <w:bCs/>
                <w:color w:val="FFFFFF"/>
                <w:sz w:val="18"/>
                <w:szCs w:val="18"/>
              </w:rPr>
            </w:pPr>
            <w:r w:rsidRPr="00D404E5">
              <w:rPr>
                <w:rFonts w:asciiTheme="minorHAnsi" w:hAnsiTheme="minorHAnsi"/>
                <w:b/>
                <w:bCs/>
                <w:color w:val="FFFFFF"/>
                <w:sz w:val="18"/>
                <w:szCs w:val="18"/>
              </w:rPr>
              <w:t>Onshore Additions</w:t>
            </w:r>
          </w:p>
        </w:tc>
        <w:tc>
          <w:tcPr>
            <w:tcW w:w="951" w:type="dxa"/>
            <w:shd w:val="clear" w:color="auto" w:fill="4F81BD" w:themeFill="accent1"/>
            <w:vAlign w:val="center"/>
            <w:hideMark/>
          </w:tcPr>
          <w:p w:rsidR="00D404E5" w:rsidRPr="00D404E5" w:rsidRDefault="00D404E5" w:rsidP="003369B6">
            <w:pPr>
              <w:adjustRightInd/>
              <w:spacing w:after="0" w:line="240" w:lineRule="auto"/>
              <w:jc w:val="center"/>
              <w:textAlignment w:val="auto"/>
              <w:rPr>
                <w:rFonts w:asciiTheme="minorHAnsi" w:hAnsiTheme="minorHAnsi"/>
                <w:b/>
                <w:bCs/>
                <w:color w:val="FFFFFF"/>
                <w:sz w:val="18"/>
                <w:szCs w:val="18"/>
              </w:rPr>
            </w:pPr>
            <w:r w:rsidRPr="00D404E5">
              <w:rPr>
                <w:rFonts w:asciiTheme="minorHAnsi" w:hAnsiTheme="minorHAnsi"/>
                <w:b/>
                <w:bCs/>
                <w:color w:val="FFFFFF"/>
                <w:sz w:val="18"/>
                <w:szCs w:val="18"/>
              </w:rPr>
              <w:t>Maine- Only Additions</w:t>
            </w:r>
          </w:p>
        </w:tc>
        <w:tc>
          <w:tcPr>
            <w:tcW w:w="951" w:type="dxa"/>
            <w:shd w:val="clear" w:color="auto" w:fill="4F81BD" w:themeFill="accent1"/>
            <w:vAlign w:val="center"/>
            <w:hideMark/>
          </w:tcPr>
          <w:p w:rsidR="00D404E5" w:rsidRPr="00D404E5" w:rsidRDefault="00D404E5" w:rsidP="003369B6">
            <w:pPr>
              <w:adjustRightInd/>
              <w:spacing w:after="0" w:line="240" w:lineRule="auto"/>
              <w:jc w:val="center"/>
              <w:textAlignment w:val="auto"/>
              <w:rPr>
                <w:rFonts w:asciiTheme="minorHAnsi" w:hAnsiTheme="minorHAnsi"/>
                <w:b/>
                <w:bCs/>
                <w:color w:val="FFFFFF"/>
                <w:sz w:val="18"/>
                <w:szCs w:val="18"/>
              </w:rPr>
            </w:pPr>
            <w:r w:rsidRPr="00D404E5">
              <w:rPr>
                <w:rFonts w:asciiTheme="minorHAnsi" w:hAnsiTheme="minorHAnsi"/>
                <w:b/>
                <w:bCs/>
                <w:color w:val="FFFFFF"/>
                <w:sz w:val="18"/>
                <w:szCs w:val="18"/>
              </w:rPr>
              <w:t>Total Onshore Wind</w:t>
            </w:r>
          </w:p>
        </w:tc>
        <w:tc>
          <w:tcPr>
            <w:tcW w:w="952" w:type="dxa"/>
            <w:shd w:val="clear" w:color="auto" w:fill="4F81BD" w:themeFill="accent1"/>
            <w:vAlign w:val="center"/>
            <w:hideMark/>
          </w:tcPr>
          <w:p w:rsidR="00D404E5" w:rsidRPr="00D404E5" w:rsidRDefault="00D404E5" w:rsidP="003369B6">
            <w:pPr>
              <w:adjustRightInd/>
              <w:spacing w:after="0" w:line="240" w:lineRule="auto"/>
              <w:jc w:val="center"/>
              <w:textAlignment w:val="auto"/>
              <w:rPr>
                <w:rFonts w:asciiTheme="minorHAnsi" w:hAnsiTheme="minorHAnsi"/>
                <w:b/>
                <w:bCs/>
                <w:color w:val="FFFFFF"/>
                <w:sz w:val="18"/>
                <w:szCs w:val="18"/>
              </w:rPr>
            </w:pPr>
            <w:r w:rsidRPr="00D404E5">
              <w:rPr>
                <w:rFonts w:asciiTheme="minorHAnsi" w:hAnsiTheme="minorHAnsi"/>
                <w:b/>
                <w:bCs/>
                <w:color w:val="FFFFFF"/>
                <w:sz w:val="18"/>
                <w:szCs w:val="18"/>
              </w:rPr>
              <w:t>Total Onshore and Offshore Wind</w:t>
            </w:r>
          </w:p>
        </w:tc>
      </w:tr>
      <w:tr w:rsidR="00C86CF5" w:rsidRPr="00D404E5" w:rsidTr="003B1F3F">
        <w:trPr>
          <w:trHeight w:val="315"/>
        </w:trPr>
        <w:tc>
          <w:tcPr>
            <w:tcW w:w="720" w:type="dxa"/>
            <w:vMerge w:val="restart"/>
            <w:shd w:val="clear" w:color="auto" w:fill="auto"/>
            <w:vAlign w:val="center"/>
            <w:hideMark/>
          </w:tcPr>
          <w:p w:rsidR="00D404E5" w:rsidRPr="00D404E5" w:rsidRDefault="00D404E5" w:rsidP="00474D29">
            <w:pPr>
              <w:adjustRightInd/>
              <w:spacing w:after="0" w:line="240" w:lineRule="auto"/>
              <w:textAlignment w:val="auto"/>
              <w:rPr>
                <w:rFonts w:asciiTheme="minorHAnsi" w:hAnsiTheme="minorHAnsi"/>
                <w:b/>
                <w:bCs/>
                <w:color w:val="000000"/>
                <w:sz w:val="18"/>
                <w:szCs w:val="18"/>
              </w:rPr>
            </w:pPr>
            <w:r w:rsidRPr="00D404E5">
              <w:rPr>
                <w:rFonts w:asciiTheme="minorHAnsi" w:hAnsiTheme="minorHAnsi"/>
                <w:b/>
                <w:bCs/>
                <w:color w:val="000000"/>
                <w:sz w:val="18"/>
                <w:szCs w:val="18"/>
              </w:rPr>
              <w:t>2025</w:t>
            </w:r>
          </w:p>
        </w:tc>
        <w:tc>
          <w:tcPr>
            <w:tcW w:w="1046" w:type="dxa"/>
            <w:shd w:val="clear" w:color="auto" w:fill="auto"/>
            <w:vAlign w:val="center"/>
            <w:hideMark/>
          </w:tcPr>
          <w:p w:rsidR="00D404E5" w:rsidRPr="00D404E5" w:rsidRDefault="00D404E5" w:rsidP="00D404E5">
            <w:pPr>
              <w:adjustRightInd/>
              <w:spacing w:after="0" w:line="240" w:lineRule="auto"/>
              <w:textAlignment w:val="auto"/>
              <w:rPr>
                <w:rFonts w:asciiTheme="minorHAnsi" w:hAnsiTheme="minorHAnsi"/>
                <w:b/>
                <w:bCs/>
                <w:color w:val="000000"/>
                <w:sz w:val="18"/>
                <w:szCs w:val="18"/>
              </w:rPr>
            </w:pPr>
            <w:r w:rsidRPr="00D404E5">
              <w:rPr>
                <w:rFonts w:asciiTheme="minorHAnsi" w:hAnsiTheme="minorHAnsi"/>
                <w:b/>
                <w:bCs/>
                <w:color w:val="000000"/>
                <w:sz w:val="18"/>
                <w:szCs w:val="18"/>
              </w:rPr>
              <w:t>RPS + Gas</w:t>
            </w:r>
          </w:p>
        </w:tc>
        <w:tc>
          <w:tcPr>
            <w:tcW w:w="951" w:type="dxa"/>
            <w:shd w:val="clear" w:color="auto" w:fill="auto"/>
            <w:vAlign w:val="center"/>
          </w:tcPr>
          <w:p w:rsidR="00D404E5" w:rsidRPr="00D404E5" w:rsidRDefault="00C86CF5" w:rsidP="00D404E5">
            <w:pPr>
              <w:adjustRightInd/>
              <w:spacing w:after="0" w:line="240" w:lineRule="auto"/>
              <w:jc w:val="right"/>
              <w:textAlignment w:val="auto"/>
              <w:rPr>
                <w:rFonts w:asciiTheme="minorHAnsi" w:hAnsiTheme="minorHAnsi"/>
                <w:sz w:val="18"/>
                <w:szCs w:val="18"/>
              </w:rPr>
            </w:pPr>
            <w:r>
              <w:rPr>
                <w:rFonts w:asciiTheme="minorHAnsi" w:hAnsiTheme="minorHAnsi"/>
                <w:sz w:val="18"/>
                <w:szCs w:val="18"/>
              </w:rPr>
              <w:t>0</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sz w:val="18"/>
                <w:szCs w:val="18"/>
              </w:rPr>
            </w:pPr>
            <w:r w:rsidRPr="00D404E5">
              <w:rPr>
                <w:rFonts w:asciiTheme="minorHAnsi" w:hAnsiTheme="minorHAnsi"/>
                <w:sz w:val="18"/>
                <w:szCs w:val="18"/>
              </w:rPr>
              <w:t>483</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sz w:val="18"/>
                <w:szCs w:val="18"/>
              </w:rPr>
            </w:pPr>
            <w:r w:rsidRPr="00D404E5">
              <w:rPr>
                <w:rFonts w:asciiTheme="minorHAnsi" w:hAnsiTheme="minorHAnsi"/>
                <w:sz w:val="18"/>
                <w:szCs w:val="18"/>
              </w:rPr>
              <w:t>483</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1,039</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1,885</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297</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51</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0</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35</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2,268</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2,182</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3,307</w:t>
            </w:r>
          </w:p>
        </w:tc>
        <w:tc>
          <w:tcPr>
            <w:tcW w:w="952"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3,790</w:t>
            </w:r>
          </w:p>
        </w:tc>
      </w:tr>
      <w:tr w:rsidR="00C86CF5" w:rsidRPr="00D404E5" w:rsidTr="003B1F3F">
        <w:trPr>
          <w:trHeight w:val="315"/>
        </w:trPr>
        <w:tc>
          <w:tcPr>
            <w:tcW w:w="720" w:type="dxa"/>
            <w:vMerge/>
            <w:vAlign w:val="center"/>
            <w:hideMark/>
          </w:tcPr>
          <w:p w:rsidR="00D404E5" w:rsidRPr="00D404E5" w:rsidRDefault="00D404E5" w:rsidP="003A775C">
            <w:pPr>
              <w:adjustRightInd/>
              <w:spacing w:after="0" w:line="240" w:lineRule="auto"/>
              <w:textAlignment w:val="auto"/>
              <w:rPr>
                <w:rFonts w:asciiTheme="minorHAnsi" w:hAnsiTheme="minorHAnsi"/>
                <w:b/>
                <w:bCs/>
                <w:color w:val="000000"/>
                <w:sz w:val="18"/>
                <w:szCs w:val="18"/>
              </w:rPr>
            </w:pPr>
          </w:p>
        </w:tc>
        <w:tc>
          <w:tcPr>
            <w:tcW w:w="1046" w:type="dxa"/>
            <w:shd w:val="clear" w:color="auto" w:fill="DBE5F1" w:themeFill="accent1" w:themeFillTint="33"/>
            <w:vAlign w:val="center"/>
            <w:hideMark/>
          </w:tcPr>
          <w:p w:rsidR="00D404E5" w:rsidRPr="00D404E5" w:rsidRDefault="00D404E5" w:rsidP="00D404E5">
            <w:pPr>
              <w:adjustRightInd/>
              <w:spacing w:after="0" w:line="240" w:lineRule="auto"/>
              <w:textAlignment w:val="auto"/>
              <w:rPr>
                <w:rFonts w:asciiTheme="minorHAnsi" w:hAnsiTheme="minorHAnsi"/>
                <w:b/>
                <w:bCs/>
                <w:color w:val="000000"/>
                <w:sz w:val="18"/>
                <w:szCs w:val="18"/>
              </w:rPr>
            </w:pPr>
            <w:r w:rsidRPr="00D404E5">
              <w:rPr>
                <w:rFonts w:asciiTheme="minorHAnsi" w:hAnsiTheme="minorHAnsi"/>
                <w:b/>
                <w:bCs/>
                <w:color w:val="000000"/>
                <w:sz w:val="18"/>
                <w:szCs w:val="18"/>
              </w:rPr>
              <w:t>ISO Queue</w:t>
            </w:r>
          </w:p>
        </w:tc>
        <w:tc>
          <w:tcPr>
            <w:tcW w:w="951" w:type="dxa"/>
            <w:shd w:val="clear" w:color="auto" w:fill="DBE5F1" w:themeFill="accent1" w:themeFillTint="33"/>
            <w:vAlign w:val="center"/>
          </w:tcPr>
          <w:p w:rsidR="00D404E5" w:rsidRPr="00D404E5" w:rsidRDefault="00C86CF5" w:rsidP="00D404E5">
            <w:pPr>
              <w:adjustRightInd/>
              <w:spacing w:after="0" w:line="240" w:lineRule="auto"/>
              <w:jc w:val="right"/>
              <w:textAlignment w:val="auto"/>
              <w:rPr>
                <w:rFonts w:asciiTheme="minorHAnsi" w:hAnsiTheme="minorHAnsi"/>
                <w:sz w:val="18"/>
                <w:szCs w:val="18"/>
              </w:rPr>
            </w:pPr>
            <w:r>
              <w:rPr>
                <w:rFonts w:asciiTheme="minorHAnsi" w:hAnsiTheme="minorHAnsi"/>
                <w:sz w:val="18"/>
                <w:szCs w:val="18"/>
              </w:rPr>
              <w:t>0</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sz w:val="18"/>
                <w:szCs w:val="18"/>
              </w:rPr>
            </w:pPr>
            <w:r w:rsidRPr="00D404E5">
              <w:rPr>
                <w:rFonts w:asciiTheme="minorHAnsi" w:hAnsiTheme="minorHAnsi"/>
                <w:sz w:val="18"/>
                <w:szCs w:val="18"/>
              </w:rPr>
              <w:t>483</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sz w:val="18"/>
                <w:szCs w:val="18"/>
              </w:rPr>
            </w:pPr>
            <w:r w:rsidRPr="00D404E5">
              <w:rPr>
                <w:rFonts w:asciiTheme="minorHAnsi" w:hAnsiTheme="minorHAnsi"/>
                <w:sz w:val="18"/>
                <w:szCs w:val="18"/>
              </w:rPr>
              <w:t>483</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1,039</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2,661</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894</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79</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20</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40</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3,694</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3,555</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4,733</w:t>
            </w:r>
          </w:p>
        </w:tc>
        <w:tc>
          <w:tcPr>
            <w:tcW w:w="952"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5,216</w:t>
            </w:r>
          </w:p>
        </w:tc>
      </w:tr>
      <w:tr w:rsidR="00C86CF5" w:rsidRPr="00D404E5" w:rsidTr="003B1F3F">
        <w:trPr>
          <w:trHeight w:val="495"/>
        </w:trPr>
        <w:tc>
          <w:tcPr>
            <w:tcW w:w="720" w:type="dxa"/>
            <w:vMerge/>
            <w:vAlign w:val="center"/>
            <w:hideMark/>
          </w:tcPr>
          <w:p w:rsidR="00D404E5" w:rsidRPr="00D404E5" w:rsidRDefault="00D404E5" w:rsidP="003A775C">
            <w:pPr>
              <w:adjustRightInd/>
              <w:spacing w:after="0" w:line="240" w:lineRule="auto"/>
              <w:textAlignment w:val="auto"/>
              <w:rPr>
                <w:rFonts w:asciiTheme="minorHAnsi" w:hAnsiTheme="minorHAnsi"/>
                <w:b/>
                <w:bCs/>
                <w:color w:val="000000"/>
                <w:sz w:val="18"/>
                <w:szCs w:val="18"/>
              </w:rPr>
            </w:pPr>
          </w:p>
        </w:tc>
        <w:tc>
          <w:tcPr>
            <w:tcW w:w="1046" w:type="dxa"/>
            <w:shd w:val="clear" w:color="auto" w:fill="auto"/>
            <w:vAlign w:val="center"/>
            <w:hideMark/>
          </w:tcPr>
          <w:p w:rsidR="00D404E5" w:rsidRPr="00D404E5" w:rsidRDefault="00D404E5" w:rsidP="00D404E5">
            <w:pPr>
              <w:adjustRightInd/>
              <w:spacing w:after="0" w:line="240" w:lineRule="auto"/>
              <w:textAlignment w:val="auto"/>
              <w:rPr>
                <w:rFonts w:asciiTheme="minorHAnsi" w:hAnsiTheme="minorHAnsi"/>
                <w:b/>
                <w:bCs/>
                <w:color w:val="000000"/>
                <w:sz w:val="18"/>
                <w:szCs w:val="18"/>
              </w:rPr>
            </w:pPr>
            <w:r w:rsidRPr="00D404E5">
              <w:rPr>
                <w:rFonts w:asciiTheme="minorHAnsi" w:hAnsiTheme="minorHAnsi"/>
                <w:b/>
                <w:bCs/>
                <w:color w:val="000000"/>
                <w:sz w:val="18"/>
                <w:szCs w:val="18"/>
              </w:rPr>
              <w:t>Renew Plus</w:t>
            </w:r>
          </w:p>
        </w:tc>
        <w:tc>
          <w:tcPr>
            <w:tcW w:w="951" w:type="dxa"/>
            <w:shd w:val="clear" w:color="auto" w:fill="auto"/>
            <w:vAlign w:val="center"/>
          </w:tcPr>
          <w:p w:rsidR="00D404E5" w:rsidRPr="00D404E5" w:rsidRDefault="00C86CF5" w:rsidP="00D404E5">
            <w:pPr>
              <w:adjustRightInd/>
              <w:spacing w:after="0" w:line="240" w:lineRule="auto"/>
              <w:jc w:val="right"/>
              <w:textAlignment w:val="auto"/>
              <w:rPr>
                <w:rFonts w:asciiTheme="minorHAnsi" w:hAnsiTheme="minorHAnsi"/>
                <w:sz w:val="18"/>
                <w:szCs w:val="18"/>
              </w:rPr>
            </w:pPr>
            <w:r>
              <w:rPr>
                <w:rFonts w:asciiTheme="minorHAnsi" w:hAnsiTheme="minorHAnsi"/>
                <w:sz w:val="18"/>
                <w:szCs w:val="18"/>
              </w:rPr>
              <w:t>0</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sz w:val="18"/>
                <w:szCs w:val="18"/>
              </w:rPr>
            </w:pPr>
            <w:r w:rsidRPr="00D404E5">
              <w:rPr>
                <w:rFonts w:asciiTheme="minorHAnsi" w:hAnsiTheme="minorHAnsi"/>
                <w:sz w:val="18"/>
                <w:szCs w:val="18"/>
              </w:rPr>
              <w:t>1,483</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sz w:val="18"/>
                <w:szCs w:val="18"/>
              </w:rPr>
            </w:pPr>
            <w:r w:rsidRPr="00D404E5">
              <w:rPr>
                <w:rFonts w:asciiTheme="minorHAnsi" w:hAnsiTheme="minorHAnsi"/>
                <w:sz w:val="18"/>
                <w:szCs w:val="18"/>
              </w:rPr>
              <w:t>1,483</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1,039</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2,657</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415</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79</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20</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40</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3,211</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3,073</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4,250</w:t>
            </w:r>
          </w:p>
        </w:tc>
        <w:tc>
          <w:tcPr>
            <w:tcW w:w="952"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5,733</w:t>
            </w:r>
          </w:p>
        </w:tc>
      </w:tr>
      <w:tr w:rsidR="00C86CF5" w:rsidRPr="00D404E5" w:rsidTr="003B1F3F">
        <w:trPr>
          <w:trHeight w:val="315"/>
        </w:trPr>
        <w:tc>
          <w:tcPr>
            <w:tcW w:w="720" w:type="dxa"/>
            <w:vMerge/>
            <w:vAlign w:val="center"/>
            <w:hideMark/>
          </w:tcPr>
          <w:p w:rsidR="00D404E5" w:rsidRPr="00D404E5" w:rsidRDefault="00D404E5" w:rsidP="003A775C">
            <w:pPr>
              <w:adjustRightInd/>
              <w:spacing w:after="0" w:line="240" w:lineRule="auto"/>
              <w:textAlignment w:val="auto"/>
              <w:rPr>
                <w:rFonts w:asciiTheme="minorHAnsi" w:hAnsiTheme="minorHAnsi"/>
                <w:b/>
                <w:bCs/>
                <w:color w:val="000000"/>
                <w:sz w:val="18"/>
                <w:szCs w:val="18"/>
              </w:rPr>
            </w:pPr>
          </w:p>
        </w:tc>
        <w:tc>
          <w:tcPr>
            <w:tcW w:w="1046" w:type="dxa"/>
            <w:shd w:val="clear" w:color="auto" w:fill="DBE5F1" w:themeFill="accent1" w:themeFillTint="33"/>
            <w:vAlign w:val="center"/>
            <w:hideMark/>
          </w:tcPr>
          <w:p w:rsidR="00D404E5" w:rsidRPr="00D404E5" w:rsidRDefault="00D404E5" w:rsidP="00D404E5">
            <w:pPr>
              <w:adjustRightInd/>
              <w:spacing w:after="0" w:line="240" w:lineRule="auto"/>
              <w:textAlignment w:val="auto"/>
              <w:rPr>
                <w:rFonts w:asciiTheme="minorHAnsi" w:hAnsiTheme="minorHAnsi"/>
                <w:b/>
                <w:bCs/>
                <w:color w:val="000000"/>
                <w:sz w:val="18"/>
                <w:szCs w:val="18"/>
              </w:rPr>
            </w:pPr>
            <w:r w:rsidRPr="00D404E5">
              <w:rPr>
                <w:rFonts w:asciiTheme="minorHAnsi" w:hAnsiTheme="minorHAnsi"/>
                <w:b/>
                <w:bCs/>
                <w:color w:val="000000"/>
                <w:sz w:val="18"/>
                <w:szCs w:val="18"/>
              </w:rPr>
              <w:t>No Retire</w:t>
            </w:r>
          </w:p>
        </w:tc>
        <w:tc>
          <w:tcPr>
            <w:tcW w:w="951" w:type="dxa"/>
            <w:shd w:val="clear" w:color="auto" w:fill="DBE5F1" w:themeFill="accent1" w:themeFillTint="33"/>
            <w:vAlign w:val="center"/>
          </w:tcPr>
          <w:p w:rsidR="00D404E5" w:rsidRPr="00D404E5" w:rsidRDefault="00C86CF5" w:rsidP="00D404E5">
            <w:pPr>
              <w:adjustRightInd/>
              <w:spacing w:after="0" w:line="240" w:lineRule="auto"/>
              <w:jc w:val="right"/>
              <w:textAlignment w:val="auto"/>
              <w:rPr>
                <w:rFonts w:asciiTheme="minorHAnsi" w:hAnsiTheme="minorHAnsi"/>
                <w:sz w:val="18"/>
                <w:szCs w:val="18"/>
              </w:rPr>
            </w:pPr>
            <w:r>
              <w:rPr>
                <w:rFonts w:asciiTheme="minorHAnsi" w:hAnsiTheme="minorHAnsi"/>
                <w:sz w:val="18"/>
                <w:szCs w:val="18"/>
              </w:rPr>
              <w:t>0</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sz w:val="18"/>
                <w:szCs w:val="18"/>
              </w:rPr>
            </w:pPr>
            <w:r w:rsidRPr="00D404E5">
              <w:rPr>
                <w:rFonts w:asciiTheme="minorHAnsi" w:hAnsiTheme="minorHAnsi"/>
                <w:sz w:val="18"/>
                <w:szCs w:val="18"/>
              </w:rPr>
              <w:t>483</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sz w:val="18"/>
                <w:szCs w:val="18"/>
              </w:rPr>
            </w:pPr>
            <w:r w:rsidRPr="00D404E5">
              <w:rPr>
                <w:rFonts w:asciiTheme="minorHAnsi" w:hAnsiTheme="minorHAnsi"/>
                <w:sz w:val="18"/>
                <w:szCs w:val="18"/>
              </w:rPr>
              <w:t>483</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1,039</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100</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208</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51</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0</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30</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388</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308</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1,427</w:t>
            </w:r>
          </w:p>
        </w:tc>
        <w:tc>
          <w:tcPr>
            <w:tcW w:w="952"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1,910</w:t>
            </w:r>
          </w:p>
        </w:tc>
      </w:tr>
      <w:tr w:rsidR="00C86CF5" w:rsidRPr="00D404E5" w:rsidTr="003B1F3F">
        <w:trPr>
          <w:trHeight w:val="315"/>
        </w:trPr>
        <w:tc>
          <w:tcPr>
            <w:tcW w:w="720" w:type="dxa"/>
            <w:vMerge/>
            <w:vAlign w:val="center"/>
            <w:hideMark/>
          </w:tcPr>
          <w:p w:rsidR="00D404E5" w:rsidRPr="00D404E5" w:rsidRDefault="00D404E5" w:rsidP="003A775C">
            <w:pPr>
              <w:adjustRightInd/>
              <w:spacing w:after="0" w:line="240" w:lineRule="auto"/>
              <w:textAlignment w:val="auto"/>
              <w:rPr>
                <w:rFonts w:asciiTheme="minorHAnsi" w:hAnsiTheme="minorHAnsi"/>
                <w:b/>
                <w:bCs/>
                <w:color w:val="000000"/>
                <w:sz w:val="18"/>
                <w:szCs w:val="18"/>
              </w:rPr>
            </w:pPr>
          </w:p>
        </w:tc>
        <w:tc>
          <w:tcPr>
            <w:tcW w:w="1046" w:type="dxa"/>
            <w:shd w:val="clear" w:color="auto" w:fill="auto"/>
            <w:vAlign w:val="center"/>
            <w:hideMark/>
          </w:tcPr>
          <w:p w:rsidR="00D404E5" w:rsidRPr="00D404E5" w:rsidRDefault="00D404E5" w:rsidP="00D404E5">
            <w:pPr>
              <w:adjustRightInd/>
              <w:spacing w:after="0" w:line="240" w:lineRule="auto"/>
              <w:textAlignment w:val="auto"/>
              <w:rPr>
                <w:rFonts w:asciiTheme="minorHAnsi" w:hAnsiTheme="minorHAnsi"/>
                <w:b/>
                <w:bCs/>
                <w:color w:val="000000"/>
                <w:sz w:val="18"/>
                <w:szCs w:val="18"/>
              </w:rPr>
            </w:pPr>
            <w:r w:rsidRPr="00D404E5">
              <w:rPr>
                <w:rFonts w:asciiTheme="minorHAnsi" w:hAnsiTheme="minorHAnsi"/>
                <w:b/>
                <w:bCs/>
                <w:color w:val="000000"/>
                <w:sz w:val="18"/>
                <w:szCs w:val="18"/>
              </w:rPr>
              <w:t>ACP + Gas</w:t>
            </w:r>
          </w:p>
        </w:tc>
        <w:tc>
          <w:tcPr>
            <w:tcW w:w="951" w:type="dxa"/>
            <w:shd w:val="clear" w:color="auto" w:fill="auto"/>
            <w:vAlign w:val="center"/>
          </w:tcPr>
          <w:p w:rsidR="00D404E5" w:rsidRPr="00D404E5" w:rsidRDefault="00C86CF5" w:rsidP="00D404E5">
            <w:pPr>
              <w:adjustRightInd/>
              <w:spacing w:after="0" w:line="240" w:lineRule="auto"/>
              <w:jc w:val="right"/>
              <w:textAlignment w:val="auto"/>
              <w:rPr>
                <w:rFonts w:asciiTheme="minorHAnsi" w:hAnsiTheme="minorHAnsi"/>
                <w:sz w:val="18"/>
                <w:szCs w:val="18"/>
              </w:rPr>
            </w:pPr>
            <w:r>
              <w:rPr>
                <w:rFonts w:asciiTheme="minorHAnsi" w:hAnsiTheme="minorHAnsi"/>
                <w:sz w:val="18"/>
                <w:szCs w:val="18"/>
              </w:rPr>
              <w:t>0</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sz w:val="18"/>
                <w:szCs w:val="18"/>
              </w:rPr>
            </w:pPr>
            <w:r w:rsidRPr="00D404E5">
              <w:rPr>
                <w:rFonts w:asciiTheme="minorHAnsi" w:hAnsiTheme="minorHAnsi"/>
                <w:sz w:val="18"/>
                <w:szCs w:val="18"/>
              </w:rPr>
              <w:t>483</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sz w:val="18"/>
                <w:szCs w:val="18"/>
              </w:rPr>
            </w:pPr>
            <w:r w:rsidRPr="00D404E5">
              <w:rPr>
                <w:rFonts w:asciiTheme="minorHAnsi" w:hAnsiTheme="minorHAnsi"/>
                <w:sz w:val="18"/>
                <w:szCs w:val="18"/>
              </w:rPr>
              <w:t>483</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1,039</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100</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208</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51</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0</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30</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388</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308</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1,427</w:t>
            </w:r>
          </w:p>
        </w:tc>
        <w:tc>
          <w:tcPr>
            <w:tcW w:w="952"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1,910</w:t>
            </w:r>
          </w:p>
        </w:tc>
      </w:tr>
      <w:tr w:rsidR="00C86CF5" w:rsidRPr="00D404E5" w:rsidTr="003B1F3F">
        <w:trPr>
          <w:trHeight w:val="495"/>
        </w:trPr>
        <w:tc>
          <w:tcPr>
            <w:tcW w:w="720" w:type="dxa"/>
            <w:vMerge/>
            <w:vAlign w:val="center"/>
            <w:hideMark/>
          </w:tcPr>
          <w:p w:rsidR="00D404E5" w:rsidRPr="00D404E5" w:rsidRDefault="00D404E5" w:rsidP="003A775C">
            <w:pPr>
              <w:adjustRightInd/>
              <w:spacing w:after="0" w:line="240" w:lineRule="auto"/>
              <w:textAlignment w:val="auto"/>
              <w:rPr>
                <w:rFonts w:asciiTheme="minorHAnsi" w:hAnsiTheme="minorHAnsi"/>
                <w:b/>
                <w:bCs/>
                <w:color w:val="000000"/>
                <w:sz w:val="18"/>
                <w:szCs w:val="18"/>
              </w:rPr>
            </w:pPr>
          </w:p>
        </w:tc>
        <w:tc>
          <w:tcPr>
            <w:tcW w:w="1046" w:type="dxa"/>
            <w:shd w:val="clear" w:color="auto" w:fill="DBE5F1" w:themeFill="accent1" w:themeFillTint="33"/>
            <w:vAlign w:val="center"/>
            <w:hideMark/>
          </w:tcPr>
          <w:p w:rsidR="00D404E5" w:rsidRPr="00D404E5" w:rsidRDefault="00D404E5" w:rsidP="00D404E5">
            <w:pPr>
              <w:adjustRightInd/>
              <w:spacing w:after="0" w:line="240" w:lineRule="auto"/>
              <w:textAlignment w:val="auto"/>
              <w:rPr>
                <w:rFonts w:asciiTheme="minorHAnsi" w:hAnsiTheme="minorHAnsi"/>
                <w:b/>
                <w:bCs/>
                <w:color w:val="000000"/>
                <w:sz w:val="18"/>
                <w:szCs w:val="18"/>
              </w:rPr>
            </w:pPr>
            <w:r w:rsidRPr="00D404E5">
              <w:rPr>
                <w:rFonts w:asciiTheme="minorHAnsi" w:hAnsiTheme="minorHAnsi"/>
                <w:b/>
                <w:bCs/>
                <w:color w:val="000000"/>
                <w:sz w:val="18"/>
                <w:szCs w:val="18"/>
              </w:rPr>
              <w:t>RPS + Geo Renew</w:t>
            </w:r>
          </w:p>
        </w:tc>
        <w:tc>
          <w:tcPr>
            <w:tcW w:w="951" w:type="dxa"/>
            <w:shd w:val="clear" w:color="auto" w:fill="DBE5F1" w:themeFill="accent1" w:themeFillTint="33"/>
            <w:vAlign w:val="center"/>
          </w:tcPr>
          <w:p w:rsidR="00D404E5" w:rsidRPr="00D404E5" w:rsidRDefault="00C86CF5" w:rsidP="00D404E5">
            <w:pPr>
              <w:adjustRightInd/>
              <w:spacing w:after="0" w:line="240" w:lineRule="auto"/>
              <w:jc w:val="right"/>
              <w:textAlignment w:val="auto"/>
              <w:rPr>
                <w:rFonts w:asciiTheme="minorHAnsi" w:hAnsiTheme="minorHAnsi"/>
                <w:sz w:val="18"/>
                <w:szCs w:val="18"/>
              </w:rPr>
            </w:pPr>
            <w:r>
              <w:rPr>
                <w:rFonts w:asciiTheme="minorHAnsi" w:hAnsiTheme="minorHAnsi"/>
                <w:sz w:val="18"/>
                <w:szCs w:val="18"/>
              </w:rPr>
              <w:t>0</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sz w:val="18"/>
                <w:szCs w:val="18"/>
              </w:rPr>
            </w:pPr>
            <w:r w:rsidRPr="00D404E5">
              <w:rPr>
                <w:rFonts w:asciiTheme="minorHAnsi" w:hAnsiTheme="minorHAnsi"/>
                <w:sz w:val="18"/>
                <w:szCs w:val="18"/>
              </w:rPr>
              <w:t>1,753</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sz w:val="18"/>
                <w:szCs w:val="18"/>
              </w:rPr>
            </w:pPr>
            <w:r w:rsidRPr="00D404E5">
              <w:rPr>
                <w:rFonts w:asciiTheme="minorHAnsi" w:hAnsiTheme="minorHAnsi"/>
                <w:sz w:val="18"/>
                <w:szCs w:val="18"/>
              </w:rPr>
              <w:t>1,753</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1,039</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1,374</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86</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0</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0</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10</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1,470</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1,460</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2,509</w:t>
            </w:r>
          </w:p>
        </w:tc>
        <w:tc>
          <w:tcPr>
            <w:tcW w:w="952"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4,262</w:t>
            </w:r>
          </w:p>
        </w:tc>
      </w:tr>
      <w:tr w:rsidR="00C86CF5" w:rsidRPr="00D404E5" w:rsidTr="003B1F3F">
        <w:trPr>
          <w:trHeight w:val="315"/>
        </w:trPr>
        <w:tc>
          <w:tcPr>
            <w:tcW w:w="720" w:type="dxa"/>
            <w:vMerge w:val="restart"/>
            <w:shd w:val="clear" w:color="auto" w:fill="DBE5F1" w:themeFill="accent1" w:themeFillTint="33"/>
            <w:vAlign w:val="center"/>
            <w:hideMark/>
          </w:tcPr>
          <w:p w:rsidR="00D404E5" w:rsidRPr="00D404E5" w:rsidRDefault="00D404E5" w:rsidP="00474D29">
            <w:pPr>
              <w:adjustRightInd/>
              <w:spacing w:after="0" w:line="240" w:lineRule="auto"/>
              <w:textAlignment w:val="auto"/>
              <w:rPr>
                <w:rFonts w:asciiTheme="minorHAnsi" w:hAnsiTheme="minorHAnsi"/>
                <w:b/>
                <w:bCs/>
                <w:color w:val="000000"/>
                <w:sz w:val="18"/>
                <w:szCs w:val="18"/>
              </w:rPr>
            </w:pPr>
            <w:r w:rsidRPr="00D404E5">
              <w:rPr>
                <w:rFonts w:asciiTheme="minorHAnsi" w:hAnsiTheme="minorHAnsi"/>
                <w:b/>
                <w:bCs/>
                <w:color w:val="000000"/>
                <w:sz w:val="18"/>
                <w:szCs w:val="18"/>
              </w:rPr>
              <w:t>2030</w:t>
            </w:r>
          </w:p>
        </w:tc>
        <w:tc>
          <w:tcPr>
            <w:tcW w:w="1046" w:type="dxa"/>
            <w:shd w:val="clear" w:color="auto" w:fill="auto"/>
            <w:vAlign w:val="center"/>
            <w:hideMark/>
          </w:tcPr>
          <w:p w:rsidR="00D404E5" w:rsidRPr="00D404E5" w:rsidRDefault="00D404E5" w:rsidP="00D404E5">
            <w:pPr>
              <w:adjustRightInd/>
              <w:spacing w:after="0" w:line="240" w:lineRule="auto"/>
              <w:textAlignment w:val="auto"/>
              <w:rPr>
                <w:rFonts w:asciiTheme="minorHAnsi" w:hAnsiTheme="minorHAnsi"/>
                <w:b/>
                <w:bCs/>
                <w:color w:val="000000"/>
                <w:sz w:val="18"/>
                <w:szCs w:val="18"/>
              </w:rPr>
            </w:pPr>
            <w:r w:rsidRPr="00D404E5">
              <w:rPr>
                <w:rFonts w:asciiTheme="minorHAnsi" w:hAnsiTheme="minorHAnsi"/>
                <w:b/>
                <w:bCs/>
                <w:color w:val="000000"/>
                <w:sz w:val="18"/>
                <w:szCs w:val="18"/>
              </w:rPr>
              <w:t>RPS + Gas</w:t>
            </w:r>
          </w:p>
        </w:tc>
        <w:tc>
          <w:tcPr>
            <w:tcW w:w="951" w:type="dxa"/>
            <w:shd w:val="clear" w:color="auto" w:fill="auto"/>
            <w:vAlign w:val="center"/>
          </w:tcPr>
          <w:p w:rsidR="00D404E5" w:rsidRPr="00D404E5" w:rsidRDefault="00C86CF5" w:rsidP="00D404E5">
            <w:pPr>
              <w:adjustRightInd/>
              <w:spacing w:after="0" w:line="240" w:lineRule="auto"/>
              <w:jc w:val="right"/>
              <w:textAlignment w:val="auto"/>
              <w:rPr>
                <w:rFonts w:asciiTheme="minorHAnsi" w:hAnsiTheme="minorHAnsi"/>
                <w:sz w:val="18"/>
                <w:szCs w:val="18"/>
              </w:rPr>
            </w:pPr>
            <w:r>
              <w:rPr>
                <w:rFonts w:asciiTheme="minorHAnsi" w:hAnsiTheme="minorHAnsi"/>
                <w:sz w:val="18"/>
                <w:szCs w:val="18"/>
              </w:rPr>
              <w:t>0</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sz w:val="18"/>
                <w:szCs w:val="18"/>
              </w:rPr>
            </w:pPr>
            <w:r w:rsidRPr="00D404E5">
              <w:rPr>
                <w:rFonts w:asciiTheme="minorHAnsi" w:hAnsiTheme="minorHAnsi"/>
                <w:sz w:val="18"/>
                <w:szCs w:val="18"/>
              </w:rPr>
              <w:t>483</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sz w:val="18"/>
                <w:szCs w:val="18"/>
              </w:rPr>
            </w:pPr>
            <w:r w:rsidRPr="00D404E5">
              <w:rPr>
                <w:rFonts w:asciiTheme="minorHAnsi" w:hAnsiTheme="minorHAnsi"/>
                <w:sz w:val="18"/>
                <w:szCs w:val="18"/>
              </w:rPr>
              <w:t>483</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1,039</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2,658</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297</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51</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0</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35</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3,041</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2,955</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4,080</w:t>
            </w:r>
          </w:p>
        </w:tc>
        <w:tc>
          <w:tcPr>
            <w:tcW w:w="952"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4,563</w:t>
            </w:r>
          </w:p>
        </w:tc>
      </w:tr>
      <w:tr w:rsidR="00C86CF5" w:rsidRPr="00D404E5" w:rsidTr="003B1F3F">
        <w:trPr>
          <w:trHeight w:val="315"/>
        </w:trPr>
        <w:tc>
          <w:tcPr>
            <w:tcW w:w="720" w:type="dxa"/>
            <w:vMerge/>
            <w:shd w:val="clear" w:color="auto" w:fill="DBE5F1" w:themeFill="accent1" w:themeFillTint="33"/>
            <w:vAlign w:val="center"/>
            <w:hideMark/>
          </w:tcPr>
          <w:p w:rsidR="00D404E5" w:rsidRPr="00D404E5" w:rsidRDefault="00D404E5" w:rsidP="00D404E5">
            <w:pPr>
              <w:adjustRightInd/>
              <w:spacing w:after="0" w:line="240" w:lineRule="auto"/>
              <w:textAlignment w:val="auto"/>
              <w:rPr>
                <w:rFonts w:asciiTheme="minorHAnsi" w:hAnsiTheme="minorHAnsi"/>
                <w:b/>
                <w:bCs/>
                <w:color w:val="000000"/>
                <w:sz w:val="18"/>
                <w:szCs w:val="18"/>
              </w:rPr>
            </w:pPr>
          </w:p>
        </w:tc>
        <w:tc>
          <w:tcPr>
            <w:tcW w:w="1046" w:type="dxa"/>
            <w:shd w:val="clear" w:color="auto" w:fill="DBE5F1" w:themeFill="accent1" w:themeFillTint="33"/>
            <w:vAlign w:val="center"/>
            <w:hideMark/>
          </w:tcPr>
          <w:p w:rsidR="00D404E5" w:rsidRPr="00D404E5" w:rsidRDefault="00D404E5" w:rsidP="00D404E5">
            <w:pPr>
              <w:adjustRightInd/>
              <w:spacing w:after="0" w:line="240" w:lineRule="auto"/>
              <w:textAlignment w:val="auto"/>
              <w:rPr>
                <w:rFonts w:asciiTheme="minorHAnsi" w:hAnsiTheme="minorHAnsi"/>
                <w:b/>
                <w:bCs/>
                <w:color w:val="000000"/>
                <w:sz w:val="18"/>
                <w:szCs w:val="18"/>
              </w:rPr>
            </w:pPr>
            <w:r w:rsidRPr="00D404E5">
              <w:rPr>
                <w:rFonts w:asciiTheme="minorHAnsi" w:hAnsiTheme="minorHAnsi"/>
                <w:b/>
                <w:bCs/>
                <w:color w:val="000000"/>
                <w:sz w:val="18"/>
                <w:szCs w:val="18"/>
              </w:rPr>
              <w:t>ISO Queue</w:t>
            </w:r>
          </w:p>
        </w:tc>
        <w:tc>
          <w:tcPr>
            <w:tcW w:w="951" w:type="dxa"/>
            <w:shd w:val="clear" w:color="auto" w:fill="DBE5F1" w:themeFill="accent1" w:themeFillTint="33"/>
            <w:vAlign w:val="center"/>
          </w:tcPr>
          <w:p w:rsidR="00D404E5" w:rsidRPr="00D404E5" w:rsidRDefault="00C86CF5" w:rsidP="00D404E5">
            <w:pPr>
              <w:adjustRightInd/>
              <w:spacing w:after="0" w:line="240" w:lineRule="auto"/>
              <w:jc w:val="right"/>
              <w:textAlignment w:val="auto"/>
              <w:rPr>
                <w:rFonts w:asciiTheme="minorHAnsi" w:hAnsiTheme="minorHAnsi"/>
                <w:sz w:val="18"/>
                <w:szCs w:val="18"/>
              </w:rPr>
            </w:pPr>
            <w:r>
              <w:rPr>
                <w:rFonts w:asciiTheme="minorHAnsi" w:hAnsiTheme="minorHAnsi"/>
                <w:sz w:val="18"/>
                <w:szCs w:val="18"/>
              </w:rPr>
              <w:t>0</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sz w:val="18"/>
                <w:szCs w:val="18"/>
              </w:rPr>
            </w:pPr>
            <w:r w:rsidRPr="00D404E5">
              <w:rPr>
                <w:rFonts w:asciiTheme="minorHAnsi" w:hAnsiTheme="minorHAnsi"/>
                <w:sz w:val="18"/>
                <w:szCs w:val="18"/>
              </w:rPr>
              <w:t>1,702</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sz w:val="18"/>
                <w:szCs w:val="18"/>
              </w:rPr>
            </w:pPr>
            <w:r w:rsidRPr="00D404E5">
              <w:rPr>
                <w:rFonts w:asciiTheme="minorHAnsi" w:hAnsiTheme="minorHAnsi"/>
                <w:sz w:val="18"/>
                <w:szCs w:val="18"/>
              </w:rPr>
              <w:t>1,702</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1,039</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9,380</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3,492</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279</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70</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140</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13,361</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12,872</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14,400</w:t>
            </w:r>
          </w:p>
        </w:tc>
        <w:tc>
          <w:tcPr>
            <w:tcW w:w="952"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16,102</w:t>
            </w:r>
          </w:p>
        </w:tc>
      </w:tr>
      <w:tr w:rsidR="00C86CF5" w:rsidRPr="00D404E5" w:rsidTr="003B1F3F">
        <w:trPr>
          <w:trHeight w:val="495"/>
        </w:trPr>
        <w:tc>
          <w:tcPr>
            <w:tcW w:w="720" w:type="dxa"/>
            <w:vMerge/>
            <w:shd w:val="clear" w:color="auto" w:fill="DBE5F1" w:themeFill="accent1" w:themeFillTint="33"/>
            <w:vAlign w:val="center"/>
            <w:hideMark/>
          </w:tcPr>
          <w:p w:rsidR="00D404E5" w:rsidRPr="00D404E5" w:rsidRDefault="00D404E5" w:rsidP="00D404E5">
            <w:pPr>
              <w:adjustRightInd/>
              <w:spacing w:after="0" w:line="240" w:lineRule="auto"/>
              <w:textAlignment w:val="auto"/>
              <w:rPr>
                <w:rFonts w:asciiTheme="minorHAnsi" w:hAnsiTheme="minorHAnsi"/>
                <w:b/>
                <w:bCs/>
                <w:color w:val="000000"/>
                <w:sz w:val="18"/>
                <w:szCs w:val="18"/>
              </w:rPr>
            </w:pPr>
          </w:p>
        </w:tc>
        <w:tc>
          <w:tcPr>
            <w:tcW w:w="1046" w:type="dxa"/>
            <w:shd w:val="clear" w:color="auto" w:fill="auto"/>
            <w:vAlign w:val="center"/>
            <w:hideMark/>
          </w:tcPr>
          <w:p w:rsidR="00D404E5" w:rsidRPr="00D404E5" w:rsidRDefault="00D404E5" w:rsidP="00D404E5">
            <w:pPr>
              <w:adjustRightInd/>
              <w:spacing w:after="0" w:line="240" w:lineRule="auto"/>
              <w:textAlignment w:val="auto"/>
              <w:rPr>
                <w:rFonts w:asciiTheme="minorHAnsi" w:hAnsiTheme="minorHAnsi"/>
                <w:b/>
                <w:bCs/>
                <w:color w:val="000000"/>
                <w:sz w:val="18"/>
                <w:szCs w:val="18"/>
              </w:rPr>
            </w:pPr>
            <w:r w:rsidRPr="00D404E5">
              <w:rPr>
                <w:rFonts w:asciiTheme="minorHAnsi" w:hAnsiTheme="minorHAnsi"/>
                <w:b/>
                <w:bCs/>
                <w:color w:val="000000"/>
                <w:sz w:val="18"/>
                <w:szCs w:val="18"/>
              </w:rPr>
              <w:t>Renew Plus</w:t>
            </w:r>
          </w:p>
        </w:tc>
        <w:tc>
          <w:tcPr>
            <w:tcW w:w="951" w:type="dxa"/>
            <w:shd w:val="clear" w:color="auto" w:fill="auto"/>
            <w:vAlign w:val="center"/>
          </w:tcPr>
          <w:p w:rsidR="00D404E5" w:rsidRPr="00D404E5" w:rsidRDefault="00C86CF5" w:rsidP="00D404E5">
            <w:pPr>
              <w:adjustRightInd/>
              <w:spacing w:after="0" w:line="240" w:lineRule="auto"/>
              <w:jc w:val="right"/>
              <w:textAlignment w:val="auto"/>
              <w:rPr>
                <w:rFonts w:asciiTheme="minorHAnsi" w:hAnsiTheme="minorHAnsi"/>
                <w:sz w:val="18"/>
                <w:szCs w:val="18"/>
              </w:rPr>
            </w:pPr>
            <w:r>
              <w:rPr>
                <w:rFonts w:asciiTheme="minorHAnsi" w:hAnsiTheme="minorHAnsi"/>
                <w:sz w:val="18"/>
                <w:szCs w:val="18"/>
              </w:rPr>
              <w:t>0</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sz w:val="18"/>
                <w:szCs w:val="18"/>
              </w:rPr>
            </w:pPr>
            <w:r w:rsidRPr="00D404E5">
              <w:rPr>
                <w:rFonts w:asciiTheme="minorHAnsi" w:hAnsiTheme="minorHAnsi"/>
                <w:sz w:val="18"/>
                <w:szCs w:val="18"/>
              </w:rPr>
              <w:t>2,483</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sz w:val="18"/>
                <w:szCs w:val="18"/>
              </w:rPr>
            </w:pPr>
            <w:r w:rsidRPr="00D404E5">
              <w:rPr>
                <w:rFonts w:asciiTheme="minorHAnsi" w:hAnsiTheme="minorHAnsi"/>
                <w:sz w:val="18"/>
                <w:szCs w:val="18"/>
              </w:rPr>
              <w:t>2,483</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1,039</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2,661</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991</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63</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16</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31</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3,761</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3,652</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4,800</w:t>
            </w:r>
          </w:p>
        </w:tc>
        <w:tc>
          <w:tcPr>
            <w:tcW w:w="952"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7,283</w:t>
            </w:r>
          </w:p>
        </w:tc>
      </w:tr>
      <w:tr w:rsidR="00C86CF5" w:rsidRPr="00D404E5" w:rsidTr="003B1F3F">
        <w:trPr>
          <w:trHeight w:val="315"/>
        </w:trPr>
        <w:tc>
          <w:tcPr>
            <w:tcW w:w="720" w:type="dxa"/>
            <w:vMerge/>
            <w:shd w:val="clear" w:color="auto" w:fill="DBE5F1" w:themeFill="accent1" w:themeFillTint="33"/>
            <w:vAlign w:val="center"/>
            <w:hideMark/>
          </w:tcPr>
          <w:p w:rsidR="00D404E5" w:rsidRPr="00D404E5" w:rsidRDefault="00D404E5" w:rsidP="00D404E5">
            <w:pPr>
              <w:adjustRightInd/>
              <w:spacing w:after="0" w:line="240" w:lineRule="auto"/>
              <w:textAlignment w:val="auto"/>
              <w:rPr>
                <w:rFonts w:asciiTheme="minorHAnsi" w:hAnsiTheme="minorHAnsi"/>
                <w:b/>
                <w:bCs/>
                <w:color w:val="000000"/>
                <w:sz w:val="18"/>
                <w:szCs w:val="18"/>
              </w:rPr>
            </w:pPr>
          </w:p>
        </w:tc>
        <w:tc>
          <w:tcPr>
            <w:tcW w:w="1046" w:type="dxa"/>
            <w:shd w:val="clear" w:color="auto" w:fill="DBE5F1" w:themeFill="accent1" w:themeFillTint="33"/>
            <w:vAlign w:val="center"/>
            <w:hideMark/>
          </w:tcPr>
          <w:p w:rsidR="00D404E5" w:rsidRPr="00D404E5" w:rsidRDefault="00D404E5" w:rsidP="00D404E5">
            <w:pPr>
              <w:adjustRightInd/>
              <w:spacing w:after="0" w:line="240" w:lineRule="auto"/>
              <w:textAlignment w:val="auto"/>
              <w:rPr>
                <w:rFonts w:asciiTheme="minorHAnsi" w:hAnsiTheme="minorHAnsi"/>
                <w:b/>
                <w:bCs/>
                <w:color w:val="000000"/>
                <w:sz w:val="18"/>
                <w:szCs w:val="18"/>
              </w:rPr>
            </w:pPr>
            <w:r w:rsidRPr="00D404E5">
              <w:rPr>
                <w:rFonts w:asciiTheme="minorHAnsi" w:hAnsiTheme="minorHAnsi"/>
                <w:b/>
                <w:bCs/>
                <w:color w:val="000000"/>
                <w:sz w:val="18"/>
                <w:szCs w:val="18"/>
              </w:rPr>
              <w:t>No Retire</w:t>
            </w:r>
          </w:p>
        </w:tc>
        <w:tc>
          <w:tcPr>
            <w:tcW w:w="951" w:type="dxa"/>
            <w:shd w:val="clear" w:color="auto" w:fill="DBE5F1" w:themeFill="accent1" w:themeFillTint="33"/>
            <w:vAlign w:val="center"/>
          </w:tcPr>
          <w:p w:rsidR="00D404E5" w:rsidRPr="00D404E5" w:rsidRDefault="00C86CF5" w:rsidP="00D404E5">
            <w:pPr>
              <w:adjustRightInd/>
              <w:spacing w:after="0" w:line="240" w:lineRule="auto"/>
              <w:jc w:val="right"/>
              <w:textAlignment w:val="auto"/>
              <w:rPr>
                <w:rFonts w:asciiTheme="minorHAnsi" w:hAnsiTheme="minorHAnsi"/>
                <w:sz w:val="18"/>
                <w:szCs w:val="18"/>
              </w:rPr>
            </w:pPr>
            <w:r>
              <w:rPr>
                <w:rFonts w:asciiTheme="minorHAnsi" w:hAnsiTheme="minorHAnsi"/>
                <w:sz w:val="18"/>
                <w:szCs w:val="18"/>
              </w:rPr>
              <w:t>0</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sz w:val="18"/>
                <w:szCs w:val="18"/>
              </w:rPr>
            </w:pPr>
            <w:r w:rsidRPr="00D404E5">
              <w:rPr>
                <w:rFonts w:asciiTheme="minorHAnsi" w:hAnsiTheme="minorHAnsi"/>
                <w:sz w:val="18"/>
                <w:szCs w:val="18"/>
              </w:rPr>
              <w:t>483</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sz w:val="18"/>
                <w:szCs w:val="18"/>
              </w:rPr>
            </w:pPr>
            <w:r w:rsidRPr="00D404E5">
              <w:rPr>
                <w:rFonts w:asciiTheme="minorHAnsi" w:hAnsiTheme="minorHAnsi"/>
                <w:sz w:val="18"/>
                <w:szCs w:val="18"/>
              </w:rPr>
              <w:t>483</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1,039</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100</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208</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51</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0</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30</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388</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308</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1,427</w:t>
            </w:r>
          </w:p>
        </w:tc>
        <w:tc>
          <w:tcPr>
            <w:tcW w:w="952"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1,910</w:t>
            </w:r>
          </w:p>
        </w:tc>
      </w:tr>
      <w:tr w:rsidR="00C86CF5" w:rsidRPr="00D404E5" w:rsidTr="003B1F3F">
        <w:trPr>
          <w:trHeight w:val="315"/>
        </w:trPr>
        <w:tc>
          <w:tcPr>
            <w:tcW w:w="720" w:type="dxa"/>
            <w:vMerge/>
            <w:shd w:val="clear" w:color="auto" w:fill="DBE5F1" w:themeFill="accent1" w:themeFillTint="33"/>
            <w:vAlign w:val="center"/>
            <w:hideMark/>
          </w:tcPr>
          <w:p w:rsidR="00D404E5" w:rsidRPr="00D404E5" w:rsidRDefault="00D404E5" w:rsidP="00D404E5">
            <w:pPr>
              <w:adjustRightInd/>
              <w:spacing w:after="0" w:line="240" w:lineRule="auto"/>
              <w:textAlignment w:val="auto"/>
              <w:rPr>
                <w:rFonts w:asciiTheme="minorHAnsi" w:hAnsiTheme="minorHAnsi"/>
                <w:b/>
                <w:bCs/>
                <w:color w:val="000000"/>
                <w:sz w:val="18"/>
                <w:szCs w:val="18"/>
              </w:rPr>
            </w:pPr>
          </w:p>
        </w:tc>
        <w:tc>
          <w:tcPr>
            <w:tcW w:w="1046" w:type="dxa"/>
            <w:shd w:val="clear" w:color="auto" w:fill="auto"/>
            <w:vAlign w:val="center"/>
            <w:hideMark/>
          </w:tcPr>
          <w:p w:rsidR="00D404E5" w:rsidRPr="00D404E5" w:rsidRDefault="00D404E5" w:rsidP="00D404E5">
            <w:pPr>
              <w:adjustRightInd/>
              <w:spacing w:after="0" w:line="240" w:lineRule="auto"/>
              <w:textAlignment w:val="auto"/>
              <w:rPr>
                <w:rFonts w:asciiTheme="minorHAnsi" w:hAnsiTheme="minorHAnsi"/>
                <w:b/>
                <w:bCs/>
                <w:color w:val="000000"/>
                <w:sz w:val="18"/>
                <w:szCs w:val="18"/>
              </w:rPr>
            </w:pPr>
            <w:r w:rsidRPr="00D404E5">
              <w:rPr>
                <w:rFonts w:asciiTheme="minorHAnsi" w:hAnsiTheme="minorHAnsi"/>
                <w:b/>
                <w:bCs/>
                <w:color w:val="000000"/>
                <w:sz w:val="18"/>
                <w:szCs w:val="18"/>
              </w:rPr>
              <w:t>ACP + Gas</w:t>
            </w:r>
          </w:p>
        </w:tc>
        <w:tc>
          <w:tcPr>
            <w:tcW w:w="951" w:type="dxa"/>
            <w:shd w:val="clear" w:color="auto" w:fill="auto"/>
            <w:vAlign w:val="center"/>
          </w:tcPr>
          <w:p w:rsidR="00D404E5" w:rsidRPr="00D404E5" w:rsidRDefault="00C86CF5" w:rsidP="00D404E5">
            <w:pPr>
              <w:adjustRightInd/>
              <w:spacing w:after="0" w:line="240" w:lineRule="auto"/>
              <w:jc w:val="right"/>
              <w:textAlignment w:val="auto"/>
              <w:rPr>
                <w:rFonts w:asciiTheme="minorHAnsi" w:hAnsiTheme="minorHAnsi"/>
                <w:sz w:val="18"/>
                <w:szCs w:val="18"/>
              </w:rPr>
            </w:pPr>
            <w:r>
              <w:rPr>
                <w:rFonts w:asciiTheme="minorHAnsi" w:hAnsiTheme="minorHAnsi"/>
                <w:sz w:val="18"/>
                <w:szCs w:val="18"/>
              </w:rPr>
              <w:t>0</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sz w:val="18"/>
                <w:szCs w:val="18"/>
              </w:rPr>
            </w:pPr>
            <w:r w:rsidRPr="00D404E5">
              <w:rPr>
                <w:rFonts w:asciiTheme="minorHAnsi" w:hAnsiTheme="minorHAnsi"/>
                <w:sz w:val="18"/>
                <w:szCs w:val="18"/>
              </w:rPr>
              <w:t>483</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sz w:val="18"/>
                <w:szCs w:val="18"/>
              </w:rPr>
            </w:pPr>
            <w:r w:rsidRPr="00D404E5">
              <w:rPr>
                <w:rFonts w:asciiTheme="minorHAnsi" w:hAnsiTheme="minorHAnsi"/>
                <w:sz w:val="18"/>
                <w:szCs w:val="18"/>
              </w:rPr>
              <w:t>483</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1,039</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100</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208</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51</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0</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30</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388</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308</w:t>
            </w:r>
          </w:p>
        </w:tc>
        <w:tc>
          <w:tcPr>
            <w:tcW w:w="951"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1,427</w:t>
            </w:r>
          </w:p>
        </w:tc>
        <w:tc>
          <w:tcPr>
            <w:tcW w:w="952" w:type="dxa"/>
            <w:shd w:val="clear" w:color="auto" w:fill="auto"/>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1,910</w:t>
            </w:r>
          </w:p>
        </w:tc>
      </w:tr>
      <w:tr w:rsidR="00C86CF5" w:rsidRPr="00D404E5" w:rsidTr="003B1F3F">
        <w:trPr>
          <w:trHeight w:val="495"/>
        </w:trPr>
        <w:tc>
          <w:tcPr>
            <w:tcW w:w="720" w:type="dxa"/>
            <w:vMerge/>
            <w:shd w:val="clear" w:color="auto" w:fill="DBE5F1" w:themeFill="accent1" w:themeFillTint="33"/>
            <w:vAlign w:val="center"/>
            <w:hideMark/>
          </w:tcPr>
          <w:p w:rsidR="00D404E5" w:rsidRPr="00D404E5" w:rsidRDefault="00D404E5" w:rsidP="00D404E5">
            <w:pPr>
              <w:adjustRightInd/>
              <w:spacing w:after="0" w:line="240" w:lineRule="auto"/>
              <w:textAlignment w:val="auto"/>
              <w:rPr>
                <w:rFonts w:asciiTheme="minorHAnsi" w:hAnsiTheme="minorHAnsi"/>
                <w:b/>
                <w:bCs/>
                <w:color w:val="000000"/>
                <w:sz w:val="18"/>
                <w:szCs w:val="18"/>
              </w:rPr>
            </w:pPr>
          </w:p>
        </w:tc>
        <w:tc>
          <w:tcPr>
            <w:tcW w:w="1046" w:type="dxa"/>
            <w:shd w:val="clear" w:color="auto" w:fill="DBE5F1" w:themeFill="accent1" w:themeFillTint="33"/>
            <w:vAlign w:val="center"/>
            <w:hideMark/>
          </w:tcPr>
          <w:p w:rsidR="00D404E5" w:rsidRPr="00D404E5" w:rsidRDefault="00D404E5" w:rsidP="00D404E5">
            <w:pPr>
              <w:adjustRightInd/>
              <w:spacing w:after="0" w:line="240" w:lineRule="auto"/>
              <w:textAlignment w:val="auto"/>
              <w:rPr>
                <w:rFonts w:asciiTheme="minorHAnsi" w:hAnsiTheme="minorHAnsi"/>
                <w:b/>
                <w:bCs/>
                <w:color w:val="000000"/>
                <w:sz w:val="18"/>
                <w:szCs w:val="18"/>
              </w:rPr>
            </w:pPr>
            <w:r w:rsidRPr="00D404E5">
              <w:rPr>
                <w:rFonts w:asciiTheme="minorHAnsi" w:hAnsiTheme="minorHAnsi"/>
                <w:b/>
                <w:bCs/>
                <w:color w:val="000000"/>
                <w:sz w:val="18"/>
                <w:szCs w:val="18"/>
              </w:rPr>
              <w:t>RPS + Geo Renew</w:t>
            </w:r>
          </w:p>
        </w:tc>
        <w:tc>
          <w:tcPr>
            <w:tcW w:w="951" w:type="dxa"/>
            <w:shd w:val="clear" w:color="auto" w:fill="DBE5F1" w:themeFill="accent1" w:themeFillTint="33"/>
            <w:vAlign w:val="center"/>
          </w:tcPr>
          <w:p w:rsidR="00D404E5" w:rsidRPr="00D404E5" w:rsidRDefault="00C86CF5" w:rsidP="00D404E5">
            <w:pPr>
              <w:adjustRightInd/>
              <w:spacing w:after="0" w:line="240" w:lineRule="auto"/>
              <w:jc w:val="right"/>
              <w:textAlignment w:val="auto"/>
              <w:rPr>
                <w:rFonts w:asciiTheme="minorHAnsi" w:hAnsiTheme="minorHAnsi"/>
                <w:sz w:val="18"/>
                <w:szCs w:val="18"/>
              </w:rPr>
            </w:pPr>
            <w:r>
              <w:rPr>
                <w:rFonts w:asciiTheme="minorHAnsi" w:hAnsiTheme="minorHAnsi"/>
                <w:sz w:val="18"/>
                <w:szCs w:val="18"/>
              </w:rPr>
              <w:t>0</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sz w:val="18"/>
                <w:szCs w:val="18"/>
              </w:rPr>
            </w:pPr>
            <w:r w:rsidRPr="00D404E5">
              <w:rPr>
                <w:rFonts w:asciiTheme="minorHAnsi" w:hAnsiTheme="minorHAnsi"/>
                <w:sz w:val="18"/>
                <w:szCs w:val="18"/>
              </w:rPr>
              <w:t>5,853</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sz w:val="18"/>
                <w:szCs w:val="18"/>
              </w:rPr>
            </w:pPr>
            <w:r w:rsidRPr="00D404E5">
              <w:rPr>
                <w:rFonts w:asciiTheme="minorHAnsi" w:hAnsiTheme="minorHAnsi"/>
                <w:sz w:val="18"/>
                <w:szCs w:val="18"/>
              </w:rPr>
              <w:t>5,853</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1,039</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4,359</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1,600</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130</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33</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77</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6,198</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5,959</w:t>
            </w:r>
          </w:p>
        </w:tc>
        <w:tc>
          <w:tcPr>
            <w:tcW w:w="951"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7,237</w:t>
            </w:r>
          </w:p>
        </w:tc>
        <w:tc>
          <w:tcPr>
            <w:tcW w:w="952" w:type="dxa"/>
            <w:shd w:val="clear" w:color="auto" w:fill="DBE5F1" w:themeFill="accent1" w:themeFillTint="33"/>
            <w:vAlign w:val="center"/>
            <w:hideMark/>
          </w:tcPr>
          <w:p w:rsidR="00D404E5" w:rsidRPr="00D404E5" w:rsidRDefault="00D404E5" w:rsidP="00D404E5">
            <w:pPr>
              <w:adjustRightInd/>
              <w:spacing w:after="0" w:line="240" w:lineRule="auto"/>
              <w:jc w:val="right"/>
              <w:textAlignment w:val="auto"/>
              <w:rPr>
                <w:rFonts w:asciiTheme="minorHAnsi" w:hAnsiTheme="minorHAnsi"/>
                <w:color w:val="000000"/>
                <w:sz w:val="18"/>
                <w:szCs w:val="18"/>
              </w:rPr>
            </w:pPr>
            <w:r w:rsidRPr="00D404E5">
              <w:rPr>
                <w:rFonts w:asciiTheme="minorHAnsi" w:hAnsiTheme="minorHAnsi"/>
                <w:color w:val="000000"/>
                <w:sz w:val="18"/>
                <w:szCs w:val="18"/>
              </w:rPr>
              <w:t>13,090</w:t>
            </w:r>
          </w:p>
        </w:tc>
      </w:tr>
    </w:tbl>
    <w:p w:rsidR="00993735" w:rsidRPr="003B1F3F" w:rsidRDefault="00D96938" w:rsidP="003B1F3F">
      <w:pPr>
        <w:spacing w:before="120" w:line="240" w:lineRule="auto"/>
        <w:ind w:left="-630"/>
        <w:rPr>
          <w:rFonts w:asciiTheme="minorHAnsi" w:eastAsia="Calibri" w:hAnsiTheme="minorHAnsi" w:cstheme="minorHAnsi"/>
          <w:sz w:val="16"/>
          <w:szCs w:val="16"/>
        </w:rPr>
        <w:sectPr w:rsidR="00993735" w:rsidRPr="003B1F3F" w:rsidSect="00993735">
          <w:footerReference w:type="default" r:id="rId33"/>
          <w:pgSz w:w="15840" w:h="12240" w:orient="landscape" w:code="1"/>
          <w:pgMar w:top="1440" w:right="1440" w:bottom="1440" w:left="1440" w:header="720" w:footer="720" w:gutter="0"/>
          <w:cols w:space="720"/>
          <w:docGrid w:linePitch="360"/>
        </w:sectPr>
      </w:pPr>
      <w:r w:rsidRPr="003B1F3F">
        <w:rPr>
          <w:rFonts w:asciiTheme="minorHAnsi" w:eastAsia="Calibri" w:hAnsiTheme="minorHAnsi" w:cstheme="minorHAnsi"/>
          <w:sz w:val="16"/>
          <w:szCs w:val="16"/>
        </w:rPr>
        <w:t>Note: Additions include wind resources with I.3.9</w:t>
      </w:r>
      <w:r w:rsidR="003B1F3F">
        <w:rPr>
          <w:rFonts w:asciiTheme="minorHAnsi" w:eastAsia="Calibri" w:hAnsiTheme="minorHAnsi" w:cstheme="minorHAnsi"/>
          <w:sz w:val="16"/>
          <w:szCs w:val="16"/>
        </w:rPr>
        <w:t xml:space="preserve"> approval</w:t>
      </w:r>
      <w:r w:rsidRPr="003B1F3F">
        <w:rPr>
          <w:rFonts w:asciiTheme="minorHAnsi" w:eastAsia="Calibri" w:hAnsiTheme="minorHAnsi" w:cstheme="minorHAnsi"/>
          <w:sz w:val="16"/>
          <w:szCs w:val="16"/>
        </w:rPr>
        <w:t xml:space="preserve">. </w:t>
      </w:r>
    </w:p>
    <w:p w:rsidR="0030601D" w:rsidRPr="00A753F4" w:rsidRDefault="0030601D" w:rsidP="00AF716F">
      <w:pPr>
        <w:pStyle w:val="Heading3"/>
      </w:pPr>
      <w:bookmarkStart w:id="131" w:name="_Toc486405981"/>
      <w:r w:rsidRPr="00A753F4">
        <w:lastRenderedPageBreak/>
        <w:t>Resource Retirements</w:t>
      </w:r>
      <w:bookmarkEnd w:id="131"/>
      <w:r w:rsidR="00E324D5">
        <w:t xml:space="preserve"> </w:t>
      </w:r>
      <w:r w:rsidR="004C2828">
        <w:t xml:space="preserve"> </w:t>
      </w:r>
    </w:p>
    <w:p w:rsidR="0030601D" w:rsidRDefault="0030601D" w:rsidP="0030601D">
      <w:r>
        <w:t>For all scenarios</w:t>
      </w:r>
      <w:r w:rsidR="00AF6FBD">
        <w:t xml:space="preserve">, the retirement of existing resources is in </w:t>
      </w:r>
      <w:r>
        <w:t xml:space="preserve">accordance with FCA </w:t>
      </w:r>
      <w:r w:rsidR="00AF6FBD">
        <w:t>#</w:t>
      </w:r>
      <w:r>
        <w:t>10 results</w:t>
      </w:r>
      <w:r w:rsidR="00AF6FBD">
        <w:t xml:space="preserve">. </w:t>
      </w:r>
      <w:r w:rsidR="00E55C4C">
        <w:t>T</w:t>
      </w:r>
      <w:r w:rsidR="00AF6FBD">
        <w:t xml:space="preserve">he following </w:t>
      </w:r>
      <w:r w:rsidR="00E55C4C">
        <w:t xml:space="preserve">additional </w:t>
      </w:r>
      <w:r w:rsidR="00AF6FBD">
        <w:t>retirement assumptions were made</w:t>
      </w:r>
      <w:r>
        <w:t>:</w:t>
      </w:r>
    </w:p>
    <w:p w:rsidR="0030601D" w:rsidRDefault="00AF6FBD" w:rsidP="00EA49AC">
      <w:pPr>
        <w:numPr>
          <w:ilvl w:val="0"/>
          <w:numId w:val="19"/>
        </w:numPr>
        <w:spacing w:after="120"/>
      </w:pPr>
      <w:r>
        <w:t xml:space="preserve">The </w:t>
      </w:r>
      <w:r w:rsidR="0030601D">
        <w:t xml:space="preserve">oldest half </w:t>
      </w:r>
      <w:r w:rsidR="007A529F">
        <w:t>(in terms of megawatt capacity)</w:t>
      </w:r>
      <w:r>
        <w:t xml:space="preserve"> </w:t>
      </w:r>
      <w:r w:rsidR="0030601D">
        <w:t xml:space="preserve">of the conventional oil- and coal-fired steam units </w:t>
      </w:r>
      <w:r>
        <w:t xml:space="preserve">retire </w:t>
      </w:r>
      <w:r w:rsidR="0030601D">
        <w:t>by 2025 (including dual</w:t>
      </w:r>
      <w:r>
        <w:t>-</w:t>
      </w:r>
      <w:r w:rsidR="0030601D">
        <w:t>fuel units)</w:t>
      </w:r>
      <w:r>
        <w:t>.</w:t>
      </w:r>
      <w:r w:rsidRPr="00AF6FBD">
        <w:rPr>
          <w:vertAlign w:val="superscript"/>
        </w:rPr>
        <w:footnoteReference w:id="49"/>
      </w:r>
    </w:p>
    <w:p w:rsidR="0030601D" w:rsidRDefault="00AF6FBD" w:rsidP="00EA49AC">
      <w:pPr>
        <w:numPr>
          <w:ilvl w:val="0"/>
          <w:numId w:val="19"/>
        </w:numPr>
      </w:pPr>
      <w:r>
        <w:t xml:space="preserve">The </w:t>
      </w:r>
      <w:r w:rsidR="0030601D">
        <w:t>next oldest half of the conventional oil- and coal-fired</w:t>
      </w:r>
      <w:r>
        <w:t xml:space="preserve"> </w:t>
      </w:r>
      <w:r w:rsidR="0030601D">
        <w:t xml:space="preserve">steam units </w:t>
      </w:r>
      <w:r>
        <w:t xml:space="preserve">retire </w:t>
      </w:r>
      <w:r w:rsidR="0030601D">
        <w:t>by 2030 (including dual</w:t>
      </w:r>
      <w:r>
        <w:t>-</w:t>
      </w:r>
      <w:r w:rsidR="0030601D">
        <w:t>fuel units)</w:t>
      </w:r>
      <w:r>
        <w:t>.</w:t>
      </w:r>
    </w:p>
    <w:p w:rsidR="007A529F" w:rsidRPr="007A529F" w:rsidRDefault="00AF6FBD" w:rsidP="007A529F">
      <w:pPr>
        <w:rPr>
          <w:highlight w:val="green"/>
        </w:rPr>
      </w:pPr>
      <w:r>
        <w:fldChar w:fldCharType="begin"/>
      </w:r>
      <w:r>
        <w:instrText xml:space="preserve"> REF _Ref461380282 \h </w:instrText>
      </w:r>
      <w:r>
        <w:fldChar w:fldCharType="separate"/>
      </w:r>
      <w:r w:rsidR="00742B49">
        <w:t xml:space="preserve">Figure </w:t>
      </w:r>
      <w:r w:rsidR="00742B49">
        <w:rPr>
          <w:noProof/>
        </w:rPr>
        <w:t>5</w:t>
      </w:r>
      <w:r w:rsidR="00742B49">
        <w:noBreakHyphen/>
      </w:r>
      <w:r w:rsidR="00742B49">
        <w:rPr>
          <w:noProof/>
        </w:rPr>
        <w:t>5</w:t>
      </w:r>
      <w:r>
        <w:fldChar w:fldCharType="end"/>
      </w:r>
      <w:r>
        <w:t xml:space="preserve"> shows the capacity assumptions for resource additions and retirement</w:t>
      </w:r>
      <w:r w:rsidR="007A529F">
        <w:t>s</w:t>
      </w:r>
      <w:r>
        <w:t xml:space="preserve"> for all scenarios for the two study years. </w:t>
      </w:r>
      <w:r w:rsidR="007A529F">
        <w:fldChar w:fldCharType="begin"/>
      </w:r>
      <w:r w:rsidR="007A529F">
        <w:instrText xml:space="preserve"> REF _Ref462295275 \h </w:instrText>
      </w:r>
      <w:r w:rsidR="007A529F">
        <w:fldChar w:fldCharType="separate"/>
      </w:r>
      <w:r w:rsidR="00742B49">
        <w:t xml:space="preserve">Table </w:t>
      </w:r>
      <w:r w:rsidR="00742B49">
        <w:rPr>
          <w:noProof/>
        </w:rPr>
        <w:t>5</w:t>
      </w:r>
      <w:r w:rsidR="00742B49">
        <w:noBreakHyphen/>
      </w:r>
      <w:r w:rsidR="00742B49">
        <w:rPr>
          <w:noProof/>
        </w:rPr>
        <w:t>9</w:t>
      </w:r>
      <w:r w:rsidR="007A529F">
        <w:fldChar w:fldCharType="end"/>
      </w:r>
      <w:r w:rsidR="007A529F">
        <w:t xml:space="preserve"> lists the assumed generating unit retirements.</w:t>
      </w:r>
      <w:r w:rsidR="007A529F" w:rsidRPr="007A529F">
        <w:t xml:space="preserve"> </w:t>
      </w:r>
    </w:p>
    <w:p w:rsidR="00914F15" w:rsidRDefault="00914F15" w:rsidP="00304756">
      <w:pPr>
        <w:spacing w:after="0" w:line="240" w:lineRule="auto"/>
        <w:jc w:val="center"/>
      </w:pPr>
      <w:r w:rsidRPr="00914F15">
        <w:rPr>
          <w:noProof/>
        </w:rPr>
        <w:drawing>
          <wp:inline distT="0" distB="0" distL="0" distR="0" wp14:anchorId="1C610060" wp14:editId="505811DB">
            <wp:extent cx="4822257" cy="3090672"/>
            <wp:effectExtent l="19050" t="19050" r="16510" b="146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22045" cy="3090536"/>
                    </a:xfrm>
                    <a:prstGeom prst="rect">
                      <a:avLst/>
                    </a:prstGeom>
                    <a:noFill/>
                    <a:ln w="3175">
                      <a:solidFill>
                        <a:schemeClr val="tx1"/>
                      </a:solidFill>
                    </a:ln>
                  </pic:spPr>
                </pic:pic>
              </a:graphicData>
            </a:graphic>
          </wp:inline>
        </w:drawing>
      </w:r>
    </w:p>
    <w:p w:rsidR="00EB5163" w:rsidRDefault="000C506F" w:rsidP="003A2CA8">
      <w:pPr>
        <w:pStyle w:val="Caption"/>
        <w:keepNext w:val="0"/>
        <w:keepLines w:val="0"/>
        <w:spacing w:before="120" w:after="80"/>
        <w:ind w:left="900" w:right="1080"/>
      </w:pPr>
      <w:bookmarkStart w:id="132" w:name="_Ref461380282"/>
      <w:bookmarkStart w:id="133" w:name="_Toc486406065"/>
      <w:r>
        <w:t xml:space="preserve">Figure </w:t>
      </w:r>
      <w:fldSimple w:instr=" STYLEREF 1 \s ">
        <w:r w:rsidR="00742B49">
          <w:rPr>
            <w:noProof/>
          </w:rPr>
          <w:t>5</w:t>
        </w:r>
      </w:fldSimple>
      <w:r w:rsidR="00024994">
        <w:noBreakHyphen/>
      </w:r>
      <w:fldSimple w:instr=" SEQ Figure \* ARABIC \s 1 ">
        <w:r w:rsidR="00742B49">
          <w:rPr>
            <w:noProof/>
          </w:rPr>
          <w:t>5</w:t>
        </w:r>
      </w:fldSimple>
      <w:bookmarkEnd w:id="132"/>
      <w:r w:rsidR="009733F0">
        <w:t>: Retired and new NGCC capacity assumed for 20</w:t>
      </w:r>
      <w:r w:rsidR="000D09B2">
        <w:t>2</w:t>
      </w:r>
      <w:r w:rsidR="009733F0">
        <w:t>5 and 2030 (MW).</w:t>
      </w:r>
      <w:bookmarkEnd w:id="133"/>
    </w:p>
    <w:p w:rsidR="0030601D" w:rsidRDefault="007A529F" w:rsidP="00A753F4">
      <w:pPr>
        <w:pStyle w:val="Caption"/>
        <w:jc w:val="center"/>
      </w:pPr>
      <w:bookmarkStart w:id="134" w:name="_Ref462295275"/>
      <w:bookmarkStart w:id="135" w:name="_Toc486406023"/>
      <w:r>
        <w:lastRenderedPageBreak/>
        <w:t xml:space="preserve">Table </w:t>
      </w:r>
      <w:fldSimple w:instr=" STYLEREF 1 \s ">
        <w:r w:rsidR="004248FE">
          <w:rPr>
            <w:noProof/>
          </w:rPr>
          <w:t>5</w:t>
        </w:r>
      </w:fldSimple>
      <w:r w:rsidR="004248FE">
        <w:noBreakHyphen/>
      </w:r>
      <w:r w:rsidR="00736DEB">
        <w:t>9</w:t>
      </w:r>
      <w:bookmarkEnd w:id="134"/>
      <w:r>
        <w:br/>
        <w:t>Assumed Generating Unit Retirements</w:t>
      </w:r>
      <w:bookmarkEnd w:id="135"/>
    </w:p>
    <w:tbl>
      <w:tblPr>
        <w:tblW w:w="932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178"/>
        <w:gridCol w:w="1429"/>
        <w:gridCol w:w="1429"/>
        <w:gridCol w:w="1429"/>
        <w:gridCol w:w="1429"/>
        <w:gridCol w:w="1430"/>
      </w:tblGrid>
      <w:tr w:rsidR="00F515EB" w:rsidRPr="00F515EB" w:rsidTr="00F515EB">
        <w:trPr>
          <w:trHeight w:hRule="exact" w:val="799"/>
          <w:jc w:val="center"/>
        </w:trPr>
        <w:tc>
          <w:tcPr>
            <w:tcW w:w="2178" w:type="dxa"/>
            <w:shd w:val="clear" w:color="auto" w:fill="4F81BD" w:themeFill="accent1"/>
            <w:tcMar>
              <w:top w:w="29" w:type="dxa"/>
              <w:bottom w:w="29" w:type="dxa"/>
            </w:tcMar>
            <w:vAlign w:val="center"/>
          </w:tcPr>
          <w:p w:rsidR="0030601D" w:rsidRPr="00304756" w:rsidRDefault="0030601D" w:rsidP="00A753F4">
            <w:pPr>
              <w:pStyle w:val="TableParagraph"/>
              <w:keepNext/>
              <w:keepLines/>
              <w:spacing w:before="20" w:after="20"/>
              <w:jc w:val="center"/>
              <w:rPr>
                <w:rFonts w:cs="Calibri"/>
                <w:color w:val="FFFFFF" w:themeColor="background1"/>
                <w:sz w:val="18"/>
                <w:szCs w:val="18"/>
              </w:rPr>
            </w:pPr>
            <w:r w:rsidRPr="00304756">
              <w:rPr>
                <w:b/>
                <w:color w:val="FFFFFF" w:themeColor="background1"/>
                <w:spacing w:val="-1"/>
                <w:sz w:val="18"/>
                <w:szCs w:val="18"/>
              </w:rPr>
              <w:t>Name</w:t>
            </w:r>
            <w:r w:rsidR="001B3B09" w:rsidRPr="00304756">
              <w:rPr>
                <w:b/>
                <w:color w:val="FFFFFF" w:themeColor="background1"/>
                <w:spacing w:val="-1"/>
                <w:sz w:val="18"/>
                <w:szCs w:val="18"/>
                <w:vertAlign w:val="superscript"/>
              </w:rPr>
              <w:t>(a)</w:t>
            </w:r>
          </w:p>
        </w:tc>
        <w:tc>
          <w:tcPr>
            <w:tcW w:w="1429" w:type="dxa"/>
            <w:shd w:val="clear" w:color="auto" w:fill="4F81BD" w:themeFill="accent1"/>
            <w:tcMar>
              <w:top w:w="29" w:type="dxa"/>
              <w:bottom w:w="29" w:type="dxa"/>
            </w:tcMar>
            <w:vAlign w:val="center"/>
          </w:tcPr>
          <w:p w:rsidR="0030601D" w:rsidRPr="00304756" w:rsidRDefault="0030601D" w:rsidP="00A753F4">
            <w:pPr>
              <w:pStyle w:val="TableParagraph"/>
              <w:keepNext/>
              <w:keepLines/>
              <w:spacing w:before="20" w:after="20"/>
              <w:jc w:val="center"/>
              <w:rPr>
                <w:rFonts w:cs="Calibri"/>
                <w:color w:val="FFFFFF" w:themeColor="background1"/>
                <w:sz w:val="18"/>
                <w:szCs w:val="18"/>
              </w:rPr>
            </w:pPr>
            <w:r w:rsidRPr="00914F15">
              <w:rPr>
                <w:b/>
                <w:color w:val="FFFFFF" w:themeColor="background1"/>
                <w:spacing w:val="-1"/>
                <w:sz w:val="18"/>
                <w:szCs w:val="18"/>
              </w:rPr>
              <w:t>RSP</w:t>
            </w:r>
            <w:r w:rsidR="001B3B09" w:rsidRPr="00914F15">
              <w:rPr>
                <w:b/>
                <w:color w:val="FFFFFF" w:themeColor="background1"/>
                <w:spacing w:val="-1"/>
                <w:sz w:val="18"/>
                <w:szCs w:val="18"/>
              </w:rPr>
              <w:br/>
            </w:r>
            <w:r w:rsidRPr="00914F15">
              <w:rPr>
                <w:b/>
                <w:color w:val="FFFFFF" w:themeColor="background1"/>
                <w:spacing w:val="-1"/>
                <w:sz w:val="18"/>
                <w:szCs w:val="18"/>
              </w:rPr>
              <w:t>Subarea</w:t>
            </w:r>
            <w:r w:rsidR="000914EB" w:rsidRPr="00744C70">
              <w:rPr>
                <w:b/>
                <w:color w:val="FFFFFF" w:themeColor="background1"/>
                <w:spacing w:val="-1"/>
                <w:sz w:val="18"/>
                <w:szCs w:val="18"/>
                <w:vertAlign w:val="superscript"/>
              </w:rPr>
              <w:t>(b)</w:t>
            </w:r>
          </w:p>
        </w:tc>
        <w:tc>
          <w:tcPr>
            <w:tcW w:w="1429" w:type="dxa"/>
            <w:shd w:val="clear" w:color="auto" w:fill="4F81BD" w:themeFill="accent1"/>
            <w:tcMar>
              <w:top w:w="29" w:type="dxa"/>
              <w:bottom w:w="29" w:type="dxa"/>
            </w:tcMar>
            <w:vAlign w:val="center"/>
          </w:tcPr>
          <w:p w:rsidR="0030601D" w:rsidRPr="00304756" w:rsidRDefault="0030601D" w:rsidP="00A753F4">
            <w:pPr>
              <w:pStyle w:val="TableParagraph"/>
              <w:keepNext/>
              <w:keepLines/>
              <w:spacing w:before="20" w:after="20"/>
              <w:jc w:val="center"/>
              <w:rPr>
                <w:rFonts w:cs="Calibri"/>
                <w:color w:val="FFFFFF" w:themeColor="background1"/>
                <w:sz w:val="18"/>
                <w:szCs w:val="18"/>
              </w:rPr>
            </w:pPr>
            <w:r w:rsidRPr="00304756">
              <w:rPr>
                <w:b/>
                <w:color w:val="FFFFFF" w:themeColor="background1"/>
                <w:spacing w:val="-1"/>
                <w:sz w:val="18"/>
                <w:szCs w:val="18"/>
              </w:rPr>
              <w:t>Fuel</w:t>
            </w:r>
            <w:r w:rsidR="001B3B09" w:rsidRPr="00304756">
              <w:rPr>
                <w:b/>
                <w:color w:val="FFFFFF" w:themeColor="background1"/>
                <w:spacing w:val="-1"/>
                <w:sz w:val="18"/>
                <w:szCs w:val="18"/>
              </w:rPr>
              <w:br/>
            </w:r>
            <w:r w:rsidRPr="00304756">
              <w:rPr>
                <w:b/>
                <w:color w:val="FFFFFF" w:themeColor="background1"/>
                <w:spacing w:val="-1"/>
                <w:sz w:val="18"/>
                <w:szCs w:val="18"/>
              </w:rPr>
              <w:t>Type</w:t>
            </w:r>
          </w:p>
        </w:tc>
        <w:tc>
          <w:tcPr>
            <w:tcW w:w="1429" w:type="dxa"/>
            <w:shd w:val="clear" w:color="auto" w:fill="4F81BD" w:themeFill="accent1"/>
            <w:tcMar>
              <w:top w:w="29" w:type="dxa"/>
              <w:bottom w:w="29" w:type="dxa"/>
            </w:tcMar>
            <w:vAlign w:val="center"/>
          </w:tcPr>
          <w:p w:rsidR="0030601D" w:rsidRPr="00304756" w:rsidRDefault="0030601D" w:rsidP="00A753F4">
            <w:pPr>
              <w:pStyle w:val="TableParagraph"/>
              <w:keepNext/>
              <w:keepLines/>
              <w:spacing w:before="20" w:after="20"/>
              <w:jc w:val="center"/>
              <w:rPr>
                <w:rFonts w:cs="Calibri"/>
                <w:color w:val="FFFFFF" w:themeColor="background1"/>
                <w:sz w:val="18"/>
                <w:szCs w:val="18"/>
              </w:rPr>
            </w:pPr>
            <w:r w:rsidRPr="00304756">
              <w:rPr>
                <w:b/>
                <w:color w:val="FFFFFF" w:themeColor="background1"/>
                <w:sz w:val="18"/>
                <w:szCs w:val="18"/>
              </w:rPr>
              <w:t>FCA</w:t>
            </w:r>
            <w:r w:rsidRPr="00304756">
              <w:rPr>
                <w:b/>
                <w:color w:val="FFFFFF" w:themeColor="background1"/>
                <w:spacing w:val="-2"/>
                <w:sz w:val="18"/>
                <w:szCs w:val="18"/>
              </w:rPr>
              <w:t xml:space="preserve"> </w:t>
            </w:r>
            <w:r w:rsidRPr="00304756">
              <w:rPr>
                <w:b/>
                <w:color w:val="FFFFFF" w:themeColor="background1"/>
                <w:sz w:val="18"/>
                <w:szCs w:val="18"/>
              </w:rPr>
              <w:t>#10</w:t>
            </w:r>
            <w:r w:rsidRPr="00304756">
              <w:rPr>
                <w:b/>
                <w:color w:val="FFFFFF" w:themeColor="background1"/>
                <w:spacing w:val="-2"/>
                <w:sz w:val="18"/>
                <w:szCs w:val="18"/>
              </w:rPr>
              <w:t xml:space="preserve"> </w:t>
            </w:r>
            <w:r w:rsidRPr="00304756">
              <w:rPr>
                <w:b/>
                <w:color w:val="FFFFFF" w:themeColor="background1"/>
                <w:spacing w:val="-1"/>
                <w:sz w:val="18"/>
                <w:szCs w:val="18"/>
              </w:rPr>
              <w:t>Summer</w:t>
            </w:r>
            <w:r w:rsidR="001B3B09" w:rsidRPr="00304756">
              <w:rPr>
                <w:b/>
                <w:color w:val="FFFFFF" w:themeColor="background1"/>
                <w:spacing w:val="-1"/>
                <w:sz w:val="18"/>
                <w:szCs w:val="18"/>
              </w:rPr>
              <w:br/>
            </w:r>
            <w:r w:rsidRPr="00304756">
              <w:rPr>
                <w:b/>
                <w:color w:val="FFFFFF" w:themeColor="background1"/>
                <w:spacing w:val="-1"/>
                <w:sz w:val="18"/>
                <w:szCs w:val="18"/>
              </w:rPr>
              <w:t>Capacity (MW)</w:t>
            </w:r>
          </w:p>
        </w:tc>
        <w:tc>
          <w:tcPr>
            <w:tcW w:w="1429" w:type="dxa"/>
            <w:shd w:val="clear" w:color="auto" w:fill="4F81BD" w:themeFill="accent1"/>
            <w:tcMar>
              <w:top w:w="29" w:type="dxa"/>
              <w:bottom w:w="29" w:type="dxa"/>
            </w:tcMar>
            <w:vAlign w:val="center"/>
          </w:tcPr>
          <w:p w:rsidR="0030601D" w:rsidRPr="00304756" w:rsidRDefault="0030601D" w:rsidP="00A753F4">
            <w:pPr>
              <w:pStyle w:val="TableParagraph"/>
              <w:keepNext/>
              <w:keepLines/>
              <w:spacing w:before="20" w:after="20"/>
              <w:jc w:val="center"/>
              <w:rPr>
                <w:rFonts w:cs="Calibri"/>
                <w:color w:val="FFFFFF" w:themeColor="background1"/>
                <w:sz w:val="18"/>
                <w:szCs w:val="18"/>
              </w:rPr>
            </w:pPr>
            <w:r w:rsidRPr="00304756">
              <w:rPr>
                <w:b/>
                <w:color w:val="FFFFFF" w:themeColor="background1"/>
                <w:sz w:val="18"/>
                <w:szCs w:val="18"/>
              </w:rPr>
              <w:t>In</w:t>
            </w:r>
            <w:r w:rsidR="00A36081" w:rsidRPr="00304756">
              <w:rPr>
                <w:b/>
                <w:color w:val="FFFFFF" w:themeColor="background1"/>
                <w:sz w:val="18"/>
                <w:szCs w:val="18"/>
              </w:rPr>
              <w:t>-</w:t>
            </w:r>
            <w:r w:rsidRPr="00304756">
              <w:rPr>
                <w:b/>
                <w:color w:val="FFFFFF" w:themeColor="background1"/>
                <w:spacing w:val="-1"/>
                <w:sz w:val="18"/>
                <w:szCs w:val="18"/>
              </w:rPr>
              <w:t>Service</w:t>
            </w:r>
            <w:r w:rsidR="001B3B09" w:rsidRPr="00304756">
              <w:rPr>
                <w:b/>
                <w:color w:val="FFFFFF" w:themeColor="background1"/>
                <w:spacing w:val="-1"/>
                <w:sz w:val="18"/>
                <w:szCs w:val="18"/>
              </w:rPr>
              <w:br/>
            </w:r>
            <w:r w:rsidRPr="00304756">
              <w:rPr>
                <w:b/>
                <w:color w:val="FFFFFF" w:themeColor="background1"/>
                <w:spacing w:val="-1"/>
                <w:sz w:val="18"/>
                <w:szCs w:val="18"/>
              </w:rPr>
              <w:t>Date</w:t>
            </w:r>
          </w:p>
        </w:tc>
        <w:tc>
          <w:tcPr>
            <w:tcW w:w="1430" w:type="dxa"/>
            <w:shd w:val="clear" w:color="auto" w:fill="4F81BD" w:themeFill="accent1"/>
            <w:tcMar>
              <w:top w:w="29" w:type="dxa"/>
              <w:bottom w:w="29" w:type="dxa"/>
            </w:tcMar>
            <w:vAlign w:val="center"/>
          </w:tcPr>
          <w:p w:rsidR="0030601D" w:rsidRPr="00304756" w:rsidRDefault="0030601D" w:rsidP="00A753F4">
            <w:pPr>
              <w:pStyle w:val="TableParagraph"/>
              <w:keepNext/>
              <w:keepLines/>
              <w:spacing w:before="20" w:after="20"/>
              <w:jc w:val="center"/>
              <w:rPr>
                <w:rFonts w:cs="Calibri"/>
                <w:color w:val="FFFFFF" w:themeColor="background1"/>
                <w:sz w:val="18"/>
                <w:szCs w:val="18"/>
              </w:rPr>
            </w:pPr>
            <w:r w:rsidRPr="00304756">
              <w:rPr>
                <w:b/>
                <w:color w:val="FFFFFF" w:themeColor="background1"/>
                <w:spacing w:val="-1"/>
                <w:sz w:val="18"/>
                <w:szCs w:val="18"/>
              </w:rPr>
              <w:t>Cumulative</w:t>
            </w:r>
            <w:r w:rsidR="001B3B09" w:rsidRPr="00304756">
              <w:rPr>
                <w:b/>
                <w:color w:val="FFFFFF" w:themeColor="background1"/>
                <w:spacing w:val="-1"/>
                <w:sz w:val="18"/>
                <w:szCs w:val="18"/>
              </w:rPr>
              <w:t xml:space="preserve"> </w:t>
            </w:r>
            <w:r w:rsidR="001B3B09" w:rsidRPr="00304756">
              <w:rPr>
                <w:b/>
                <w:color w:val="FFFFFF" w:themeColor="background1"/>
                <w:spacing w:val="-1"/>
                <w:sz w:val="18"/>
                <w:szCs w:val="18"/>
              </w:rPr>
              <w:br/>
            </w:r>
            <w:r w:rsidRPr="00304756">
              <w:rPr>
                <w:b/>
                <w:color w:val="FFFFFF" w:themeColor="background1"/>
                <w:spacing w:val="-1"/>
                <w:sz w:val="18"/>
                <w:szCs w:val="18"/>
              </w:rPr>
              <w:t>Capacity (MW)</w:t>
            </w:r>
          </w:p>
        </w:tc>
      </w:tr>
      <w:tr w:rsidR="009A2324" w:rsidRPr="00BC66E3" w:rsidTr="00304756">
        <w:trPr>
          <w:trHeight w:hRule="exact" w:val="284"/>
          <w:jc w:val="center"/>
        </w:trPr>
        <w:tc>
          <w:tcPr>
            <w:tcW w:w="2178" w:type="dxa"/>
            <w:shd w:val="clear" w:color="auto" w:fill="DBE5F1" w:themeFill="accent1" w:themeFillTint="33"/>
            <w:tcMar>
              <w:top w:w="29" w:type="dxa"/>
              <w:left w:w="115" w:type="dxa"/>
              <w:bottom w:w="29" w:type="dxa"/>
            </w:tcMar>
            <w:vAlign w:val="center"/>
          </w:tcPr>
          <w:p w:rsidR="009A2324" w:rsidRPr="00433F35" w:rsidRDefault="009A2324" w:rsidP="00A753F4">
            <w:pPr>
              <w:pStyle w:val="TableParagraph"/>
              <w:keepNext/>
              <w:keepLines/>
              <w:spacing w:before="20" w:after="20"/>
              <w:ind w:left="98"/>
              <w:rPr>
                <w:b/>
                <w:spacing w:val="-1"/>
                <w:sz w:val="18"/>
                <w:szCs w:val="18"/>
              </w:rPr>
            </w:pPr>
            <w:r w:rsidRPr="00433F35">
              <w:rPr>
                <w:b/>
                <w:spacing w:val="-1"/>
                <w:sz w:val="18"/>
                <w:szCs w:val="18"/>
              </w:rPr>
              <w:t>Schiller 4</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ind w:left="98"/>
              <w:jc w:val="center"/>
              <w:rPr>
                <w:spacing w:val="-1"/>
                <w:sz w:val="18"/>
                <w:szCs w:val="18"/>
              </w:rPr>
            </w:pPr>
            <w:r w:rsidRPr="00433F35">
              <w:rPr>
                <w:spacing w:val="-1"/>
                <w:sz w:val="18"/>
                <w:szCs w:val="18"/>
              </w:rPr>
              <w:t>NH</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jc w:val="center"/>
              <w:rPr>
                <w:spacing w:val="-1"/>
                <w:sz w:val="18"/>
                <w:szCs w:val="18"/>
              </w:rPr>
            </w:pPr>
            <w:r w:rsidRPr="00433F35">
              <w:rPr>
                <w:spacing w:val="-1"/>
                <w:sz w:val="18"/>
                <w:szCs w:val="18"/>
              </w:rPr>
              <w:t>Coal</w:t>
            </w:r>
          </w:p>
        </w:tc>
        <w:tc>
          <w:tcPr>
            <w:tcW w:w="1429"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jc w:val="right"/>
              <w:rPr>
                <w:spacing w:val="-1"/>
                <w:sz w:val="18"/>
                <w:szCs w:val="18"/>
              </w:rPr>
            </w:pPr>
            <w:r w:rsidRPr="00433F35">
              <w:rPr>
                <w:spacing w:val="-1"/>
                <w:sz w:val="18"/>
                <w:szCs w:val="18"/>
              </w:rPr>
              <w:t>48</w:t>
            </w:r>
          </w:p>
        </w:tc>
        <w:tc>
          <w:tcPr>
            <w:tcW w:w="1429" w:type="dxa"/>
            <w:shd w:val="clear" w:color="auto" w:fill="DBE5F1" w:themeFill="accent1" w:themeFillTint="33"/>
            <w:tcMar>
              <w:top w:w="29" w:type="dxa"/>
              <w:left w:w="115" w:type="dxa"/>
              <w:bottom w:w="29" w:type="dxa"/>
              <w:right w:w="115" w:type="dxa"/>
            </w:tcMar>
            <w:vAlign w:val="center"/>
          </w:tcPr>
          <w:p w:rsidR="009A2324" w:rsidRPr="00433F35" w:rsidRDefault="009A2324" w:rsidP="00A753F4">
            <w:pPr>
              <w:pStyle w:val="TableParagraph"/>
              <w:keepNext/>
              <w:keepLines/>
              <w:spacing w:before="20" w:after="20"/>
              <w:ind w:left="2"/>
              <w:jc w:val="center"/>
              <w:rPr>
                <w:spacing w:val="-1"/>
                <w:sz w:val="18"/>
                <w:szCs w:val="18"/>
              </w:rPr>
            </w:pPr>
            <w:r w:rsidRPr="00433F35">
              <w:rPr>
                <w:spacing w:val="-1"/>
                <w:sz w:val="18"/>
                <w:szCs w:val="18"/>
              </w:rPr>
              <w:t>1952</w:t>
            </w:r>
          </w:p>
        </w:tc>
        <w:tc>
          <w:tcPr>
            <w:tcW w:w="1430"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jc w:val="right"/>
              <w:rPr>
                <w:spacing w:val="-1"/>
                <w:sz w:val="18"/>
                <w:szCs w:val="18"/>
              </w:rPr>
            </w:pPr>
            <w:r w:rsidRPr="00433F35">
              <w:rPr>
                <w:spacing w:val="-1"/>
                <w:sz w:val="18"/>
                <w:szCs w:val="18"/>
              </w:rPr>
              <w:t>48</w:t>
            </w:r>
          </w:p>
        </w:tc>
      </w:tr>
      <w:tr w:rsidR="009A2324" w:rsidRPr="00BC66E3" w:rsidTr="00304756">
        <w:trPr>
          <w:trHeight w:hRule="exact" w:val="304"/>
          <w:jc w:val="center"/>
        </w:trPr>
        <w:tc>
          <w:tcPr>
            <w:tcW w:w="2178" w:type="dxa"/>
            <w:shd w:val="clear" w:color="auto" w:fill="DBE5F1" w:themeFill="accent1" w:themeFillTint="33"/>
            <w:tcMar>
              <w:top w:w="29" w:type="dxa"/>
              <w:left w:w="115" w:type="dxa"/>
              <w:bottom w:w="29" w:type="dxa"/>
            </w:tcMar>
            <w:vAlign w:val="center"/>
          </w:tcPr>
          <w:p w:rsidR="009A2324" w:rsidRPr="00433F35" w:rsidRDefault="009A2324" w:rsidP="00A753F4">
            <w:pPr>
              <w:pStyle w:val="TableParagraph"/>
              <w:keepNext/>
              <w:keepLines/>
              <w:spacing w:before="20" w:after="20"/>
              <w:ind w:left="98"/>
              <w:rPr>
                <w:b/>
                <w:spacing w:val="-1"/>
                <w:sz w:val="18"/>
                <w:szCs w:val="18"/>
              </w:rPr>
            </w:pPr>
            <w:r w:rsidRPr="00433F35">
              <w:rPr>
                <w:b/>
                <w:spacing w:val="-1"/>
                <w:sz w:val="18"/>
                <w:szCs w:val="18"/>
              </w:rPr>
              <w:t>Montville 5</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ind w:left="98"/>
              <w:jc w:val="center"/>
              <w:rPr>
                <w:spacing w:val="-1"/>
                <w:sz w:val="18"/>
                <w:szCs w:val="18"/>
              </w:rPr>
            </w:pPr>
            <w:r w:rsidRPr="00433F35">
              <w:rPr>
                <w:spacing w:val="-1"/>
                <w:sz w:val="18"/>
                <w:szCs w:val="18"/>
              </w:rPr>
              <w:t>CT</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jc w:val="center"/>
              <w:rPr>
                <w:spacing w:val="-1"/>
                <w:sz w:val="18"/>
                <w:szCs w:val="18"/>
              </w:rPr>
            </w:pPr>
            <w:r w:rsidRPr="00433F35">
              <w:rPr>
                <w:spacing w:val="-1"/>
                <w:sz w:val="18"/>
                <w:szCs w:val="18"/>
              </w:rPr>
              <w:t>Oil</w:t>
            </w:r>
          </w:p>
        </w:tc>
        <w:tc>
          <w:tcPr>
            <w:tcW w:w="1429"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1"/>
              <w:jc w:val="right"/>
              <w:rPr>
                <w:spacing w:val="-1"/>
                <w:sz w:val="18"/>
                <w:szCs w:val="18"/>
              </w:rPr>
            </w:pPr>
            <w:r w:rsidRPr="00433F35">
              <w:rPr>
                <w:spacing w:val="-1"/>
                <w:sz w:val="18"/>
                <w:szCs w:val="18"/>
              </w:rPr>
              <w:t>81</w:t>
            </w:r>
          </w:p>
        </w:tc>
        <w:tc>
          <w:tcPr>
            <w:tcW w:w="1429" w:type="dxa"/>
            <w:shd w:val="clear" w:color="auto" w:fill="DBE5F1" w:themeFill="accent1" w:themeFillTint="33"/>
            <w:tcMar>
              <w:top w:w="29" w:type="dxa"/>
              <w:left w:w="115" w:type="dxa"/>
              <w:bottom w:w="29" w:type="dxa"/>
              <w:right w:w="115" w:type="dxa"/>
            </w:tcMar>
            <w:vAlign w:val="center"/>
          </w:tcPr>
          <w:p w:rsidR="009A2324" w:rsidRPr="00433F35" w:rsidRDefault="009A2324" w:rsidP="00A753F4">
            <w:pPr>
              <w:pStyle w:val="TableParagraph"/>
              <w:keepNext/>
              <w:keepLines/>
              <w:spacing w:before="20" w:after="20"/>
              <w:ind w:left="2"/>
              <w:jc w:val="center"/>
              <w:rPr>
                <w:spacing w:val="-1"/>
                <w:sz w:val="18"/>
                <w:szCs w:val="18"/>
              </w:rPr>
            </w:pPr>
            <w:r w:rsidRPr="00433F35">
              <w:rPr>
                <w:spacing w:val="-1"/>
                <w:sz w:val="18"/>
                <w:szCs w:val="18"/>
              </w:rPr>
              <w:t>1954</w:t>
            </w:r>
          </w:p>
        </w:tc>
        <w:tc>
          <w:tcPr>
            <w:tcW w:w="1430"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2"/>
              <w:jc w:val="right"/>
              <w:rPr>
                <w:spacing w:val="-1"/>
                <w:sz w:val="18"/>
                <w:szCs w:val="18"/>
              </w:rPr>
            </w:pPr>
            <w:r w:rsidRPr="00433F35">
              <w:rPr>
                <w:spacing w:val="-1"/>
                <w:sz w:val="18"/>
                <w:szCs w:val="18"/>
              </w:rPr>
              <w:t>129</w:t>
            </w:r>
          </w:p>
        </w:tc>
      </w:tr>
      <w:tr w:rsidR="009A2324" w:rsidRPr="00BC66E3" w:rsidTr="00304756">
        <w:trPr>
          <w:trHeight w:hRule="exact" w:val="304"/>
          <w:jc w:val="center"/>
        </w:trPr>
        <w:tc>
          <w:tcPr>
            <w:tcW w:w="2178" w:type="dxa"/>
            <w:shd w:val="clear" w:color="auto" w:fill="DBE5F1" w:themeFill="accent1" w:themeFillTint="33"/>
            <w:tcMar>
              <w:top w:w="29" w:type="dxa"/>
              <w:left w:w="115" w:type="dxa"/>
              <w:bottom w:w="29" w:type="dxa"/>
            </w:tcMar>
            <w:vAlign w:val="center"/>
          </w:tcPr>
          <w:p w:rsidR="009A2324" w:rsidRPr="00433F35" w:rsidRDefault="009A2324" w:rsidP="00A753F4">
            <w:pPr>
              <w:pStyle w:val="TableParagraph"/>
              <w:keepNext/>
              <w:keepLines/>
              <w:spacing w:before="20" w:after="20"/>
              <w:ind w:left="98"/>
              <w:rPr>
                <w:b/>
                <w:spacing w:val="-1"/>
                <w:sz w:val="18"/>
                <w:szCs w:val="18"/>
              </w:rPr>
            </w:pPr>
            <w:r w:rsidRPr="00433F35">
              <w:rPr>
                <w:b/>
                <w:spacing w:val="-1"/>
                <w:sz w:val="18"/>
                <w:szCs w:val="18"/>
              </w:rPr>
              <w:t>Schiller 6</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ind w:left="98"/>
              <w:jc w:val="center"/>
              <w:rPr>
                <w:spacing w:val="-1"/>
                <w:sz w:val="18"/>
                <w:szCs w:val="18"/>
              </w:rPr>
            </w:pPr>
            <w:r w:rsidRPr="00433F35">
              <w:rPr>
                <w:spacing w:val="-1"/>
                <w:sz w:val="18"/>
                <w:szCs w:val="18"/>
              </w:rPr>
              <w:t>NH</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jc w:val="center"/>
              <w:rPr>
                <w:spacing w:val="-1"/>
                <w:sz w:val="18"/>
                <w:szCs w:val="18"/>
              </w:rPr>
            </w:pPr>
            <w:r w:rsidRPr="00433F35">
              <w:rPr>
                <w:spacing w:val="-1"/>
                <w:sz w:val="18"/>
                <w:szCs w:val="18"/>
              </w:rPr>
              <w:t>Coal</w:t>
            </w:r>
          </w:p>
        </w:tc>
        <w:tc>
          <w:tcPr>
            <w:tcW w:w="1429"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jc w:val="right"/>
              <w:rPr>
                <w:spacing w:val="-1"/>
                <w:sz w:val="18"/>
                <w:szCs w:val="18"/>
              </w:rPr>
            </w:pPr>
            <w:r w:rsidRPr="00433F35">
              <w:rPr>
                <w:spacing w:val="-1"/>
                <w:sz w:val="18"/>
                <w:szCs w:val="18"/>
              </w:rPr>
              <w:t>48</w:t>
            </w:r>
          </w:p>
        </w:tc>
        <w:tc>
          <w:tcPr>
            <w:tcW w:w="1429" w:type="dxa"/>
            <w:shd w:val="clear" w:color="auto" w:fill="DBE5F1" w:themeFill="accent1" w:themeFillTint="33"/>
            <w:tcMar>
              <w:top w:w="29" w:type="dxa"/>
              <w:left w:w="115" w:type="dxa"/>
              <w:bottom w:w="29" w:type="dxa"/>
              <w:right w:w="115" w:type="dxa"/>
            </w:tcMar>
            <w:vAlign w:val="center"/>
          </w:tcPr>
          <w:p w:rsidR="009A2324" w:rsidRPr="00433F35" w:rsidRDefault="009A2324" w:rsidP="00A753F4">
            <w:pPr>
              <w:pStyle w:val="TableParagraph"/>
              <w:keepNext/>
              <w:keepLines/>
              <w:spacing w:before="20" w:after="20"/>
              <w:ind w:left="2"/>
              <w:jc w:val="center"/>
              <w:rPr>
                <w:spacing w:val="-1"/>
                <w:sz w:val="18"/>
                <w:szCs w:val="18"/>
              </w:rPr>
            </w:pPr>
            <w:r w:rsidRPr="00433F35">
              <w:rPr>
                <w:spacing w:val="-1"/>
                <w:sz w:val="18"/>
                <w:szCs w:val="18"/>
              </w:rPr>
              <w:t>1957</w:t>
            </w:r>
          </w:p>
        </w:tc>
        <w:tc>
          <w:tcPr>
            <w:tcW w:w="1430"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2"/>
              <w:jc w:val="right"/>
              <w:rPr>
                <w:spacing w:val="-1"/>
                <w:sz w:val="18"/>
                <w:szCs w:val="18"/>
              </w:rPr>
            </w:pPr>
            <w:r w:rsidRPr="00433F35">
              <w:rPr>
                <w:spacing w:val="-1"/>
                <w:sz w:val="18"/>
                <w:szCs w:val="18"/>
              </w:rPr>
              <w:t>176</w:t>
            </w:r>
          </w:p>
        </w:tc>
      </w:tr>
      <w:tr w:rsidR="009A2324" w:rsidRPr="00BC66E3" w:rsidTr="00304756">
        <w:trPr>
          <w:trHeight w:hRule="exact" w:val="304"/>
          <w:jc w:val="center"/>
        </w:trPr>
        <w:tc>
          <w:tcPr>
            <w:tcW w:w="2178" w:type="dxa"/>
            <w:shd w:val="clear" w:color="auto" w:fill="DBE5F1" w:themeFill="accent1" w:themeFillTint="33"/>
            <w:tcMar>
              <w:top w:w="29" w:type="dxa"/>
              <w:left w:w="115" w:type="dxa"/>
              <w:bottom w:w="29" w:type="dxa"/>
            </w:tcMar>
            <w:vAlign w:val="center"/>
          </w:tcPr>
          <w:p w:rsidR="009A2324" w:rsidRPr="00433F35" w:rsidRDefault="009A2324" w:rsidP="00A753F4">
            <w:pPr>
              <w:pStyle w:val="TableParagraph"/>
              <w:keepNext/>
              <w:keepLines/>
              <w:spacing w:before="20" w:after="20"/>
              <w:ind w:left="98"/>
              <w:rPr>
                <w:b/>
                <w:spacing w:val="-1"/>
                <w:sz w:val="18"/>
                <w:szCs w:val="18"/>
              </w:rPr>
            </w:pPr>
            <w:r w:rsidRPr="00433F35">
              <w:rPr>
                <w:b/>
                <w:spacing w:val="-1"/>
                <w:sz w:val="18"/>
                <w:szCs w:val="18"/>
              </w:rPr>
              <w:t>West Springfield 3</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ind w:left="98"/>
              <w:jc w:val="center"/>
              <w:rPr>
                <w:spacing w:val="-1"/>
                <w:sz w:val="18"/>
                <w:szCs w:val="18"/>
              </w:rPr>
            </w:pPr>
            <w:r w:rsidRPr="00433F35">
              <w:rPr>
                <w:spacing w:val="-1"/>
                <w:sz w:val="18"/>
                <w:szCs w:val="18"/>
              </w:rPr>
              <w:t>WMA</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ind w:left="2"/>
              <w:jc w:val="center"/>
              <w:rPr>
                <w:spacing w:val="-1"/>
                <w:sz w:val="18"/>
                <w:szCs w:val="18"/>
              </w:rPr>
            </w:pPr>
            <w:r w:rsidRPr="00433F35">
              <w:rPr>
                <w:spacing w:val="-1"/>
                <w:sz w:val="18"/>
                <w:szCs w:val="18"/>
              </w:rPr>
              <w:t>Dual</w:t>
            </w:r>
          </w:p>
        </w:tc>
        <w:tc>
          <w:tcPr>
            <w:tcW w:w="1429"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jc w:val="right"/>
              <w:rPr>
                <w:spacing w:val="-1"/>
                <w:sz w:val="18"/>
                <w:szCs w:val="18"/>
              </w:rPr>
            </w:pPr>
            <w:r w:rsidRPr="00433F35">
              <w:rPr>
                <w:spacing w:val="-1"/>
                <w:sz w:val="18"/>
                <w:szCs w:val="18"/>
              </w:rPr>
              <w:t>94</w:t>
            </w:r>
          </w:p>
        </w:tc>
        <w:tc>
          <w:tcPr>
            <w:tcW w:w="1429" w:type="dxa"/>
            <w:shd w:val="clear" w:color="auto" w:fill="DBE5F1" w:themeFill="accent1" w:themeFillTint="33"/>
            <w:tcMar>
              <w:top w:w="29" w:type="dxa"/>
              <w:left w:w="115" w:type="dxa"/>
              <w:bottom w:w="29" w:type="dxa"/>
              <w:right w:w="115" w:type="dxa"/>
            </w:tcMar>
            <w:vAlign w:val="center"/>
          </w:tcPr>
          <w:p w:rsidR="009A2324" w:rsidRPr="00433F35" w:rsidRDefault="009A2324" w:rsidP="00A753F4">
            <w:pPr>
              <w:pStyle w:val="TableParagraph"/>
              <w:keepNext/>
              <w:keepLines/>
              <w:spacing w:before="20" w:after="20"/>
              <w:ind w:left="2"/>
              <w:jc w:val="center"/>
              <w:rPr>
                <w:spacing w:val="-1"/>
                <w:sz w:val="18"/>
                <w:szCs w:val="18"/>
              </w:rPr>
            </w:pPr>
            <w:r w:rsidRPr="00433F35">
              <w:rPr>
                <w:spacing w:val="-1"/>
                <w:sz w:val="18"/>
                <w:szCs w:val="18"/>
              </w:rPr>
              <w:t>1957</w:t>
            </w:r>
          </w:p>
        </w:tc>
        <w:tc>
          <w:tcPr>
            <w:tcW w:w="1430"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2"/>
              <w:jc w:val="right"/>
              <w:rPr>
                <w:spacing w:val="-1"/>
                <w:sz w:val="18"/>
                <w:szCs w:val="18"/>
              </w:rPr>
            </w:pPr>
            <w:r w:rsidRPr="00433F35">
              <w:rPr>
                <w:spacing w:val="-1"/>
                <w:sz w:val="18"/>
                <w:szCs w:val="18"/>
              </w:rPr>
              <w:t>271</w:t>
            </w:r>
          </w:p>
        </w:tc>
      </w:tr>
      <w:tr w:rsidR="00324765" w:rsidRPr="00324765" w:rsidTr="00304756">
        <w:trPr>
          <w:trHeight w:hRule="exact" w:val="304"/>
          <w:jc w:val="center"/>
        </w:trPr>
        <w:tc>
          <w:tcPr>
            <w:tcW w:w="2178" w:type="dxa"/>
            <w:shd w:val="clear" w:color="auto" w:fill="DBE5F1" w:themeFill="accent1" w:themeFillTint="33"/>
            <w:tcMar>
              <w:top w:w="29" w:type="dxa"/>
              <w:left w:w="115" w:type="dxa"/>
              <w:bottom w:w="29" w:type="dxa"/>
            </w:tcMar>
            <w:vAlign w:val="center"/>
          </w:tcPr>
          <w:p w:rsidR="009A2324" w:rsidRPr="00433F35" w:rsidRDefault="009A2324" w:rsidP="00A753F4">
            <w:pPr>
              <w:pStyle w:val="TableParagraph"/>
              <w:keepNext/>
              <w:keepLines/>
              <w:spacing w:before="20" w:after="20"/>
              <w:ind w:left="98"/>
              <w:rPr>
                <w:b/>
                <w:spacing w:val="-1"/>
                <w:sz w:val="18"/>
                <w:szCs w:val="18"/>
              </w:rPr>
            </w:pPr>
            <w:r w:rsidRPr="00433F35">
              <w:rPr>
                <w:b/>
                <w:spacing w:val="-1"/>
                <w:sz w:val="18"/>
                <w:szCs w:val="18"/>
              </w:rPr>
              <w:t>Yarmouth 1</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ind w:left="98"/>
              <w:jc w:val="center"/>
              <w:rPr>
                <w:spacing w:val="-1"/>
                <w:sz w:val="18"/>
                <w:szCs w:val="18"/>
              </w:rPr>
            </w:pPr>
            <w:r w:rsidRPr="00433F35">
              <w:rPr>
                <w:spacing w:val="-1"/>
                <w:sz w:val="18"/>
                <w:szCs w:val="18"/>
              </w:rPr>
              <w:t>SME</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jc w:val="center"/>
              <w:rPr>
                <w:spacing w:val="-1"/>
                <w:sz w:val="18"/>
                <w:szCs w:val="18"/>
              </w:rPr>
            </w:pPr>
            <w:r w:rsidRPr="00433F35">
              <w:rPr>
                <w:spacing w:val="-1"/>
                <w:sz w:val="18"/>
                <w:szCs w:val="18"/>
              </w:rPr>
              <w:t>Oil</w:t>
            </w:r>
          </w:p>
        </w:tc>
        <w:tc>
          <w:tcPr>
            <w:tcW w:w="1429"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jc w:val="right"/>
              <w:rPr>
                <w:spacing w:val="-1"/>
                <w:sz w:val="18"/>
                <w:szCs w:val="18"/>
              </w:rPr>
            </w:pPr>
            <w:r w:rsidRPr="00433F35">
              <w:rPr>
                <w:spacing w:val="-1"/>
                <w:sz w:val="18"/>
                <w:szCs w:val="18"/>
              </w:rPr>
              <w:t>50</w:t>
            </w:r>
          </w:p>
        </w:tc>
        <w:tc>
          <w:tcPr>
            <w:tcW w:w="1429" w:type="dxa"/>
            <w:shd w:val="clear" w:color="auto" w:fill="DBE5F1" w:themeFill="accent1" w:themeFillTint="33"/>
            <w:tcMar>
              <w:top w:w="29" w:type="dxa"/>
              <w:left w:w="115" w:type="dxa"/>
              <w:bottom w:w="29" w:type="dxa"/>
              <w:right w:w="115" w:type="dxa"/>
            </w:tcMar>
            <w:vAlign w:val="center"/>
          </w:tcPr>
          <w:p w:rsidR="009A2324" w:rsidRPr="00433F35" w:rsidRDefault="009A2324" w:rsidP="00A753F4">
            <w:pPr>
              <w:pStyle w:val="TableParagraph"/>
              <w:keepNext/>
              <w:keepLines/>
              <w:spacing w:before="20" w:after="20"/>
              <w:ind w:left="2"/>
              <w:jc w:val="center"/>
              <w:rPr>
                <w:spacing w:val="-1"/>
                <w:sz w:val="18"/>
                <w:szCs w:val="18"/>
              </w:rPr>
            </w:pPr>
            <w:r w:rsidRPr="00433F35">
              <w:rPr>
                <w:spacing w:val="-1"/>
                <w:sz w:val="18"/>
                <w:szCs w:val="18"/>
              </w:rPr>
              <w:t>1957</w:t>
            </w:r>
          </w:p>
        </w:tc>
        <w:tc>
          <w:tcPr>
            <w:tcW w:w="1430"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3"/>
              <w:jc w:val="right"/>
              <w:rPr>
                <w:spacing w:val="-1"/>
                <w:sz w:val="18"/>
                <w:szCs w:val="18"/>
              </w:rPr>
            </w:pPr>
            <w:r w:rsidRPr="00433F35">
              <w:rPr>
                <w:spacing w:val="-1"/>
                <w:sz w:val="18"/>
                <w:szCs w:val="18"/>
              </w:rPr>
              <w:t>321</w:t>
            </w:r>
          </w:p>
        </w:tc>
      </w:tr>
      <w:tr w:rsidR="009A2324" w:rsidRPr="00BC66E3" w:rsidTr="00304756">
        <w:trPr>
          <w:trHeight w:hRule="exact" w:val="304"/>
          <w:jc w:val="center"/>
        </w:trPr>
        <w:tc>
          <w:tcPr>
            <w:tcW w:w="2178" w:type="dxa"/>
            <w:shd w:val="clear" w:color="auto" w:fill="DBE5F1" w:themeFill="accent1" w:themeFillTint="33"/>
            <w:tcMar>
              <w:top w:w="29" w:type="dxa"/>
              <w:left w:w="115" w:type="dxa"/>
              <w:bottom w:w="29" w:type="dxa"/>
            </w:tcMar>
            <w:vAlign w:val="center"/>
          </w:tcPr>
          <w:p w:rsidR="009A2324" w:rsidRPr="00433F35" w:rsidRDefault="009A2324" w:rsidP="00A753F4">
            <w:pPr>
              <w:pStyle w:val="TableParagraph"/>
              <w:keepNext/>
              <w:keepLines/>
              <w:spacing w:before="20" w:after="20"/>
              <w:ind w:left="98"/>
              <w:rPr>
                <w:b/>
                <w:spacing w:val="-1"/>
                <w:sz w:val="18"/>
                <w:szCs w:val="18"/>
              </w:rPr>
            </w:pPr>
            <w:r w:rsidRPr="00433F35">
              <w:rPr>
                <w:b/>
                <w:spacing w:val="-1"/>
                <w:sz w:val="18"/>
                <w:szCs w:val="18"/>
              </w:rPr>
              <w:t>Middletown 2</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ind w:left="98"/>
              <w:jc w:val="center"/>
              <w:rPr>
                <w:spacing w:val="-1"/>
                <w:sz w:val="18"/>
                <w:szCs w:val="18"/>
              </w:rPr>
            </w:pPr>
            <w:r w:rsidRPr="00433F35">
              <w:rPr>
                <w:spacing w:val="-1"/>
                <w:sz w:val="18"/>
                <w:szCs w:val="18"/>
              </w:rPr>
              <w:t>CT</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jc w:val="center"/>
              <w:rPr>
                <w:spacing w:val="-1"/>
                <w:sz w:val="18"/>
                <w:szCs w:val="18"/>
              </w:rPr>
            </w:pPr>
            <w:r w:rsidRPr="00433F35">
              <w:rPr>
                <w:spacing w:val="-1"/>
                <w:sz w:val="18"/>
                <w:szCs w:val="18"/>
              </w:rPr>
              <w:t>Oil</w:t>
            </w:r>
          </w:p>
        </w:tc>
        <w:tc>
          <w:tcPr>
            <w:tcW w:w="1429"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4"/>
              <w:jc w:val="right"/>
              <w:rPr>
                <w:spacing w:val="-1"/>
                <w:sz w:val="18"/>
                <w:szCs w:val="18"/>
              </w:rPr>
            </w:pPr>
            <w:r w:rsidRPr="00433F35">
              <w:rPr>
                <w:spacing w:val="-1"/>
                <w:sz w:val="18"/>
                <w:szCs w:val="18"/>
              </w:rPr>
              <w:t>117</w:t>
            </w:r>
          </w:p>
        </w:tc>
        <w:tc>
          <w:tcPr>
            <w:tcW w:w="1429" w:type="dxa"/>
            <w:shd w:val="clear" w:color="auto" w:fill="DBE5F1" w:themeFill="accent1" w:themeFillTint="33"/>
            <w:tcMar>
              <w:top w:w="29" w:type="dxa"/>
              <w:left w:w="115" w:type="dxa"/>
              <w:bottom w:w="29" w:type="dxa"/>
              <w:right w:w="115" w:type="dxa"/>
            </w:tcMar>
            <w:vAlign w:val="center"/>
          </w:tcPr>
          <w:p w:rsidR="009A2324" w:rsidRPr="00433F35" w:rsidRDefault="009A2324" w:rsidP="00A753F4">
            <w:pPr>
              <w:pStyle w:val="TableParagraph"/>
              <w:keepNext/>
              <w:keepLines/>
              <w:spacing w:before="20" w:after="20"/>
              <w:ind w:left="2"/>
              <w:jc w:val="center"/>
              <w:rPr>
                <w:spacing w:val="-1"/>
                <w:sz w:val="18"/>
                <w:szCs w:val="18"/>
              </w:rPr>
            </w:pPr>
            <w:r w:rsidRPr="00433F35">
              <w:rPr>
                <w:spacing w:val="-1"/>
                <w:sz w:val="18"/>
                <w:szCs w:val="18"/>
              </w:rPr>
              <w:t>1958</w:t>
            </w:r>
          </w:p>
        </w:tc>
        <w:tc>
          <w:tcPr>
            <w:tcW w:w="1430"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4"/>
              <w:jc w:val="right"/>
              <w:rPr>
                <w:spacing w:val="-1"/>
                <w:sz w:val="18"/>
                <w:szCs w:val="18"/>
              </w:rPr>
            </w:pPr>
            <w:r w:rsidRPr="00433F35">
              <w:rPr>
                <w:spacing w:val="-1"/>
                <w:sz w:val="18"/>
                <w:szCs w:val="18"/>
              </w:rPr>
              <w:t>438</w:t>
            </w:r>
          </w:p>
        </w:tc>
      </w:tr>
      <w:tr w:rsidR="009A2324" w:rsidRPr="00BC66E3" w:rsidTr="00304756">
        <w:trPr>
          <w:trHeight w:hRule="exact" w:val="304"/>
          <w:jc w:val="center"/>
        </w:trPr>
        <w:tc>
          <w:tcPr>
            <w:tcW w:w="2178" w:type="dxa"/>
            <w:shd w:val="clear" w:color="auto" w:fill="DBE5F1" w:themeFill="accent1" w:themeFillTint="33"/>
            <w:tcMar>
              <w:top w:w="29" w:type="dxa"/>
              <w:left w:w="115" w:type="dxa"/>
              <w:bottom w:w="29" w:type="dxa"/>
            </w:tcMar>
            <w:vAlign w:val="center"/>
          </w:tcPr>
          <w:p w:rsidR="009A2324" w:rsidRPr="00433F35" w:rsidRDefault="009A2324" w:rsidP="00A753F4">
            <w:pPr>
              <w:pStyle w:val="TableParagraph"/>
              <w:keepNext/>
              <w:keepLines/>
              <w:spacing w:before="20" w:after="20"/>
              <w:ind w:left="98"/>
              <w:rPr>
                <w:b/>
                <w:spacing w:val="-1"/>
                <w:sz w:val="18"/>
                <w:szCs w:val="18"/>
              </w:rPr>
            </w:pPr>
            <w:r w:rsidRPr="00433F35">
              <w:rPr>
                <w:b/>
                <w:spacing w:val="-1"/>
                <w:sz w:val="18"/>
                <w:szCs w:val="18"/>
              </w:rPr>
              <w:t>Yarmouth 2</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ind w:left="98"/>
              <w:jc w:val="center"/>
              <w:rPr>
                <w:spacing w:val="-1"/>
                <w:sz w:val="18"/>
                <w:szCs w:val="18"/>
              </w:rPr>
            </w:pPr>
            <w:r w:rsidRPr="00433F35">
              <w:rPr>
                <w:spacing w:val="-1"/>
                <w:sz w:val="18"/>
                <w:szCs w:val="18"/>
              </w:rPr>
              <w:t>SME</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jc w:val="center"/>
              <w:rPr>
                <w:spacing w:val="-1"/>
                <w:sz w:val="18"/>
                <w:szCs w:val="18"/>
              </w:rPr>
            </w:pPr>
            <w:r w:rsidRPr="00433F35">
              <w:rPr>
                <w:spacing w:val="-1"/>
                <w:sz w:val="18"/>
                <w:szCs w:val="18"/>
              </w:rPr>
              <w:t>Oil</w:t>
            </w:r>
          </w:p>
        </w:tc>
        <w:tc>
          <w:tcPr>
            <w:tcW w:w="1429"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jc w:val="right"/>
              <w:rPr>
                <w:spacing w:val="-1"/>
                <w:sz w:val="18"/>
                <w:szCs w:val="18"/>
              </w:rPr>
            </w:pPr>
            <w:r w:rsidRPr="00433F35">
              <w:rPr>
                <w:spacing w:val="-1"/>
                <w:sz w:val="18"/>
                <w:szCs w:val="18"/>
              </w:rPr>
              <w:t>51</w:t>
            </w:r>
          </w:p>
        </w:tc>
        <w:tc>
          <w:tcPr>
            <w:tcW w:w="1429" w:type="dxa"/>
            <w:shd w:val="clear" w:color="auto" w:fill="DBE5F1" w:themeFill="accent1" w:themeFillTint="33"/>
            <w:tcMar>
              <w:top w:w="29" w:type="dxa"/>
              <w:left w:w="115" w:type="dxa"/>
              <w:bottom w:w="29" w:type="dxa"/>
              <w:right w:w="115" w:type="dxa"/>
            </w:tcMar>
            <w:vAlign w:val="center"/>
          </w:tcPr>
          <w:p w:rsidR="009A2324" w:rsidRPr="00433F35" w:rsidRDefault="009A2324" w:rsidP="00A753F4">
            <w:pPr>
              <w:pStyle w:val="TableParagraph"/>
              <w:keepNext/>
              <w:keepLines/>
              <w:spacing w:before="20" w:after="20"/>
              <w:ind w:left="2"/>
              <w:jc w:val="center"/>
              <w:rPr>
                <w:spacing w:val="-1"/>
                <w:sz w:val="18"/>
                <w:szCs w:val="18"/>
              </w:rPr>
            </w:pPr>
            <w:r w:rsidRPr="00433F35">
              <w:rPr>
                <w:spacing w:val="-1"/>
                <w:sz w:val="18"/>
                <w:szCs w:val="18"/>
              </w:rPr>
              <w:t>1958</w:t>
            </w:r>
          </w:p>
        </w:tc>
        <w:tc>
          <w:tcPr>
            <w:tcW w:w="1430"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2"/>
              <w:jc w:val="right"/>
              <w:rPr>
                <w:spacing w:val="-1"/>
                <w:sz w:val="18"/>
                <w:szCs w:val="18"/>
              </w:rPr>
            </w:pPr>
            <w:r w:rsidRPr="00433F35">
              <w:rPr>
                <w:spacing w:val="-1"/>
                <w:sz w:val="18"/>
                <w:szCs w:val="18"/>
              </w:rPr>
              <w:t>489</w:t>
            </w:r>
          </w:p>
        </w:tc>
      </w:tr>
      <w:tr w:rsidR="009A2324" w:rsidRPr="00BC66E3" w:rsidTr="00304756">
        <w:trPr>
          <w:trHeight w:hRule="exact" w:val="304"/>
          <w:jc w:val="center"/>
        </w:trPr>
        <w:tc>
          <w:tcPr>
            <w:tcW w:w="2178" w:type="dxa"/>
            <w:shd w:val="clear" w:color="auto" w:fill="DBE5F1" w:themeFill="accent1" w:themeFillTint="33"/>
            <w:tcMar>
              <w:top w:w="29" w:type="dxa"/>
              <w:left w:w="115" w:type="dxa"/>
              <w:bottom w:w="29" w:type="dxa"/>
            </w:tcMar>
            <w:vAlign w:val="center"/>
          </w:tcPr>
          <w:p w:rsidR="009A2324" w:rsidRPr="00433F35" w:rsidRDefault="009A2324" w:rsidP="00A753F4">
            <w:pPr>
              <w:pStyle w:val="TableParagraph"/>
              <w:keepNext/>
              <w:keepLines/>
              <w:spacing w:before="20" w:after="20"/>
              <w:ind w:left="98"/>
              <w:rPr>
                <w:b/>
                <w:spacing w:val="-1"/>
                <w:sz w:val="18"/>
                <w:szCs w:val="18"/>
              </w:rPr>
            </w:pPr>
            <w:r w:rsidRPr="00433F35">
              <w:rPr>
                <w:b/>
                <w:spacing w:val="-1"/>
                <w:sz w:val="18"/>
                <w:szCs w:val="18"/>
              </w:rPr>
              <w:t>Merrimack 1</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ind w:left="98"/>
              <w:jc w:val="center"/>
              <w:rPr>
                <w:spacing w:val="-1"/>
                <w:sz w:val="18"/>
                <w:szCs w:val="18"/>
              </w:rPr>
            </w:pPr>
            <w:r w:rsidRPr="00433F35">
              <w:rPr>
                <w:spacing w:val="-1"/>
                <w:sz w:val="18"/>
                <w:szCs w:val="18"/>
              </w:rPr>
              <w:t>NH</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jc w:val="center"/>
              <w:rPr>
                <w:spacing w:val="-1"/>
                <w:sz w:val="18"/>
                <w:szCs w:val="18"/>
              </w:rPr>
            </w:pPr>
            <w:r w:rsidRPr="00433F35">
              <w:rPr>
                <w:spacing w:val="-1"/>
                <w:sz w:val="18"/>
                <w:szCs w:val="18"/>
              </w:rPr>
              <w:t>Coal</w:t>
            </w:r>
          </w:p>
        </w:tc>
        <w:tc>
          <w:tcPr>
            <w:tcW w:w="1429"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3"/>
              <w:jc w:val="right"/>
              <w:rPr>
                <w:spacing w:val="-1"/>
                <w:sz w:val="18"/>
                <w:szCs w:val="18"/>
              </w:rPr>
            </w:pPr>
            <w:r w:rsidRPr="00433F35">
              <w:rPr>
                <w:spacing w:val="-1"/>
                <w:sz w:val="18"/>
                <w:szCs w:val="18"/>
              </w:rPr>
              <w:t>108</w:t>
            </w:r>
          </w:p>
        </w:tc>
        <w:tc>
          <w:tcPr>
            <w:tcW w:w="1429" w:type="dxa"/>
            <w:shd w:val="clear" w:color="auto" w:fill="DBE5F1" w:themeFill="accent1" w:themeFillTint="33"/>
            <w:tcMar>
              <w:top w:w="29" w:type="dxa"/>
              <w:left w:w="115" w:type="dxa"/>
              <w:bottom w:w="29" w:type="dxa"/>
              <w:right w:w="115" w:type="dxa"/>
            </w:tcMar>
            <w:vAlign w:val="center"/>
          </w:tcPr>
          <w:p w:rsidR="009A2324" w:rsidRPr="00433F35" w:rsidRDefault="009A2324" w:rsidP="00A753F4">
            <w:pPr>
              <w:pStyle w:val="TableParagraph"/>
              <w:keepNext/>
              <w:keepLines/>
              <w:spacing w:before="20" w:after="20"/>
              <w:ind w:left="2"/>
              <w:jc w:val="center"/>
              <w:rPr>
                <w:spacing w:val="-1"/>
                <w:sz w:val="18"/>
                <w:szCs w:val="18"/>
              </w:rPr>
            </w:pPr>
            <w:r w:rsidRPr="00433F35">
              <w:rPr>
                <w:spacing w:val="-1"/>
                <w:sz w:val="18"/>
                <w:szCs w:val="18"/>
              </w:rPr>
              <w:t>1960</w:t>
            </w:r>
          </w:p>
        </w:tc>
        <w:tc>
          <w:tcPr>
            <w:tcW w:w="1430"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2"/>
              <w:jc w:val="right"/>
              <w:rPr>
                <w:spacing w:val="-1"/>
                <w:sz w:val="18"/>
                <w:szCs w:val="18"/>
              </w:rPr>
            </w:pPr>
            <w:r w:rsidRPr="00433F35">
              <w:rPr>
                <w:spacing w:val="-1"/>
                <w:sz w:val="18"/>
                <w:szCs w:val="18"/>
              </w:rPr>
              <w:t>597</w:t>
            </w:r>
          </w:p>
        </w:tc>
      </w:tr>
      <w:tr w:rsidR="009A2324" w:rsidRPr="00BC66E3" w:rsidTr="00304756">
        <w:trPr>
          <w:trHeight w:hRule="exact" w:val="304"/>
          <w:jc w:val="center"/>
        </w:trPr>
        <w:tc>
          <w:tcPr>
            <w:tcW w:w="2178" w:type="dxa"/>
            <w:shd w:val="clear" w:color="auto" w:fill="DBE5F1" w:themeFill="accent1" w:themeFillTint="33"/>
            <w:tcMar>
              <w:top w:w="29" w:type="dxa"/>
              <w:left w:w="115" w:type="dxa"/>
              <w:bottom w:w="29" w:type="dxa"/>
            </w:tcMar>
            <w:vAlign w:val="center"/>
          </w:tcPr>
          <w:p w:rsidR="009A2324" w:rsidRPr="00433F35" w:rsidRDefault="009A2324" w:rsidP="00A753F4">
            <w:pPr>
              <w:pStyle w:val="TableParagraph"/>
              <w:keepNext/>
              <w:keepLines/>
              <w:spacing w:before="20" w:after="20"/>
              <w:ind w:left="98"/>
              <w:rPr>
                <w:b/>
                <w:spacing w:val="-1"/>
                <w:sz w:val="18"/>
                <w:szCs w:val="18"/>
              </w:rPr>
            </w:pPr>
            <w:r w:rsidRPr="00433F35">
              <w:rPr>
                <w:b/>
                <w:spacing w:val="-1"/>
                <w:sz w:val="18"/>
                <w:szCs w:val="18"/>
              </w:rPr>
              <w:t>Middletown 3</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ind w:left="98"/>
              <w:jc w:val="center"/>
              <w:rPr>
                <w:spacing w:val="-1"/>
                <w:sz w:val="18"/>
                <w:szCs w:val="18"/>
              </w:rPr>
            </w:pPr>
            <w:r w:rsidRPr="00433F35">
              <w:rPr>
                <w:spacing w:val="-1"/>
                <w:sz w:val="18"/>
                <w:szCs w:val="18"/>
              </w:rPr>
              <w:t>CT</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jc w:val="center"/>
              <w:rPr>
                <w:spacing w:val="-1"/>
                <w:sz w:val="18"/>
                <w:szCs w:val="18"/>
              </w:rPr>
            </w:pPr>
            <w:r w:rsidRPr="00433F35">
              <w:rPr>
                <w:spacing w:val="-1"/>
                <w:sz w:val="18"/>
                <w:szCs w:val="18"/>
              </w:rPr>
              <w:t>Oil</w:t>
            </w:r>
          </w:p>
        </w:tc>
        <w:tc>
          <w:tcPr>
            <w:tcW w:w="1429"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2"/>
              <w:jc w:val="right"/>
              <w:rPr>
                <w:spacing w:val="-1"/>
                <w:sz w:val="18"/>
                <w:szCs w:val="18"/>
              </w:rPr>
            </w:pPr>
            <w:r w:rsidRPr="00433F35">
              <w:rPr>
                <w:spacing w:val="-1"/>
                <w:sz w:val="18"/>
                <w:szCs w:val="18"/>
              </w:rPr>
              <w:t>234</w:t>
            </w:r>
          </w:p>
        </w:tc>
        <w:tc>
          <w:tcPr>
            <w:tcW w:w="1429" w:type="dxa"/>
            <w:shd w:val="clear" w:color="auto" w:fill="DBE5F1" w:themeFill="accent1" w:themeFillTint="33"/>
            <w:tcMar>
              <w:top w:w="29" w:type="dxa"/>
              <w:left w:w="115" w:type="dxa"/>
              <w:bottom w:w="29" w:type="dxa"/>
              <w:right w:w="115" w:type="dxa"/>
            </w:tcMar>
            <w:vAlign w:val="center"/>
          </w:tcPr>
          <w:p w:rsidR="009A2324" w:rsidRPr="00433F35" w:rsidRDefault="009A2324" w:rsidP="00A753F4">
            <w:pPr>
              <w:pStyle w:val="TableParagraph"/>
              <w:keepNext/>
              <w:keepLines/>
              <w:spacing w:before="20" w:after="20"/>
              <w:ind w:left="2"/>
              <w:jc w:val="center"/>
              <w:rPr>
                <w:spacing w:val="-1"/>
                <w:sz w:val="18"/>
                <w:szCs w:val="18"/>
              </w:rPr>
            </w:pPr>
            <w:r w:rsidRPr="00433F35">
              <w:rPr>
                <w:spacing w:val="-1"/>
                <w:sz w:val="18"/>
                <w:szCs w:val="18"/>
              </w:rPr>
              <w:t>1964</w:t>
            </w:r>
          </w:p>
        </w:tc>
        <w:tc>
          <w:tcPr>
            <w:tcW w:w="1430"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2"/>
              <w:jc w:val="right"/>
              <w:rPr>
                <w:spacing w:val="-1"/>
                <w:sz w:val="18"/>
                <w:szCs w:val="18"/>
              </w:rPr>
            </w:pPr>
            <w:r w:rsidRPr="00433F35">
              <w:rPr>
                <w:spacing w:val="-1"/>
                <w:sz w:val="18"/>
                <w:szCs w:val="18"/>
              </w:rPr>
              <w:t>831</w:t>
            </w:r>
          </w:p>
        </w:tc>
      </w:tr>
      <w:tr w:rsidR="009A2324" w:rsidRPr="00BC66E3" w:rsidTr="00304756">
        <w:trPr>
          <w:trHeight w:hRule="exact" w:val="304"/>
          <w:jc w:val="center"/>
        </w:trPr>
        <w:tc>
          <w:tcPr>
            <w:tcW w:w="2178" w:type="dxa"/>
            <w:shd w:val="clear" w:color="auto" w:fill="DBE5F1" w:themeFill="accent1" w:themeFillTint="33"/>
            <w:tcMar>
              <w:top w:w="29" w:type="dxa"/>
              <w:left w:w="115" w:type="dxa"/>
              <w:bottom w:w="29" w:type="dxa"/>
            </w:tcMar>
            <w:vAlign w:val="center"/>
          </w:tcPr>
          <w:p w:rsidR="009A2324" w:rsidRPr="00433F35" w:rsidRDefault="009A2324" w:rsidP="00A753F4">
            <w:pPr>
              <w:pStyle w:val="TableParagraph"/>
              <w:keepNext/>
              <w:keepLines/>
              <w:spacing w:before="20" w:after="20"/>
              <w:ind w:left="98"/>
              <w:rPr>
                <w:b/>
                <w:spacing w:val="-1"/>
                <w:sz w:val="18"/>
                <w:szCs w:val="18"/>
              </w:rPr>
            </w:pPr>
            <w:r w:rsidRPr="00433F35">
              <w:rPr>
                <w:b/>
                <w:spacing w:val="-1"/>
                <w:sz w:val="18"/>
                <w:szCs w:val="18"/>
              </w:rPr>
              <w:t>Yarmouth 3</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ind w:left="98"/>
              <w:jc w:val="center"/>
              <w:rPr>
                <w:spacing w:val="-1"/>
                <w:sz w:val="18"/>
                <w:szCs w:val="18"/>
              </w:rPr>
            </w:pPr>
            <w:r w:rsidRPr="00433F35">
              <w:rPr>
                <w:spacing w:val="-1"/>
                <w:sz w:val="18"/>
                <w:szCs w:val="18"/>
              </w:rPr>
              <w:t>SME</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jc w:val="center"/>
              <w:rPr>
                <w:spacing w:val="-1"/>
                <w:sz w:val="18"/>
                <w:szCs w:val="18"/>
              </w:rPr>
            </w:pPr>
            <w:r w:rsidRPr="00433F35">
              <w:rPr>
                <w:spacing w:val="-1"/>
                <w:sz w:val="18"/>
                <w:szCs w:val="18"/>
              </w:rPr>
              <w:t>Oil</w:t>
            </w:r>
          </w:p>
        </w:tc>
        <w:tc>
          <w:tcPr>
            <w:tcW w:w="1429"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2"/>
              <w:jc w:val="right"/>
              <w:rPr>
                <w:spacing w:val="-1"/>
                <w:sz w:val="18"/>
                <w:szCs w:val="18"/>
              </w:rPr>
            </w:pPr>
            <w:r w:rsidRPr="00433F35">
              <w:rPr>
                <w:spacing w:val="-1"/>
                <w:sz w:val="18"/>
                <w:szCs w:val="18"/>
              </w:rPr>
              <w:t>115</w:t>
            </w:r>
          </w:p>
        </w:tc>
        <w:tc>
          <w:tcPr>
            <w:tcW w:w="1429" w:type="dxa"/>
            <w:shd w:val="clear" w:color="auto" w:fill="DBE5F1" w:themeFill="accent1" w:themeFillTint="33"/>
            <w:tcMar>
              <w:top w:w="29" w:type="dxa"/>
              <w:left w:w="115" w:type="dxa"/>
              <w:bottom w:w="29" w:type="dxa"/>
              <w:right w:w="115" w:type="dxa"/>
            </w:tcMar>
            <w:vAlign w:val="center"/>
          </w:tcPr>
          <w:p w:rsidR="009A2324" w:rsidRPr="00433F35" w:rsidRDefault="009A2324" w:rsidP="00A753F4">
            <w:pPr>
              <w:pStyle w:val="TableParagraph"/>
              <w:keepNext/>
              <w:keepLines/>
              <w:spacing w:before="20" w:after="20"/>
              <w:ind w:left="2"/>
              <w:jc w:val="center"/>
              <w:rPr>
                <w:spacing w:val="-1"/>
                <w:sz w:val="18"/>
                <w:szCs w:val="18"/>
              </w:rPr>
            </w:pPr>
            <w:r w:rsidRPr="00433F35">
              <w:rPr>
                <w:spacing w:val="-1"/>
                <w:sz w:val="18"/>
                <w:szCs w:val="18"/>
              </w:rPr>
              <w:t>1965</w:t>
            </w:r>
          </w:p>
        </w:tc>
        <w:tc>
          <w:tcPr>
            <w:tcW w:w="1430"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2"/>
              <w:jc w:val="right"/>
              <w:rPr>
                <w:spacing w:val="-1"/>
                <w:sz w:val="18"/>
                <w:szCs w:val="18"/>
              </w:rPr>
            </w:pPr>
            <w:r w:rsidRPr="00433F35">
              <w:rPr>
                <w:spacing w:val="-1"/>
                <w:sz w:val="18"/>
                <w:szCs w:val="18"/>
              </w:rPr>
              <w:t>945</w:t>
            </w:r>
          </w:p>
        </w:tc>
      </w:tr>
      <w:tr w:rsidR="009A2324" w:rsidRPr="00BC66E3" w:rsidTr="00304756">
        <w:trPr>
          <w:trHeight w:hRule="exact" w:val="304"/>
          <w:jc w:val="center"/>
        </w:trPr>
        <w:tc>
          <w:tcPr>
            <w:tcW w:w="2178" w:type="dxa"/>
            <w:shd w:val="clear" w:color="auto" w:fill="DBE5F1" w:themeFill="accent1" w:themeFillTint="33"/>
            <w:tcMar>
              <w:top w:w="29" w:type="dxa"/>
              <w:left w:w="115" w:type="dxa"/>
              <w:bottom w:w="29" w:type="dxa"/>
            </w:tcMar>
            <w:vAlign w:val="center"/>
          </w:tcPr>
          <w:p w:rsidR="009A2324" w:rsidRPr="00433F35" w:rsidRDefault="009A2324" w:rsidP="00A753F4">
            <w:pPr>
              <w:pStyle w:val="TableParagraph"/>
              <w:keepNext/>
              <w:keepLines/>
              <w:spacing w:before="20" w:after="20"/>
              <w:ind w:left="98"/>
              <w:rPr>
                <w:b/>
                <w:spacing w:val="-1"/>
                <w:sz w:val="18"/>
                <w:szCs w:val="18"/>
              </w:rPr>
            </w:pPr>
            <w:r w:rsidRPr="00433F35">
              <w:rPr>
                <w:b/>
                <w:spacing w:val="-1"/>
                <w:sz w:val="18"/>
                <w:szCs w:val="18"/>
              </w:rPr>
              <w:t>Bridgeport Harbor 3</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ind w:left="98"/>
              <w:jc w:val="center"/>
              <w:rPr>
                <w:spacing w:val="-1"/>
                <w:sz w:val="18"/>
                <w:szCs w:val="18"/>
              </w:rPr>
            </w:pPr>
            <w:r w:rsidRPr="00433F35">
              <w:rPr>
                <w:spacing w:val="-1"/>
                <w:sz w:val="18"/>
                <w:szCs w:val="18"/>
              </w:rPr>
              <w:t>SWCT</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jc w:val="center"/>
              <w:rPr>
                <w:spacing w:val="-1"/>
                <w:sz w:val="18"/>
                <w:szCs w:val="18"/>
              </w:rPr>
            </w:pPr>
            <w:r w:rsidRPr="00433F35">
              <w:rPr>
                <w:spacing w:val="-1"/>
                <w:sz w:val="18"/>
                <w:szCs w:val="18"/>
              </w:rPr>
              <w:t>Coal</w:t>
            </w:r>
          </w:p>
        </w:tc>
        <w:tc>
          <w:tcPr>
            <w:tcW w:w="1429"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2"/>
              <w:jc w:val="right"/>
              <w:rPr>
                <w:spacing w:val="-1"/>
                <w:sz w:val="18"/>
                <w:szCs w:val="18"/>
              </w:rPr>
            </w:pPr>
            <w:r w:rsidRPr="00433F35">
              <w:rPr>
                <w:spacing w:val="-1"/>
                <w:sz w:val="18"/>
                <w:szCs w:val="18"/>
              </w:rPr>
              <w:t>383</w:t>
            </w:r>
          </w:p>
        </w:tc>
        <w:tc>
          <w:tcPr>
            <w:tcW w:w="1429" w:type="dxa"/>
            <w:shd w:val="clear" w:color="auto" w:fill="DBE5F1" w:themeFill="accent1" w:themeFillTint="33"/>
            <w:tcMar>
              <w:top w:w="29" w:type="dxa"/>
              <w:left w:w="115" w:type="dxa"/>
              <w:bottom w:w="29" w:type="dxa"/>
              <w:right w:w="115" w:type="dxa"/>
            </w:tcMar>
            <w:vAlign w:val="center"/>
          </w:tcPr>
          <w:p w:rsidR="009A2324" w:rsidRPr="00433F35" w:rsidRDefault="009A2324" w:rsidP="00A753F4">
            <w:pPr>
              <w:pStyle w:val="TableParagraph"/>
              <w:keepNext/>
              <w:keepLines/>
              <w:spacing w:before="20" w:after="20"/>
              <w:ind w:left="2"/>
              <w:jc w:val="center"/>
              <w:rPr>
                <w:spacing w:val="-1"/>
                <w:sz w:val="18"/>
                <w:szCs w:val="18"/>
              </w:rPr>
            </w:pPr>
            <w:r w:rsidRPr="00433F35">
              <w:rPr>
                <w:spacing w:val="-1"/>
                <w:sz w:val="18"/>
                <w:szCs w:val="18"/>
              </w:rPr>
              <w:t>1968</w:t>
            </w:r>
          </w:p>
        </w:tc>
        <w:tc>
          <w:tcPr>
            <w:tcW w:w="1430"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479"/>
              <w:jc w:val="right"/>
              <w:rPr>
                <w:spacing w:val="-1"/>
                <w:sz w:val="18"/>
                <w:szCs w:val="18"/>
              </w:rPr>
            </w:pPr>
            <w:r w:rsidRPr="00433F35">
              <w:rPr>
                <w:spacing w:val="-1"/>
                <w:sz w:val="18"/>
                <w:szCs w:val="18"/>
              </w:rPr>
              <w:t>1,329</w:t>
            </w:r>
          </w:p>
        </w:tc>
      </w:tr>
      <w:tr w:rsidR="009A2324" w:rsidRPr="00BC66E3" w:rsidTr="00304756">
        <w:trPr>
          <w:trHeight w:hRule="exact" w:val="304"/>
          <w:jc w:val="center"/>
        </w:trPr>
        <w:tc>
          <w:tcPr>
            <w:tcW w:w="2178" w:type="dxa"/>
            <w:shd w:val="clear" w:color="auto" w:fill="DBE5F1" w:themeFill="accent1" w:themeFillTint="33"/>
            <w:tcMar>
              <w:top w:w="29" w:type="dxa"/>
              <w:left w:w="115" w:type="dxa"/>
              <w:bottom w:w="29" w:type="dxa"/>
            </w:tcMar>
            <w:vAlign w:val="center"/>
          </w:tcPr>
          <w:p w:rsidR="009A2324" w:rsidRPr="00433F35" w:rsidRDefault="009A2324" w:rsidP="00A753F4">
            <w:pPr>
              <w:pStyle w:val="TableParagraph"/>
              <w:keepNext/>
              <w:keepLines/>
              <w:spacing w:before="20" w:after="20"/>
              <w:ind w:left="98"/>
              <w:rPr>
                <w:b/>
                <w:spacing w:val="-1"/>
                <w:sz w:val="18"/>
                <w:szCs w:val="18"/>
              </w:rPr>
            </w:pPr>
            <w:r w:rsidRPr="00433F35">
              <w:rPr>
                <w:b/>
                <w:spacing w:val="-1"/>
                <w:sz w:val="18"/>
                <w:szCs w:val="18"/>
              </w:rPr>
              <w:t>Canal 1</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ind w:left="98"/>
              <w:jc w:val="center"/>
              <w:rPr>
                <w:spacing w:val="-1"/>
                <w:sz w:val="18"/>
                <w:szCs w:val="18"/>
              </w:rPr>
            </w:pPr>
            <w:r w:rsidRPr="00433F35">
              <w:rPr>
                <w:spacing w:val="-1"/>
                <w:sz w:val="18"/>
                <w:szCs w:val="18"/>
              </w:rPr>
              <w:t>SEMA</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jc w:val="center"/>
              <w:rPr>
                <w:spacing w:val="-1"/>
                <w:sz w:val="18"/>
                <w:szCs w:val="18"/>
              </w:rPr>
            </w:pPr>
            <w:r w:rsidRPr="00433F35">
              <w:rPr>
                <w:spacing w:val="-1"/>
                <w:sz w:val="18"/>
                <w:szCs w:val="18"/>
              </w:rPr>
              <w:t>Oil</w:t>
            </w:r>
          </w:p>
        </w:tc>
        <w:tc>
          <w:tcPr>
            <w:tcW w:w="1429"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2"/>
              <w:jc w:val="right"/>
              <w:rPr>
                <w:spacing w:val="-1"/>
                <w:sz w:val="18"/>
                <w:szCs w:val="18"/>
              </w:rPr>
            </w:pPr>
            <w:r w:rsidRPr="00433F35">
              <w:rPr>
                <w:spacing w:val="-1"/>
                <w:sz w:val="18"/>
                <w:szCs w:val="18"/>
              </w:rPr>
              <w:t>547</w:t>
            </w:r>
          </w:p>
        </w:tc>
        <w:tc>
          <w:tcPr>
            <w:tcW w:w="1429" w:type="dxa"/>
            <w:shd w:val="clear" w:color="auto" w:fill="DBE5F1" w:themeFill="accent1" w:themeFillTint="33"/>
            <w:tcMar>
              <w:top w:w="29" w:type="dxa"/>
              <w:left w:w="115" w:type="dxa"/>
              <w:bottom w:w="29" w:type="dxa"/>
              <w:right w:w="115" w:type="dxa"/>
            </w:tcMar>
            <w:vAlign w:val="center"/>
          </w:tcPr>
          <w:p w:rsidR="009A2324" w:rsidRPr="00433F35" w:rsidRDefault="009A2324" w:rsidP="00A753F4">
            <w:pPr>
              <w:pStyle w:val="TableParagraph"/>
              <w:keepNext/>
              <w:keepLines/>
              <w:spacing w:before="20" w:after="20"/>
              <w:ind w:left="2"/>
              <w:jc w:val="center"/>
              <w:rPr>
                <w:spacing w:val="-1"/>
                <w:sz w:val="18"/>
                <w:szCs w:val="18"/>
              </w:rPr>
            </w:pPr>
            <w:r w:rsidRPr="00433F35">
              <w:rPr>
                <w:spacing w:val="-1"/>
                <w:sz w:val="18"/>
                <w:szCs w:val="18"/>
              </w:rPr>
              <w:t>1968</w:t>
            </w:r>
          </w:p>
        </w:tc>
        <w:tc>
          <w:tcPr>
            <w:tcW w:w="1430"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479"/>
              <w:jc w:val="right"/>
              <w:rPr>
                <w:spacing w:val="-1"/>
                <w:sz w:val="18"/>
                <w:szCs w:val="18"/>
              </w:rPr>
            </w:pPr>
            <w:r w:rsidRPr="00433F35">
              <w:rPr>
                <w:spacing w:val="-1"/>
                <w:sz w:val="18"/>
                <w:szCs w:val="18"/>
              </w:rPr>
              <w:t>1,876</w:t>
            </w:r>
          </w:p>
        </w:tc>
      </w:tr>
      <w:tr w:rsidR="009A2324" w:rsidRPr="00BC66E3" w:rsidTr="00304756">
        <w:trPr>
          <w:trHeight w:hRule="exact" w:val="304"/>
          <w:jc w:val="center"/>
        </w:trPr>
        <w:tc>
          <w:tcPr>
            <w:tcW w:w="2178" w:type="dxa"/>
            <w:shd w:val="clear" w:color="auto" w:fill="DBE5F1" w:themeFill="accent1" w:themeFillTint="33"/>
            <w:tcMar>
              <w:top w:w="29" w:type="dxa"/>
              <w:left w:w="115" w:type="dxa"/>
              <w:bottom w:w="29" w:type="dxa"/>
            </w:tcMar>
            <w:vAlign w:val="center"/>
          </w:tcPr>
          <w:p w:rsidR="009A2324" w:rsidRPr="00433F35" w:rsidRDefault="009A2324" w:rsidP="00A753F4">
            <w:pPr>
              <w:pStyle w:val="TableParagraph"/>
              <w:keepNext/>
              <w:keepLines/>
              <w:spacing w:before="20" w:after="20"/>
              <w:ind w:left="98"/>
              <w:rPr>
                <w:b/>
                <w:spacing w:val="-1"/>
                <w:sz w:val="18"/>
                <w:szCs w:val="18"/>
              </w:rPr>
            </w:pPr>
            <w:r w:rsidRPr="00433F35">
              <w:rPr>
                <w:b/>
                <w:spacing w:val="-1"/>
                <w:sz w:val="18"/>
                <w:szCs w:val="18"/>
              </w:rPr>
              <w:t>Merrimack 2</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ind w:left="98"/>
              <w:jc w:val="center"/>
              <w:rPr>
                <w:spacing w:val="-1"/>
                <w:sz w:val="18"/>
                <w:szCs w:val="18"/>
              </w:rPr>
            </w:pPr>
            <w:r w:rsidRPr="00433F35">
              <w:rPr>
                <w:spacing w:val="-1"/>
                <w:sz w:val="18"/>
                <w:szCs w:val="18"/>
              </w:rPr>
              <w:t>NH</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jc w:val="center"/>
              <w:rPr>
                <w:spacing w:val="-1"/>
                <w:sz w:val="18"/>
                <w:szCs w:val="18"/>
              </w:rPr>
            </w:pPr>
            <w:r w:rsidRPr="00433F35">
              <w:rPr>
                <w:spacing w:val="-1"/>
                <w:sz w:val="18"/>
                <w:szCs w:val="18"/>
              </w:rPr>
              <w:t>Coal</w:t>
            </w:r>
          </w:p>
        </w:tc>
        <w:tc>
          <w:tcPr>
            <w:tcW w:w="1429"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3"/>
              <w:jc w:val="right"/>
              <w:rPr>
                <w:spacing w:val="-1"/>
                <w:sz w:val="18"/>
                <w:szCs w:val="18"/>
              </w:rPr>
            </w:pPr>
            <w:r w:rsidRPr="00433F35">
              <w:rPr>
                <w:spacing w:val="-1"/>
                <w:sz w:val="18"/>
                <w:szCs w:val="18"/>
              </w:rPr>
              <w:t>330</w:t>
            </w:r>
          </w:p>
        </w:tc>
        <w:tc>
          <w:tcPr>
            <w:tcW w:w="1429" w:type="dxa"/>
            <w:shd w:val="clear" w:color="auto" w:fill="DBE5F1" w:themeFill="accent1" w:themeFillTint="33"/>
            <w:tcMar>
              <w:top w:w="29" w:type="dxa"/>
              <w:left w:w="115" w:type="dxa"/>
              <w:bottom w:w="29" w:type="dxa"/>
              <w:right w:w="115" w:type="dxa"/>
            </w:tcMar>
            <w:vAlign w:val="center"/>
          </w:tcPr>
          <w:p w:rsidR="009A2324" w:rsidRPr="00433F35" w:rsidRDefault="009A2324" w:rsidP="00A753F4">
            <w:pPr>
              <w:pStyle w:val="TableParagraph"/>
              <w:keepNext/>
              <w:keepLines/>
              <w:spacing w:before="20" w:after="20"/>
              <w:ind w:left="2"/>
              <w:jc w:val="center"/>
              <w:rPr>
                <w:spacing w:val="-1"/>
                <w:sz w:val="18"/>
                <w:szCs w:val="18"/>
              </w:rPr>
            </w:pPr>
            <w:r w:rsidRPr="00433F35">
              <w:rPr>
                <w:spacing w:val="-1"/>
                <w:sz w:val="18"/>
                <w:szCs w:val="18"/>
              </w:rPr>
              <w:t>1968</w:t>
            </w:r>
          </w:p>
        </w:tc>
        <w:tc>
          <w:tcPr>
            <w:tcW w:w="1430"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479"/>
              <w:jc w:val="right"/>
              <w:rPr>
                <w:spacing w:val="-1"/>
                <w:sz w:val="18"/>
                <w:szCs w:val="18"/>
              </w:rPr>
            </w:pPr>
            <w:r w:rsidRPr="00433F35">
              <w:rPr>
                <w:spacing w:val="-1"/>
                <w:sz w:val="18"/>
                <w:szCs w:val="18"/>
              </w:rPr>
              <w:t>2,206</w:t>
            </w:r>
          </w:p>
        </w:tc>
      </w:tr>
      <w:tr w:rsidR="009A2324" w:rsidRPr="00BC66E3" w:rsidTr="00304756">
        <w:trPr>
          <w:trHeight w:hRule="exact" w:val="304"/>
          <w:jc w:val="center"/>
        </w:trPr>
        <w:tc>
          <w:tcPr>
            <w:tcW w:w="2178" w:type="dxa"/>
            <w:shd w:val="clear" w:color="auto" w:fill="DBE5F1" w:themeFill="accent1" w:themeFillTint="33"/>
            <w:tcMar>
              <w:top w:w="29" w:type="dxa"/>
              <w:left w:w="115" w:type="dxa"/>
              <w:bottom w:w="29" w:type="dxa"/>
            </w:tcMar>
            <w:vAlign w:val="center"/>
          </w:tcPr>
          <w:p w:rsidR="009A2324" w:rsidRPr="00433F35" w:rsidRDefault="009A2324" w:rsidP="00A753F4">
            <w:pPr>
              <w:pStyle w:val="TableParagraph"/>
              <w:keepNext/>
              <w:keepLines/>
              <w:spacing w:before="20" w:after="20"/>
              <w:ind w:left="98"/>
              <w:rPr>
                <w:b/>
                <w:spacing w:val="-1"/>
                <w:sz w:val="18"/>
                <w:szCs w:val="18"/>
              </w:rPr>
            </w:pPr>
            <w:r w:rsidRPr="00433F35">
              <w:rPr>
                <w:b/>
                <w:spacing w:val="-1"/>
                <w:sz w:val="18"/>
                <w:szCs w:val="18"/>
              </w:rPr>
              <w:t>Montville 6</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ind w:left="98"/>
              <w:jc w:val="center"/>
              <w:rPr>
                <w:spacing w:val="-1"/>
                <w:sz w:val="18"/>
                <w:szCs w:val="18"/>
              </w:rPr>
            </w:pPr>
            <w:r w:rsidRPr="00433F35">
              <w:rPr>
                <w:spacing w:val="-1"/>
                <w:sz w:val="18"/>
                <w:szCs w:val="18"/>
              </w:rPr>
              <w:t>CT</w:t>
            </w:r>
          </w:p>
        </w:tc>
        <w:tc>
          <w:tcPr>
            <w:tcW w:w="1429" w:type="dxa"/>
            <w:shd w:val="clear" w:color="auto" w:fill="DBE5F1" w:themeFill="accent1" w:themeFillTint="33"/>
            <w:tcMar>
              <w:top w:w="29" w:type="dxa"/>
              <w:bottom w:w="29" w:type="dxa"/>
            </w:tcMar>
            <w:vAlign w:val="center"/>
          </w:tcPr>
          <w:p w:rsidR="009A2324" w:rsidRPr="00433F35" w:rsidRDefault="009A2324" w:rsidP="00A753F4">
            <w:pPr>
              <w:pStyle w:val="TableParagraph"/>
              <w:keepNext/>
              <w:keepLines/>
              <w:spacing w:before="20" w:after="20"/>
              <w:jc w:val="center"/>
              <w:rPr>
                <w:spacing w:val="-1"/>
                <w:sz w:val="18"/>
                <w:szCs w:val="18"/>
              </w:rPr>
            </w:pPr>
            <w:r w:rsidRPr="00433F35">
              <w:rPr>
                <w:spacing w:val="-1"/>
                <w:sz w:val="18"/>
                <w:szCs w:val="18"/>
              </w:rPr>
              <w:t>Oil</w:t>
            </w:r>
          </w:p>
        </w:tc>
        <w:tc>
          <w:tcPr>
            <w:tcW w:w="1429"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3"/>
              <w:jc w:val="right"/>
              <w:rPr>
                <w:spacing w:val="-1"/>
                <w:sz w:val="18"/>
                <w:szCs w:val="18"/>
              </w:rPr>
            </w:pPr>
            <w:r w:rsidRPr="00433F35">
              <w:rPr>
                <w:spacing w:val="-1"/>
                <w:sz w:val="18"/>
                <w:szCs w:val="18"/>
              </w:rPr>
              <w:t>405</w:t>
            </w:r>
          </w:p>
        </w:tc>
        <w:tc>
          <w:tcPr>
            <w:tcW w:w="1429" w:type="dxa"/>
            <w:shd w:val="clear" w:color="auto" w:fill="DBE5F1" w:themeFill="accent1" w:themeFillTint="33"/>
            <w:tcMar>
              <w:top w:w="29" w:type="dxa"/>
              <w:left w:w="115" w:type="dxa"/>
              <w:bottom w:w="29" w:type="dxa"/>
              <w:right w:w="115" w:type="dxa"/>
            </w:tcMar>
            <w:vAlign w:val="center"/>
          </w:tcPr>
          <w:p w:rsidR="009A2324" w:rsidRPr="00433F35" w:rsidRDefault="009A2324" w:rsidP="00A753F4">
            <w:pPr>
              <w:pStyle w:val="TableParagraph"/>
              <w:keepNext/>
              <w:keepLines/>
              <w:spacing w:before="20" w:after="20"/>
              <w:ind w:left="2"/>
              <w:jc w:val="center"/>
              <w:rPr>
                <w:spacing w:val="-1"/>
                <w:sz w:val="18"/>
                <w:szCs w:val="18"/>
              </w:rPr>
            </w:pPr>
            <w:r w:rsidRPr="00433F35">
              <w:rPr>
                <w:spacing w:val="-1"/>
                <w:sz w:val="18"/>
                <w:szCs w:val="18"/>
              </w:rPr>
              <w:t>1971</w:t>
            </w:r>
          </w:p>
        </w:tc>
        <w:tc>
          <w:tcPr>
            <w:tcW w:w="1430" w:type="dxa"/>
            <w:shd w:val="clear" w:color="auto" w:fill="DBE5F1" w:themeFill="accent1" w:themeFillTint="33"/>
            <w:tcMar>
              <w:top w:w="29" w:type="dxa"/>
              <w:bottom w:w="29" w:type="dxa"/>
              <w:right w:w="360" w:type="dxa"/>
            </w:tcMar>
            <w:vAlign w:val="center"/>
          </w:tcPr>
          <w:p w:rsidR="009A2324" w:rsidRPr="00433F35" w:rsidRDefault="009A2324" w:rsidP="00A753F4">
            <w:pPr>
              <w:pStyle w:val="TableParagraph"/>
              <w:keepNext/>
              <w:keepLines/>
              <w:spacing w:before="20" w:after="20"/>
              <w:ind w:left="479"/>
              <w:jc w:val="right"/>
              <w:rPr>
                <w:spacing w:val="-1"/>
                <w:sz w:val="18"/>
                <w:szCs w:val="18"/>
              </w:rPr>
            </w:pPr>
            <w:r w:rsidRPr="00433F35">
              <w:rPr>
                <w:spacing w:val="-1"/>
                <w:sz w:val="18"/>
                <w:szCs w:val="18"/>
              </w:rPr>
              <w:t>2,611</w:t>
            </w:r>
          </w:p>
        </w:tc>
      </w:tr>
      <w:tr w:rsidR="009A2324" w:rsidRPr="001B3B09" w:rsidTr="00775877">
        <w:trPr>
          <w:trHeight w:hRule="exact" w:val="304"/>
          <w:jc w:val="center"/>
        </w:trPr>
        <w:tc>
          <w:tcPr>
            <w:tcW w:w="2178" w:type="dxa"/>
            <w:shd w:val="clear" w:color="auto" w:fill="auto"/>
            <w:tcMar>
              <w:top w:w="29" w:type="dxa"/>
              <w:left w:w="115" w:type="dxa"/>
              <w:bottom w:w="29" w:type="dxa"/>
            </w:tcMar>
            <w:vAlign w:val="center"/>
          </w:tcPr>
          <w:p w:rsidR="009A2324" w:rsidRPr="001B3B09" w:rsidRDefault="009A2324" w:rsidP="00A753F4">
            <w:pPr>
              <w:pStyle w:val="TableParagraph"/>
              <w:keepNext/>
              <w:keepLines/>
              <w:spacing w:before="20" w:after="20"/>
              <w:ind w:left="98"/>
              <w:rPr>
                <w:rFonts w:cs="Calibri"/>
                <w:sz w:val="18"/>
                <w:szCs w:val="18"/>
              </w:rPr>
            </w:pPr>
            <w:r w:rsidRPr="001B3B09">
              <w:rPr>
                <w:b/>
                <w:spacing w:val="-1"/>
                <w:sz w:val="18"/>
                <w:szCs w:val="18"/>
              </w:rPr>
              <w:t xml:space="preserve">Middletown </w:t>
            </w:r>
            <w:r w:rsidRPr="001B3B09">
              <w:rPr>
                <w:b/>
                <w:sz w:val="18"/>
                <w:szCs w:val="18"/>
              </w:rPr>
              <w:t>4</w:t>
            </w:r>
          </w:p>
        </w:tc>
        <w:tc>
          <w:tcPr>
            <w:tcW w:w="1429" w:type="dxa"/>
            <w:shd w:val="clear" w:color="auto" w:fill="auto"/>
            <w:tcMar>
              <w:top w:w="29" w:type="dxa"/>
              <w:bottom w:w="29" w:type="dxa"/>
            </w:tcMar>
            <w:vAlign w:val="center"/>
          </w:tcPr>
          <w:p w:rsidR="009A2324" w:rsidRPr="001B3B09" w:rsidRDefault="009A2324" w:rsidP="00A753F4">
            <w:pPr>
              <w:pStyle w:val="TableParagraph"/>
              <w:keepNext/>
              <w:keepLines/>
              <w:spacing w:before="20" w:after="20"/>
              <w:ind w:left="98"/>
              <w:jc w:val="center"/>
              <w:rPr>
                <w:rFonts w:cs="Calibri"/>
                <w:sz w:val="18"/>
                <w:szCs w:val="18"/>
              </w:rPr>
            </w:pPr>
            <w:r w:rsidRPr="001B3B09">
              <w:rPr>
                <w:spacing w:val="-1"/>
                <w:sz w:val="18"/>
                <w:szCs w:val="18"/>
              </w:rPr>
              <w:t>CT</w:t>
            </w:r>
          </w:p>
        </w:tc>
        <w:tc>
          <w:tcPr>
            <w:tcW w:w="1429" w:type="dxa"/>
            <w:shd w:val="clear" w:color="auto" w:fill="auto"/>
            <w:tcMar>
              <w:top w:w="29" w:type="dxa"/>
              <w:bottom w:w="29" w:type="dxa"/>
            </w:tcMar>
            <w:vAlign w:val="center"/>
          </w:tcPr>
          <w:p w:rsidR="009A2324" w:rsidRPr="001B3B09" w:rsidRDefault="009A2324" w:rsidP="00A753F4">
            <w:pPr>
              <w:pStyle w:val="TableParagraph"/>
              <w:keepNext/>
              <w:keepLines/>
              <w:spacing w:before="20" w:after="20"/>
              <w:jc w:val="center"/>
              <w:rPr>
                <w:rFonts w:cs="Calibri"/>
                <w:sz w:val="18"/>
                <w:szCs w:val="18"/>
              </w:rPr>
            </w:pPr>
            <w:r w:rsidRPr="001B3B09">
              <w:rPr>
                <w:spacing w:val="-1"/>
                <w:sz w:val="18"/>
                <w:szCs w:val="18"/>
              </w:rPr>
              <w:t>Oil</w:t>
            </w:r>
          </w:p>
        </w:tc>
        <w:tc>
          <w:tcPr>
            <w:tcW w:w="1429" w:type="dxa"/>
            <w:shd w:val="clear" w:color="auto" w:fill="auto"/>
            <w:tcMar>
              <w:top w:w="29" w:type="dxa"/>
              <w:bottom w:w="29" w:type="dxa"/>
              <w:right w:w="360" w:type="dxa"/>
            </w:tcMar>
            <w:vAlign w:val="center"/>
          </w:tcPr>
          <w:p w:rsidR="009A2324" w:rsidRPr="001B3B09" w:rsidRDefault="009A2324" w:rsidP="00A753F4">
            <w:pPr>
              <w:pStyle w:val="TableParagraph"/>
              <w:keepNext/>
              <w:keepLines/>
              <w:spacing w:before="20" w:after="20"/>
              <w:ind w:left="3"/>
              <w:jc w:val="right"/>
              <w:rPr>
                <w:rFonts w:cs="Calibri"/>
                <w:sz w:val="18"/>
                <w:szCs w:val="18"/>
              </w:rPr>
            </w:pPr>
            <w:r>
              <w:rPr>
                <w:color w:val="000000"/>
                <w:sz w:val="18"/>
                <w:szCs w:val="18"/>
              </w:rPr>
              <w:t>400</w:t>
            </w:r>
          </w:p>
        </w:tc>
        <w:tc>
          <w:tcPr>
            <w:tcW w:w="1429" w:type="dxa"/>
            <w:shd w:val="clear" w:color="auto" w:fill="auto"/>
            <w:tcMar>
              <w:top w:w="29" w:type="dxa"/>
              <w:left w:w="115" w:type="dxa"/>
              <w:bottom w:w="29" w:type="dxa"/>
              <w:right w:w="115" w:type="dxa"/>
            </w:tcMar>
            <w:vAlign w:val="center"/>
          </w:tcPr>
          <w:p w:rsidR="009A2324" w:rsidRPr="001B3B09" w:rsidRDefault="009A2324" w:rsidP="00A753F4">
            <w:pPr>
              <w:pStyle w:val="TableParagraph"/>
              <w:keepNext/>
              <w:keepLines/>
              <w:spacing w:before="20" w:after="20"/>
              <w:ind w:left="2"/>
              <w:jc w:val="center"/>
              <w:rPr>
                <w:rFonts w:cs="Calibri"/>
                <w:sz w:val="18"/>
                <w:szCs w:val="18"/>
              </w:rPr>
            </w:pPr>
            <w:r>
              <w:rPr>
                <w:color w:val="000000"/>
                <w:sz w:val="18"/>
                <w:szCs w:val="18"/>
              </w:rPr>
              <w:t>1973</w:t>
            </w:r>
          </w:p>
        </w:tc>
        <w:tc>
          <w:tcPr>
            <w:tcW w:w="1430" w:type="dxa"/>
            <w:shd w:val="clear" w:color="auto" w:fill="auto"/>
            <w:tcMar>
              <w:top w:w="29" w:type="dxa"/>
              <w:bottom w:w="29" w:type="dxa"/>
              <w:right w:w="360" w:type="dxa"/>
            </w:tcMar>
            <w:vAlign w:val="center"/>
          </w:tcPr>
          <w:p w:rsidR="009A2324" w:rsidRPr="001B3B09" w:rsidRDefault="009A2324" w:rsidP="00A753F4">
            <w:pPr>
              <w:pStyle w:val="TableParagraph"/>
              <w:keepNext/>
              <w:keepLines/>
              <w:spacing w:before="20" w:after="20"/>
              <w:ind w:left="479"/>
              <w:jc w:val="right"/>
              <w:rPr>
                <w:rFonts w:cs="Calibri"/>
                <w:sz w:val="18"/>
                <w:szCs w:val="18"/>
              </w:rPr>
            </w:pPr>
            <w:r>
              <w:rPr>
                <w:color w:val="000000"/>
                <w:spacing w:val="-1"/>
                <w:sz w:val="18"/>
                <w:szCs w:val="18"/>
              </w:rPr>
              <w:t>3,011</w:t>
            </w:r>
          </w:p>
        </w:tc>
      </w:tr>
      <w:tr w:rsidR="009A2324" w:rsidRPr="001B3B09" w:rsidTr="00775877">
        <w:trPr>
          <w:trHeight w:hRule="exact" w:val="304"/>
          <w:jc w:val="center"/>
        </w:trPr>
        <w:tc>
          <w:tcPr>
            <w:tcW w:w="2178" w:type="dxa"/>
            <w:shd w:val="clear" w:color="auto" w:fill="auto"/>
            <w:tcMar>
              <w:top w:w="29" w:type="dxa"/>
              <w:left w:w="115" w:type="dxa"/>
              <w:bottom w:w="29" w:type="dxa"/>
            </w:tcMar>
            <w:vAlign w:val="center"/>
          </w:tcPr>
          <w:p w:rsidR="009A2324" w:rsidRPr="001B3B09" w:rsidRDefault="009A2324" w:rsidP="00A753F4">
            <w:pPr>
              <w:pStyle w:val="TableParagraph"/>
              <w:keepNext/>
              <w:keepLines/>
              <w:spacing w:before="20" w:after="20"/>
              <w:ind w:left="98"/>
              <w:rPr>
                <w:rFonts w:cs="Calibri"/>
                <w:sz w:val="18"/>
                <w:szCs w:val="18"/>
              </w:rPr>
            </w:pPr>
            <w:r w:rsidRPr="001B3B09">
              <w:rPr>
                <w:b/>
                <w:spacing w:val="-1"/>
                <w:sz w:val="18"/>
                <w:szCs w:val="18"/>
              </w:rPr>
              <w:t>Newington</w:t>
            </w:r>
            <w:r w:rsidRPr="001B3B09">
              <w:rPr>
                <w:b/>
                <w:spacing w:val="-3"/>
                <w:sz w:val="18"/>
                <w:szCs w:val="18"/>
              </w:rPr>
              <w:t xml:space="preserve"> </w:t>
            </w:r>
            <w:r w:rsidRPr="001B3B09">
              <w:rPr>
                <w:b/>
                <w:sz w:val="18"/>
                <w:szCs w:val="18"/>
              </w:rPr>
              <w:t>1</w:t>
            </w:r>
          </w:p>
        </w:tc>
        <w:tc>
          <w:tcPr>
            <w:tcW w:w="1429" w:type="dxa"/>
            <w:shd w:val="clear" w:color="auto" w:fill="auto"/>
            <w:tcMar>
              <w:top w:w="29" w:type="dxa"/>
              <w:bottom w:w="29" w:type="dxa"/>
            </w:tcMar>
            <w:vAlign w:val="center"/>
          </w:tcPr>
          <w:p w:rsidR="009A2324" w:rsidRPr="001B3B09" w:rsidRDefault="009A2324" w:rsidP="00A753F4">
            <w:pPr>
              <w:pStyle w:val="TableParagraph"/>
              <w:keepNext/>
              <w:keepLines/>
              <w:spacing w:before="20" w:after="20"/>
              <w:ind w:left="98"/>
              <w:jc w:val="center"/>
              <w:rPr>
                <w:rFonts w:cs="Calibri"/>
                <w:sz w:val="18"/>
                <w:szCs w:val="18"/>
              </w:rPr>
            </w:pPr>
            <w:r w:rsidRPr="001B3B09">
              <w:rPr>
                <w:spacing w:val="-1"/>
                <w:sz w:val="18"/>
                <w:szCs w:val="18"/>
              </w:rPr>
              <w:t>NH</w:t>
            </w:r>
          </w:p>
        </w:tc>
        <w:tc>
          <w:tcPr>
            <w:tcW w:w="1429" w:type="dxa"/>
            <w:shd w:val="clear" w:color="auto" w:fill="auto"/>
            <w:tcMar>
              <w:top w:w="29" w:type="dxa"/>
              <w:bottom w:w="29" w:type="dxa"/>
            </w:tcMar>
            <w:vAlign w:val="center"/>
          </w:tcPr>
          <w:p w:rsidR="009A2324" w:rsidRPr="001B3B09" w:rsidRDefault="009A2324" w:rsidP="00A753F4">
            <w:pPr>
              <w:pStyle w:val="TableParagraph"/>
              <w:keepNext/>
              <w:keepLines/>
              <w:spacing w:before="20" w:after="20"/>
              <w:jc w:val="center"/>
              <w:rPr>
                <w:rFonts w:cs="Calibri"/>
                <w:sz w:val="18"/>
                <w:szCs w:val="18"/>
              </w:rPr>
            </w:pPr>
            <w:r w:rsidRPr="001B3B09">
              <w:rPr>
                <w:spacing w:val="-1"/>
                <w:sz w:val="18"/>
                <w:szCs w:val="18"/>
              </w:rPr>
              <w:t>Oil</w:t>
            </w:r>
          </w:p>
        </w:tc>
        <w:tc>
          <w:tcPr>
            <w:tcW w:w="1429" w:type="dxa"/>
            <w:shd w:val="clear" w:color="auto" w:fill="auto"/>
            <w:tcMar>
              <w:top w:w="29" w:type="dxa"/>
              <w:bottom w:w="29" w:type="dxa"/>
              <w:right w:w="360" w:type="dxa"/>
            </w:tcMar>
            <w:vAlign w:val="center"/>
          </w:tcPr>
          <w:p w:rsidR="009A2324" w:rsidRPr="001B3B09" w:rsidRDefault="009A2324" w:rsidP="00A753F4">
            <w:pPr>
              <w:pStyle w:val="TableParagraph"/>
              <w:keepNext/>
              <w:keepLines/>
              <w:spacing w:before="20" w:after="20"/>
              <w:ind w:left="2"/>
              <w:jc w:val="right"/>
              <w:rPr>
                <w:rFonts w:cs="Calibri"/>
                <w:sz w:val="18"/>
                <w:szCs w:val="18"/>
              </w:rPr>
            </w:pPr>
            <w:r>
              <w:rPr>
                <w:color w:val="000000"/>
                <w:spacing w:val="-1"/>
                <w:sz w:val="18"/>
                <w:szCs w:val="18"/>
              </w:rPr>
              <w:t>400</w:t>
            </w:r>
          </w:p>
        </w:tc>
        <w:tc>
          <w:tcPr>
            <w:tcW w:w="1429" w:type="dxa"/>
            <w:shd w:val="clear" w:color="auto" w:fill="auto"/>
            <w:tcMar>
              <w:top w:w="29" w:type="dxa"/>
              <w:left w:w="115" w:type="dxa"/>
              <w:bottom w:w="29" w:type="dxa"/>
              <w:right w:w="115" w:type="dxa"/>
            </w:tcMar>
            <w:vAlign w:val="center"/>
          </w:tcPr>
          <w:p w:rsidR="009A2324" w:rsidRPr="001B3B09" w:rsidRDefault="009A2324" w:rsidP="00A753F4">
            <w:pPr>
              <w:pStyle w:val="TableParagraph"/>
              <w:keepNext/>
              <w:keepLines/>
              <w:spacing w:before="20" w:after="20"/>
              <w:ind w:left="2"/>
              <w:jc w:val="center"/>
              <w:rPr>
                <w:rFonts w:cs="Calibri"/>
                <w:sz w:val="18"/>
                <w:szCs w:val="18"/>
              </w:rPr>
            </w:pPr>
            <w:r>
              <w:rPr>
                <w:color w:val="000000"/>
                <w:sz w:val="18"/>
                <w:szCs w:val="18"/>
              </w:rPr>
              <w:t>1974</w:t>
            </w:r>
          </w:p>
        </w:tc>
        <w:tc>
          <w:tcPr>
            <w:tcW w:w="1430" w:type="dxa"/>
            <w:shd w:val="clear" w:color="auto" w:fill="auto"/>
            <w:tcMar>
              <w:top w:w="29" w:type="dxa"/>
              <w:bottom w:w="29" w:type="dxa"/>
              <w:right w:w="360" w:type="dxa"/>
            </w:tcMar>
            <w:vAlign w:val="center"/>
          </w:tcPr>
          <w:p w:rsidR="009A2324" w:rsidRPr="001B3B09" w:rsidRDefault="009A2324" w:rsidP="00A753F4">
            <w:pPr>
              <w:pStyle w:val="TableParagraph"/>
              <w:keepNext/>
              <w:keepLines/>
              <w:spacing w:before="20" w:after="20"/>
              <w:ind w:left="1"/>
              <w:jc w:val="right"/>
              <w:rPr>
                <w:rFonts w:cs="Calibri"/>
                <w:sz w:val="18"/>
                <w:szCs w:val="18"/>
              </w:rPr>
            </w:pPr>
            <w:r>
              <w:rPr>
                <w:color w:val="000000"/>
                <w:sz w:val="18"/>
                <w:szCs w:val="18"/>
              </w:rPr>
              <w:t>3,411</w:t>
            </w:r>
          </w:p>
        </w:tc>
      </w:tr>
      <w:tr w:rsidR="009A2324" w:rsidRPr="001B3B09" w:rsidTr="00775877">
        <w:trPr>
          <w:trHeight w:hRule="exact" w:val="304"/>
          <w:jc w:val="center"/>
        </w:trPr>
        <w:tc>
          <w:tcPr>
            <w:tcW w:w="2178" w:type="dxa"/>
            <w:shd w:val="clear" w:color="auto" w:fill="auto"/>
            <w:tcMar>
              <w:top w:w="29" w:type="dxa"/>
              <w:left w:w="115" w:type="dxa"/>
              <w:bottom w:w="29" w:type="dxa"/>
            </w:tcMar>
            <w:vAlign w:val="center"/>
          </w:tcPr>
          <w:p w:rsidR="009A2324" w:rsidRPr="001B3B09" w:rsidRDefault="009A2324" w:rsidP="00A753F4">
            <w:pPr>
              <w:pStyle w:val="TableParagraph"/>
              <w:keepNext/>
              <w:keepLines/>
              <w:spacing w:before="20" w:after="20"/>
              <w:ind w:left="98"/>
              <w:rPr>
                <w:rFonts w:cs="Calibri"/>
                <w:sz w:val="18"/>
                <w:szCs w:val="18"/>
              </w:rPr>
            </w:pPr>
            <w:r w:rsidRPr="001B3B09">
              <w:rPr>
                <w:b/>
                <w:spacing w:val="-1"/>
                <w:sz w:val="18"/>
                <w:szCs w:val="18"/>
              </w:rPr>
              <w:t xml:space="preserve">Mystic </w:t>
            </w:r>
            <w:r w:rsidRPr="001B3B09">
              <w:rPr>
                <w:b/>
                <w:sz w:val="18"/>
                <w:szCs w:val="18"/>
              </w:rPr>
              <w:t>7</w:t>
            </w:r>
          </w:p>
        </w:tc>
        <w:tc>
          <w:tcPr>
            <w:tcW w:w="1429" w:type="dxa"/>
            <w:shd w:val="clear" w:color="auto" w:fill="auto"/>
            <w:tcMar>
              <w:top w:w="29" w:type="dxa"/>
              <w:bottom w:w="29" w:type="dxa"/>
            </w:tcMar>
            <w:vAlign w:val="center"/>
          </w:tcPr>
          <w:p w:rsidR="009A2324" w:rsidRPr="001B3B09" w:rsidRDefault="009A2324" w:rsidP="00A753F4">
            <w:pPr>
              <w:pStyle w:val="TableParagraph"/>
              <w:keepNext/>
              <w:keepLines/>
              <w:spacing w:before="20" w:after="20"/>
              <w:ind w:left="98"/>
              <w:jc w:val="center"/>
              <w:rPr>
                <w:rFonts w:cs="Calibri"/>
                <w:sz w:val="18"/>
                <w:szCs w:val="18"/>
              </w:rPr>
            </w:pPr>
            <w:r w:rsidRPr="001B3B09">
              <w:rPr>
                <w:spacing w:val="-1"/>
                <w:sz w:val="18"/>
                <w:szCs w:val="18"/>
              </w:rPr>
              <w:t>BOSTON</w:t>
            </w:r>
          </w:p>
        </w:tc>
        <w:tc>
          <w:tcPr>
            <w:tcW w:w="1429" w:type="dxa"/>
            <w:shd w:val="clear" w:color="auto" w:fill="auto"/>
            <w:tcMar>
              <w:top w:w="29" w:type="dxa"/>
              <w:bottom w:w="29" w:type="dxa"/>
            </w:tcMar>
            <w:vAlign w:val="center"/>
          </w:tcPr>
          <w:p w:rsidR="009A2324" w:rsidRPr="001B3B09" w:rsidRDefault="009A2324" w:rsidP="00A753F4">
            <w:pPr>
              <w:pStyle w:val="TableParagraph"/>
              <w:keepNext/>
              <w:keepLines/>
              <w:spacing w:before="20" w:after="20"/>
              <w:ind w:left="2"/>
              <w:jc w:val="center"/>
              <w:rPr>
                <w:rFonts w:cs="Calibri"/>
                <w:sz w:val="18"/>
                <w:szCs w:val="18"/>
              </w:rPr>
            </w:pPr>
            <w:r w:rsidRPr="001B3B09">
              <w:rPr>
                <w:spacing w:val="-1"/>
                <w:sz w:val="18"/>
                <w:szCs w:val="18"/>
              </w:rPr>
              <w:t>Dual</w:t>
            </w:r>
          </w:p>
        </w:tc>
        <w:tc>
          <w:tcPr>
            <w:tcW w:w="1429" w:type="dxa"/>
            <w:shd w:val="clear" w:color="auto" w:fill="auto"/>
            <w:tcMar>
              <w:top w:w="29" w:type="dxa"/>
              <w:bottom w:w="29" w:type="dxa"/>
              <w:right w:w="360" w:type="dxa"/>
            </w:tcMar>
            <w:vAlign w:val="center"/>
          </w:tcPr>
          <w:p w:rsidR="009A2324" w:rsidRPr="001B3B09" w:rsidRDefault="009A2324" w:rsidP="00A753F4">
            <w:pPr>
              <w:pStyle w:val="TableParagraph"/>
              <w:keepNext/>
              <w:keepLines/>
              <w:spacing w:before="20" w:after="20"/>
              <w:ind w:left="3"/>
              <w:jc w:val="right"/>
              <w:rPr>
                <w:rFonts w:cs="Calibri"/>
                <w:sz w:val="18"/>
                <w:szCs w:val="18"/>
              </w:rPr>
            </w:pPr>
            <w:r>
              <w:rPr>
                <w:color w:val="000000"/>
                <w:sz w:val="18"/>
                <w:szCs w:val="18"/>
              </w:rPr>
              <w:t>571</w:t>
            </w:r>
          </w:p>
        </w:tc>
        <w:tc>
          <w:tcPr>
            <w:tcW w:w="1429" w:type="dxa"/>
            <w:shd w:val="clear" w:color="auto" w:fill="auto"/>
            <w:tcMar>
              <w:top w:w="29" w:type="dxa"/>
              <w:left w:w="115" w:type="dxa"/>
              <w:bottom w:w="29" w:type="dxa"/>
              <w:right w:w="115" w:type="dxa"/>
            </w:tcMar>
            <w:vAlign w:val="center"/>
          </w:tcPr>
          <w:p w:rsidR="009A2324" w:rsidRPr="001B3B09" w:rsidRDefault="009A2324" w:rsidP="00A753F4">
            <w:pPr>
              <w:pStyle w:val="TableParagraph"/>
              <w:keepNext/>
              <w:keepLines/>
              <w:spacing w:before="20" w:after="20"/>
              <w:ind w:left="2"/>
              <w:jc w:val="center"/>
              <w:rPr>
                <w:rFonts w:cs="Calibri"/>
                <w:sz w:val="18"/>
                <w:szCs w:val="18"/>
              </w:rPr>
            </w:pPr>
            <w:r>
              <w:rPr>
                <w:color w:val="000000"/>
                <w:sz w:val="18"/>
                <w:szCs w:val="18"/>
              </w:rPr>
              <w:t>1975</w:t>
            </w:r>
          </w:p>
        </w:tc>
        <w:tc>
          <w:tcPr>
            <w:tcW w:w="1430" w:type="dxa"/>
            <w:shd w:val="clear" w:color="auto" w:fill="auto"/>
            <w:tcMar>
              <w:top w:w="29" w:type="dxa"/>
              <w:bottom w:w="29" w:type="dxa"/>
              <w:right w:w="360" w:type="dxa"/>
            </w:tcMar>
            <w:vAlign w:val="center"/>
          </w:tcPr>
          <w:p w:rsidR="009A2324" w:rsidRPr="001B3B09" w:rsidRDefault="009A2324" w:rsidP="00A753F4">
            <w:pPr>
              <w:pStyle w:val="TableParagraph"/>
              <w:keepNext/>
              <w:keepLines/>
              <w:spacing w:before="20" w:after="20"/>
              <w:ind w:left="479"/>
              <w:jc w:val="right"/>
              <w:rPr>
                <w:rFonts w:cs="Calibri"/>
                <w:sz w:val="18"/>
                <w:szCs w:val="18"/>
              </w:rPr>
            </w:pPr>
            <w:r>
              <w:rPr>
                <w:color w:val="000000"/>
                <w:sz w:val="18"/>
                <w:szCs w:val="18"/>
              </w:rPr>
              <w:t>3,982</w:t>
            </w:r>
          </w:p>
        </w:tc>
      </w:tr>
      <w:tr w:rsidR="009A2324" w:rsidRPr="001B3B09" w:rsidTr="00775877">
        <w:trPr>
          <w:trHeight w:hRule="exact" w:val="304"/>
          <w:jc w:val="center"/>
        </w:trPr>
        <w:tc>
          <w:tcPr>
            <w:tcW w:w="2178" w:type="dxa"/>
            <w:shd w:val="clear" w:color="auto" w:fill="auto"/>
            <w:tcMar>
              <w:top w:w="29" w:type="dxa"/>
              <w:left w:w="115" w:type="dxa"/>
              <w:bottom w:w="29" w:type="dxa"/>
            </w:tcMar>
            <w:vAlign w:val="center"/>
          </w:tcPr>
          <w:p w:rsidR="009A2324" w:rsidRPr="001B3B09" w:rsidRDefault="009A2324" w:rsidP="00A753F4">
            <w:pPr>
              <w:pStyle w:val="TableParagraph"/>
              <w:keepNext/>
              <w:keepLines/>
              <w:spacing w:before="20" w:after="20"/>
              <w:ind w:left="98"/>
              <w:rPr>
                <w:rFonts w:cs="Calibri"/>
                <w:sz w:val="18"/>
                <w:szCs w:val="18"/>
              </w:rPr>
            </w:pPr>
            <w:r w:rsidRPr="001B3B09">
              <w:rPr>
                <w:b/>
                <w:spacing w:val="-1"/>
                <w:sz w:val="18"/>
                <w:szCs w:val="18"/>
              </w:rPr>
              <w:t>New Haven</w:t>
            </w:r>
            <w:r w:rsidRPr="001B3B09">
              <w:rPr>
                <w:b/>
                <w:spacing w:val="-3"/>
                <w:sz w:val="18"/>
                <w:szCs w:val="18"/>
              </w:rPr>
              <w:t xml:space="preserve"> </w:t>
            </w:r>
            <w:r w:rsidRPr="001B3B09">
              <w:rPr>
                <w:b/>
                <w:spacing w:val="-1"/>
                <w:sz w:val="18"/>
                <w:szCs w:val="18"/>
              </w:rPr>
              <w:t>Harbor</w:t>
            </w:r>
            <w:r w:rsidRPr="001B3B09">
              <w:rPr>
                <w:b/>
                <w:spacing w:val="-2"/>
                <w:sz w:val="18"/>
                <w:szCs w:val="18"/>
              </w:rPr>
              <w:t xml:space="preserve"> </w:t>
            </w:r>
            <w:r w:rsidRPr="001B3B09">
              <w:rPr>
                <w:b/>
                <w:sz w:val="18"/>
                <w:szCs w:val="18"/>
              </w:rPr>
              <w:t>1</w:t>
            </w:r>
          </w:p>
        </w:tc>
        <w:tc>
          <w:tcPr>
            <w:tcW w:w="1429" w:type="dxa"/>
            <w:shd w:val="clear" w:color="auto" w:fill="auto"/>
            <w:tcMar>
              <w:top w:w="29" w:type="dxa"/>
              <w:bottom w:w="29" w:type="dxa"/>
            </w:tcMar>
            <w:vAlign w:val="center"/>
          </w:tcPr>
          <w:p w:rsidR="009A2324" w:rsidRPr="001B3B09" w:rsidRDefault="009A2324" w:rsidP="00A753F4">
            <w:pPr>
              <w:pStyle w:val="TableParagraph"/>
              <w:keepNext/>
              <w:keepLines/>
              <w:spacing w:before="20" w:after="20"/>
              <w:ind w:left="98"/>
              <w:jc w:val="center"/>
              <w:rPr>
                <w:rFonts w:cs="Calibri"/>
                <w:sz w:val="18"/>
                <w:szCs w:val="18"/>
              </w:rPr>
            </w:pPr>
            <w:r w:rsidRPr="001B3B09">
              <w:rPr>
                <w:spacing w:val="-1"/>
                <w:sz w:val="18"/>
                <w:szCs w:val="18"/>
              </w:rPr>
              <w:t>CT</w:t>
            </w:r>
          </w:p>
        </w:tc>
        <w:tc>
          <w:tcPr>
            <w:tcW w:w="1429" w:type="dxa"/>
            <w:shd w:val="clear" w:color="auto" w:fill="auto"/>
            <w:tcMar>
              <w:top w:w="29" w:type="dxa"/>
              <w:bottom w:w="29" w:type="dxa"/>
            </w:tcMar>
            <w:vAlign w:val="center"/>
          </w:tcPr>
          <w:p w:rsidR="009A2324" w:rsidRPr="001B3B09" w:rsidRDefault="009A2324" w:rsidP="00A753F4">
            <w:pPr>
              <w:pStyle w:val="TableParagraph"/>
              <w:keepNext/>
              <w:keepLines/>
              <w:spacing w:before="20" w:after="20"/>
              <w:jc w:val="center"/>
              <w:rPr>
                <w:rFonts w:cs="Calibri"/>
                <w:sz w:val="18"/>
                <w:szCs w:val="18"/>
              </w:rPr>
            </w:pPr>
            <w:r w:rsidRPr="001B3B09">
              <w:rPr>
                <w:spacing w:val="-1"/>
                <w:sz w:val="18"/>
                <w:szCs w:val="18"/>
              </w:rPr>
              <w:t>Oil</w:t>
            </w:r>
          </w:p>
        </w:tc>
        <w:tc>
          <w:tcPr>
            <w:tcW w:w="1429" w:type="dxa"/>
            <w:shd w:val="clear" w:color="auto" w:fill="auto"/>
            <w:tcMar>
              <w:top w:w="29" w:type="dxa"/>
              <w:bottom w:w="29" w:type="dxa"/>
              <w:right w:w="360" w:type="dxa"/>
            </w:tcMar>
            <w:vAlign w:val="center"/>
          </w:tcPr>
          <w:p w:rsidR="009A2324" w:rsidRPr="001B3B09" w:rsidRDefault="009A2324" w:rsidP="00A753F4">
            <w:pPr>
              <w:pStyle w:val="TableParagraph"/>
              <w:keepNext/>
              <w:keepLines/>
              <w:spacing w:before="20" w:after="20"/>
              <w:ind w:left="2"/>
              <w:jc w:val="right"/>
              <w:rPr>
                <w:rFonts w:cs="Calibri"/>
                <w:sz w:val="18"/>
                <w:szCs w:val="18"/>
              </w:rPr>
            </w:pPr>
            <w:r>
              <w:rPr>
                <w:color w:val="000000"/>
                <w:spacing w:val="-1"/>
                <w:sz w:val="18"/>
                <w:szCs w:val="18"/>
              </w:rPr>
              <w:t>448</w:t>
            </w:r>
          </w:p>
        </w:tc>
        <w:tc>
          <w:tcPr>
            <w:tcW w:w="1429" w:type="dxa"/>
            <w:shd w:val="clear" w:color="auto" w:fill="auto"/>
            <w:tcMar>
              <w:top w:w="29" w:type="dxa"/>
              <w:left w:w="115" w:type="dxa"/>
              <w:bottom w:w="29" w:type="dxa"/>
              <w:right w:w="115" w:type="dxa"/>
            </w:tcMar>
            <w:vAlign w:val="center"/>
          </w:tcPr>
          <w:p w:rsidR="009A2324" w:rsidRPr="001B3B09" w:rsidRDefault="009A2324" w:rsidP="00A753F4">
            <w:pPr>
              <w:pStyle w:val="TableParagraph"/>
              <w:keepNext/>
              <w:keepLines/>
              <w:spacing w:before="20" w:after="20"/>
              <w:ind w:left="2"/>
              <w:jc w:val="center"/>
              <w:rPr>
                <w:rFonts w:cs="Calibri"/>
                <w:sz w:val="18"/>
                <w:szCs w:val="18"/>
              </w:rPr>
            </w:pPr>
            <w:r>
              <w:rPr>
                <w:color w:val="000000"/>
                <w:sz w:val="18"/>
                <w:szCs w:val="18"/>
              </w:rPr>
              <w:t>1975</w:t>
            </w:r>
          </w:p>
        </w:tc>
        <w:tc>
          <w:tcPr>
            <w:tcW w:w="1430" w:type="dxa"/>
            <w:shd w:val="clear" w:color="auto" w:fill="auto"/>
            <w:tcMar>
              <w:top w:w="29" w:type="dxa"/>
              <w:bottom w:w="29" w:type="dxa"/>
              <w:right w:w="360" w:type="dxa"/>
            </w:tcMar>
            <w:vAlign w:val="center"/>
          </w:tcPr>
          <w:p w:rsidR="009A2324" w:rsidRPr="001B3B09" w:rsidRDefault="009A2324" w:rsidP="00A753F4">
            <w:pPr>
              <w:pStyle w:val="TableParagraph"/>
              <w:keepNext/>
              <w:keepLines/>
              <w:spacing w:before="20" w:after="20"/>
              <w:ind w:left="479"/>
              <w:jc w:val="right"/>
              <w:rPr>
                <w:rFonts w:cs="Calibri"/>
                <w:sz w:val="18"/>
                <w:szCs w:val="18"/>
              </w:rPr>
            </w:pPr>
            <w:r>
              <w:rPr>
                <w:color w:val="000000"/>
                <w:spacing w:val="-1"/>
                <w:sz w:val="18"/>
                <w:szCs w:val="18"/>
              </w:rPr>
              <w:t>4,430</w:t>
            </w:r>
          </w:p>
        </w:tc>
      </w:tr>
      <w:tr w:rsidR="009A2324" w:rsidRPr="001B3B09" w:rsidTr="00775877">
        <w:trPr>
          <w:trHeight w:hRule="exact" w:val="304"/>
          <w:jc w:val="center"/>
        </w:trPr>
        <w:tc>
          <w:tcPr>
            <w:tcW w:w="2178" w:type="dxa"/>
            <w:shd w:val="clear" w:color="auto" w:fill="auto"/>
            <w:tcMar>
              <w:top w:w="29" w:type="dxa"/>
              <w:left w:w="115" w:type="dxa"/>
              <w:bottom w:w="29" w:type="dxa"/>
            </w:tcMar>
            <w:vAlign w:val="center"/>
          </w:tcPr>
          <w:p w:rsidR="009A2324" w:rsidRPr="001B3B09" w:rsidRDefault="009A2324" w:rsidP="00A753F4">
            <w:pPr>
              <w:pStyle w:val="TableParagraph"/>
              <w:keepNext/>
              <w:keepLines/>
              <w:spacing w:before="20" w:after="20"/>
              <w:ind w:left="98"/>
              <w:rPr>
                <w:rFonts w:cs="Calibri"/>
                <w:sz w:val="18"/>
                <w:szCs w:val="18"/>
              </w:rPr>
            </w:pPr>
            <w:r w:rsidRPr="001B3B09">
              <w:rPr>
                <w:b/>
                <w:spacing w:val="-1"/>
                <w:sz w:val="18"/>
                <w:szCs w:val="18"/>
              </w:rPr>
              <w:t>Canal</w:t>
            </w:r>
            <w:r w:rsidRPr="001B3B09">
              <w:rPr>
                <w:b/>
                <w:spacing w:val="-2"/>
                <w:sz w:val="18"/>
                <w:szCs w:val="18"/>
              </w:rPr>
              <w:t xml:space="preserve"> </w:t>
            </w:r>
            <w:r w:rsidRPr="001B3B09">
              <w:rPr>
                <w:b/>
                <w:sz w:val="18"/>
                <w:szCs w:val="18"/>
              </w:rPr>
              <w:t>2</w:t>
            </w:r>
          </w:p>
        </w:tc>
        <w:tc>
          <w:tcPr>
            <w:tcW w:w="1429" w:type="dxa"/>
            <w:shd w:val="clear" w:color="auto" w:fill="auto"/>
            <w:tcMar>
              <w:top w:w="29" w:type="dxa"/>
              <w:bottom w:w="29" w:type="dxa"/>
            </w:tcMar>
            <w:vAlign w:val="center"/>
          </w:tcPr>
          <w:p w:rsidR="009A2324" w:rsidRPr="001B3B09" w:rsidRDefault="009A2324" w:rsidP="00A753F4">
            <w:pPr>
              <w:pStyle w:val="TableParagraph"/>
              <w:keepNext/>
              <w:keepLines/>
              <w:spacing w:before="20" w:after="20"/>
              <w:ind w:left="98"/>
              <w:jc w:val="center"/>
              <w:rPr>
                <w:rFonts w:cs="Calibri"/>
                <w:sz w:val="18"/>
                <w:szCs w:val="18"/>
              </w:rPr>
            </w:pPr>
            <w:r w:rsidRPr="001B3B09">
              <w:rPr>
                <w:spacing w:val="-1"/>
                <w:sz w:val="18"/>
                <w:szCs w:val="18"/>
              </w:rPr>
              <w:t>SEMA</w:t>
            </w:r>
          </w:p>
        </w:tc>
        <w:tc>
          <w:tcPr>
            <w:tcW w:w="1429" w:type="dxa"/>
            <w:shd w:val="clear" w:color="auto" w:fill="auto"/>
            <w:tcMar>
              <w:top w:w="29" w:type="dxa"/>
              <w:bottom w:w="29" w:type="dxa"/>
            </w:tcMar>
            <w:vAlign w:val="center"/>
          </w:tcPr>
          <w:p w:rsidR="009A2324" w:rsidRPr="001B3B09" w:rsidRDefault="009A2324" w:rsidP="00A753F4">
            <w:pPr>
              <w:pStyle w:val="TableParagraph"/>
              <w:keepNext/>
              <w:keepLines/>
              <w:spacing w:before="20" w:after="20"/>
              <w:jc w:val="center"/>
              <w:rPr>
                <w:rFonts w:cs="Calibri"/>
                <w:sz w:val="18"/>
                <w:szCs w:val="18"/>
              </w:rPr>
            </w:pPr>
            <w:r w:rsidRPr="001B3B09">
              <w:rPr>
                <w:spacing w:val="-1"/>
                <w:sz w:val="18"/>
                <w:szCs w:val="18"/>
              </w:rPr>
              <w:t>Oil</w:t>
            </w:r>
          </w:p>
        </w:tc>
        <w:tc>
          <w:tcPr>
            <w:tcW w:w="1429" w:type="dxa"/>
            <w:shd w:val="clear" w:color="auto" w:fill="auto"/>
            <w:tcMar>
              <w:top w:w="29" w:type="dxa"/>
              <w:bottom w:w="29" w:type="dxa"/>
              <w:right w:w="360" w:type="dxa"/>
            </w:tcMar>
            <w:vAlign w:val="center"/>
          </w:tcPr>
          <w:p w:rsidR="009A2324" w:rsidRPr="001B3B09" w:rsidRDefault="009A2324" w:rsidP="00A753F4">
            <w:pPr>
              <w:pStyle w:val="TableParagraph"/>
              <w:keepNext/>
              <w:keepLines/>
              <w:spacing w:before="20" w:after="20"/>
              <w:ind w:left="2"/>
              <w:jc w:val="right"/>
              <w:rPr>
                <w:rFonts w:cs="Calibri"/>
                <w:sz w:val="18"/>
                <w:szCs w:val="18"/>
              </w:rPr>
            </w:pPr>
            <w:r>
              <w:rPr>
                <w:color w:val="000000"/>
                <w:spacing w:val="-1"/>
                <w:sz w:val="18"/>
                <w:szCs w:val="18"/>
              </w:rPr>
              <w:t>545</w:t>
            </w:r>
          </w:p>
        </w:tc>
        <w:tc>
          <w:tcPr>
            <w:tcW w:w="1429" w:type="dxa"/>
            <w:shd w:val="clear" w:color="auto" w:fill="auto"/>
            <w:tcMar>
              <w:top w:w="29" w:type="dxa"/>
              <w:left w:w="115" w:type="dxa"/>
              <w:bottom w:w="29" w:type="dxa"/>
              <w:right w:w="115" w:type="dxa"/>
            </w:tcMar>
            <w:vAlign w:val="center"/>
          </w:tcPr>
          <w:p w:rsidR="009A2324" w:rsidRPr="001B3B09" w:rsidRDefault="009A2324" w:rsidP="00A753F4">
            <w:pPr>
              <w:pStyle w:val="TableParagraph"/>
              <w:keepNext/>
              <w:keepLines/>
              <w:spacing w:before="20" w:after="20"/>
              <w:ind w:left="2"/>
              <w:jc w:val="center"/>
              <w:rPr>
                <w:rFonts w:cs="Calibri"/>
                <w:sz w:val="18"/>
                <w:szCs w:val="18"/>
              </w:rPr>
            </w:pPr>
            <w:r>
              <w:rPr>
                <w:color w:val="000000"/>
                <w:sz w:val="18"/>
                <w:szCs w:val="18"/>
              </w:rPr>
              <w:t>1976</w:t>
            </w:r>
          </w:p>
        </w:tc>
        <w:tc>
          <w:tcPr>
            <w:tcW w:w="1430" w:type="dxa"/>
            <w:shd w:val="clear" w:color="auto" w:fill="auto"/>
            <w:tcMar>
              <w:top w:w="29" w:type="dxa"/>
              <w:bottom w:w="29" w:type="dxa"/>
              <w:right w:w="360" w:type="dxa"/>
            </w:tcMar>
            <w:vAlign w:val="center"/>
          </w:tcPr>
          <w:p w:rsidR="009A2324" w:rsidRPr="001B3B09" w:rsidRDefault="009A2324" w:rsidP="00A753F4">
            <w:pPr>
              <w:pStyle w:val="TableParagraph"/>
              <w:keepNext/>
              <w:keepLines/>
              <w:spacing w:before="20" w:after="20"/>
              <w:ind w:left="479"/>
              <w:jc w:val="right"/>
              <w:rPr>
                <w:rFonts w:cs="Calibri"/>
                <w:sz w:val="18"/>
                <w:szCs w:val="18"/>
              </w:rPr>
            </w:pPr>
            <w:r>
              <w:rPr>
                <w:color w:val="000000"/>
                <w:spacing w:val="-1"/>
                <w:sz w:val="18"/>
                <w:szCs w:val="18"/>
              </w:rPr>
              <w:t>4,975</w:t>
            </w:r>
          </w:p>
        </w:tc>
      </w:tr>
      <w:tr w:rsidR="009A2324" w:rsidRPr="001B3B09" w:rsidTr="00775877">
        <w:trPr>
          <w:trHeight w:hRule="exact" w:val="304"/>
          <w:jc w:val="center"/>
        </w:trPr>
        <w:tc>
          <w:tcPr>
            <w:tcW w:w="2178" w:type="dxa"/>
            <w:shd w:val="clear" w:color="auto" w:fill="auto"/>
            <w:tcMar>
              <w:top w:w="29" w:type="dxa"/>
              <w:left w:w="115" w:type="dxa"/>
              <w:bottom w:w="29" w:type="dxa"/>
            </w:tcMar>
            <w:vAlign w:val="center"/>
          </w:tcPr>
          <w:p w:rsidR="009A2324" w:rsidRPr="001B3B09" w:rsidRDefault="009A2324" w:rsidP="00A753F4">
            <w:pPr>
              <w:pStyle w:val="TableParagraph"/>
              <w:keepNext/>
              <w:keepLines/>
              <w:spacing w:before="20" w:after="20"/>
              <w:ind w:left="98"/>
              <w:rPr>
                <w:rFonts w:cs="Calibri"/>
                <w:sz w:val="18"/>
                <w:szCs w:val="18"/>
              </w:rPr>
            </w:pPr>
            <w:r w:rsidRPr="001B3B09">
              <w:rPr>
                <w:b/>
                <w:spacing w:val="-1"/>
                <w:sz w:val="18"/>
                <w:szCs w:val="18"/>
              </w:rPr>
              <w:t>Yarmouth</w:t>
            </w:r>
            <w:r w:rsidRPr="001B3B09">
              <w:rPr>
                <w:b/>
                <w:spacing w:val="-3"/>
                <w:sz w:val="18"/>
                <w:szCs w:val="18"/>
              </w:rPr>
              <w:t xml:space="preserve"> </w:t>
            </w:r>
            <w:r w:rsidRPr="001B3B09">
              <w:rPr>
                <w:b/>
                <w:sz w:val="18"/>
                <w:szCs w:val="18"/>
              </w:rPr>
              <w:t>4</w:t>
            </w:r>
          </w:p>
        </w:tc>
        <w:tc>
          <w:tcPr>
            <w:tcW w:w="1429" w:type="dxa"/>
            <w:shd w:val="clear" w:color="auto" w:fill="auto"/>
            <w:tcMar>
              <w:top w:w="29" w:type="dxa"/>
              <w:bottom w:w="29" w:type="dxa"/>
            </w:tcMar>
            <w:vAlign w:val="center"/>
          </w:tcPr>
          <w:p w:rsidR="009A2324" w:rsidRPr="001B3B09" w:rsidRDefault="009A2324" w:rsidP="00A753F4">
            <w:pPr>
              <w:pStyle w:val="TableParagraph"/>
              <w:keepNext/>
              <w:keepLines/>
              <w:spacing w:before="20" w:after="20"/>
              <w:ind w:left="98"/>
              <w:jc w:val="center"/>
              <w:rPr>
                <w:rFonts w:cs="Calibri"/>
                <w:sz w:val="18"/>
                <w:szCs w:val="18"/>
              </w:rPr>
            </w:pPr>
            <w:r w:rsidRPr="001B3B09">
              <w:rPr>
                <w:spacing w:val="-1"/>
                <w:sz w:val="18"/>
                <w:szCs w:val="18"/>
              </w:rPr>
              <w:t>SME</w:t>
            </w:r>
          </w:p>
        </w:tc>
        <w:tc>
          <w:tcPr>
            <w:tcW w:w="1429" w:type="dxa"/>
            <w:shd w:val="clear" w:color="auto" w:fill="auto"/>
            <w:tcMar>
              <w:top w:w="29" w:type="dxa"/>
              <w:bottom w:w="29" w:type="dxa"/>
            </w:tcMar>
            <w:vAlign w:val="center"/>
          </w:tcPr>
          <w:p w:rsidR="009A2324" w:rsidRPr="001B3B09" w:rsidRDefault="009A2324" w:rsidP="00A753F4">
            <w:pPr>
              <w:pStyle w:val="TableParagraph"/>
              <w:keepNext/>
              <w:keepLines/>
              <w:spacing w:before="20" w:after="20"/>
              <w:jc w:val="center"/>
              <w:rPr>
                <w:rFonts w:cs="Calibri"/>
                <w:sz w:val="18"/>
                <w:szCs w:val="18"/>
              </w:rPr>
            </w:pPr>
            <w:r w:rsidRPr="001B3B09">
              <w:rPr>
                <w:spacing w:val="-1"/>
                <w:sz w:val="18"/>
                <w:szCs w:val="18"/>
              </w:rPr>
              <w:t>Oil</w:t>
            </w:r>
          </w:p>
        </w:tc>
        <w:tc>
          <w:tcPr>
            <w:tcW w:w="1429" w:type="dxa"/>
            <w:shd w:val="clear" w:color="auto" w:fill="auto"/>
            <w:tcMar>
              <w:top w:w="29" w:type="dxa"/>
              <w:bottom w:w="29" w:type="dxa"/>
              <w:right w:w="360" w:type="dxa"/>
            </w:tcMar>
            <w:vAlign w:val="center"/>
          </w:tcPr>
          <w:p w:rsidR="009A2324" w:rsidRPr="001B3B09" w:rsidRDefault="009A2324" w:rsidP="00A753F4">
            <w:pPr>
              <w:pStyle w:val="TableParagraph"/>
              <w:keepNext/>
              <w:keepLines/>
              <w:spacing w:before="20" w:after="20"/>
              <w:ind w:left="3"/>
              <w:jc w:val="right"/>
              <w:rPr>
                <w:rFonts w:cs="Calibri"/>
                <w:sz w:val="18"/>
                <w:szCs w:val="18"/>
              </w:rPr>
            </w:pPr>
            <w:r>
              <w:rPr>
                <w:color w:val="000000"/>
                <w:sz w:val="18"/>
                <w:szCs w:val="18"/>
              </w:rPr>
              <w:t>602</w:t>
            </w:r>
          </w:p>
        </w:tc>
        <w:tc>
          <w:tcPr>
            <w:tcW w:w="1429" w:type="dxa"/>
            <w:shd w:val="clear" w:color="auto" w:fill="auto"/>
            <w:tcMar>
              <w:top w:w="29" w:type="dxa"/>
              <w:left w:w="115" w:type="dxa"/>
              <w:bottom w:w="29" w:type="dxa"/>
              <w:right w:w="115" w:type="dxa"/>
            </w:tcMar>
            <w:vAlign w:val="center"/>
          </w:tcPr>
          <w:p w:rsidR="009A2324" w:rsidRPr="001B3B09" w:rsidRDefault="009A2324" w:rsidP="00A753F4">
            <w:pPr>
              <w:pStyle w:val="TableParagraph"/>
              <w:keepNext/>
              <w:keepLines/>
              <w:spacing w:before="20" w:after="20"/>
              <w:ind w:left="2"/>
              <w:jc w:val="center"/>
              <w:rPr>
                <w:rFonts w:cs="Calibri"/>
                <w:sz w:val="18"/>
                <w:szCs w:val="18"/>
              </w:rPr>
            </w:pPr>
            <w:r>
              <w:rPr>
                <w:color w:val="000000"/>
                <w:sz w:val="18"/>
                <w:szCs w:val="18"/>
              </w:rPr>
              <w:t>1978</w:t>
            </w:r>
          </w:p>
        </w:tc>
        <w:tc>
          <w:tcPr>
            <w:tcW w:w="1430" w:type="dxa"/>
            <w:shd w:val="clear" w:color="auto" w:fill="auto"/>
            <w:tcMar>
              <w:top w:w="29" w:type="dxa"/>
              <w:bottom w:w="29" w:type="dxa"/>
              <w:right w:w="360" w:type="dxa"/>
            </w:tcMar>
            <w:vAlign w:val="center"/>
          </w:tcPr>
          <w:p w:rsidR="009A2324" w:rsidRPr="001B3B09" w:rsidRDefault="009A2324" w:rsidP="00A753F4">
            <w:pPr>
              <w:pStyle w:val="TableParagraph"/>
              <w:keepNext/>
              <w:keepLines/>
              <w:spacing w:before="20" w:after="20"/>
              <w:ind w:left="479"/>
              <w:jc w:val="right"/>
              <w:rPr>
                <w:rFonts w:cs="Calibri"/>
                <w:sz w:val="18"/>
                <w:szCs w:val="18"/>
              </w:rPr>
            </w:pPr>
            <w:r>
              <w:rPr>
                <w:color w:val="000000"/>
                <w:spacing w:val="-1"/>
                <w:sz w:val="18"/>
                <w:szCs w:val="18"/>
              </w:rPr>
              <w:t>5,577</w:t>
            </w:r>
          </w:p>
        </w:tc>
      </w:tr>
      <w:tr w:rsidR="00F515EB" w:rsidRPr="00F515EB" w:rsidTr="00F515EB">
        <w:trPr>
          <w:trHeight w:hRule="exact" w:val="331"/>
          <w:jc w:val="center"/>
        </w:trPr>
        <w:tc>
          <w:tcPr>
            <w:tcW w:w="2178" w:type="dxa"/>
            <w:shd w:val="clear" w:color="auto" w:fill="4F81BD" w:themeFill="accent1"/>
            <w:tcMar>
              <w:top w:w="29" w:type="dxa"/>
              <w:left w:w="115" w:type="dxa"/>
              <w:bottom w:w="29" w:type="dxa"/>
            </w:tcMar>
            <w:vAlign w:val="center"/>
          </w:tcPr>
          <w:p w:rsidR="009A2324" w:rsidRPr="00304756" w:rsidRDefault="009A2324" w:rsidP="00A753F4">
            <w:pPr>
              <w:pStyle w:val="TableParagraph"/>
              <w:keepNext/>
              <w:keepLines/>
              <w:spacing w:before="20" w:after="20"/>
              <w:ind w:left="98"/>
              <w:rPr>
                <w:rFonts w:cs="Calibri"/>
                <w:color w:val="FFFFFF" w:themeColor="background1"/>
                <w:sz w:val="18"/>
                <w:szCs w:val="18"/>
              </w:rPr>
            </w:pPr>
            <w:r w:rsidRPr="00304756">
              <w:rPr>
                <w:b/>
                <w:color w:val="FFFFFF" w:themeColor="background1"/>
                <w:spacing w:val="-5"/>
                <w:sz w:val="18"/>
                <w:szCs w:val="18"/>
              </w:rPr>
              <w:t>T</w:t>
            </w:r>
            <w:r w:rsidRPr="00304756">
              <w:rPr>
                <w:b/>
                <w:color w:val="FFFFFF" w:themeColor="background1"/>
                <w:spacing w:val="-6"/>
                <w:sz w:val="18"/>
                <w:szCs w:val="18"/>
              </w:rPr>
              <w:t>otal</w:t>
            </w:r>
          </w:p>
        </w:tc>
        <w:tc>
          <w:tcPr>
            <w:tcW w:w="1429" w:type="dxa"/>
            <w:shd w:val="clear" w:color="auto" w:fill="4F81BD" w:themeFill="accent1"/>
            <w:tcMar>
              <w:top w:w="29" w:type="dxa"/>
              <w:bottom w:w="29" w:type="dxa"/>
            </w:tcMar>
            <w:vAlign w:val="center"/>
          </w:tcPr>
          <w:p w:rsidR="009A2324" w:rsidRPr="00304756" w:rsidRDefault="009A2324" w:rsidP="00A753F4">
            <w:pPr>
              <w:keepNext/>
              <w:keepLines/>
              <w:spacing w:before="20" w:after="20" w:line="240" w:lineRule="auto"/>
              <w:rPr>
                <w:rFonts w:ascii="Calibri" w:hAnsi="Calibri"/>
                <w:color w:val="FFFFFF" w:themeColor="background1"/>
                <w:sz w:val="18"/>
                <w:szCs w:val="18"/>
              </w:rPr>
            </w:pPr>
          </w:p>
        </w:tc>
        <w:tc>
          <w:tcPr>
            <w:tcW w:w="1429" w:type="dxa"/>
            <w:shd w:val="clear" w:color="auto" w:fill="4F81BD" w:themeFill="accent1"/>
            <w:tcMar>
              <w:top w:w="29" w:type="dxa"/>
              <w:bottom w:w="29" w:type="dxa"/>
            </w:tcMar>
            <w:vAlign w:val="center"/>
          </w:tcPr>
          <w:p w:rsidR="009A2324" w:rsidRPr="00304756" w:rsidRDefault="009A2324" w:rsidP="00A753F4">
            <w:pPr>
              <w:keepNext/>
              <w:keepLines/>
              <w:spacing w:before="20" w:after="20" w:line="240" w:lineRule="auto"/>
              <w:rPr>
                <w:rFonts w:ascii="Calibri" w:hAnsi="Calibri"/>
                <w:color w:val="FFFFFF" w:themeColor="background1"/>
                <w:sz w:val="18"/>
                <w:szCs w:val="18"/>
              </w:rPr>
            </w:pPr>
          </w:p>
        </w:tc>
        <w:tc>
          <w:tcPr>
            <w:tcW w:w="1429" w:type="dxa"/>
            <w:shd w:val="clear" w:color="auto" w:fill="4F81BD" w:themeFill="accent1"/>
            <w:tcMar>
              <w:top w:w="29" w:type="dxa"/>
              <w:bottom w:w="29" w:type="dxa"/>
            </w:tcMar>
            <w:vAlign w:val="center"/>
          </w:tcPr>
          <w:p w:rsidR="009A2324" w:rsidRPr="00304756" w:rsidRDefault="009A2324" w:rsidP="00A753F4">
            <w:pPr>
              <w:keepNext/>
              <w:keepLines/>
              <w:spacing w:before="20" w:after="20" w:line="240" w:lineRule="auto"/>
              <w:rPr>
                <w:rFonts w:ascii="Calibri" w:hAnsi="Calibri"/>
                <w:color w:val="FFFFFF" w:themeColor="background1"/>
                <w:sz w:val="18"/>
                <w:szCs w:val="18"/>
              </w:rPr>
            </w:pPr>
            <w:r w:rsidRPr="00304756">
              <w:rPr>
                <w:rFonts w:ascii="Calibri" w:hAnsi="Calibri"/>
                <w:color w:val="FFFFFF" w:themeColor="background1"/>
                <w:sz w:val="18"/>
                <w:szCs w:val="18"/>
              </w:rPr>
              <w:t> </w:t>
            </w:r>
          </w:p>
        </w:tc>
        <w:tc>
          <w:tcPr>
            <w:tcW w:w="1429" w:type="dxa"/>
            <w:shd w:val="clear" w:color="auto" w:fill="4F81BD" w:themeFill="accent1"/>
            <w:tcMar>
              <w:top w:w="29" w:type="dxa"/>
              <w:bottom w:w="29" w:type="dxa"/>
            </w:tcMar>
            <w:vAlign w:val="center"/>
          </w:tcPr>
          <w:p w:rsidR="009A2324" w:rsidRPr="00304756" w:rsidRDefault="009A2324" w:rsidP="00A753F4">
            <w:pPr>
              <w:keepNext/>
              <w:keepLines/>
              <w:spacing w:before="20" w:after="20" w:line="240" w:lineRule="auto"/>
              <w:rPr>
                <w:rFonts w:ascii="Calibri" w:hAnsi="Calibri"/>
                <w:color w:val="FFFFFF" w:themeColor="background1"/>
                <w:sz w:val="18"/>
                <w:szCs w:val="18"/>
              </w:rPr>
            </w:pPr>
            <w:r w:rsidRPr="00304756">
              <w:rPr>
                <w:rFonts w:ascii="Calibri" w:hAnsi="Calibri"/>
                <w:color w:val="FFFFFF" w:themeColor="background1"/>
                <w:sz w:val="18"/>
                <w:szCs w:val="18"/>
              </w:rPr>
              <w:t> </w:t>
            </w:r>
          </w:p>
        </w:tc>
        <w:tc>
          <w:tcPr>
            <w:tcW w:w="1430" w:type="dxa"/>
            <w:shd w:val="clear" w:color="auto" w:fill="4F81BD" w:themeFill="accent1"/>
            <w:tcMar>
              <w:top w:w="29" w:type="dxa"/>
              <w:bottom w:w="29" w:type="dxa"/>
              <w:right w:w="360" w:type="dxa"/>
            </w:tcMar>
            <w:vAlign w:val="center"/>
          </w:tcPr>
          <w:p w:rsidR="009A2324" w:rsidRPr="00304756" w:rsidRDefault="009A2324" w:rsidP="00A753F4">
            <w:pPr>
              <w:pStyle w:val="TableParagraph"/>
              <w:keepNext/>
              <w:keepLines/>
              <w:spacing w:before="20" w:after="20"/>
              <w:ind w:left="452"/>
              <w:jc w:val="right"/>
              <w:rPr>
                <w:rFonts w:cs="Calibri"/>
                <w:b/>
                <w:color w:val="FFFFFF" w:themeColor="background1"/>
                <w:sz w:val="18"/>
                <w:szCs w:val="18"/>
              </w:rPr>
            </w:pPr>
            <w:r w:rsidRPr="00304756">
              <w:rPr>
                <w:b/>
                <w:bCs/>
                <w:color w:val="FFFFFF" w:themeColor="background1"/>
                <w:sz w:val="18"/>
                <w:szCs w:val="18"/>
              </w:rPr>
              <w:t>5,577</w:t>
            </w:r>
          </w:p>
        </w:tc>
      </w:tr>
    </w:tbl>
    <w:p w:rsidR="0030601D" w:rsidRPr="003A2CA8" w:rsidRDefault="001B3B09" w:rsidP="00D9125E">
      <w:pPr>
        <w:keepNext/>
        <w:keepLines/>
        <w:spacing w:before="120" w:after="80" w:line="240" w:lineRule="auto"/>
        <w:ind w:left="270" w:hanging="270"/>
        <w:rPr>
          <w:rFonts w:ascii="Calibri" w:hAnsi="Calibri"/>
          <w:sz w:val="16"/>
          <w:szCs w:val="16"/>
        </w:rPr>
      </w:pPr>
      <w:r w:rsidRPr="003A2CA8">
        <w:rPr>
          <w:rFonts w:ascii="Calibri" w:hAnsi="Calibri"/>
          <w:sz w:val="16"/>
          <w:szCs w:val="16"/>
        </w:rPr>
        <w:t xml:space="preserve">(a) </w:t>
      </w:r>
      <w:r w:rsidR="00D9125E" w:rsidRPr="003A2CA8">
        <w:rPr>
          <w:rFonts w:ascii="Calibri" w:hAnsi="Calibri"/>
          <w:sz w:val="16"/>
          <w:szCs w:val="16"/>
        </w:rPr>
        <w:tab/>
      </w:r>
      <w:r w:rsidR="0030601D" w:rsidRPr="003A2CA8">
        <w:rPr>
          <w:rFonts w:ascii="Calibri" w:hAnsi="Calibri"/>
          <w:sz w:val="16"/>
          <w:szCs w:val="16"/>
        </w:rPr>
        <w:t xml:space="preserve">Units </w:t>
      </w:r>
      <w:r w:rsidR="00324765">
        <w:rPr>
          <w:rFonts w:ascii="Calibri" w:hAnsi="Calibri"/>
          <w:sz w:val="16"/>
          <w:szCs w:val="16"/>
        </w:rPr>
        <w:t>with a</w:t>
      </w:r>
      <w:r w:rsidR="0030601D" w:rsidRPr="003A2CA8">
        <w:rPr>
          <w:rFonts w:ascii="Calibri" w:hAnsi="Calibri"/>
          <w:sz w:val="16"/>
          <w:szCs w:val="16"/>
        </w:rPr>
        <w:t xml:space="preserve"> </w:t>
      </w:r>
      <w:r w:rsidR="00324765">
        <w:rPr>
          <w:rFonts w:ascii="Calibri" w:hAnsi="Calibri"/>
          <w:sz w:val="16"/>
          <w:szCs w:val="16"/>
        </w:rPr>
        <w:t>light blue</w:t>
      </w:r>
      <w:r w:rsidR="0030601D" w:rsidRPr="003A2CA8">
        <w:rPr>
          <w:rFonts w:ascii="Calibri" w:hAnsi="Calibri"/>
          <w:sz w:val="16"/>
          <w:szCs w:val="16"/>
        </w:rPr>
        <w:t xml:space="preserve"> </w:t>
      </w:r>
      <w:r w:rsidR="00324765">
        <w:rPr>
          <w:rFonts w:ascii="Calibri" w:hAnsi="Calibri"/>
          <w:sz w:val="16"/>
          <w:szCs w:val="16"/>
        </w:rPr>
        <w:t xml:space="preserve">background </w:t>
      </w:r>
      <w:r w:rsidR="0030601D" w:rsidRPr="003A2CA8">
        <w:rPr>
          <w:rFonts w:ascii="Calibri" w:hAnsi="Calibri"/>
          <w:sz w:val="16"/>
          <w:szCs w:val="16"/>
        </w:rPr>
        <w:t>are assumed to be retired by 2025 (2</w:t>
      </w:r>
      <w:r w:rsidRPr="003A2CA8">
        <w:rPr>
          <w:rFonts w:ascii="Calibri" w:hAnsi="Calibri"/>
          <w:sz w:val="16"/>
          <w:szCs w:val="16"/>
        </w:rPr>
        <w:t>,</w:t>
      </w:r>
      <w:r w:rsidR="0030601D" w:rsidRPr="003A2CA8">
        <w:rPr>
          <w:rFonts w:ascii="Calibri" w:hAnsi="Calibri"/>
          <w:sz w:val="16"/>
          <w:szCs w:val="16"/>
        </w:rPr>
        <w:t xml:space="preserve">611 MW). The rest </w:t>
      </w:r>
      <w:r w:rsidRPr="003A2CA8">
        <w:rPr>
          <w:rFonts w:ascii="Calibri" w:hAnsi="Calibri"/>
          <w:sz w:val="16"/>
          <w:szCs w:val="16"/>
        </w:rPr>
        <w:t xml:space="preserve">of the units </w:t>
      </w:r>
      <w:r w:rsidR="0030601D" w:rsidRPr="003A2CA8">
        <w:rPr>
          <w:rFonts w:ascii="Calibri" w:hAnsi="Calibri"/>
          <w:sz w:val="16"/>
          <w:szCs w:val="16"/>
        </w:rPr>
        <w:t>(2</w:t>
      </w:r>
      <w:r w:rsidRPr="003A2CA8">
        <w:rPr>
          <w:rFonts w:ascii="Calibri" w:hAnsi="Calibri"/>
          <w:sz w:val="16"/>
          <w:szCs w:val="16"/>
        </w:rPr>
        <w:t>,</w:t>
      </w:r>
      <w:r w:rsidR="0030601D" w:rsidRPr="003A2CA8">
        <w:rPr>
          <w:rFonts w:ascii="Calibri" w:hAnsi="Calibri"/>
          <w:sz w:val="16"/>
          <w:szCs w:val="16"/>
        </w:rPr>
        <w:t>966 MW) retired by 2030.</w:t>
      </w:r>
    </w:p>
    <w:p w:rsidR="000914EB" w:rsidRPr="003A2CA8" w:rsidRDefault="000914EB" w:rsidP="00D9125E">
      <w:pPr>
        <w:keepNext/>
        <w:keepLines/>
        <w:spacing w:line="240" w:lineRule="auto"/>
        <w:ind w:left="270" w:hanging="270"/>
        <w:rPr>
          <w:rFonts w:ascii="Calibri" w:hAnsi="Calibri"/>
          <w:sz w:val="16"/>
          <w:szCs w:val="16"/>
        </w:rPr>
      </w:pPr>
      <w:r w:rsidRPr="003A2CA8">
        <w:rPr>
          <w:rFonts w:ascii="Calibri" w:hAnsi="Calibri"/>
          <w:sz w:val="16"/>
          <w:szCs w:val="16"/>
        </w:rPr>
        <w:t xml:space="preserve">(b) </w:t>
      </w:r>
      <w:r w:rsidR="00D9125E" w:rsidRPr="003A2CA8">
        <w:rPr>
          <w:rFonts w:ascii="Calibri" w:hAnsi="Calibri"/>
          <w:sz w:val="16"/>
          <w:szCs w:val="16"/>
        </w:rPr>
        <w:tab/>
      </w:r>
      <w:r w:rsidRPr="003A2CA8">
        <w:rPr>
          <w:rFonts w:ascii="Calibri" w:hAnsi="Calibri"/>
          <w:sz w:val="16"/>
          <w:szCs w:val="16"/>
        </w:rPr>
        <w:t xml:space="preserve">The RSP subareas </w:t>
      </w:r>
      <w:r w:rsidR="00744C70" w:rsidRPr="003A2CA8">
        <w:rPr>
          <w:rFonts w:ascii="Calibri" w:hAnsi="Calibri"/>
          <w:sz w:val="16"/>
          <w:szCs w:val="16"/>
        </w:rPr>
        <w:t xml:space="preserve">above </w:t>
      </w:r>
      <w:r w:rsidRPr="003A2CA8">
        <w:rPr>
          <w:rFonts w:ascii="Calibri" w:hAnsi="Calibri"/>
          <w:sz w:val="16"/>
          <w:szCs w:val="16"/>
        </w:rPr>
        <w:t>are as follows:</w:t>
      </w:r>
      <w:r w:rsidR="00744C70" w:rsidRPr="003A2CA8">
        <w:rPr>
          <w:rFonts w:ascii="Calibri" w:hAnsi="Calibri"/>
          <w:sz w:val="16"/>
          <w:szCs w:val="16"/>
        </w:rPr>
        <w:t xml:space="preserve"> BOSTON</w:t>
      </w:r>
      <w:r w:rsidR="004242C8" w:rsidRPr="003A2CA8">
        <w:rPr>
          <w:rFonts w:ascii="Calibri" w:hAnsi="Calibri"/>
          <w:sz w:val="16"/>
          <w:szCs w:val="16"/>
        </w:rPr>
        <w:t xml:space="preserve"> (</w:t>
      </w:r>
      <w:r w:rsidR="00744C70" w:rsidRPr="003A2CA8">
        <w:rPr>
          <w:rFonts w:ascii="Calibri" w:hAnsi="Calibri"/>
          <w:sz w:val="16"/>
          <w:szCs w:val="16"/>
        </w:rPr>
        <w:t>all caps)</w:t>
      </w:r>
      <w:r w:rsidR="004242C8" w:rsidRPr="003A2CA8">
        <w:rPr>
          <w:rFonts w:ascii="Calibri" w:hAnsi="Calibri"/>
          <w:sz w:val="16"/>
          <w:szCs w:val="16"/>
        </w:rPr>
        <w:t xml:space="preserve"> covers</w:t>
      </w:r>
      <w:r w:rsidR="004242C8" w:rsidRPr="003A2CA8">
        <w:rPr>
          <w:rFonts w:asciiTheme="minorHAnsi" w:hAnsiTheme="minorHAnsi"/>
          <w:sz w:val="16"/>
          <w:szCs w:val="16"/>
        </w:rPr>
        <w:t xml:space="preserve"> Greater Boston, including the North Shore; CT is northern and eastern </w:t>
      </w:r>
      <w:r w:rsidR="00744C70" w:rsidRPr="003A2CA8">
        <w:rPr>
          <w:rFonts w:ascii="Calibri" w:hAnsi="Calibri"/>
          <w:sz w:val="16"/>
          <w:szCs w:val="16"/>
        </w:rPr>
        <w:t>Connecticut</w:t>
      </w:r>
      <w:r w:rsidR="004242C8" w:rsidRPr="003A2CA8">
        <w:rPr>
          <w:rFonts w:ascii="Calibri" w:hAnsi="Calibri"/>
          <w:sz w:val="16"/>
          <w:szCs w:val="16"/>
        </w:rPr>
        <w:t>; NH is n</w:t>
      </w:r>
      <w:r w:rsidR="004242C8" w:rsidRPr="003A2CA8">
        <w:rPr>
          <w:rFonts w:asciiTheme="minorHAnsi" w:hAnsiTheme="minorHAnsi"/>
          <w:sz w:val="16"/>
          <w:szCs w:val="16"/>
        </w:rPr>
        <w:t>orthern, eastern, and central</w:t>
      </w:r>
      <w:r w:rsidR="00914F15" w:rsidRPr="003A2CA8">
        <w:rPr>
          <w:rFonts w:asciiTheme="minorHAnsi" w:hAnsiTheme="minorHAnsi"/>
          <w:sz w:val="16"/>
          <w:szCs w:val="16"/>
        </w:rPr>
        <w:t xml:space="preserve"> </w:t>
      </w:r>
      <w:r w:rsidR="004242C8" w:rsidRPr="003A2CA8">
        <w:rPr>
          <w:rFonts w:asciiTheme="minorHAnsi" w:hAnsiTheme="minorHAnsi"/>
          <w:sz w:val="16"/>
          <w:szCs w:val="16"/>
        </w:rPr>
        <w:t>New Hampshire/eastern Vermont and southwestern Maine; SEMA is s</w:t>
      </w:r>
      <w:r w:rsidR="00744C70" w:rsidRPr="003A2CA8">
        <w:rPr>
          <w:rFonts w:ascii="Calibri" w:hAnsi="Calibri"/>
          <w:sz w:val="16"/>
          <w:szCs w:val="16"/>
        </w:rPr>
        <w:t>outheastern Massachusetts</w:t>
      </w:r>
      <w:r w:rsidR="004242C8" w:rsidRPr="003A2CA8">
        <w:rPr>
          <w:rFonts w:ascii="Calibri" w:hAnsi="Calibri"/>
          <w:sz w:val="16"/>
          <w:szCs w:val="16"/>
        </w:rPr>
        <w:t>/Newport, Rhode Island; SME is s</w:t>
      </w:r>
      <w:r w:rsidR="00744C70" w:rsidRPr="003A2CA8">
        <w:rPr>
          <w:rFonts w:ascii="Calibri" w:hAnsi="Calibri"/>
          <w:sz w:val="16"/>
          <w:szCs w:val="16"/>
        </w:rPr>
        <w:t>outhe</w:t>
      </w:r>
      <w:r w:rsidR="004242C8" w:rsidRPr="003A2CA8">
        <w:rPr>
          <w:rFonts w:ascii="Calibri" w:hAnsi="Calibri"/>
          <w:sz w:val="16"/>
          <w:szCs w:val="16"/>
        </w:rPr>
        <w:t>aster</w:t>
      </w:r>
      <w:r w:rsidR="00744C70" w:rsidRPr="003A2CA8">
        <w:rPr>
          <w:rFonts w:ascii="Calibri" w:hAnsi="Calibri"/>
          <w:sz w:val="16"/>
          <w:szCs w:val="16"/>
        </w:rPr>
        <w:t>n Maine</w:t>
      </w:r>
      <w:r w:rsidR="004242C8" w:rsidRPr="003A2CA8">
        <w:rPr>
          <w:rFonts w:ascii="Calibri" w:hAnsi="Calibri"/>
          <w:sz w:val="16"/>
          <w:szCs w:val="16"/>
        </w:rPr>
        <w:t>; SWCT is s</w:t>
      </w:r>
      <w:r w:rsidR="00744C70" w:rsidRPr="003A2CA8">
        <w:rPr>
          <w:rFonts w:ascii="Calibri" w:hAnsi="Calibri"/>
          <w:sz w:val="16"/>
          <w:szCs w:val="16"/>
        </w:rPr>
        <w:t>outhwest</w:t>
      </w:r>
      <w:r w:rsidR="004242C8" w:rsidRPr="003A2CA8">
        <w:rPr>
          <w:rFonts w:ascii="Calibri" w:hAnsi="Calibri"/>
          <w:sz w:val="16"/>
          <w:szCs w:val="16"/>
        </w:rPr>
        <w:t>ern</w:t>
      </w:r>
      <w:r w:rsidR="00744C70" w:rsidRPr="003A2CA8">
        <w:rPr>
          <w:rFonts w:ascii="Calibri" w:hAnsi="Calibri"/>
          <w:sz w:val="16"/>
          <w:szCs w:val="16"/>
        </w:rPr>
        <w:t xml:space="preserve"> Connecticut</w:t>
      </w:r>
      <w:r w:rsidR="004242C8" w:rsidRPr="003A2CA8">
        <w:rPr>
          <w:rFonts w:ascii="Calibri" w:hAnsi="Calibri"/>
          <w:sz w:val="16"/>
          <w:szCs w:val="16"/>
        </w:rPr>
        <w:t>; and WMA is wester</w:t>
      </w:r>
      <w:r w:rsidR="00744C70" w:rsidRPr="003A2CA8">
        <w:rPr>
          <w:rFonts w:ascii="Calibri" w:hAnsi="Calibri"/>
          <w:sz w:val="16"/>
          <w:szCs w:val="16"/>
        </w:rPr>
        <w:t xml:space="preserve">n Massachusetts. </w:t>
      </w:r>
    </w:p>
    <w:p w:rsidR="00EA57CD" w:rsidRPr="007A1B20" w:rsidRDefault="00EA57CD" w:rsidP="00AF716F">
      <w:pPr>
        <w:pStyle w:val="Heading3"/>
      </w:pPr>
      <w:bookmarkStart w:id="136" w:name="_Ref483475763"/>
      <w:bookmarkStart w:id="137" w:name="_Toc486405982"/>
      <w:r w:rsidRPr="007A1B20">
        <w:t>Renewable Portfolio Standards</w:t>
      </w:r>
      <w:bookmarkEnd w:id="117"/>
      <w:bookmarkEnd w:id="136"/>
      <w:bookmarkEnd w:id="137"/>
      <w:r w:rsidR="00814CF4" w:rsidRPr="007A1B20">
        <w:t xml:space="preserve"> </w:t>
      </w:r>
    </w:p>
    <w:p w:rsidR="00546FC3" w:rsidRDefault="00235B9A" w:rsidP="00201D25">
      <w:r w:rsidRPr="00201D25">
        <w:t>The NEPOOL request account</w:t>
      </w:r>
      <w:r w:rsidR="00F515EB">
        <w:t>ed</w:t>
      </w:r>
      <w:r w:rsidRPr="00201D25">
        <w:t xml:space="preserve"> for the </w:t>
      </w:r>
      <w:r w:rsidR="00523500">
        <w:t>growth of</w:t>
      </w:r>
      <w:r w:rsidR="00F515EB" w:rsidRPr="00EA15C1">
        <w:t xml:space="preserve"> </w:t>
      </w:r>
      <w:r w:rsidR="005940BB">
        <w:t xml:space="preserve">the </w:t>
      </w:r>
      <w:r w:rsidRPr="00EA15C1">
        <w:t xml:space="preserve">regional </w:t>
      </w:r>
      <w:r w:rsidR="000E3F8E">
        <w:t xml:space="preserve">goal for </w:t>
      </w:r>
      <w:r w:rsidR="00F97986" w:rsidRPr="000E3F8E">
        <w:t>renewable</w:t>
      </w:r>
      <w:r w:rsidR="000E3F8E">
        <w:t xml:space="preserve"> resources</w:t>
      </w:r>
      <w:r w:rsidR="00F97986" w:rsidRPr="000E3F8E">
        <w:t>, which includes renewable energy standards for V</w:t>
      </w:r>
      <w:r w:rsidR="000E3F8E">
        <w:t>ermont</w:t>
      </w:r>
      <w:r w:rsidR="00F97986" w:rsidRPr="000E3F8E">
        <w:t xml:space="preserve"> and </w:t>
      </w:r>
      <w:r w:rsidRPr="00EA15C1">
        <w:t>Renewable Portfolio Standard</w:t>
      </w:r>
      <w:r w:rsidR="000E3F8E">
        <w:t>s</w:t>
      </w:r>
      <w:r w:rsidR="00F97986" w:rsidRPr="000E3F8E">
        <w:t xml:space="preserve"> for the other five New England states.</w:t>
      </w:r>
      <w:r w:rsidR="00F97986" w:rsidRPr="00EA15C1">
        <w:t xml:space="preserve"> </w:t>
      </w:r>
      <w:r w:rsidR="00F515EB">
        <w:t>To make this estimation, t</w:t>
      </w:r>
      <w:r w:rsidR="00EA57CD">
        <w:t xml:space="preserve">he study </w:t>
      </w:r>
      <w:r w:rsidR="00726B3F">
        <w:t xml:space="preserve">first </w:t>
      </w:r>
      <w:r w:rsidR="00546FC3">
        <w:t xml:space="preserve">assumed all </w:t>
      </w:r>
      <w:r w:rsidR="00F515EB">
        <w:t xml:space="preserve">the </w:t>
      </w:r>
      <w:r w:rsidR="00546FC3">
        <w:t xml:space="preserve">states </w:t>
      </w:r>
      <w:r w:rsidR="00F97986">
        <w:t xml:space="preserve">physically </w:t>
      </w:r>
      <w:r w:rsidR="00546FC3">
        <w:t>met the</w:t>
      </w:r>
      <w:r w:rsidR="00F515EB">
        <w:t>ir</w:t>
      </w:r>
      <w:r w:rsidR="00546FC3">
        <w:t xml:space="preserve"> </w:t>
      </w:r>
      <w:r w:rsidR="00F515EB">
        <w:t xml:space="preserve">RPS </w:t>
      </w:r>
      <w:r w:rsidR="001069E7">
        <w:t xml:space="preserve">targets </w:t>
      </w:r>
      <w:r w:rsidR="00546FC3">
        <w:t xml:space="preserve">with existing </w:t>
      </w:r>
      <w:r w:rsidR="00726B3F">
        <w:t>resources. T</w:t>
      </w:r>
      <w:r w:rsidR="00546FC3">
        <w:t>he s</w:t>
      </w:r>
      <w:r w:rsidR="00F515EB">
        <w:t xml:space="preserve">tudy </w:t>
      </w:r>
      <w:r w:rsidR="00546FC3">
        <w:t xml:space="preserve">then considered </w:t>
      </w:r>
      <w:r w:rsidR="00EA57CD">
        <w:t xml:space="preserve">the RPS goals for </w:t>
      </w:r>
      <w:r w:rsidR="00523500">
        <w:t xml:space="preserve">new resources in </w:t>
      </w:r>
      <w:r w:rsidR="00EA57CD">
        <w:t xml:space="preserve">each state </w:t>
      </w:r>
      <w:r w:rsidR="00EA57CD" w:rsidRPr="002C61F3">
        <w:t>as of April 1, 2016</w:t>
      </w:r>
      <w:r w:rsidR="004A2528">
        <w:t xml:space="preserve">. </w:t>
      </w:r>
      <w:r w:rsidR="00546FC3">
        <w:t>T</w:t>
      </w:r>
      <w:r w:rsidR="00523500">
        <w:t>he resultant percentage</w:t>
      </w:r>
      <w:r w:rsidR="00F515EB">
        <w:t>s</w:t>
      </w:r>
      <w:r w:rsidR="004A2528">
        <w:t xml:space="preserve"> </w:t>
      </w:r>
      <w:r w:rsidR="00546FC3">
        <w:t>for new RPS requirements w</w:t>
      </w:r>
      <w:r w:rsidR="00F515EB">
        <w:t>ere</w:t>
      </w:r>
      <w:r w:rsidR="00546FC3">
        <w:t xml:space="preserve"> applied </w:t>
      </w:r>
      <w:r w:rsidR="004A2528">
        <w:t>to</w:t>
      </w:r>
      <w:r w:rsidR="00523500">
        <w:t xml:space="preserve"> </w:t>
      </w:r>
      <w:r w:rsidR="00546FC3">
        <w:t xml:space="preserve">the </w:t>
      </w:r>
      <w:r w:rsidR="00523500" w:rsidRPr="002377ED">
        <w:t xml:space="preserve">net energy </w:t>
      </w:r>
      <w:r w:rsidR="00523500" w:rsidRPr="007034C4">
        <w:t>consumption</w:t>
      </w:r>
      <w:r w:rsidR="00546FC3" w:rsidRPr="007034C4">
        <w:t xml:space="preserve"> of each state</w:t>
      </w:r>
      <w:r w:rsidR="002377ED" w:rsidRPr="007034C4">
        <w:t xml:space="preserve"> </w:t>
      </w:r>
      <w:r w:rsidR="00AB7DA2">
        <w:t xml:space="preserve">subject to RPS requirements </w:t>
      </w:r>
      <w:r w:rsidR="002377ED" w:rsidRPr="007034C4">
        <w:t xml:space="preserve">(see Section </w:t>
      </w:r>
      <w:r w:rsidR="002377ED" w:rsidRPr="007034C4">
        <w:fldChar w:fldCharType="begin"/>
      </w:r>
      <w:r w:rsidR="002377ED" w:rsidRPr="007034C4">
        <w:instrText xml:space="preserve"> REF _Ref480556421 \r \h </w:instrText>
      </w:r>
      <w:r w:rsidR="00DC6399" w:rsidRPr="007034C4">
        <w:instrText xml:space="preserve"> \* MERGEFORMAT </w:instrText>
      </w:r>
      <w:r w:rsidR="002377ED" w:rsidRPr="007034C4">
        <w:fldChar w:fldCharType="separate"/>
      </w:r>
      <w:r w:rsidR="00742B49">
        <w:t>5.2</w:t>
      </w:r>
      <w:r w:rsidR="002377ED" w:rsidRPr="007034C4">
        <w:fldChar w:fldCharType="end"/>
      </w:r>
      <w:r w:rsidR="002377ED" w:rsidRPr="007034C4">
        <w:t>)</w:t>
      </w:r>
      <w:r w:rsidR="00523500" w:rsidRPr="007034C4">
        <w:t xml:space="preserve">, which consists of the gross energy demand minus </w:t>
      </w:r>
      <w:r w:rsidR="00F515EB" w:rsidRPr="007034C4">
        <w:lastRenderedPageBreak/>
        <w:t xml:space="preserve">the </w:t>
      </w:r>
      <w:r w:rsidR="00523500" w:rsidRPr="007034C4">
        <w:t>savings resulting from energy efficiency and BTM PV production.</w:t>
      </w:r>
      <w:r w:rsidR="000E3F8E" w:rsidRPr="007034C4">
        <w:rPr>
          <w:rStyle w:val="FootnoteReference"/>
        </w:rPr>
        <w:footnoteReference w:id="50"/>
      </w:r>
      <w:r w:rsidR="00523500" w:rsidRPr="007034C4">
        <w:t xml:space="preserve"> </w:t>
      </w:r>
      <w:r w:rsidR="00546FC3" w:rsidRPr="007034C4">
        <w:t>The sum of the state RPS goals result</w:t>
      </w:r>
      <w:r w:rsidR="00F515EB" w:rsidRPr="007034C4">
        <w:t>ed</w:t>
      </w:r>
      <w:r w:rsidR="00546FC3" w:rsidRPr="007034C4">
        <w:t xml:space="preserve"> in a</w:t>
      </w:r>
      <w:r w:rsidR="00546FC3">
        <w:t xml:space="preserve"> regional goal. </w:t>
      </w:r>
    </w:p>
    <w:p w:rsidR="00EA57CD" w:rsidRDefault="004A2528" w:rsidP="00201D25">
      <w:r>
        <w:t xml:space="preserve">NEPOOL developed a prescriptive means of establishing </w:t>
      </w:r>
      <w:r w:rsidR="000D1DB8">
        <w:t>resource</w:t>
      </w:r>
      <w:r>
        <w:t xml:space="preserve"> assumptions </w:t>
      </w:r>
      <w:r w:rsidR="00E55C4C" w:rsidRPr="00A753F4">
        <w:t xml:space="preserve">for different types of </w:t>
      </w:r>
      <w:r w:rsidR="00EF3444">
        <w:t xml:space="preserve">renewable </w:t>
      </w:r>
      <w:r w:rsidR="00E55C4C" w:rsidRPr="00A753F4">
        <w:t>resources</w:t>
      </w:r>
      <w:r w:rsidR="000D1DB8">
        <w:t xml:space="preserve"> </w:t>
      </w:r>
      <w:r w:rsidR="00546FC3">
        <w:t>t</w:t>
      </w:r>
      <w:r w:rsidR="00546FC3" w:rsidRPr="00546FC3">
        <w:t>o determine the resource mix for each scenario</w:t>
      </w:r>
      <w:r w:rsidR="00546FC3">
        <w:t>.</w:t>
      </w:r>
      <w:r w:rsidR="00EA57CD" w:rsidRPr="00A753F4">
        <w:rPr>
          <w:rStyle w:val="FootnoteReference"/>
        </w:rPr>
        <w:footnoteReference w:id="51"/>
      </w:r>
      <w:r w:rsidR="000D1DB8">
        <w:t xml:space="preserve"> </w:t>
      </w:r>
      <w:r w:rsidR="00726B3F">
        <w:t>Base assumptions for a</w:t>
      </w:r>
      <w:r w:rsidR="00142159">
        <w:t>ll</w:t>
      </w:r>
      <w:r w:rsidR="000D1DB8">
        <w:t xml:space="preserve"> scenarios</w:t>
      </w:r>
      <w:r w:rsidR="00726B3F">
        <w:t xml:space="preserve"> consisted of </w:t>
      </w:r>
      <w:r w:rsidR="00546FC3">
        <w:t xml:space="preserve">capacity factors for renewable resource additions, the forecast of </w:t>
      </w:r>
      <w:r w:rsidR="00CD27A6">
        <w:t xml:space="preserve">non-behind-the-meter </w:t>
      </w:r>
      <w:r w:rsidR="00EA57CD">
        <w:t>PV</w:t>
      </w:r>
      <w:r w:rsidR="00546FC3">
        <w:t xml:space="preserve"> resources,</w:t>
      </w:r>
      <w:r w:rsidR="00142159">
        <w:t xml:space="preserve"> and </w:t>
      </w:r>
      <w:r w:rsidR="00726B3F">
        <w:t xml:space="preserve">the addition of </w:t>
      </w:r>
      <w:r w:rsidR="00142159">
        <w:t>renewable projects</w:t>
      </w:r>
      <w:r w:rsidR="000D1DB8">
        <w:t xml:space="preserve"> under construction or with I.3.9 approvals</w:t>
      </w:r>
      <w:r w:rsidR="00726B3F">
        <w:t xml:space="preserve"> as of April 1, 2016</w:t>
      </w:r>
      <w:r w:rsidR="007132C3">
        <w:t>.</w:t>
      </w:r>
      <w:r w:rsidR="00726B3F">
        <w:t xml:space="preserve"> </w:t>
      </w:r>
      <w:r w:rsidR="00E84202" w:rsidRPr="00DC6399">
        <w:t>Scenario</w:t>
      </w:r>
      <w:r w:rsidR="005D5CBE" w:rsidRPr="00DC6399">
        <w:t>s</w:t>
      </w:r>
      <w:r w:rsidR="00E84202" w:rsidRPr="00DC6399">
        <w:t xml:space="preserve"> 4 and 5</w:t>
      </w:r>
      <w:r w:rsidR="00DC6399">
        <w:t xml:space="preserve"> assumed that </w:t>
      </w:r>
      <w:r w:rsidR="00E84202" w:rsidRPr="00DC6399">
        <w:t>alternative compliance payments w</w:t>
      </w:r>
      <w:r w:rsidR="00DC6399">
        <w:t xml:space="preserve">ould be </w:t>
      </w:r>
      <w:r w:rsidR="00E84202" w:rsidRPr="00DC6399">
        <w:t>used to meet any s</w:t>
      </w:r>
      <w:r w:rsidR="00726B3F" w:rsidRPr="00DC6399">
        <w:t>hortfalls in physically meeting the</w:t>
      </w:r>
      <w:r w:rsidR="00546FC3" w:rsidRPr="00DC6399">
        <w:t xml:space="preserve"> regional RPS </w:t>
      </w:r>
      <w:r w:rsidR="00726B3F" w:rsidRPr="00DC6399">
        <w:t>for new resources (</w:t>
      </w:r>
      <w:r w:rsidR="00E84202" w:rsidRPr="00DC6399">
        <w:t xml:space="preserve">i.e., </w:t>
      </w:r>
      <w:r w:rsidR="00CD27A6" w:rsidRPr="00DC6399">
        <w:t>n</w:t>
      </w:r>
      <w:r w:rsidR="00726B3F" w:rsidRPr="00DC6399">
        <w:t>o new renewable resource additions</w:t>
      </w:r>
      <w:r w:rsidR="00E84202" w:rsidRPr="00DC6399">
        <w:t>)</w:t>
      </w:r>
      <w:r w:rsidR="00E10811">
        <w:t xml:space="preserve">. </w:t>
      </w:r>
      <w:r w:rsidR="00726B3F">
        <w:t>Scenario 1 s</w:t>
      </w:r>
      <w:r w:rsidR="00EA57CD">
        <w:t xml:space="preserve">equentially added the interconnection request capability in the active </w:t>
      </w:r>
      <w:r w:rsidR="00EA57CD" w:rsidRPr="00BE28CD">
        <w:t xml:space="preserve">ISO </w:t>
      </w:r>
      <w:r w:rsidR="003117CF">
        <w:t>I</w:t>
      </w:r>
      <w:r w:rsidR="00EA57CD" w:rsidRPr="00BE28CD">
        <w:t>nterconnection</w:t>
      </w:r>
      <w:r w:rsidR="00444C3D">
        <w:t xml:space="preserve"> </w:t>
      </w:r>
      <w:r w:rsidR="003117CF">
        <w:t>Q</w:t>
      </w:r>
      <w:r w:rsidR="00EA57CD" w:rsidRPr="00BE28CD">
        <w:t>ueue,</w:t>
      </w:r>
      <w:r w:rsidR="00EA57CD" w:rsidRPr="00444C3D">
        <w:t xml:space="preserve"> which shows </w:t>
      </w:r>
      <w:r w:rsidR="00A753F4" w:rsidRPr="00444C3D">
        <w:t xml:space="preserve">resource </w:t>
      </w:r>
      <w:r w:rsidR="00EA57CD" w:rsidRPr="00444C3D">
        <w:t>amounts and locations</w:t>
      </w:r>
      <w:r w:rsidR="00E55C4C" w:rsidRPr="00444C3D">
        <w:t>.</w:t>
      </w:r>
      <w:r w:rsidR="002030A8" w:rsidRPr="00444C3D">
        <w:t xml:space="preserve"> </w:t>
      </w:r>
      <w:r w:rsidR="0084022F">
        <w:t>S</w:t>
      </w:r>
      <w:r w:rsidR="00F45E4F">
        <w:t>upplemental</w:t>
      </w:r>
      <w:r w:rsidR="00EA57CD">
        <w:t xml:space="preserve"> renewable generation</w:t>
      </w:r>
      <w:r w:rsidR="0084022F">
        <w:t xml:space="preserve"> met any additional shortfall</w:t>
      </w:r>
      <w:r w:rsidR="00EA57CD">
        <w:t>, as needed, proportionally based on current locations of generation in the queue</w:t>
      </w:r>
      <w:r w:rsidR="002030A8">
        <w:t xml:space="preserve">. Scenarios 2, 3, and 6 used assumptions based on stakeholder input shown to exceed the physical requirements of RPS goals for new resources. </w:t>
      </w:r>
    </w:p>
    <w:p w:rsidR="00977CA0" w:rsidRDefault="00977CA0" w:rsidP="00201D25">
      <w:r w:rsidRPr="003348D4">
        <w:t xml:space="preserve">As discussed with the PAC, </w:t>
      </w:r>
      <w:r w:rsidR="00E10811" w:rsidRPr="003348D4">
        <w:t xml:space="preserve">while </w:t>
      </w:r>
      <w:r w:rsidRPr="003348D4">
        <w:t xml:space="preserve">the study </w:t>
      </w:r>
      <w:r w:rsidR="00E10811" w:rsidRPr="003348D4">
        <w:t xml:space="preserve">assumed the uses of </w:t>
      </w:r>
      <w:r w:rsidRPr="003348D4">
        <w:t>Renewable Energy Credits (REC</w:t>
      </w:r>
      <w:r w:rsidR="0084022F" w:rsidRPr="003348D4">
        <w:t>s</w:t>
      </w:r>
      <w:r w:rsidRPr="003348D4">
        <w:t xml:space="preserve">) and </w:t>
      </w:r>
      <w:r w:rsidR="0084022F" w:rsidRPr="003348D4">
        <w:t>a</w:t>
      </w:r>
      <w:r w:rsidRPr="003348D4">
        <w:t xml:space="preserve">lternative </w:t>
      </w:r>
      <w:r w:rsidR="0084022F" w:rsidRPr="003348D4">
        <w:t>c</w:t>
      </w:r>
      <w:r w:rsidRPr="003348D4">
        <w:t xml:space="preserve">ompliance </w:t>
      </w:r>
      <w:r w:rsidR="0084022F" w:rsidRPr="003348D4">
        <w:t>p</w:t>
      </w:r>
      <w:r w:rsidRPr="003348D4">
        <w:t>ayments</w:t>
      </w:r>
      <w:r w:rsidR="00E10811" w:rsidRPr="003348D4">
        <w:t>, it did not account for the costs of th</w:t>
      </w:r>
      <w:r w:rsidR="007034C4" w:rsidRPr="003348D4">
        <w:t xml:space="preserve">ese </w:t>
      </w:r>
      <w:r w:rsidR="00E10811" w:rsidRPr="003348D4">
        <w:t xml:space="preserve">measures </w:t>
      </w:r>
      <w:r w:rsidRPr="003348D4">
        <w:t>as part of the economic metrics.</w:t>
      </w:r>
    </w:p>
    <w:p w:rsidR="00902496" w:rsidRDefault="00902496" w:rsidP="00AF716F">
      <w:pPr>
        <w:pStyle w:val="Heading3"/>
      </w:pPr>
      <w:bookmarkStart w:id="138" w:name="_Toc486405983"/>
      <w:r>
        <w:t>Active Demand Resources</w:t>
      </w:r>
      <w:bookmarkEnd w:id="138"/>
      <w:r w:rsidR="00965492" w:rsidRPr="00965492">
        <w:rPr>
          <w:color w:val="FF0000"/>
        </w:rPr>
        <w:t xml:space="preserve"> </w:t>
      </w:r>
    </w:p>
    <w:p w:rsidR="00EA7F32" w:rsidRDefault="007C7845" w:rsidP="00902496">
      <w:r w:rsidRPr="003348D4">
        <w:t>The study simulat</w:t>
      </w:r>
      <w:r w:rsidR="00EF4A0C" w:rsidRPr="003348D4">
        <w:t xml:space="preserve">ed </w:t>
      </w:r>
      <w:r w:rsidRPr="003348D4">
        <w:t>FCA #10 active demand resources</w:t>
      </w:r>
      <w:r w:rsidR="00F200DC" w:rsidRPr="003348D4">
        <w:t xml:space="preserve"> </w:t>
      </w:r>
      <w:r w:rsidR="00832C9F" w:rsidRPr="003348D4">
        <w:t>dispatched</w:t>
      </w:r>
      <w:r w:rsidR="00832C9F">
        <w:t xml:space="preserve"> to shave peak load</w:t>
      </w:r>
      <w:r>
        <w:t xml:space="preserve">. </w:t>
      </w:r>
      <w:r w:rsidR="00EA7F32" w:rsidRPr="00BE28CD">
        <w:rPr>
          <w:bCs/>
        </w:rPr>
        <w:t xml:space="preserve">For </w:t>
      </w:r>
      <w:r w:rsidR="00902496" w:rsidRPr="00BE28CD">
        <w:rPr>
          <w:bCs/>
        </w:rPr>
        <w:t>Scenarios 1, 2, 4, 5</w:t>
      </w:r>
      <w:r w:rsidR="00EA7F32" w:rsidRPr="00BE28CD">
        <w:rPr>
          <w:bCs/>
        </w:rPr>
        <w:t xml:space="preserve">, </w:t>
      </w:r>
      <w:r w:rsidR="006F6382" w:rsidRPr="00BE28CD">
        <w:rPr>
          <w:bCs/>
        </w:rPr>
        <w:t>and 6</w:t>
      </w:r>
      <w:r w:rsidR="00DF0DCE" w:rsidRPr="00BE28CD">
        <w:rPr>
          <w:bCs/>
        </w:rPr>
        <w:t>,</w:t>
      </w:r>
      <w:r w:rsidR="006F6382" w:rsidRPr="00BE28CD">
        <w:rPr>
          <w:bCs/>
        </w:rPr>
        <w:t xml:space="preserve"> </w:t>
      </w:r>
      <w:r w:rsidR="007132C3" w:rsidRPr="00BE28CD">
        <w:rPr>
          <w:bCs/>
        </w:rPr>
        <w:t>t</w:t>
      </w:r>
      <w:r w:rsidR="00EA7F32" w:rsidRPr="00BE28CD">
        <w:t>he a</w:t>
      </w:r>
      <w:r w:rsidR="00902496" w:rsidRPr="00BE28CD">
        <w:t>nnual peak remains the hour</w:t>
      </w:r>
      <w:r w:rsidR="00EA7F32" w:rsidRPr="00BE28CD">
        <w:t xml:space="preserve"> </w:t>
      </w:r>
      <w:r w:rsidR="00F13F83" w:rsidRPr="00BE28CD">
        <w:t xml:space="preserve">with the greatest need for triggering </w:t>
      </w:r>
      <w:r w:rsidR="007132C3" w:rsidRPr="00BE28CD">
        <w:t xml:space="preserve">active demand </w:t>
      </w:r>
      <w:r w:rsidR="002C61F3" w:rsidRPr="00BE28CD">
        <w:t>resource</w:t>
      </w:r>
      <w:r w:rsidR="007132C3" w:rsidRPr="00BE28CD">
        <w:t>s</w:t>
      </w:r>
      <w:r w:rsidR="002C61F3" w:rsidRPr="00BE28CD">
        <w:t xml:space="preserve"> </w:t>
      </w:r>
      <w:r w:rsidR="00F13F83" w:rsidRPr="00BE28CD">
        <w:t xml:space="preserve">to </w:t>
      </w:r>
      <w:r w:rsidR="007132C3" w:rsidRPr="00BE28CD">
        <w:t>shave peak load.</w:t>
      </w:r>
      <w:r w:rsidR="00AB2C2D" w:rsidRPr="00BE28CD">
        <w:t xml:space="preserve"> </w:t>
      </w:r>
      <w:r w:rsidR="00EA7F32" w:rsidRPr="00BE28CD">
        <w:t xml:space="preserve">For Scenario 3, </w:t>
      </w:r>
      <w:r w:rsidR="00AB2C2D" w:rsidRPr="00BE28CD">
        <w:t xml:space="preserve">an </w:t>
      </w:r>
      <w:r w:rsidR="00EA7F32" w:rsidRPr="00BE28CD">
        <w:t xml:space="preserve">additional </w:t>
      </w:r>
      <w:r w:rsidR="00E84202" w:rsidRPr="00E84202">
        <w:t>500</w:t>
      </w:r>
      <w:r w:rsidR="00E84202">
        <w:t> </w:t>
      </w:r>
      <w:r w:rsidR="00EA7F32" w:rsidRPr="00E84202">
        <w:t xml:space="preserve">MW </w:t>
      </w:r>
      <w:r w:rsidR="00AB2C2D" w:rsidRPr="00BE28CD">
        <w:t xml:space="preserve">of active demand resources were </w:t>
      </w:r>
      <w:r w:rsidR="00EA7F32" w:rsidRPr="00BE28CD">
        <w:t>added by 2025 and another 500 MW by 2030</w:t>
      </w:r>
      <w:r w:rsidR="005F7D29">
        <w:t xml:space="preserve"> of </w:t>
      </w:r>
      <w:r w:rsidR="00AB2C2D" w:rsidRPr="00BE28CD">
        <w:t xml:space="preserve">which </w:t>
      </w:r>
      <w:r w:rsidR="005F7D29">
        <w:t>20</w:t>
      </w:r>
      <w:r w:rsidR="00E74D94">
        <w:t>%</w:t>
      </w:r>
      <w:r w:rsidR="005F7D29">
        <w:t xml:space="preserve"> </w:t>
      </w:r>
      <w:r w:rsidR="00AB2C2D" w:rsidRPr="00BE28CD">
        <w:t>w</w:t>
      </w:r>
      <w:r w:rsidR="005F7D29">
        <w:t>as</w:t>
      </w:r>
      <w:r w:rsidR="00D30A78" w:rsidRPr="00BE28CD">
        <w:t xml:space="preserve"> </w:t>
      </w:r>
      <w:r w:rsidR="007E190C" w:rsidRPr="00BE28CD">
        <w:t xml:space="preserve">assumed </w:t>
      </w:r>
      <w:r w:rsidR="00AB2C2D" w:rsidRPr="00BE28CD">
        <w:t>dispatch</w:t>
      </w:r>
      <w:r w:rsidR="007E190C" w:rsidRPr="00BE28CD">
        <w:t>able</w:t>
      </w:r>
      <w:r w:rsidR="00DF0DCE" w:rsidRPr="00BE28CD">
        <w:t>,</w:t>
      </w:r>
      <w:r w:rsidR="00AB2C2D" w:rsidRPr="00BE28CD">
        <w:t xml:space="preserve"> as shown in </w:t>
      </w:r>
      <w:r w:rsidR="00AB2C2D" w:rsidRPr="00BE28CD">
        <w:fldChar w:fldCharType="begin"/>
      </w:r>
      <w:r w:rsidR="00AB2C2D" w:rsidRPr="00BE28CD">
        <w:instrText xml:space="preserve"> REF _Ref462145896 \h  \* MERGEFORMAT </w:instrText>
      </w:r>
      <w:r w:rsidR="00AB2C2D" w:rsidRPr="00BE28CD">
        <w:fldChar w:fldCharType="separate"/>
      </w:r>
      <w:r w:rsidR="00742B49">
        <w:t xml:space="preserve">Table </w:t>
      </w:r>
      <w:r w:rsidR="00742B49">
        <w:rPr>
          <w:noProof/>
        </w:rPr>
        <w:t>5</w:t>
      </w:r>
      <w:r w:rsidR="00742B49">
        <w:rPr>
          <w:noProof/>
        </w:rPr>
        <w:noBreakHyphen/>
        <w:t>10</w:t>
      </w:r>
      <w:r w:rsidR="00AB2C2D" w:rsidRPr="00BE28CD">
        <w:fldChar w:fldCharType="end"/>
      </w:r>
      <w:r w:rsidR="009E7B29" w:rsidRPr="00BE28CD">
        <w:t xml:space="preserve">. </w:t>
      </w:r>
      <w:r w:rsidR="00AB2C2D">
        <w:t>The table summarizes the active</w:t>
      </w:r>
      <w:r w:rsidR="00DF0DCE">
        <w:t>-</w:t>
      </w:r>
      <w:r w:rsidR="00AB2C2D">
        <w:t>demand</w:t>
      </w:r>
      <w:r w:rsidR="00DF0DCE">
        <w:t>-</w:t>
      </w:r>
      <w:r w:rsidR="00AB2C2D">
        <w:t>resource assumptions for capacity and energy.</w:t>
      </w:r>
    </w:p>
    <w:p w:rsidR="007C7845" w:rsidRDefault="002C61F3" w:rsidP="00AB2C2D">
      <w:pPr>
        <w:pStyle w:val="Caption"/>
        <w:jc w:val="center"/>
      </w:pPr>
      <w:bookmarkStart w:id="139" w:name="_Ref462145896"/>
      <w:bookmarkStart w:id="140" w:name="_Toc486406024"/>
      <w:r>
        <w:lastRenderedPageBreak/>
        <w:t xml:space="preserve">Table </w:t>
      </w:r>
      <w:fldSimple w:instr=" STYLEREF 1 \s ">
        <w:r w:rsidR="004248FE">
          <w:rPr>
            <w:noProof/>
          </w:rPr>
          <w:t>5</w:t>
        </w:r>
      </w:fldSimple>
      <w:r w:rsidR="004248FE">
        <w:noBreakHyphen/>
      </w:r>
      <w:r w:rsidR="00736DEB">
        <w:t>10</w:t>
      </w:r>
      <w:bookmarkEnd w:id="139"/>
      <w:r>
        <w:br/>
      </w:r>
      <w:r w:rsidR="007C7845">
        <w:t>Active Demand Resource Assumptions for Capacity and Energy</w:t>
      </w:r>
      <w:bookmarkEnd w:id="140"/>
    </w:p>
    <w:tbl>
      <w:tblPr>
        <w:tblW w:w="7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1403"/>
        <w:gridCol w:w="1404"/>
        <w:gridCol w:w="1404"/>
        <w:gridCol w:w="1404"/>
      </w:tblGrid>
      <w:tr w:rsidR="00EA7F32" w:rsidRPr="00BC66E3" w:rsidTr="00E74D94">
        <w:trPr>
          <w:trHeight w:val="258"/>
          <w:jc w:val="center"/>
        </w:trPr>
        <w:tc>
          <w:tcPr>
            <w:tcW w:w="1986" w:type="dxa"/>
            <w:vMerge w:val="restart"/>
            <w:shd w:val="clear" w:color="auto" w:fill="4F81BD" w:themeFill="accent1"/>
            <w:tcMar>
              <w:top w:w="29" w:type="dxa"/>
              <w:left w:w="115" w:type="dxa"/>
              <w:bottom w:w="29" w:type="dxa"/>
              <w:right w:w="115" w:type="dxa"/>
            </w:tcMar>
            <w:vAlign w:val="center"/>
          </w:tcPr>
          <w:p w:rsidR="00EA7F32" w:rsidRPr="00E74D94" w:rsidRDefault="00EA7F32" w:rsidP="00AB2C2D">
            <w:pPr>
              <w:keepNext/>
              <w:keepLines/>
              <w:widowControl w:val="0"/>
              <w:spacing w:after="0" w:line="240" w:lineRule="auto"/>
              <w:jc w:val="center"/>
              <w:rPr>
                <w:rFonts w:ascii="Calibri" w:hAnsi="Calibri"/>
                <w:b/>
                <w:color w:val="FFFFFF" w:themeColor="background1"/>
                <w:sz w:val="18"/>
                <w:szCs w:val="18"/>
              </w:rPr>
            </w:pPr>
            <w:r w:rsidRPr="00E74D94">
              <w:rPr>
                <w:rFonts w:ascii="Calibri" w:hAnsi="Calibri"/>
                <w:b/>
                <w:color w:val="FFFFFF" w:themeColor="background1"/>
                <w:sz w:val="18"/>
                <w:szCs w:val="18"/>
              </w:rPr>
              <w:t>Parameter</w:t>
            </w:r>
          </w:p>
        </w:tc>
        <w:tc>
          <w:tcPr>
            <w:tcW w:w="2807" w:type="dxa"/>
            <w:gridSpan w:val="2"/>
            <w:shd w:val="clear" w:color="auto" w:fill="4F81BD" w:themeFill="accent1"/>
            <w:tcMar>
              <w:top w:w="29" w:type="dxa"/>
              <w:left w:w="115" w:type="dxa"/>
              <w:bottom w:w="29" w:type="dxa"/>
              <w:right w:w="115" w:type="dxa"/>
            </w:tcMar>
            <w:vAlign w:val="center"/>
          </w:tcPr>
          <w:p w:rsidR="00EA7F32" w:rsidRPr="00E74D94" w:rsidRDefault="00EA7F32" w:rsidP="00AB2C2D">
            <w:pPr>
              <w:keepNext/>
              <w:keepLines/>
              <w:widowControl w:val="0"/>
              <w:spacing w:after="0" w:line="240" w:lineRule="auto"/>
              <w:jc w:val="center"/>
              <w:rPr>
                <w:rFonts w:ascii="Calibri" w:hAnsi="Calibri"/>
                <w:b/>
                <w:color w:val="FFFFFF" w:themeColor="background1"/>
                <w:sz w:val="18"/>
                <w:szCs w:val="18"/>
              </w:rPr>
            </w:pPr>
            <w:r w:rsidRPr="00E74D94">
              <w:rPr>
                <w:rFonts w:ascii="Calibri" w:hAnsi="Calibri"/>
                <w:b/>
                <w:color w:val="FFFFFF" w:themeColor="background1"/>
                <w:sz w:val="18"/>
                <w:szCs w:val="18"/>
              </w:rPr>
              <w:t xml:space="preserve">Scenarios 1, 2, 4, </w:t>
            </w:r>
            <w:r w:rsidR="00FA2C0F" w:rsidRPr="00E74D94">
              <w:rPr>
                <w:rFonts w:ascii="Calibri" w:hAnsi="Calibri"/>
                <w:b/>
                <w:color w:val="FFFFFF" w:themeColor="background1"/>
                <w:sz w:val="18"/>
                <w:szCs w:val="18"/>
              </w:rPr>
              <w:t xml:space="preserve">5, </w:t>
            </w:r>
            <w:r w:rsidRPr="00E74D94">
              <w:rPr>
                <w:rFonts w:ascii="Calibri" w:hAnsi="Calibri"/>
                <w:b/>
                <w:color w:val="FFFFFF" w:themeColor="background1"/>
                <w:sz w:val="18"/>
                <w:szCs w:val="18"/>
              </w:rPr>
              <w:t xml:space="preserve">and </w:t>
            </w:r>
            <w:r w:rsidR="00FA2C0F" w:rsidRPr="00E74D94">
              <w:rPr>
                <w:rFonts w:ascii="Calibri" w:hAnsi="Calibri"/>
                <w:b/>
                <w:color w:val="FFFFFF" w:themeColor="background1"/>
                <w:sz w:val="18"/>
                <w:szCs w:val="18"/>
              </w:rPr>
              <w:t>6</w:t>
            </w:r>
          </w:p>
        </w:tc>
        <w:tc>
          <w:tcPr>
            <w:tcW w:w="2808" w:type="dxa"/>
            <w:gridSpan w:val="2"/>
            <w:shd w:val="clear" w:color="auto" w:fill="4F81BD" w:themeFill="accent1"/>
            <w:tcMar>
              <w:top w:w="29" w:type="dxa"/>
              <w:left w:w="115" w:type="dxa"/>
              <w:bottom w:w="29" w:type="dxa"/>
              <w:right w:w="115" w:type="dxa"/>
            </w:tcMar>
            <w:vAlign w:val="center"/>
          </w:tcPr>
          <w:p w:rsidR="00EA7F32" w:rsidRPr="00E74D94" w:rsidRDefault="00EA7F32" w:rsidP="00AB2C2D">
            <w:pPr>
              <w:keepNext/>
              <w:keepLines/>
              <w:widowControl w:val="0"/>
              <w:spacing w:after="0" w:line="240" w:lineRule="auto"/>
              <w:jc w:val="center"/>
              <w:rPr>
                <w:rFonts w:ascii="Calibri" w:hAnsi="Calibri"/>
                <w:b/>
                <w:color w:val="FFFFFF" w:themeColor="background1"/>
                <w:sz w:val="18"/>
                <w:szCs w:val="18"/>
              </w:rPr>
            </w:pPr>
            <w:r w:rsidRPr="00E74D94">
              <w:rPr>
                <w:rFonts w:ascii="Calibri" w:hAnsi="Calibri"/>
                <w:b/>
                <w:color w:val="FFFFFF" w:themeColor="background1"/>
                <w:sz w:val="18"/>
                <w:szCs w:val="18"/>
              </w:rPr>
              <w:t>Scenario 3</w:t>
            </w:r>
          </w:p>
        </w:tc>
      </w:tr>
      <w:tr w:rsidR="00EA7F32" w:rsidRPr="00BC66E3" w:rsidTr="00E74D94">
        <w:trPr>
          <w:jc w:val="center"/>
        </w:trPr>
        <w:tc>
          <w:tcPr>
            <w:tcW w:w="1986" w:type="dxa"/>
            <w:vMerge/>
            <w:shd w:val="clear" w:color="auto" w:fill="4F81BD" w:themeFill="accent1"/>
            <w:tcMar>
              <w:top w:w="29" w:type="dxa"/>
              <w:left w:w="115" w:type="dxa"/>
              <w:bottom w:w="29" w:type="dxa"/>
              <w:right w:w="115" w:type="dxa"/>
            </w:tcMar>
            <w:vAlign w:val="center"/>
          </w:tcPr>
          <w:p w:rsidR="00EA7F32" w:rsidRPr="00E74D94" w:rsidRDefault="00EA7F32" w:rsidP="00AB2C2D">
            <w:pPr>
              <w:keepNext/>
              <w:keepLines/>
              <w:widowControl w:val="0"/>
              <w:spacing w:after="0" w:line="240" w:lineRule="auto"/>
              <w:rPr>
                <w:rFonts w:ascii="Calibri" w:hAnsi="Calibri"/>
                <w:b/>
                <w:color w:val="FFFFFF" w:themeColor="background1"/>
                <w:sz w:val="18"/>
                <w:szCs w:val="18"/>
              </w:rPr>
            </w:pPr>
          </w:p>
        </w:tc>
        <w:tc>
          <w:tcPr>
            <w:tcW w:w="1403" w:type="dxa"/>
            <w:shd w:val="clear" w:color="auto" w:fill="4F81BD" w:themeFill="accent1"/>
            <w:tcMar>
              <w:top w:w="29" w:type="dxa"/>
              <w:left w:w="115" w:type="dxa"/>
              <w:bottom w:w="29" w:type="dxa"/>
              <w:right w:w="115" w:type="dxa"/>
            </w:tcMar>
            <w:vAlign w:val="center"/>
          </w:tcPr>
          <w:p w:rsidR="00EA7F32" w:rsidRPr="00E74D94" w:rsidRDefault="00EA7F32" w:rsidP="00AB2C2D">
            <w:pPr>
              <w:keepNext/>
              <w:keepLines/>
              <w:widowControl w:val="0"/>
              <w:spacing w:after="0" w:line="240" w:lineRule="auto"/>
              <w:jc w:val="center"/>
              <w:rPr>
                <w:rFonts w:ascii="Calibri" w:hAnsi="Calibri"/>
                <w:b/>
                <w:color w:val="FFFFFF" w:themeColor="background1"/>
                <w:sz w:val="18"/>
                <w:szCs w:val="18"/>
              </w:rPr>
            </w:pPr>
            <w:r w:rsidRPr="00E74D94">
              <w:rPr>
                <w:rFonts w:ascii="Calibri" w:hAnsi="Calibri"/>
                <w:b/>
                <w:color w:val="FFFFFF" w:themeColor="background1"/>
                <w:sz w:val="18"/>
                <w:szCs w:val="18"/>
              </w:rPr>
              <w:t>2025</w:t>
            </w:r>
          </w:p>
        </w:tc>
        <w:tc>
          <w:tcPr>
            <w:tcW w:w="1404" w:type="dxa"/>
            <w:shd w:val="clear" w:color="auto" w:fill="4F81BD" w:themeFill="accent1"/>
            <w:tcMar>
              <w:top w:w="29" w:type="dxa"/>
              <w:left w:w="115" w:type="dxa"/>
              <w:bottom w:w="29" w:type="dxa"/>
              <w:right w:w="115" w:type="dxa"/>
            </w:tcMar>
            <w:vAlign w:val="center"/>
          </w:tcPr>
          <w:p w:rsidR="00EA7F32" w:rsidRPr="00E74D94" w:rsidRDefault="00EA7F32" w:rsidP="00AB2C2D">
            <w:pPr>
              <w:keepNext/>
              <w:keepLines/>
              <w:widowControl w:val="0"/>
              <w:spacing w:after="0" w:line="240" w:lineRule="auto"/>
              <w:jc w:val="center"/>
              <w:rPr>
                <w:rFonts w:ascii="Calibri" w:hAnsi="Calibri"/>
                <w:b/>
                <w:color w:val="FFFFFF" w:themeColor="background1"/>
                <w:sz w:val="18"/>
                <w:szCs w:val="18"/>
              </w:rPr>
            </w:pPr>
            <w:r w:rsidRPr="00E74D94">
              <w:rPr>
                <w:rFonts w:ascii="Calibri" w:hAnsi="Calibri"/>
                <w:b/>
                <w:color w:val="FFFFFF" w:themeColor="background1"/>
                <w:sz w:val="18"/>
                <w:szCs w:val="18"/>
              </w:rPr>
              <w:t>2030</w:t>
            </w:r>
          </w:p>
        </w:tc>
        <w:tc>
          <w:tcPr>
            <w:tcW w:w="1404" w:type="dxa"/>
            <w:shd w:val="clear" w:color="auto" w:fill="4F81BD" w:themeFill="accent1"/>
            <w:tcMar>
              <w:top w:w="29" w:type="dxa"/>
              <w:left w:w="115" w:type="dxa"/>
              <w:bottom w:w="29" w:type="dxa"/>
              <w:right w:w="115" w:type="dxa"/>
            </w:tcMar>
            <w:vAlign w:val="center"/>
          </w:tcPr>
          <w:p w:rsidR="00EA7F32" w:rsidRPr="00E74D94" w:rsidRDefault="00EA7F32" w:rsidP="00AB2C2D">
            <w:pPr>
              <w:keepNext/>
              <w:keepLines/>
              <w:widowControl w:val="0"/>
              <w:spacing w:after="0" w:line="240" w:lineRule="auto"/>
              <w:jc w:val="center"/>
              <w:rPr>
                <w:rFonts w:ascii="Calibri" w:hAnsi="Calibri"/>
                <w:b/>
                <w:color w:val="FFFFFF" w:themeColor="background1"/>
                <w:sz w:val="18"/>
                <w:szCs w:val="18"/>
              </w:rPr>
            </w:pPr>
            <w:r w:rsidRPr="00E74D94">
              <w:rPr>
                <w:rFonts w:ascii="Calibri" w:hAnsi="Calibri"/>
                <w:b/>
                <w:color w:val="FFFFFF" w:themeColor="background1"/>
                <w:sz w:val="18"/>
                <w:szCs w:val="18"/>
              </w:rPr>
              <w:t>2025</w:t>
            </w:r>
          </w:p>
        </w:tc>
        <w:tc>
          <w:tcPr>
            <w:tcW w:w="1404" w:type="dxa"/>
            <w:shd w:val="clear" w:color="auto" w:fill="4F81BD" w:themeFill="accent1"/>
            <w:tcMar>
              <w:top w:w="29" w:type="dxa"/>
              <w:left w:w="115" w:type="dxa"/>
              <w:bottom w:w="29" w:type="dxa"/>
              <w:right w:w="115" w:type="dxa"/>
            </w:tcMar>
            <w:vAlign w:val="center"/>
          </w:tcPr>
          <w:p w:rsidR="00EA7F32" w:rsidRPr="00E74D94" w:rsidRDefault="00EA7F32" w:rsidP="00AB2C2D">
            <w:pPr>
              <w:keepNext/>
              <w:keepLines/>
              <w:widowControl w:val="0"/>
              <w:spacing w:after="0" w:line="240" w:lineRule="auto"/>
              <w:jc w:val="center"/>
              <w:rPr>
                <w:rFonts w:ascii="Calibri" w:hAnsi="Calibri"/>
                <w:b/>
                <w:color w:val="FFFFFF" w:themeColor="background1"/>
                <w:sz w:val="18"/>
                <w:szCs w:val="18"/>
              </w:rPr>
            </w:pPr>
            <w:r w:rsidRPr="00E74D94">
              <w:rPr>
                <w:rFonts w:ascii="Calibri" w:hAnsi="Calibri"/>
                <w:b/>
                <w:color w:val="FFFFFF" w:themeColor="background1"/>
                <w:sz w:val="18"/>
                <w:szCs w:val="18"/>
              </w:rPr>
              <w:t>2030</w:t>
            </w:r>
          </w:p>
        </w:tc>
      </w:tr>
      <w:tr w:rsidR="002C61F3" w:rsidRPr="00BC66E3" w:rsidTr="002C61F3">
        <w:trPr>
          <w:jc w:val="center"/>
        </w:trPr>
        <w:tc>
          <w:tcPr>
            <w:tcW w:w="1986" w:type="dxa"/>
            <w:shd w:val="clear" w:color="auto" w:fill="auto"/>
            <w:tcMar>
              <w:top w:w="29" w:type="dxa"/>
              <w:left w:w="115" w:type="dxa"/>
              <w:bottom w:w="29" w:type="dxa"/>
              <w:right w:w="115" w:type="dxa"/>
            </w:tcMar>
            <w:vAlign w:val="center"/>
          </w:tcPr>
          <w:p w:rsidR="00EA7F32" w:rsidRPr="00BC66E3" w:rsidRDefault="00EA7F32" w:rsidP="00AB2C2D">
            <w:pPr>
              <w:keepNext/>
              <w:keepLines/>
              <w:widowControl w:val="0"/>
              <w:spacing w:after="0" w:line="240" w:lineRule="auto"/>
              <w:rPr>
                <w:rFonts w:ascii="Calibri" w:hAnsi="Calibri"/>
                <w:b/>
                <w:sz w:val="18"/>
                <w:szCs w:val="18"/>
              </w:rPr>
            </w:pPr>
            <w:r w:rsidRPr="00BC66E3">
              <w:rPr>
                <w:rFonts w:ascii="Calibri" w:hAnsi="Calibri"/>
                <w:b/>
                <w:sz w:val="18"/>
                <w:szCs w:val="18"/>
              </w:rPr>
              <w:t>Capacity (MW)</w:t>
            </w:r>
          </w:p>
        </w:tc>
        <w:tc>
          <w:tcPr>
            <w:tcW w:w="1403" w:type="dxa"/>
            <w:shd w:val="clear" w:color="auto" w:fill="auto"/>
            <w:tcMar>
              <w:top w:w="29" w:type="dxa"/>
              <w:left w:w="115" w:type="dxa"/>
              <w:bottom w:w="29" w:type="dxa"/>
              <w:right w:w="115" w:type="dxa"/>
            </w:tcMar>
            <w:vAlign w:val="center"/>
          </w:tcPr>
          <w:p w:rsidR="00EA7F32" w:rsidRPr="00BC66E3" w:rsidRDefault="00EA7F32" w:rsidP="00AB2C2D">
            <w:pPr>
              <w:keepNext/>
              <w:keepLines/>
              <w:widowControl w:val="0"/>
              <w:spacing w:after="0" w:line="240" w:lineRule="auto"/>
              <w:jc w:val="center"/>
              <w:rPr>
                <w:rFonts w:ascii="Calibri" w:hAnsi="Calibri"/>
                <w:bCs/>
                <w:sz w:val="18"/>
                <w:szCs w:val="18"/>
              </w:rPr>
            </w:pPr>
            <w:r w:rsidRPr="00BC66E3">
              <w:rPr>
                <w:rFonts w:ascii="Calibri" w:hAnsi="Calibri"/>
                <w:bCs/>
                <w:sz w:val="18"/>
                <w:szCs w:val="18"/>
              </w:rPr>
              <w:t>319</w:t>
            </w:r>
          </w:p>
        </w:tc>
        <w:tc>
          <w:tcPr>
            <w:tcW w:w="1404" w:type="dxa"/>
            <w:shd w:val="clear" w:color="auto" w:fill="auto"/>
            <w:tcMar>
              <w:top w:w="29" w:type="dxa"/>
              <w:left w:w="115" w:type="dxa"/>
              <w:bottom w:w="29" w:type="dxa"/>
              <w:right w:w="115" w:type="dxa"/>
            </w:tcMar>
            <w:vAlign w:val="center"/>
          </w:tcPr>
          <w:p w:rsidR="00EA7F32" w:rsidRPr="00BC66E3" w:rsidRDefault="00EA7F32" w:rsidP="00AB2C2D">
            <w:pPr>
              <w:keepNext/>
              <w:keepLines/>
              <w:widowControl w:val="0"/>
              <w:spacing w:after="0" w:line="240" w:lineRule="auto"/>
              <w:jc w:val="center"/>
              <w:rPr>
                <w:rFonts w:ascii="Calibri" w:hAnsi="Calibri"/>
                <w:bCs/>
                <w:sz w:val="18"/>
                <w:szCs w:val="18"/>
              </w:rPr>
            </w:pPr>
            <w:r w:rsidRPr="00BC66E3">
              <w:rPr>
                <w:rFonts w:ascii="Calibri" w:hAnsi="Calibri"/>
                <w:bCs/>
                <w:sz w:val="18"/>
                <w:szCs w:val="18"/>
              </w:rPr>
              <w:t>319</w:t>
            </w:r>
          </w:p>
        </w:tc>
        <w:tc>
          <w:tcPr>
            <w:tcW w:w="1404" w:type="dxa"/>
            <w:shd w:val="clear" w:color="auto" w:fill="auto"/>
            <w:tcMar>
              <w:top w:w="29" w:type="dxa"/>
              <w:left w:w="115" w:type="dxa"/>
              <w:bottom w:w="29" w:type="dxa"/>
              <w:right w:w="115" w:type="dxa"/>
            </w:tcMar>
            <w:vAlign w:val="center"/>
          </w:tcPr>
          <w:p w:rsidR="00EA7F32" w:rsidRPr="00BC66E3" w:rsidRDefault="00EA7F32" w:rsidP="00AB2C2D">
            <w:pPr>
              <w:keepNext/>
              <w:keepLines/>
              <w:widowControl w:val="0"/>
              <w:spacing w:after="0" w:line="240" w:lineRule="auto"/>
              <w:jc w:val="center"/>
              <w:rPr>
                <w:rFonts w:ascii="Calibri" w:hAnsi="Calibri"/>
                <w:bCs/>
                <w:sz w:val="18"/>
                <w:szCs w:val="18"/>
              </w:rPr>
            </w:pPr>
            <w:r w:rsidRPr="00BC66E3">
              <w:rPr>
                <w:rFonts w:ascii="Calibri" w:hAnsi="Calibri"/>
                <w:bCs/>
                <w:sz w:val="18"/>
                <w:szCs w:val="18"/>
              </w:rPr>
              <w:t>819</w:t>
            </w:r>
          </w:p>
        </w:tc>
        <w:tc>
          <w:tcPr>
            <w:tcW w:w="1404" w:type="dxa"/>
            <w:shd w:val="clear" w:color="auto" w:fill="auto"/>
            <w:tcMar>
              <w:top w:w="29" w:type="dxa"/>
              <w:left w:w="115" w:type="dxa"/>
              <w:bottom w:w="29" w:type="dxa"/>
              <w:right w:w="115" w:type="dxa"/>
            </w:tcMar>
            <w:vAlign w:val="center"/>
          </w:tcPr>
          <w:p w:rsidR="00EA7F32" w:rsidRPr="00BC66E3" w:rsidRDefault="00EA7F32" w:rsidP="00AB2C2D">
            <w:pPr>
              <w:keepNext/>
              <w:keepLines/>
              <w:widowControl w:val="0"/>
              <w:spacing w:after="0" w:line="240" w:lineRule="auto"/>
              <w:jc w:val="center"/>
              <w:rPr>
                <w:rFonts w:ascii="Calibri" w:hAnsi="Calibri"/>
                <w:bCs/>
                <w:sz w:val="18"/>
                <w:szCs w:val="18"/>
              </w:rPr>
            </w:pPr>
            <w:r w:rsidRPr="00BC66E3">
              <w:rPr>
                <w:rFonts w:ascii="Calibri" w:hAnsi="Calibri"/>
                <w:bCs/>
                <w:sz w:val="18"/>
                <w:szCs w:val="18"/>
              </w:rPr>
              <w:t>1,319</w:t>
            </w:r>
          </w:p>
        </w:tc>
      </w:tr>
      <w:tr w:rsidR="00EA7F32" w:rsidRPr="00BC66E3" w:rsidTr="00BE28CD">
        <w:trPr>
          <w:jc w:val="center"/>
        </w:trPr>
        <w:tc>
          <w:tcPr>
            <w:tcW w:w="1986" w:type="dxa"/>
            <w:shd w:val="clear" w:color="auto" w:fill="DBE5F1" w:themeFill="accent1" w:themeFillTint="33"/>
            <w:tcMar>
              <w:top w:w="29" w:type="dxa"/>
              <w:left w:w="115" w:type="dxa"/>
              <w:bottom w:w="29" w:type="dxa"/>
              <w:right w:w="115" w:type="dxa"/>
            </w:tcMar>
            <w:vAlign w:val="center"/>
          </w:tcPr>
          <w:p w:rsidR="000B6E02" w:rsidRDefault="00EA7F32" w:rsidP="00AB2C2D">
            <w:pPr>
              <w:keepNext/>
              <w:keepLines/>
              <w:widowControl w:val="0"/>
              <w:spacing w:after="0" w:line="240" w:lineRule="auto"/>
              <w:rPr>
                <w:rFonts w:ascii="Calibri" w:hAnsi="Calibri"/>
                <w:b/>
                <w:sz w:val="18"/>
                <w:szCs w:val="18"/>
              </w:rPr>
            </w:pPr>
            <w:r w:rsidRPr="00E74D94">
              <w:rPr>
                <w:rFonts w:ascii="Calibri" w:hAnsi="Calibri"/>
                <w:b/>
                <w:sz w:val="18"/>
                <w:szCs w:val="18"/>
              </w:rPr>
              <w:t>Energy (GWh)</w:t>
            </w:r>
          </w:p>
          <w:p w:rsidR="00E74D94" w:rsidRPr="00E74D94" w:rsidRDefault="00E74D94" w:rsidP="00AB2C2D">
            <w:pPr>
              <w:keepNext/>
              <w:keepLines/>
              <w:widowControl w:val="0"/>
              <w:spacing w:after="0" w:line="240" w:lineRule="auto"/>
              <w:rPr>
                <w:rFonts w:ascii="Calibri" w:hAnsi="Calibri"/>
                <w:b/>
                <w:sz w:val="18"/>
                <w:szCs w:val="18"/>
              </w:rPr>
            </w:pPr>
          </w:p>
          <w:p w:rsidR="00EA7F32" w:rsidRPr="00BC66E3" w:rsidRDefault="00690BED" w:rsidP="00AB2C2D">
            <w:pPr>
              <w:keepNext/>
              <w:keepLines/>
              <w:widowControl w:val="0"/>
              <w:spacing w:after="0" w:line="240" w:lineRule="auto"/>
              <w:rPr>
                <w:rFonts w:ascii="Calibri" w:hAnsi="Calibri"/>
                <w:b/>
                <w:sz w:val="18"/>
                <w:szCs w:val="18"/>
              </w:rPr>
            </w:pPr>
            <w:r w:rsidRPr="00E74D94">
              <w:rPr>
                <w:rFonts w:ascii="Calibri" w:hAnsi="Calibri"/>
                <w:b/>
                <w:sz w:val="18"/>
                <w:szCs w:val="18"/>
              </w:rPr>
              <w:t>Note: S</w:t>
            </w:r>
            <w:r w:rsidR="007034C4" w:rsidRPr="00E74D94">
              <w:rPr>
                <w:rFonts w:ascii="Calibri" w:hAnsi="Calibri"/>
                <w:b/>
                <w:sz w:val="18"/>
                <w:szCs w:val="18"/>
              </w:rPr>
              <w:t xml:space="preserve">ome </w:t>
            </w:r>
            <w:r w:rsidRPr="00E74D94">
              <w:rPr>
                <w:rFonts w:ascii="Calibri" w:hAnsi="Calibri"/>
                <w:b/>
                <w:sz w:val="18"/>
                <w:szCs w:val="18"/>
              </w:rPr>
              <w:t xml:space="preserve">energy production </w:t>
            </w:r>
            <w:r w:rsidR="00E74D94" w:rsidRPr="00E74D94">
              <w:rPr>
                <w:rFonts w:ascii="Calibri" w:hAnsi="Calibri"/>
                <w:b/>
                <w:sz w:val="18"/>
                <w:szCs w:val="18"/>
              </w:rPr>
              <w:t xml:space="preserve">is </w:t>
            </w:r>
            <w:r w:rsidRPr="00E74D94">
              <w:rPr>
                <w:rFonts w:ascii="Calibri" w:hAnsi="Calibri"/>
                <w:b/>
                <w:sz w:val="18"/>
                <w:szCs w:val="18"/>
              </w:rPr>
              <w:t>determined by dispatch price</w:t>
            </w:r>
            <w:r w:rsidR="00E74D94">
              <w:rPr>
                <w:rFonts w:ascii="Calibri" w:hAnsi="Calibri"/>
                <w:b/>
                <w:sz w:val="18"/>
                <w:szCs w:val="18"/>
              </w:rPr>
              <w:t xml:space="preserve"> </w:t>
            </w:r>
            <w:r w:rsidRPr="00E74D94">
              <w:rPr>
                <w:rFonts w:ascii="Calibri" w:hAnsi="Calibri"/>
                <w:b/>
                <w:sz w:val="18"/>
                <w:szCs w:val="18"/>
              </w:rPr>
              <w:t>(</w:t>
            </w:r>
            <w:r w:rsidR="007034C4" w:rsidRPr="00E74D94">
              <w:rPr>
                <w:rFonts w:ascii="Calibri" w:hAnsi="Calibri"/>
                <w:b/>
                <w:sz w:val="18"/>
                <w:szCs w:val="18"/>
              </w:rPr>
              <w:t>$/MWh</w:t>
            </w:r>
            <w:r w:rsidRPr="00E74D94">
              <w:rPr>
                <w:rFonts w:ascii="Calibri" w:hAnsi="Calibri"/>
                <w:b/>
                <w:sz w:val="18"/>
                <w:szCs w:val="18"/>
              </w:rPr>
              <w:t>)</w:t>
            </w:r>
          </w:p>
          <w:p w:rsidR="00A20614" w:rsidRPr="00BC66E3" w:rsidRDefault="00A20614" w:rsidP="00AB2C2D">
            <w:pPr>
              <w:keepNext/>
              <w:keepLines/>
              <w:widowControl w:val="0"/>
              <w:spacing w:after="0" w:line="240" w:lineRule="auto"/>
              <w:rPr>
                <w:rFonts w:ascii="Calibri" w:hAnsi="Calibri"/>
                <w:b/>
                <w:sz w:val="18"/>
                <w:szCs w:val="18"/>
              </w:rPr>
            </w:pPr>
          </w:p>
        </w:tc>
        <w:tc>
          <w:tcPr>
            <w:tcW w:w="1403" w:type="dxa"/>
            <w:shd w:val="clear" w:color="auto" w:fill="DBE5F1" w:themeFill="accent1" w:themeFillTint="33"/>
            <w:tcMar>
              <w:top w:w="29" w:type="dxa"/>
              <w:left w:w="115" w:type="dxa"/>
              <w:bottom w:w="29" w:type="dxa"/>
              <w:right w:w="115" w:type="dxa"/>
            </w:tcMar>
            <w:vAlign w:val="center"/>
          </w:tcPr>
          <w:p w:rsidR="00EA7F32" w:rsidRPr="00BC66E3" w:rsidRDefault="00EA7F32" w:rsidP="00AB2C2D">
            <w:pPr>
              <w:keepNext/>
              <w:keepLines/>
              <w:widowControl w:val="0"/>
              <w:spacing w:after="0" w:line="240" w:lineRule="auto"/>
              <w:rPr>
                <w:rFonts w:ascii="Calibri" w:hAnsi="Calibri"/>
                <w:bCs/>
                <w:sz w:val="18"/>
                <w:szCs w:val="18"/>
              </w:rPr>
            </w:pPr>
            <w:r w:rsidRPr="007034C4">
              <w:rPr>
                <w:rFonts w:ascii="Calibri" w:hAnsi="Calibri"/>
                <w:bCs/>
                <w:sz w:val="18"/>
                <w:szCs w:val="18"/>
              </w:rPr>
              <w:t>1.6</w:t>
            </w:r>
            <w:r w:rsidR="00172BE3">
              <w:rPr>
                <w:rFonts w:ascii="Calibri" w:hAnsi="Calibri"/>
                <w:bCs/>
                <w:sz w:val="18"/>
                <w:szCs w:val="18"/>
              </w:rPr>
              <w:t xml:space="preserve">  GWh</w:t>
            </w:r>
            <w:r w:rsidR="00AB2C2D" w:rsidRPr="00BC66E3">
              <w:rPr>
                <w:rFonts w:ascii="Calibri" w:hAnsi="Calibri"/>
                <w:bCs/>
                <w:sz w:val="18"/>
                <w:szCs w:val="18"/>
              </w:rPr>
              <w:t>,</w:t>
            </w:r>
            <w:r w:rsidRPr="00BC66E3">
              <w:rPr>
                <w:rFonts w:ascii="Calibri" w:hAnsi="Calibri"/>
                <w:bCs/>
                <w:sz w:val="18"/>
                <w:szCs w:val="18"/>
              </w:rPr>
              <w:t xml:space="preserve"> dispatched to shave annual peak</w:t>
            </w:r>
          </w:p>
        </w:tc>
        <w:tc>
          <w:tcPr>
            <w:tcW w:w="1404" w:type="dxa"/>
            <w:shd w:val="clear" w:color="auto" w:fill="DBE5F1" w:themeFill="accent1" w:themeFillTint="33"/>
            <w:tcMar>
              <w:top w:w="29" w:type="dxa"/>
              <w:left w:w="115" w:type="dxa"/>
              <w:bottom w:w="29" w:type="dxa"/>
              <w:right w:w="115" w:type="dxa"/>
            </w:tcMar>
            <w:vAlign w:val="center"/>
          </w:tcPr>
          <w:p w:rsidR="00EA7F32" w:rsidRPr="00BC66E3" w:rsidRDefault="00EA7F32" w:rsidP="00AB2C2D">
            <w:pPr>
              <w:keepNext/>
              <w:keepLines/>
              <w:widowControl w:val="0"/>
              <w:spacing w:after="0" w:line="240" w:lineRule="auto"/>
              <w:rPr>
                <w:rFonts w:ascii="Calibri" w:hAnsi="Calibri"/>
                <w:bCs/>
                <w:sz w:val="18"/>
                <w:szCs w:val="18"/>
              </w:rPr>
            </w:pPr>
            <w:r w:rsidRPr="00E74D94">
              <w:rPr>
                <w:rFonts w:ascii="Calibri" w:hAnsi="Calibri"/>
                <w:bCs/>
                <w:sz w:val="18"/>
                <w:szCs w:val="18"/>
              </w:rPr>
              <w:t>1.6</w:t>
            </w:r>
            <w:r w:rsidR="00172BE3" w:rsidRPr="007A1B20">
              <w:rPr>
                <w:rFonts w:ascii="Calibri" w:hAnsi="Calibri"/>
                <w:bCs/>
                <w:sz w:val="18"/>
                <w:szCs w:val="18"/>
              </w:rPr>
              <w:t xml:space="preserve"> GWh</w:t>
            </w:r>
            <w:r w:rsidR="00AB2C2D" w:rsidRPr="00BC66E3">
              <w:rPr>
                <w:rFonts w:ascii="Calibri" w:hAnsi="Calibri"/>
                <w:bCs/>
                <w:sz w:val="18"/>
                <w:szCs w:val="18"/>
              </w:rPr>
              <w:t>,</w:t>
            </w:r>
            <w:r w:rsidRPr="00BC66E3">
              <w:rPr>
                <w:rFonts w:ascii="Calibri" w:hAnsi="Calibri"/>
                <w:bCs/>
                <w:sz w:val="18"/>
                <w:szCs w:val="18"/>
              </w:rPr>
              <w:t xml:space="preserve"> dispatched to shave annual peak</w:t>
            </w:r>
          </w:p>
        </w:tc>
        <w:tc>
          <w:tcPr>
            <w:tcW w:w="1404" w:type="dxa"/>
            <w:shd w:val="clear" w:color="auto" w:fill="DBE5F1" w:themeFill="accent1" w:themeFillTint="33"/>
            <w:tcMar>
              <w:top w:w="29" w:type="dxa"/>
              <w:left w:w="115" w:type="dxa"/>
              <w:bottom w:w="29" w:type="dxa"/>
              <w:right w:w="115" w:type="dxa"/>
            </w:tcMar>
            <w:vAlign w:val="center"/>
          </w:tcPr>
          <w:p w:rsidR="00EA7F32" w:rsidRPr="00BC66E3" w:rsidRDefault="00EA7F32" w:rsidP="00AB2C2D">
            <w:pPr>
              <w:keepNext/>
              <w:keepLines/>
              <w:widowControl w:val="0"/>
              <w:spacing w:after="0" w:line="240" w:lineRule="auto"/>
              <w:rPr>
                <w:rFonts w:ascii="Calibri" w:hAnsi="Calibri"/>
                <w:bCs/>
                <w:sz w:val="18"/>
                <w:szCs w:val="18"/>
              </w:rPr>
            </w:pPr>
            <w:r w:rsidRPr="00BC66E3">
              <w:rPr>
                <w:rFonts w:ascii="Calibri" w:hAnsi="Calibri"/>
                <w:bCs/>
                <w:sz w:val="18"/>
                <w:szCs w:val="18"/>
              </w:rPr>
              <w:t xml:space="preserve">FCA </w:t>
            </w:r>
            <w:r w:rsidR="002C61F3" w:rsidRPr="00BC66E3">
              <w:rPr>
                <w:rFonts w:ascii="Calibri" w:hAnsi="Calibri"/>
                <w:bCs/>
                <w:sz w:val="18"/>
                <w:szCs w:val="18"/>
              </w:rPr>
              <w:t>#</w:t>
            </w:r>
            <w:r w:rsidRPr="00BC66E3">
              <w:rPr>
                <w:rFonts w:ascii="Calibri" w:hAnsi="Calibri"/>
                <w:bCs/>
                <w:sz w:val="18"/>
                <w:szCs w:val="18"/>
              </w:rPr>
              <w:t>10</w:t>
            </w:r>
            <w:r w:rsidR="00AB2C2D" w:rsidRPr="00BC66E3">
              <w:rPr>
                <w:rFonts w:ascii="Calibri" w:hAnsi="Calibri"/>
                <w:bCs/>
                <w:sz w:val="18"/>
                <w:szCs w:val="18"/>
              </w:rPr>
              <w:t xml:space="preserve"> </w:t>
            </w:r>
            <w:r w:rsidR="00AB2C2D" w:rsidRPr="00BE28CD">
              <w:rPr>
                <w:rFonts w:ascii="Calibri" w:hAnsi="Calibri"/>
                <w:bCs/>
                <w:sz w:val="18"/>
                <w:szCs w:val="18"/>
              </w:rPr>
              <w:t>results</w:t>
            </w:r>
            <w:r w:rsidR="00172BE3">
              <w:rPr>
                <w:rFonts w:ascii="Calibri" w:hAnsi="Calibri"/>
                <w:bCs/>
                <w:sz w:val="18"/>
                <w:szCs w:val="18"/>
              </w:rPr>
              <w:t xml:space="preserve"> (319 MW)</w:t>
            </w:r>
            <w:r w:rsidRPr="00DF0DCE">
              <w:rPr>
                <w:rFonts w:ascii="Calibri" w:hAnsi="Calibri"/>
                <w:bCs/>
                <w:sz w:val="18"/>
                <w:szCs w:val="18"/>
              </w:rPr>
              <w:t xml:space="preserve"> </w:t>
            </w:r>
            <w:r w:rsidR="00690BED" w:rsidRPr="00A8490C">
              <w:rPr>
                <w:rFonts w:ascii="Calibri" w:hAnsi="Calibri"/>
                <w:bCs/>
                <w:sz w:val="18"/>
                <w:szCs w:val="18"/>
              </w:rPr>
              <w:t xml:space="preserve">dispatched </w:t>
            </w:r>
            <w:r w:rsidRPr="00A8490C">
              <w:rPr>
                <w:rFonts w:ascii="Calibri" w:hAnsi="Calibri"/>
                <w:bCs/>
                <w:sz w:val="18"/>
                <w:szCs w:val="18"/>
              </w:rPr>
              <w:t>based on profile</w:t>
            </w:r>
            <w:r w:rsidR="00172BE3" w:rsidRPr="00A8490C">
              <w:rPr>
                <w:rFonts w:ascii="Calibri" w:hAnsi="Calibri"/>
                <w:bCs/>
                <w:sz w:val="18"/>
                <w:szCs w:val="18"/>
              </w:rPr>
              <w:t>.</w:t>
            </w:r>
            <w:r w:rsidR="00172BE3">
              <w:rPr>
                <w:rFonts w:ascii="Calibri" w:hAnsi="Calibri"/>
                <w:bCs/>
                <w:sz w:val="18"/>
                <w:szCs w:val="18"/>
              </w:rPr>
              <w:t xml:space="preserve"> Additional energy determined by GridView simulations using:</w:t>
            </w:r>
          </w:p>
          <w:p w:rsidR="002C61F3" w:rsidRPr="00BC66E3" w:rsidRDefault="002C61F3" w:rsidP="00AB2C2D">
            <w:pPr>
              <w:keepNext/>
              <w:keepLines/>
              <w:widowControl w:val="0"/>
              <w:spacing w:after="0" w:line="240" w:lineRule="auto"/>
              <w:rPr>
                <w:rFonts w:ascii="Calibri" w:hAnsi="Calibri"/>
                <w:bCs/>
                <w:sz w:val="18"/>
                <w:szCs w:val="18"/>
              </w:rPr>
            </w:pPr>
          </w:p>
          <w:p w:rsidR="00EA7F32" w:rsidRPr="00BC66E3" w:rsidRDefault="00EA7F32" w:rsidP="00AB2C2D">
            <w:pPr>
              <w:keepNext/>
              <w:keepLines/>
              <w:widowControl w:val="0"/>
              <w:spacing w:after="0" w:line="240" w:lineRule="auto"/>
              <w:rPr>
                <w:rFonts w:ascii="Calibri" w:hAnsi="Calibri"/>
                <w:bCs/>
                <w:sz w:val="18"/>
                <w:szCs w:val="18"/>
              </w:rPr>
            </w:pPr>
            <w:r w:rsidRPr="007034C4">
              <w:rPr>
                <w:rFonts w:ascii="Calibri" w:hAnsi="Calibri"/>
                <w:bCs/>
                <w:sz w:val="18"/>
                <w:szCs w:val="18"/>
              </w:rPr>
              <w:t xml:space="preserve">100 </w:t>
            </w:r>
            <w:r w:rsidRPr="007A1B20">
              <w:rPr>
                <w:rFonts w:ascii="Calibri" w:hAnsi="Calibri"/>
                <w:bCs/>
                <w:sz w:val="18"/>
                <w:szCs w:val="18"/>
              </w:rPr>
              <w:t>MW dispatched at $50/MWh; remainder at $500/MWh</w:t>
            </w:r>
          </w:p>
        </w:tc>
        <w:tc>
          <w:tcPr>
            <w:tcW w:w="1404" w:type="dxa"/>
            <w:shd w:val="clear" w:color="auto" w:fill="DBE5F1" w:themeFill="accent1" w:themeFillTint="33"/>
            <w:tcMar>
              <w:top w:w="29" w:type="dxa"/>
              <w:left w:w="115" w:type="dxa"/>
              <w:bottom w:w="29" w:type="dxa"/>
              <w:right w:w="115" w:type="dxa"/>
            </w:tcMar>
            <w:vAlign w:val="center"/>
          </w:tcPr>
          <w:p w:rsidR="00172BE3" w:rsidRPr="00BC66E3" w:rsidRDefault="00EA7F32" w:rsidP="00172BE3">
            <w:pPr>
              <w:keepNext/>
              <w:keepLines/>
              <w:widowControl w:val="0"/>
              <w:spacing w:after="0" w:line="240" w:lineRule="auto"/>
              <w:rPr>
                <w:rFonts w:ascii="Calibri" w:hAnsi="Calibri"/>
                <w:bCs/>
                <w:sz w:val="18"/>
                <w:szCs w:val="18"/>
              </w:rPr>
            </w:pPr>
            <w:r w:rsidRPr="00BC66E3">
              <w:rPr>
                <w:rFonts w:ascii="Calibri" w:hAnsi="Calibri"/>
                <w:bCs/>
                <w:sz w:val="18"/>
                <w:szCs w:val="18"/>
              </w:rPr>
              <w:t xml:space="preserve">FCA </w:t>
            </w:r>
            <w:r w:rsidR="002C61F3" w:rsidRPr="00BC66E3">
              <w:rPr>
                <w:rFonts w:ascii="Calibri" w:hAnsi="Calibri"/>
                <w:bCs/>
                <w:sz w:val="18"/>
                <w:szCs w:val="18"/>
              </w:rPr>
              <w:t>#</w:t>
            </w:r>
            <w:r w:rsidRPr="00DF0DCE">
              <w:rPr>
                <w:rFonts w:ascii="Calibri" w:hAnsi="Calibri"/>
                <w:bCs/>
                <w:sz w:val="18"/>
                <w:szCs w:val="18"/>
              </w:rPr>
              <w:t>10</w:t>
            </w:r>
            <w:r w:rsidR="00AB2C2D" w:rsidRPr="00DF0DCE">
              <w:rPr>
                <w:rFonts w:ascii="Calibri" w:hAnsi="Calibri"/>
                <w:bCs/>
                <w:sz w:val="18"/>
                <w:szCs w:val="18"/>
              </w:rPr>
              <w:t xml:space="preserve"> </w:t>
            </w:r>
            <w:r w:rsidR="00AB2C2D" w:rsidRPr="007034C4">
              <w:rPr>
                <w:rFonts w:ascii="Calibri" w:hAnsi="Calibri"/>
                <w:bCs/>
                <w:sz w:val="18"/>
                <w:szCs w:val="18"/>
              </w:rPr>
              <w:t>results</w:t>
            </w:r>
            <w:r w:rsidRPr="00DF0DCE">
              <w:rPr>
                <w:rFonts w:ascii="Calibri" w:hAnsi="Calibri"/>
                <w:bCs/>
                <w:sz w:val="18"/>
                <w:szCs w:val="18"/>
              </w:rPr>
              <w:t xml:space="preserve"> </w:t>
            </w:r>
            <w:r w:rsidR="00172BE3">
              <w:rPr>
                <w:rFonts w:ascii="Calibri" w:hAnsi="Calibri"/>
                <w:bCs/>
                <w:sz w:val="18"/>
                <w:szCs w:val="18"/>
              </w:rPr>
              <w:t>(</w:t>
            </w:r>
            <w:r w:rsidR="00172BE3" w:rsidRPr="00A8490C">
              <w:rPr>
                <w:rFonts w:ascii="Calibri" w:hAnsi="Calibri"/>
                <w:bCs/>
                <w:sz w:val="18"/>
                <w:szCs w:val="18"/>
              </w:rPr>
              <w:t>319 MW)</w:t>
            </w:r>
            <w:r w:rsidR="00BE28CD" w:rsidRPr="00A8490C">
              <w:rPr>
                <w:rFonts w:ascii="Calibri" w:hAnsi="Calibri"/>
                <w:bCs/>
                <w:sz w:val="18"/>
                <w:szCs w:val="18"/>
              </w:rPr>
              <w:t xml:space="preserve"> </w:t>
            </w:r>
            <w:r w:rsidR="00690BED" w:rsidRPr="00A8490C">
              <w:rPr>
                <w:rFonts w:ascii="Calibri" w:hAnsi="Calibri"/>
                <w:bCs/>
                <w:sz w:val="18"/>
                <w:szCs w:val="18"/>
              </w:rPr>
              <w:t xml:space="preserve">dispatched </w:t>
            </w:r>
            <w:r w:rsidR="00D96938" w:rsidRPr="00A8490C">
              <w:rPr>
                <w:rFonts w:ascii="Calibri" w:hAnsi="Calibri"/>
                <w:bCs/>
                <w:sz w:val="18"/>
                <w:szCs w:val="18"/>
              </w:rPr>
              <w:t xml:space="preserve">based on </w:t>
            </w:r>
            <w:r w:rsidRPr="00A8490C">
              <w:rPr>
                <w:rFonts w:ascii="Calibri" w:hAnsi="Calibri"/>
                <w:bCs/>
                <w:sz w:val="18"/>
                <w:szCs w:val="18"/>
              </w:rPr>
              <w:t>profile</w:t>
            </w:r>
            <w:r w:rsidR="00172BE3" w:rsidRPr="00A8490C">
              <w:rPr>
                <w:rFonts w:ascii="Calibri" w:hAnsi="Calibri"/>
                <w:bCs/>
                <w:sz w:val="18"/>
                <w:szCs w:val="18"/>
              </w:rPr>
              <w:t>.</w:t>
            </w:r>
            <w:r w:rsidR="00172BE3">
              <w:rPr>
                <w:rFonts w:ascii="Calibri" w:hAnsi="Calibri"/>
                <w:bCs/>
                <w:sz w:val="18"/>
                <w:szCs w:val="18"/>
              </w:rPr>
              <w:t xml:space="preserve"> Additional energy determined by GridView simulations using:</w:t>
            </w:r>
          </w:p>
          <w:p w:rsidR="002C61F3" w:rsidRPr="00BC66E3" w:rsidRDefault="00172BE3" w:rsidP="00AB2C2D">
            <w:pPr>
              <w:keepNext/>
              <w:keepLines/>
              <w:widowControl w:val="0"/>
              <w:spacing w:after="0" w:line="240" w:lineRule="auto"/>
              <w:rPr>
                <w:rFonts w:ascii="Calibri" w:hAnsi="Calibri"/>
                <w:bCs/>
                <w:sz w:val="18"/>
                <w:szCs w:val="18"/>
              </w:rPr>
            </w:pPr>
            <w:r>
              <w:rPr>
                <w:rFonts w:ascii="Calibri" w:hAnsi="Calibri"/>
                <w:bCs/>
                <w:sz w:val="18"/>
                <w:szCs w:val="18"/>
              </w:rPr>
              <w:t xml:space="preserve"> </w:t>
            </w:r>
          </w:p>
          <w:p w:rsidR="00EA7F32" w:rsidRPr="00BC66E3" w:rsidRDefault="00EA7F32" w:rsidP="00AB2C2D">
            <w:pPr>
              <w:keepNext/>
              <w:keepLines/>
              <w:widowControl w:val="0"/>
              <w:spacing w:after="0" w:line="240" w:lineRule="auto"/>
              <w:rPr>
                <w:rFonts w:ascii="Calibri" w:hAnsi="Calibri"/>
                <w:bCs/>
                <w:sz w:val="18"/>
                <w:szCs w:val="18"/>
              </w:rPr>
            </w:pPr>
            <w:r w:rsidRPr="00E8145C">
              <w:rPr>
                <w:rFonts w:ascii="Calibri" w:hAnsi="Calibri"/>
                <w:bCs/>
                <w:sz w:val="18"/>
                <w:szCs w:val="18"/>
              </w:rPr>
              <w:t xml:space="preserve">200 </w:t>
            </w:r>
            <w:r w:rsidRPr="00E74D94">
              <w:rPr>
                <w:rFonts w:ascii="Calibri" w:hAnsi="Calibri"/>
                <w:bCs/>
                <w:sz w:val="18"/>
                <w:szCs w:val="18"/>
              </w:rPr>
              <w:t>MW</w:t>
            </w:r>
            <w:r w:rsidRPr="007A1B20">
              <w:rPr>
                <w:rFonts w:ascii="Calibri" w:hAnsi="Calibri"/>
                <w:bCs/>
                <w:sz w:val="18"/>
                <w:szCs w:val="18"/>
              </w:rPr>
              <w:t xml:space="preserve"> dispatched at $50/</w:t>
            </w:r>
            <w:r w:rsidRPr="00E74D94">
              <w:rPr>
                <w:rFonts w:ascii="Calibri" w:hAnsi="Calibri"/>
                <w:bCs/>
                <w:sz w:val="18"/>
                <w:szCs w:val="18"/>
              </w:rPr>
              <w:t>MWh;</w:t>
            </w:r>
            <w:r w:rsidRPr="007A1B20">
              <w:rPr>
                <w:rFonts w:ascii="Calibri" w:hAnsi="Calibri"/>
                <w:bCs/>
                <w:sz w:val="18"/>
                <w:szCs w:val="18"/>
              </w:rPr>
              <w:t xml:space="preserve"> remainder at $500/</w:t>
            </w:r>
            <w:r w:rsidRPr="00E74D94">
              <w:rPr>
                <w:rFonts w:ascii="Calibri" w:hAnsi="Calibri"/>
                <w:bCs/>
                <w:sz w:val="18"/>
                <w:szCs w:val="18"/>
              </w:rPr>
              <w:t>MWh</w:t>
            </w:r>
          </w:p>
        </w:tc>
      </w:tr>
    </w:tbl>
    <w:p w:rsidR="00EA7F32" w:rsidRPr="00B30376" w:rsidRDefault="00EA7F32" w:rsidP="00902496"/>
    <w:p w:rsidR="00FA3CDD" w:rsidRPr="00304756" w:rsidRDefault="00FA3CDD" w:rsidP="00AF716F">
      <w:pPr>
        <w:pStyle w:val="Heading3"/>
      </w:pPr>
      <w:bookmarkStart w:id="141" w:name="_Toc486405984"/>
      <w:r w:rsidRPr="00304756">
        <w:t xml:space="preserve">New England </w:t>
      </w:r>
      <w:r w:rsidR="00424EA8" w:rsidRPr="00304756">
        <w:t>Hydro</w:t>
      </w:r>
      <w:r w:rsidR="00A10C4B">
        <w:t>electric</w:t>
      </w:r>
      <w:r w:rsidR="00424EA8" w:rsidRPr="00304756">
        <w:t xml:space="preserve"> Generation</w:t>
      </w:r>
      <w:bookmarkEnd w:id="141"/>
    </w:p>
    <w:p w:rsidR="00FA3CDD" w:rsidRPr="00304756" w:rsidRDefault="00FA3CDD" w:rsidP="00201D25">
      <w:r w:rsidRPr="00304756">
        <w:t xml:space="preserve">The </w:t>
      </w:r>
      <w:r w:rsidR="00CC7F4D" w:rsidRPr="00304756">
        <w:t xml:space="preserve">assumption for </w:t>
      </w:r>
      <w:r w:rsidR="00A37A8D">
        <w:t xml:space="preserve">local </w:t>
      </w:r>
      <w:r w:rsidRPr="00304756">
        <w:t xml:space="preserve">New England hydro generation reflected the average </w:t>
      </w:r>
      <w:r w:rsidR="005F7D29">
        <w:t xml:space="preserve">annual </w:t>
      </w:r>
      <w:r w:rsidR="00A37A8D">
        <w:t>energy production</w:t>
      </w:r>
      <w:r w:rsidR="005F7D29">
        <w:t>. A profile for dispatching the energy was developed to shift the energy generation to the higher load hours.</w:t>
      </w:r>
    </w:p>
    <w:p w:rsidR="00902496" w:rsidRPr="001127B8" w:rsidRDefault="00D85509" w:rsidP="00AF716F">
      <w:pPr>
        <w:pStyle w:val="Heading3"/>
      </w:pPr>
      <w:bookmarkStart w:id="142" w:name="_Ref476903312"/>
      <w:bookmarkStart w:id="143" w:name="_Toc486405985"/>
      <w:r w:rsidRPr="001127B8">
        <w:t xml:space="preserve">Pumped </w:t>
      </w:r>
      <w:r w:rsidR="00902496" w:rsidRPr="001127B8">
        <w:t>Storage</w:t>
      </w:r>
      <w:r w:rsidRPr="001127B8">
        <w:t xml:space="preserve"> and Battery Storage</w:t>
      </w:r>
      <w:bookmarkEnd w:id="142"/>
      <w:bookmarkEnd w:id="143"/>
    </w:p>
    <w:p w:rsidR="00215121" w:rsidRDefault="00A10C4B" w:rsidP="00A0778C">
      <w:r w:rsidRPr="00A10C4B">
        <w:t>Energy storage (pumped storage</w:t>
      </w:r>
      <w:r w:rsidR="00172BE3">
        <w:t xml:space="preserve"> and</w:t>
      </w:r>
      <w:r w:rsidRPr="00A10C4B">
        <w:t xml:space="preserve"> batteries)</w:t>
      </w:r>
      <w:r>
        <w:t xml:space="preserve"> </w:t>
      </w:r>
      <w:r w:rsidRPr="00A10C4B">
        <w:t>levelizes the load</w:t>
      </w:r>
      <w:r>
        <w:t xml:space="preserve">. </w:t>
      </w:r>
      <w:r w:rsidR="00A0778C">
        <w:t xml:space="preserve">Scenarios 1, 2, 4, </w:t>
      </w:r>
      <w:r w:rsidR="007E190C">
        <w:t xml:space="preserve">5, </w:t>
      </w:r>
      <w:r w:rsidR="00A0778C">
        <w:t xml:space="preserve">and </w:t>
      </w:r>
      <w:r w:rsidR="007E190C">
        <w:t>6</w:t>
      </w:r>
      <w:r w:rsidR="00A0778C">
        <w:t xml:space="preserve"> only use existing pumped</w:t>
      </w:r>
      <w:r w:rsidR="00304756">
        <w:t>-</w:t>
      </w:r>
      <w:r w:rsidR="00A0778C">
        <w:t>storage units</w:t>
      </w:r>
      <w:r w:rsidR="00215121">
        <w:t xml:space="preserve">, which </w:t>
      </w:r>
      <w:r w:rsidR="00D30A78">
        <w:t>were</w:t>
      </w:r>
      <w:r w:rsidR="00215121">
        <w:t xml:space="preserve"> dispatched to equalize the daily high and low </w:t>
      </w:r>
      <w:r w:rsidR="00365F6D" w:rsidRPr="00DF0DCE">
        <w:t xml:space="preserve">net </w:t>
      </w:r>
      <w:r w:rsidR="00215121" w:rsidRPr="00DF0DCE">
        <w:t>loads.</w:t>
      </w:r>
      <w:r w:rsidR="00215121">
        <w:t xml:space="preserve"> </w:t>
      </w:r>
      <w:r w:rsidR="00365F6D">
        <w:t>This treatment of p</w:t>
      </w:r>
      <w:r w:rsidR="00215121">
        <w:t xml:space="preserve">umped storage, assumed to have approximately 78% efficiency, </w:t>
      </w:r>
      <w:r w:rsidR="00D30A78">
        <w:t>wa</w:t>
      </w:r>
      <w:r w:rsidR="00215121">
        <w:t xml:space="preserve">s </w:t>
      </w:r>
      <w:r w:rsidR="00A0778C">
        <w:t xml:space="preserve">modeled similar to </w:t>
      </w:r>
      <w:r w:rsidR="00215121">
        <w:t>its treatment in</w:t>
      </w:r>
      <w:r w:rsidR="0081207A">
        <w:t xml:space="preserve"> other economic studies</w:t>
      </w:r>
      <w:r w:rsidR="009E7B29">
        <w:t xml:space="preserve">. </w:t>
      </w:r>
      <w:r w:rsidR="00365F6D">
        <w:t xml:space="preserve"> </w:t>
      </w:r>
    </w:p>
    <w:p w:rsidR="00A0778C" w:rsidRPr="008C58EE" w:rsidRDefault="00A0778C" w:rsidP="00A0778C">
      <w:pPr>
        <w:rPr>
          <w:highlight w:val="yellow"/>
        </w:rPr>
      </w:pPr>
      <w:r>
        <w:t xml:space="preserve">Scenario 3 applies the same </w:t>
      </w:r>
      <w:r w:rsidR="008C58EE">
        <w:t xml:space="preserve">storage </w:t>
      </w:r>
      <w:r>
        <w:t xml:space="preserve">assumptions as Scenarios 1, 2, 4, </w:t>
      </w:r>
      <w:r w:rsidR="007E190C">
        <w:t xml:space="preserve">5, </w:t>
      </w:r>
      <w:r>
        <w:t xml:space="preserve">and </w:t>
      </w:r>
      <w:r w:rsidR="007E190C">
        <w:t>6</w:t>
      </w:r>
      <w:r>
        <w:t xml:space="preserve"> but </w:t>
      </w:r>
      <w:r w:rsidRPr="00DF0DCE">
        <w:t>add</w:t>
      </w:r>
      <w:r w:rsidR="00460EDE" w:rsidRPr="00DF0DCE">
        <w:t>s</w:t>
      </w:r>
      <w:r w:rsidRPr="00DF0DCE">
        <w:t xml:space="preserve"> battery storage totaling 1,200</w:t>
      </w:r>
      <w:r w:rsidR="00460EDE" w:rsidRPr="00DF0DCE">
        <w:t> </w:t>
      </w:r>
      <w:r w:rsidRPr="00DF0DCE">
        <w:t xml:space="preserve">MW in 2025 and 2,500 MW in 2030 </w:t>
      </w:r>
      <w:r w:rsidR="001F6039">
        <w:t xml:space="preserve">with a goal </w:t>
      </w:r>
      <w:r w:rsidRPr="00DF0DCE">
        <w:t xml:space="preserve">to equalize daily high and low </w:t>
      </w:r>
      <w:r w:rsidR="00365F6D" w:rsidRPr="00DF0DCE">
        <w:t xml:space="preserve">net </w:t>
      </w:r>
      <w:r w:rsidRPr="00DF0DCE">
        <w:t>loads.</w:t>
      </w:r>
      <w:r w:rsidRPr="00A0778C">
        <w:t xml:space="preserve"> </w:t>
      </w:r>
      <w:r>
        <w:t xml:space="preserve">Battery storage </w:t>
      </w:r>
      <w:r w:rsidR="00C759F6">
        <w:t>wa</w:t>
      </w:r>
      <w:r>
        <w:t>s assumed to have approximately 90% efficiency</w:t>
      </w:r>
      <w:r w:rsidR="00296C8F">
        <w:t xml:space="preserve"> and was placed in the</w:t>
      </w:r>
      <w:r w:rsidR="00172BE3">
        <w:t xml:space="preserve"> New England</w:t>
      </w:r>
      <w:r w:rsidR="00296C8F">
        <w:t xml:space="preserve"> </w:t>
      </w:r>
      <w:r w:rsidR="001127B8">
        <w:t>H</w:t>
      </w:r>
      <w:r w:rsidR="00296C8F">
        <w:t>ub</w:t>
      </w:r>
      <w:r w:rsidR="00460EDE" w:rsidRPr="00C40A1D">
        <w:t>.</w:t>
      </w:r>
      <w:r w:rsidR="008C58EE">
        <w:t xml:space="preserve"> </w:t>
      </w:r>
      <w:r w:rsidR="008C58EE">
        <w:fldChar w:fldCharType="begin"/>
      </w:r>
      <w:r w:rsidR="008C58EE">
        <w:instrText xml:space="preserve"> REF _Ref462333940 \h </w:instrText>
      </w:r>
      <w:r w:rsidR="008C58EE">
        <w:fldChar w:fldCharType="separate"/>
      </w:r>
      <w:r w:rsidR="00742B49">
        <w:t xml:space="preserve">Table </w:t>
      </w:r>
      <w:r w:rsidR="00742B49">
        <w:rPr>
          <w:noProof/>
        </w:rPr>
        <w:t>5</w:t>
      </w:r>
      <w:r w:rsidR="00742B49">
        <w:noBreakHyphen/>
      </w:r>
      <w:r w:rsidR="00742B49">
        <w:rPr>
          <w:noProof/>
        </w:rPr>
        <w:t>11</w:t>
      </w:r>
      <w:r w:rsidR="008C58EE">
        <w:fldChar w:fldCharType="end"/>
      </w:r>
      <w:r w:rsidR="008C58EE">
        <w:t xml:space="preserve"> shows the battery storage assumptions used for Scenario 3 for both study years.</w:t>
      </w:r>
    </w:p>
    <w:p w:rsidR="008C58EE" w:rsidRDefault="008C58EE" w:rsidP="008C58EE">
      <w:pPr>
        <w:pStyle w:val="Caption"/>
        <w:jc w:val="center"/>
      </w:pPr>
      <w:bookmarkStart w:id="144" w:name="_Ref462333940"/>
      <w:bookmarkStart w:id="145" w:name="_Toc486406025"/>
      <w:r>
        <w:t xml:space="preserve">Table </w:t>
      </w:r>
      <w:fldSimple w:instr=" STYLEREF 1 \s ">
        <w:r w:rsidR="004248FE">
          <w:rPr>
            <w:noProof/>
          </w:rPr>
          <w:t>5</w:t>
        </w:r>
      </w:fldSimple>
      <w:r w:rsidR="004248FE">
        <w:noBreakHyphen/>
      </w:r>
      <w:bookmarkEnd w:id="144"/>
      <w:r w:rsidR="00736DEB">
        <w:t>11</w:t>
      </w:r>
      <w:r>
        <w:br/>
        <w:t>Scenario 3 Battery Storage Assumptions for 2025 and 2030</w:t>
      </w:r>
      <w:bookmarkEnd w:id="1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892"/>
        <w:gridCol w:w="893"/>
      </w:tblGrid>
      <w:tr w:rsidR="00E84202" w:rsidRPr="00E84202" w:rsidTr="00E84202">
        <w:trPr>
          <w:jc w:val="center"/>
        </w:trPr>
        <w:tc>
          <w:tcPr>
            <w:tcW w:w="0" w:type="auto"/>
            <w:shd w:val="clear" w:color="auto" w:fill="4F81BD" w:themeFill="accent1"/>
            <w:tcMar>
              <w:top w:w="29" w:type="dxa"/>
              <w:left w:w="115" w:type="dxa"/>
              <w:bottom w:w="29" w:type="dxa"/>
              <w:right w:w="115" w:type="dxa"/>
            </w:tcMar>
            <w:vAlign w:val="center"/>
          </w:tcPr>
          <w:p w:rsidR="008C58EE" w:rsidRPr="001127B8" w:rsidRDefault="008C58EE" w:rsidP="008C58EE">
            <w:pPr>
              <w:widowControl w:val="0"/>
              <w:spacing w:before="40" w:after="40" w:line="240" w:lineRule="auto"/>
              <w:jc w:val="center"/>
              <w:rPr>
                <w:rFonts w:ascii="Calibri" w:hAnsi="Calibri"/>
                <w:color w:val="FFFFFF" w:themeColor="background1"/>
                <w:sz w:val="18"/>
                <w:szCs w:val="18"/>
              </w:rPr>
            </w:pPr>
            <w:r w:rsidRPr="001127B8">
              <w:rPr>
                <w:rFonts w:ascii="Calibri" w:hAnsi="Calibri"/>
                <w:b/>
                <w:color w:val="FFFFFF" w:themeColor="background1"/>
                <w:sz w:val="18"/>
                <w:szCs w:val="18"/>
              </w:rPr>
              <w:t>Battery Storage</w:t>
            </w:r>
          </w:p>
        </w:tc>
        <w:tc>
          <w:tcPr>
            <w:tcW w:w="892" w:type="dxa"/>
            <w:shd w:val="clear" w:color="auto" w:fill="4F81BD" w:themeFill="accent1"/>
            <w:tcMar>
              <w:top w:w="29" w:type="dxa"/>
              <w:left w:w="115" w:type="dxa"/>
              <w:bottom w:w="29" w:type="dxa"/>
              <w:right w:w="115" w:type="dxa"/>
            </w:tcMar>
            <w:vAlign w:val="center"/>
          </w:tcPr>
          <w:p w:rsidR="008C58EE" w:rsidRPr="001127B8" w:rsidRDefault="008C58EE" w:rsidP="008C58EE">
            <w:pPr>
              <w:widowControl w:val="0"/>
              <w:spacing w:before="40" w:after="40" w:line="240" w:lineRule="auto"/>
              <w:jc w:val="center"/>
              <w:rPr>
                <w:rFonts w:ascii="Calibri" w:hAnsi="Calibri"/>
                <w:color w:val="FFFFFF" w:themeColor="background1"/>
                <w:sz w:val="18"/>
                <w:szCs w:val="18"/>
              </w:rPr>
            </w:pPr>
            <w:r w:rsidRPr="001127B8">
              <w:rPr>
                <w:rFonts w:ascii="Calibri" w:hAnsi="Calibri"/>
                <w:b/>
                <w:color w:val="FFFFFF" w:themeColor="background1"/>
                <w:sz w:val="18"/>
                <w:szCs w:val="18"/>
              </w:rPr>
              <w:t>2025</w:t>
            </w:r>
          </w:p>
        </w:tc>
        <w:tc>
          <w:tcPr>
            <w:tcW w:w="893" w:type="dxa"/>
            <w:shd w:val="clear" w:color="auto" w:fill="4F81BD" w:themeFill="accent1"/>
            <w:tcMar>
              <w:top w:w="29" w:type="dxa"/>
              <w:left w:w="115" w:type="dxa"/>
              <w:bottom w:w="29" w:type="dxa"/>
              <w:right w:w="115" w:type="dxa"/>
            </w:tcMar>
            <w:vAlign w:val="center"/>
          </w:tcPr>
          <w:p w:rsidR="008C58EE" w:rsidRPr="001127B8" w:rsidRDefault="008C58EE" w:rsidP="008C58EE">
            <w:pPr>
              <w:widowControl w:val="0"/>
              <w:spacing w:before="40" w:after="40" w:line="240" w:lineRule="auto"/>
              <w:jc w:val="center"/>
              <w:rPr>
                <w:rFonts w:ascii="Calibri" w:hAnsi="Calibri"/>
                <w:color w:val="FFFFFF" w:themeColor="background1"/>
                <w:sz w:val="18"/>
                <w:szCs w:val="18"/>
              </w:rPr>
            </w:pPr>
            <w:r w:rsidRPr="001127B8">
              <w:rPr>
                <w:rFonts w:ascii="Calibri" w:hAnsi="Calibri"/>
                <w:b/>
                <w:color w:val="FFFFFF" w:themeColor="background1"/>
                <w:sz w:val="18"/>
                <w:szCs w:val="18"/>
              </w:rPr>
              <w:t>2030</w:t>
            </w:r>
          </w:p>
        </w:tc>
      </w:tr>
      <w:tr w:rsidR="00161AB7" w:rsidRPr="008C58EE" w:rsidTr="008C58EE">
        <w:trPr>
          <w:jc w:val="center"/>
        </w:trPr>
        <w:tc>
          <w:tcPr>
            <w:tcW w:w="0" w:type="auto"/>
            <w:shd w:val="clear" w:color="auto" w:fill="auto"/>
            <w:tcMar>
              <w:top w:w="29" w:type="dxa"/>
              <w:left w:w="115" w:type="dxa"/>
              <w:bottom w:w="29" w:type="dxa"/>
              <w:right w:w="115" w:type="dxa"/>
            </w:tcMar>
            <w:vAlign w:val="center"/>
          </w:tcPr>
          <w:p w:rsidR="00161AB7" w:rsidRPr="008C58EE" w:rsidRDefault="00161AB7" w:rsidP="008C58EE">
            <w:pPr>
              <w:widowControl w:val="0"/>
              <w:spacing w:before="40" w:after="40" w:line="240" w:lineRule="auto"/>
              <w:rPr>
                <w:rFonts w:ascii="Calibri" w:hAnsi="Calibri"/>
                <w:b/>
                <w:sz w:val="18"/>
                <w:szCs w:val="18"/>
              </w:rPr>
            </w:pPr>
            <w:r w:rsidRPr="008C58EE">
              <w:rPr>
                <w:rFonts w:ascii="Calibri" w:hAnsi="Calibri"/>
                <w:b/>
                <w:sz w:val="18"/>
                <w:szCs w:val="18"/>
              </w:rPr>
              <w:t>Capacity (MW)</w:t>
            </w:r>
          </w:p>
        </w:tc>
        <w:tc>
          <w:tcPr>
            <w:tcW w:w="892" w:type="dxa"/>
            <w:shd w:val="clear" w:color="auto" w:fill="auto"/>
            <w:tcMar>
              <w:top w:w="29" w:type="dxa"/>
              <w:left w:w="115" w:type="dxa"/>
              <w:bottom w:w="29" w:type="dxa"/>
              <w:right w:w="115" w:type="dxa"/>
            </w:tcMar>
            <w:vAlign w:val="center"/>
          </w:tcPr>
          <w:p w:rsidR="00161AB7" w:rsidRPr="008C58EE" w:rsidRDefault="00161AB7" w:rsidP="008C58EE">
            <w:pPr>
              <w:widowControl w:val="0"/>
              <w:spacing w:before="40" w:after="40" w:line="240" w:lineRule="auto"/>
              <w:jc w:val="center"/>
              <w:rPr>
                <w:rFonts w:ascii="Calibri" w:hAnsi="Calibri"/>
                <w:sz w:val="18"/>
                <w:szCs w:val="18"/>
              </w:rPr>
            </w:pPr>
            <w:r w:rsidRPr="008C58EE">
              <w:rPr>
                <w:rFonts w:ascii="Calibri" w:hAnsi="Calibri"/>
                <w:sz w:val="18"/>
                <w:szCs w:val="18"/>
              </w:rPr>
              <w:t>1,200</w:t>
            </w:r>
          </w:p>
        </w:tc>
        <w:tc>
          <w:tcPr>
            <w:tcW w:w="893" w:type="dxa"/>
            <w:shd w:val="clear" w:color="auto" w:fill="auto"/>
            <w:tcMar>
              <w:top w:w="29" w:type="dxa"/>
              <w:left w:w="115" w:type="dxa"/>
              <w:bottom w:w="29" w:type="dxa"/>
              <w:right w:w="115" w:type="dxa"/>
            </w:tcMar>
            <w:vAlign w:val="center"/>
          </w:tcPr>
          <w:p w:rsidR="00161AB7" w:rsidRPr="008C58EE" w:rsidRDefault="00161AB7" w:rsidP="008C58EE">
            <w:pPr>
              <w:widowControl w:val="0"/>
              <w:spacing w:before="40" w:after="40" w:line="240" w:lineRule="auto"/>
              <w:jc w:val="center"/>
              <w:rPr>
                <w:rFonts w:ascii="Calibri" w:hAnsi="Calibri"/>
                <w:sz w:val="18"/>
                <w:szCs w:val="18"/>
              </w:rPr>
            </w:pPr>
            <w:r w:rsidRPr="008C58EE">
              <w:rPr>
                <w:rFonts w:ascii="Calibri" w:hAnsi="Calibri"/>
                <w:sz w:val="18"/>
                <w:szCs w:val="18"/>
              </w:rPr>
              <w:t>2,500</w:t>
            </w:r>
          </w:p>
        </w:tc>
      </w:tr>
      <w:tr w:rsidR="00161AB7" w:rsidRPr="008C58EE" w:rsidTr="001127B8">
        <w:trPr>
          <w:jc w:val="center"/>
        </w:trPr>
        <w:tc>
          <w:tcPr>
            <w:tcW w:w="0" w:type="auto"/>
            <w:shd w:val="clear" w:color="auto" w:fill="DBE5F1" w:themeFill="accent1" w:themeFillTint="33"/>
            <w:tcMar>
              <w:top w:w="29" w:type="dxa"/>
              <w:left w:w="115" w:type="dxa"/>
              <w:bottom w:w="29" w:type="dxa"/>
              <w:right w:w="115" w:type="dxa"/>
            </w:tcMar>
            <w:vAlign w:val="center"/>
          </w:tcPr>
          <w:p w:rsidR="00161AB7" w:rsidRPr="008C58EE" w:rsidRDefault="00161AB7" w:rsidP="008C58EE">
            <w:pPr>
              <w:widowControl w:val="0"/>
              <w:spacing w:before="40" w:after="40" w:line="240" w:lineRule="auto"/>
              <w:rPr>
                <w:rFonts w:ascii="Calibri" w:hAnsi="Calibri"/>
                <w:b/>
                <w:sz w:val="18"/>
                <w:szCs w:val="18"/>
              </w:rPr>
            </w:pPr>
            <w:r w:rsidRPr="008C58EE">
              <w:rPr>
                <w:rFonts w:ascii="Calibri" w:hAnsi="Calibri"/>
                <w:b/>
                <w:sz w:val="18"/>
                <w:szCs w:val="18"/>
              </w:rPr>
              <w:t>Discharge time (hr)</w:t>
            </w:r>
          </w:p>
        </w:tc>
        <w:tc>
          <w:tcPr>
            <w:tcW w:w="892" w:type="dxa"/>
            <w:shd w:val="clear" w:color="auto" w:fill="DBE5F1" w:themeFill="accent1" w:themeFillTint="33"/>
            <w:tcMar>
              <w:top w:w="29" w:type="dxa"/>
              <w:left w:w="115" w:type="dxa"/>
              <w:bottom w:w="29" w:type="dxa"/>
              <w:right w:w="115" w:type="dxa"/>
            </w:tcMar>
            <w:vAlign w:val="center"/>
          </w:tcPr>
          <w:p w:rsidR="00161AB7" w:rsidRPr="008C58EE" w:rsidRDefault="00161AB7" w:rsidP="008C58EE">
            <w:pPr>
              <w:widowControl w:val="0"/>
              <w:spacing w:before="40" w:after="40" w:line="240" w:lineRule="auto"/>
              <w:jc w:val="center"/>
              <w:rPr>
                <w:rFonts w:ascii="Calibri" w:hAnsi="Calibri"/>
                <w:sz w:val="18"/>
                <w:szCs w:val="18"/>
              </w:rPr>
            </w:pPr>
            <w:r w:rsidRPr="008C58EE">
              <w:rPr>
                <w:rFonts w:ascii="Calibri" w:hAnsi="Calibri"/>
                <w:sz w:val="18"/>
                <w:szCs w:val="18"/>
              </w:rPr>
              <w:t>4</w:t>
            </w:r>
          </w:p>
        </w:tc>
        <w:tc>
          <w:tcPr>
            <w:tcW w:w="893" w:type="dxa"/>
            <w:shd w:val="clear" w:color="auto" w:fill="DBE5F1" w:themeFill="accent1" w:themeFillTint="33"/>
            <w:tcMar>
              <w:top w:w="29" w:type="dxa"/>
              <w:left w:w="115" w:type="dxa"/>
              <w:bottom w:w="29" w:type="dxa"/>
              <w:right w:w="115" w:type="dxa"/>
            </w:tcMar>
            <w:vAlign w:val="center"/>
          </w:tcPr>
          <w:p w:rsidR="00161AB7" w:rsidRPr="008C58EE" w:rsidRDefault="00161AB7" w:rsidP="008C58EE">
            <w:pPr>
              <w:widowControl w:val="0"/>
              <w:spacing w:before="40" w:after="40" w:line="240" w:lineRule="auto"/>
              <w:jc w:val="center"/>
              <w:rPr>
                <w:rFonts w:ascii="Calibri" w:hAnsi="Calibri"/>
                <w:sz w:val="18"/>
                <w:szCs w:val="18"/>
              </w:rPr>
            </w:pPr>
            <w:r w:rsidRPr="008C58EE">
              <w:rPr>
                <w:rFonts w:ascii="Calibri" w:hAnsi="Calibri"/>
                <w:sz w:val="18"/>
                <w:szCs w:val="18"/>
              </w:rPr>
              <w:t>4</w:t>
            </w:r>
          </w:p>
        </w:tc>
      </w:tr>
      <w:tr w:rsidR="00161AB7" w:rsidRPr="008C58EE" w:rsidTr="008C58EE">
        <w:trPr>
          <w:jc w:val="center"/>
        </w:trPr>
        <w:tc>
          <w:tcPr>
            <w:tcW w:w="0" w:type="auto"/>
            <w:shd w:val="clear" w:color="auto" w:fill="auto"/>
            <w:tcMar>
              <w:top w:w="29" w:type="dxa"/>
              <w:left w:w="115" w:type="dxa"/>
              <w:bottom w:w="29" w:type="dxa"/>
              <w:right w:w="115" w:type="dxa"/>
            </w:tcMar>
            <w:vAlign w:val="center"/>
          </w:tcPr>
          <w:p w:rsidR="00161AB7" w:rsidRPr="008C58EE" w:rsidRDefault="00161AB7" w:rsidP="008C58EE">
            <w:pPr>
              <w:widowControl w:val="0"/>
              <w:spacing w:before="40" w:after="40" w:line="240" w:lineRule="auto"/>
              <w:rPr>
                <w:rFonts w:ascii="Calibri" w:hAnsi="Calibri"/>
                <w:b/>
                <w:sz w:val="18"/>
                <w:szCs w:val="18"/>
              </w:rPr>
            </w:pPr>
            <w:r w:rsidRPr="008C58EE">
              <w:rPr>
                <w:rFonts w:ascii="Calibri" w:hAnsi="Calibri"/>
                <w:b/>
                <w:sz w:val="18"/>
                <w:szCs w:val="18"/>
              </w:rPr>
              <w:t>Recharge time (hr)</w:t>
            </w:r>
          </w:p>
        </w:tc>
        <w:tc>
          <w:tcPr>
            <w:tcW w:w="892" w:type="dxa"/>
            <w:shd w:val="clear" w:color="auto" w:fill="auto"/>
            <w:tcMar>
              <w:top w:w="29" w:type="dxa"/>
              <w:left w:w="115" w:type="dxa"/>
              <w:bottom w:w="29" w:type="dxa"/>
              <w:right w:w="115" w:type="dxa"/>
            </w:tcMar>
            <w:vAlign w:val="center"/>
          </w:tcPr>
          <w:p w:rsidR="00161AB7" w:rsidRPr="008C58EE" w:rsidRDefault="00161AB7" w:rsidP="008C58EE">
            <w:pPr>
              <w:widowControl w:val="0"/>
              <w:spacing w:before="40" w:after="40" w:line="240" w:lineRule="auto"/>
              <w:jc w:val="center"/>
              <w:rPr>
                <w:rFonts w:ascii="Calibri" w:hAnsi="Calibri"/>
                <w:sz w:val="18"/>
                <w:szCs w:val="18"/>
              </w:rPr>
            </w:pPr>
            <w:r w:rsidRPr="008C58EE">
              <w:rPr>
                <w:rFonts w:ascii="Calibri" w:hAnsi="Calibri"/>
                <w:sz w:val="18"/>
                <w:szCs w:val="18"/>
              </w:rPr>
              <w:t>1 to 4</w:t>
            </w:r>
          </w:p>
        </w:tc>
        <w:tc>
          <w:tcPr>
            <w:tcW w:w="893" w:type="dxa"/>
            <w:shd w:val="clear" w:color="auto" w:fill="auto"/>
            <w:tcMar>
              <w:top w:w="29" w:type="dxa"/>
              <w:left w:w="115" w:type="dxa"/>
              <w:bottom w:w="29" w:type="dxa"/>
              <w:right w:w="115" w:type="dxa"/>
            </w:tcMar>
            <w:vAlign w:val="center"/>
          </w:tcPr>
          <w:p w:rsidR="00161AB7" w:rsidRPr="008C58EE" w:rsidRDefault="00161AB7" w:rsidP="008C58EE">
            <w:pPr>
              <w:widowControl w:val="0"/>
              <w:spacing w:before="40" w:after="40" w:line="240" w:lineRule="auto"/>
              <w:jc w:val="center"/>
              <w:rPr>
                <w:rFonts w:ascii="Calibri" w:hAnsi="Calibri"/>
                <w:sz w:val="18"/>
                <w:szCs w:val="18"/>
              </w:rPr>
            </w:pPr>
            <w:r w:rsidRPr="008C58EE">
              <w:rPr>
                <w:rFonts w:ascii="Calibri" w:hAnsi="Calibri"/>
                <w:sz w:val="18"/>
                <w:szCs w:val="18"/>
              </w:rPr>
              <w:t>1 to 4</w:t>
            </w:r>
          </w:p>
        </w:tc>
      </w:tr>
      <w:tr w:rsidR="00161AB7" w:rsidRPr="008C58EE" w:rsidTr="001127B8">
        <w:trPr>
          <w:jc w:val="center"/>
        </w:trPr>
        <w:tc>
          <w:tcPr>
            <w:tcW w:w="0" w:type="auto"/>
            <w:shd w:val="clear" w:color="auto" w:fill="DBE5F1" w:themeFill="accent1" w:themeFillTint="33"/>
            <w:tcMar>
              <w:top w:w="29" w:type="dxa"/>
              <w:left w:w="115" w:type="dxa"/>
              <w:bottom w:w="29" w:type="dxa"/>
              <w:right w:w="115" w:type="dxa"/>
            </w:tcMar>
            <w:vAlign w:val="center"/>
          </w:tcPr>
          <w:p w:rsidR="00161AB7" w:rsidRPr="008C58EE" w:rsidRDefault="00161AB7" w:rsidP="008C58EE">
            <w:pPr>
              <w:widowControl w:val="0"/>
              <w:spacing w:before="40" w:after="40" w:line="240" w:lineRule="auto"/>
              <w:rPr>
                <w:rFonts w:ascii="Calibri" w:hAnsi="Calibri"/>
                <w:b/>
                <w:sz w:val="18"/>
                <w:szCs w:val="18"/>
              </w:rPr>
            </w:pPr>
            <w:r w:rsidRPr="008C58EE">
              <w:rPr>
                <w:rFonts w:ascii="Calibri" w:hAnsi="Calibri"/>
                <w:b/>
                <w:sz w:val="18"/>
                <w:szCs w:val="18"/>
              </w:rPr>
              <w:t>Round-trip efficiency (%)</w:t>
            </w:r>
          </w:p>
        </w:tc>
        <w:tc>
          <w:tcPr>
            <w:tcW w:w="892" w:type="dxa"/>
            <w:shd w:val="clear" w:color="auto" w:fill="DBE5F1" w:themeFill="accent1" w:themeFillTint="33"/>
            <w:tcMar>
              <w:top w:w="29" w:type="dxa"/>
              <w:left w:w="115" w:type="dxa"/>
              <w:bottom w:w="29" w:type="dxa"/>
              <w:right w:w="115" w:type="dxa"/>
            </w:tcMar>
            <w:vAlign w:val="center"/>
          </w:tcPr>
          <w:p w:rsidR="00161AB7" w:rsidRPr="008C58EE" w:rsidRDefault="00161AB7" w:rsidP="008C58EE">
            <w:pPr>
              <w:widowControl w:val="0"/>
              <w:spacing w:before="40" w:after="40" w:line="240" w:lineRule="auto"/>
              <w:jc w:val="center"/>
              <w:rPr>
                <w:rFonts w:ascii="Calibri" w:hAnsi="Calibri"/>
                <w:sz w:val="18"/>
                <w:szCs w:val="18"/>
              </w:rPr>
            </w:pPr>
            <w:r w:rsidRPr="008C58EE">
              <w:rPr>
                <w:rFonts w:ascii="Calibri" w:hAnsi="Calibri"/>
                <w:sz w:val="18"/>
                <w:szCs w:val="18"/>
              </w:rPr>
              <w:t>90%</w:t>
            </w:r>
          </w:p>
        </w:tc>
        <w:tc>
          <w:tcPr>
            <w:tcW w:w="893" w:type="dxa"/>
            <w:shd w:val="clear" w:color="auto" w:fill="DBE5F1" w:themeFill="accent1" w:themeFillTint="33"/>
            <w:tcMar>
              <w:top w:w="29" w:type="dxa"/>
              <w:left w:w="115" w:type="dxa"/>
              <w:bottom w:w="29" w:type="dxa"/>
              <w:right w:w="115" w:type="dxa"/>
            </w:tcMar>
            <w:vAlign w:val="center"/>
          </w:tcPr>
          <w:p w:rsidR="00161AB7" w:rsidRPr="008C58EE" w:rsidRDefault="00161AB7" w:rsidP="008C58EE">
            <w:pPr>
              <w:widowControl w:val="0"/>
              <w:spacing w:before="40" w:after="40" w:line="240" w:lineRule="auto"/>
              <w:jc w:val="center"/>
              <w:rPr>
                <w:rFonts w:ascii="Calibri" w:hAnsi="Calibri"/>
                <w:sz w:val="18"/>
                <w:szCs w:val="18"/>
              </w:rPr>
            </w:pPr>
            <w:r w:rsidRPr="008C58EE">
              <w:rPr>
                <w:rFonts w:ascii="Calibri" w:hAnsi="Calibri"/>
                <w:sz w:val="18"/>
                <w:szCs w:val="18"/>
              </w:rPr>
              <w:t>90%</w:t>
            </w:r>
          </w:p>
        </w:tc>
      </w:tr>
    </w:tbl>
    <w:p w:rsidR="00161AB7" w:rsidRDefault="00161AB7" w:rsidP="00A0778C"/>
    <w:p w:rsidR="00DE7399" w:rsidRPr="00D70B5D" w:rsidRDefault="00225933" w:rsidP="00BE28CD">
      <w:pPr>
        <w:pStyle w:val="Heading3"/>
      </w:pPr>
      <w:bookmarkStart w:id="146" w:name="_Toc486405986"/>
      <w:bookmarkStart w:id="147" w:name="_Ref487203787"/>
      <w:bookmarkStart w:id="148" w:name="_Ref483919002"/>
      <w:r w:rsidRPr="00D70B5D">
        <w:lastRenderedPageBreak/>
        <w:t xml:space="preserve">Transmission Interface </w:t>
      </w:r>
      <w:r w:rsidR="003E0EAE" w:rsidRPr="00D70B5D">
        <w:t>Limits</w:t>
      </w:r>
      <w:r w:rsidR="009D011D" w:rsidRPr="00D70B5D">
        <w:t xml:space="preserve"> </w:t>
      </w:r>
      <w:r w:rsidR="001D67C5" w:rsidRPr="00D70B5D">
        <w:t>and</w:t>
      </w:r>
      <w:r w:rsidR="009D011D" w:rsidRPr="00D70B5D">
        <w:t xml:space="preserve"> Interchanges with Neighboring Systems</w:t>
      </w:r>
      <w:bookmarkEnd w:id="146"/>
      <w:bookmarkEnd w:id="147"/>
      <w:r w:rsidR="00642A08" w:rsidRPr="00D70B5D">
        <w:t xml:space="preserve"> </w:t>
      </w:r>
      <w:bookmarkEnd w:id="148"/>
    </w:p>
    <w:p w:rsidR="00EA1571" w:rsidRDefault="00FF5ADE" w:rsidP="00FF5ADE">
      <w:r w:rsidRPr="00D70B5D">
        <w:t>This section summarizes the assumptions covering internal and external interfaces.</w:t>
      </w:r>
    </w:p>
    <w:p w:rsidR="00A516E7" w:rsidRPr="0097425C" w:rsidRDefault="00A516E7" w:rsidP="0097425C">
      <w:pPr>
        <w:pStyle w:val="Heading4"/>
      </w:pPr>
      <w:r w:rsidRPr="0097425C">
        <w:t>Internal Interfaces</w:t>
      </w:r>
    </w:p>
    <w:p w:rsidR="00F56EF3" w:rsidRDefault="00F56EF3" w:rsidP="00C16903">
      <w:r>
        <w:t>T</w:t>
      </w:r>
      <w:r w:rsidRPr="00DE7C49">
        <w:t xml:space="preserve">he system’s internal transfer limits </w:t>
      </w:r>
      <w:r>
        <w:t xml:space="preserve">were </w:t>
      </w:r>
      <w:r w:rsidRPr="00DE7C49">
        <w:t xml:space="preserve">used to </w:t>
      </w:r>
      <w:r w:rsidR="009A7155">
        <w:t>constrain</w:t>
      </w:r>
      <w:r w:rsidRPr="00DE7C49">
        <w:t xml:space="preserve"> economic dispatch in the GridView program. </w:t>
      </w:r>
      <w:r>
        <w:t>The</w:t>
      </w:r>
      <w:r w:rsidRPr="008D20C2">
        <w:t xml:space="preserve"> </w:t>
      </w:r>
      <w:r>
        <w:t>economi</w:t>
      </w:r>
      <w:r w:rsidRPr="00CB5BCE">
        <w:t>c dispatch simulations reflected first-contingency (N-1) limits for the summer period.</w:t>
      </w:r>
      <w:r>
        <w:t xml:space="preserve"> </w:t>
      </w:r>
      <w:r w:rsidRPr="00905855">
        <w:fldChar w:fldCharType="begin"/>
      </w:r>
      <w:r w:rsidRPr="00905855">
        <w:instrText xml:space="preserve"> REF _Ref461610658 \h  \* MERGEFORMAT </w:instrText>
      </w:r>
      <w:r w:rsidRPr="00905855">
        <w:fldChar w:fldCharType="separate"/>
      </w:r>
      <w:r w:rsidR="00742B49" w:rsidRPr="00BE28CD">
        <w:t xml:space="preserve">Table </w:t>
      </w:r>
      <w:r w:rsidR="00742B49">
        <w:rPr>
          <w:noProof/>
        </w:rPr>
        <w:t>5</w:t>
      </w:r>
      <w:r w:rsidR="00742B49">
        <w:rPr>
          <w:noProof/>
        </w:rPr>
        <w:noBreakHyphen/>
        <w:t>12</w:t>
      </w:r>
      <w:r w:rsidRPr="00905855">
        <w:fldChar w:fldCharType="end"/>
      </w:r>
      <w:r w:rsidRPr="00905855">
        <w:t xml:space="preserve"> shows the </w:t>
      </w:r>
      <w:r>
        <w:t xml:space="preserve">assumptions for the </w:t>
      </w:r>
      <w:r w:rsidRPr="00905855">
        <w:t>internal interface</w:t>
      </w:r>
      <w:r>
        <w:t xml:space="preserve"> transfer limits, which can constrain the flow of power between RSP bubbles. </w:t>
      </w:r>
      <w:r w:rsidRPr="00CB5BCE">
        <w:fldChar w:fldCharType="begin"/>
      </w:r>
      <w:r w:rsidRPr="00CB5BCE">
        <w:instrText xml:space="preserve"> REF _Ref461610691 \h </w:instrText>
      </w:r>
      <w:r>
        <w:instrText xml:space="preserve"> \* MERGEFORMAT </w:instrText>
      </w:r>
      <w:r w:rsidRPr="00CB5BCE">
        <w:fldChar w:fldCharType="separate"/>
      </w:r>
      <w:r w:rsidR="00742B49">
        <w:t xml:space="preserve">Figure </w:t>
      </w:r>
      <w:r w:rsidR="00742B49">
        <w:rPr>
          <w:noProof/>
        </w:rPr>
        <w:t>5</w:t>
      </w:r>
      <w:r w:rsidR="00742B49">
        <w:rPr>
          <w:noProof/>
        </w:rPr>
        <w:noBreakHyphen/>
        <w:t>6</w:t>
      </w:r>
      <w:r w:rsidRPr="00CB5BCE">
        <w:fldChar w:fldCharType="end"/>
      </w:r>
      <w:r>
        <w:t xml:space="preserve"> depicts the transmission i</w:t>
      </w:r>
      <w:r w:rsidR="000363BD">
        <w:t xml:space="preserve">nterface limits (MW) assumed in </w:t>
      </w:r>
      <w:r>
        <w:t>the models for interfaces internal to New England.</w:t>
      </w:r>
    </w:p>
    <w:p w:rsidR="00A12E6B" w:rsidRDefault="00B63FC5" w:rsidP="000914EB">
      <w:pPr>
        <w:pStyle w:val="Caption"/>
        <w:jc w:val="center"/>
      </w:pPr>
      <w:bookmarkStart w:id="149" w:name="_Ref461610658"/>
      <w:bookmarkStart w:id="150" w:name="_Toc486406026"/>
      <w:r w:rsidRPr="00BE28CD">
        <w:t xml:space="preserve">Table </w:t>
      </w:r>
      <w:fldSimple w:instr=" STYLEREF 1 \s ">
        <w:r w:rsidR="004248FE">
          <w:rPr>
            <w:noProof/>
          </w:rPr>
          <w:t>5</w:t>
        </w:r>
      </w:fldSimple>
      <w:r w:rsidR="004248FE">
        <w:noBreakHyphen/>
      </w:r>
      <w:r w:rsidR="00736DEB">
        <w:t>12</w:t>
      </w:r>
      <w:bookmarkEnd w:id="149"/>
      <w:r w:rsidRPr="00BE28CD">
        <w:br/>
      </w:r>
      <w:r w:rsidR="00957FFC" w:rsidRPr="00BE28CD">
        <w:t xml:space="preserve">Single-Value </w:t>
      </w:r>
      <w:r w:rsidR="00A12E6B" w:rsidRPr="00BE28CD">
        <w:t xml:space="preserve">Internal </w:t>
      </w:r>
      <w:r w:rsidR="00CB7F85" w:rsidRPr="00BE28CD">
        <w:t>T</w:t>
      </w:r>
      <w:r w:rsidR="00A12E6B" w:rsidRPr="00BE28CD">
        <w:t>ransmission</w:t>
      </w:r>
      <w:r w:rsidR="00B96A48" w:rsidRPr="00BE28CD">
        <w:t>-</w:t>
      </w:r>
      <w:r w:rsidR="00CB7F85" w:rsidRPr="00BE28CD">
        <w:t>I</w:t>
      </w:r>
      <w:r w:rsidR="00A12E6B" w:rsidRPr="00BE28CD">
        <w:t>nterface Limits</w:t>
      </w:r>
      <w:r w:rsidR="00E0246D" w:rsidRPr="00BE28CD">
        <w:br/>
      </w:r>
      <w:r w:rsidR="00957FFC" w:rsidRPr="00BE28CD">
        <w:t xml:space="preserve">for Use in </w:t>
      </w:r>
      <w:r w:rsidR="00365F6D" w:rsidRPr="00BE28CD">
        <w:t xml:space="preserve">RSP </w:t>
      </w:r>
      <w:r w:rsidR="00957FFC" w:rsidRPr="00022865">
        <w:t xml:space="preserve">Subarea </w:t>
      </w:r>
      <w:r w:rsidR="00365F6D" w:rsidRPr="00BE28CD">
        <w:t>Models</w:t>
      </w:r>
      <w:r w:rsidR="00957FFC">
        <w:t>, for</w:t>
      </w:r>
      <w:r w:rsidR="00CB7F85">
        <w:t xml:space="preserve"> </w:t>
      </w:r>
      <w:r w:rsidR="00A12E6B">
        <w:t xml:space="preserve">2025 </w:t>
      </w:r>
      <w:r w:rsidR="00CB7F85">
        <w:t>and 2030</w:t>
      </w:r>
      <w:r>
        <w:t xml:space="preserve"> </w:t>
      </w:r>
      <w:r w:rsidR="00A12E6B">
        <w:t>(MW)</w:t>
      </w:r>
      <w:bookmarkEnd w:id="150"/>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771"/>
        <w:gridCol w:w="1059"/>
      </w:tblGrid>
      <w:tr w:rsidR="00E84202" w:rsidRPr="00E84202" w:rsidTr="00E84202">
        <w:trPr>
          <w:cantSplit/>
          <w:jc w:val="center"/>
        </w:trPr>
        <w:tc>
          <w:tcPr>
            <w:tcW w:w="3771" w:type="dxa"/>
            <w:shd w:val="clear" w:color="auto" w:fill="4F81BD" w:themeFill="accent1"/>
            <w:tcMar>
              <w:top w:w="58" w:type="dxa"/>
              <w:left w:w="58" w:type="dxa"/>
              <w:bottom w:w="58" w:type="dxa"/>
              <w:right w:w="58" w:type="dxa"/>
            </w:tcMar>
            <w:vAlign w:val="center"/>
          </w:tcPr>
          <w:p w:rsidR="00A12E6B" w:rsidRPr="00022865" w:rsidRDefault="00CB7F85" w:rsidP="004E4AD2">
            <w:pPr>
              <w:keepNext/>
              <w:keepLines/>
              <w:spacing w:before="20" w:after="20" w:line="240" w:lineRule="auto"/>
              <w:jc w:val="center"/>
              <w:rPr>
                <w:rFonts w:ascii="Calibri" w:hAnsi="Calibri"/>
                <w:b/>
                <w:color w:val="FFFFFF" w:themeColor="background1"/>
                <w:sz w:val="18"/>
                <w:szCs w:val="18"/>
              </w:rPr>
            </w:pPr>
            <w:r w:rsidRPr="00022865">
              <w:rPr>
                <w:rFonts w:ascii="Calibri" w:hAnsi="Calibri"/>
                <w:b/>
                <w:color w:val="FFFFFF" w:themeColor="background1"/>
                <w:sz w:val="18"/>
                <w:szCs w:val="18"/>
              </w:rPr>
              <w:t>Internal I</w:t>
            </w:r>
            <w:r w:rsidR="00A12E6B" w:rsidRPr="00022865">
              <w:rPr>
                <w:rFonts w:ascii="Calibri" w:hAnsi="Calibri"/>
                <w:b/>
                <w:color w:val="FFFFFF" w:themeColor="background1"/>
                <w:sz w:val="18"/>
                <w:szCs w:val="18"/>
              </w:rPr>
              <w:t>nterface</w:t>
            </w:r>
          </w:p>
        </w:tc>
        <w:tc>
          <w:tcPr>
            <w:tcW w:w="1059" w:type="dxa"/>
            <w:shd w:val="clear" w:color="auto" w:fill="4F81BD" w:themeFill="accent1"/>
            <w:tcMar>
              <w:top w:w="58" w:type="dxa"/>
              <w:left w:w="58" w:type="dxa"/>
              <w:bottom w:w="58" w:type="dxa"/>
              <w:right w:w="58" w:type="dxa"/>
            </w:tcMar>
            <w:vAlign w:val="center"/>
          </w:tcPr>
          <w:p w:rsidR="00A12E6B" w:rsidRPr="00022865" w:rsidRDefault="00CB7F85" w:rsidP="000914EB">
            <w:pPr>
              <w:keepNext/>
              <w:keepLines/>
              <w:spacing w:before="20" w:after="20" w:line="240" w:lineRule="auto"/>
              <w:jc w:val="center"/>
              <w:rPr>
                <w:rFonts w:ascii="Calibri" w:hAnsi="Calibri"/>
                <w:b/>
                <w:color w:val="FFFFFF" w:themeColor="background1"/>
                <w:sz w:val="18"/>
                <w:szCs w:val="18"/>
              </w:rPr>
            </w:pPr>
            <w:r w:rsidRPr="00022865">
              <w:rPr>
                <w:rFonts w:ascii="Calibri" w:hAnsi="Calibri"/>
                <w:b/>
                <w:color w:val="FFFFFF" w:themeColor="background1"/>
                <w:sz w:val="18"/>
                <w:szCs w:val="18"/>
              </w:rPr>
              <w:t>MW</w:t>
            </w:r>
          </w:p>
        </w:tc>
      </w:tr>
      <w:tr w:rsidR="00A12E6B" w:rsidRPr="00022865" w:rsidTr="00022865">
        <w:trPr>
          <w:cantSplit/>
          <w:jc w:val="center"/>
        </w:trPr>
        <w:tc>
          <w:tcPr>
            <w:tcW w:w="3771" w:type="dxa"/>
            <w:shd w:val="clear" w:color="auto" w:fill="auto"/>
            <w:tcMar>
              <w:top w:w="58" w:type="dxa"/>
              <w:left w:w="58" w:type="dxa"/>
              <w:bottom w:w="58" w:type="dxa"/>
              <w:right w:w="58" w:type="dxa"/>
            </w:tcMar>
            <w:vAlign w:val="center"/>
          </w:tcPr>
          <w:p w:rsidR="00A12E6B" w:rsidRPr="00022865" w:rsidRDefault="00A12E6B" w:rsidP="000914EB">
            <w:pPr>
              <w:keepNext/>
              <w:keepLines/>
              <w:spacing w:before="20" w:after="20" w:line="240" w:lineRule="auto"/>
              <w:rPr>
                <w:rFonts w:ascii="Calibri" w:hAnsi="Calibri"/>
                <w:b/>
                <w:sz w:val="18"/>
                <w:szCs w:val="18"/>
              </w:rPr>
            </w:pPr>
            <w:r w:rsidRPr="00022865">
              <w:rPr>
                <w:rFonts w:ascii="Calibri" w:hAnsi="Calibri"/>
                <w:b/>
                <w:sz w:val="18"/>
                <w:szCs w:val="18"/>
              </w:rPr>
              <w:t>Orrington South Export</w:t>
            </w:r>
          </w:p>
        </w:tc>
        <w:tc>
          <w:tcPr>
            <w:tcW w:w="1059" w:type="dxa"/>
            <w:shd w:val="clear" w:color="auto" w:fill="auto"/>
            <w:tcMar>
              <w:top w:w="58" w:type="dxa"/>
              <w:left w:w="58" w:type="dxa"/>
              <w:bottom w:w="58" w:type="dxa"/>
              <w:right w:w="144" w:type="dxa"/>
            </w:tcMar>
            <w:vAlign w:val="center"/>
          </w:tcPr>
          <w:p w:rsidR="00A12E6B" w:rsidRPr="00022865" w:rsidRDefault="00A12E6B" w:rsidP="000914EB">
            <w:pPr>
              <w:keepNext/>
              <w:keepLines/>
              <w:spacing w:before="20" w:after="20" w:line="240" w:lineRule="auto"/>
              <w:jc w:val="right"/>
              <w:rPr>
                <w:rFonts w:ascii="Calibri" w:hAnsi="Calibri"/>
                <w:sz w:val="18"/>
                <w:szCs w:val="18"/>
              </w:rPr>
            </w:pPr>
            <w:r w:rsidRPr="00022865">
              <w:rPr>
                <w:rFonts w:ascii="Calibri" w:hAnsi="Calibri"/>
                <w:sz w:val="18"/>
                <w:szCs w:val="18"/>
              </w:rPr>
              <w:t>1</w:t>
            </w:r>
            <w:r w:rsidR="00B63FC5" w:rsidRPr="00022865">
              <w:rPr>
                <w:rFonts w:ascii="Calibri" w:hAnsi="Calibri"/>
                <w:sz w:val="18"/>
                <w:szCs w:val="18"/>
              </w:rPr>
              <w:t>,</w:t>
            </w:r>
            <w:r w:rsidRPr="00022865">
              <w:rPr>
                <w:rFonts w:ascii="Calibri" w:hAnsi="Calibri"/>
                <w:sz w:val="18"/>
                <w:szCs w:val="18"/>
              </w:rPr>
              <w:t>325</w:t>
            </w:r>
          </w:p>
        </w:tc>
      </w:tr>
      <w:tr w:rsidR="00A12E6B" w:rsidRPr="00022865" w:rsidTr="00022865">
        <w:trPr>
          <w:cantSplit/>
          <w:jc w:val="center"/>
        </w:trPr>
        <w:tc>
          <w:tcPr>
            <w:tcW w:w="3771" w:type="dxa"/>
            <w:shd w:val="clear" w:color="auto" w:fill="DBE5F1" w:themeFill="accent1" w:themeFillTint="33"/>
            <w:tcMar>
              <w:top w:w="58" w:type="dxa"/>
              <w:left w:w="58" w:type="dxa"/>
              <w:bottom w:w="58" w:type="dxa"/>
              <w:right w:w="58" w:type="dxa"/>
            </w:tcMar>
            <w:vAlign w:val="center"/>
          </w:tcPr>
          <w:p w:rsidR="00A12E6B" w:rsidRPr="00022865" w:rsidRDefault="00A12E6B" w:rsidP="000914EB">
            <w:pPr>
              <w:keepNext/>
              <w:keepLines/>
              <w:spacing w:before="20" w:after="20" w:line="240" w:lineRule="auto"/>
              <w:rPr>
                <w:rFonts w:ascii="Calibri" w:hAnsi="Calibri"/>
                <w:b/>
                <w:sz w:val="18"/>
                <w:szCs w:val="18"/>
              </w:rPr>
            </w:pPr>
            <w:r w:rsidRPr="00022865">
              <w:rPr>
                <w:rFonts w:ascii="Calibri" w:hAnsi="Calibri"/>
                <w:b/>
                <w:sz w:val="18"/>
                <w:szCs w:val="18"/>
              </w:rPr>
              <w:t>Surowiec South</w:t>
            </w:r>
          </w:p>
        </w:tc>
        <w:tc>
          <w:tcPr>
            <w:tcW w:w="1059" w:type="dxa"/>
            <w:shd w:val="clear" w:color="auto" w:fill="DBE5F1" w:themeFill="accent1" w:themeFillTint="33"/>
            <w:tcMar>
              <w:top w:w="58" w:type="dxa"/>
              <w:left w:w="58" w:type="dxa"/>
              <w:bottom w:w="58" w:type="dxa"/>
              <w:right w:w="144" w:type="dxa"/>
            </w:tcMar>
            <w:vAlign w:val="center"/>
          </w:tcPr>
          <w:p w:rsidR="00A12E6B" w:rsidRPr="00022865" w:rsidRDefault="00A12E6B" w:rsidP="000914EB">
            <w:pPr>
              <w:keepNext/>
              <w:keepLines/>
              <w:spacing w:before="20" w:after="20" w:line="240" w:lineRule="auto"/>
              <w:jc w:val="right"/>
              <w:rPr>
                <w:rFonts w:ascii="Calibri" w:hAnsi="Calibri"/>
                <w:sz w:val="18"/>
                <w:szCs w:val="18"/>
              </w:rPr>
            </w:pPr>
            <w:r w:rsidRPr="00022865">
              <w:rPr>
                <w:rFonts w:ascii="Calibri" w:hAnsi="Calibri"/>
                <w:sz w:val="18"/>
                <w:szCs w:val="18"/>
              </w:rPr>
              <w:t>1</w:t>
            </w:r>
            <w:r w:rsidR="00B63FC5" w:rsidRPr="00022865">
              <w:rPr>
                <w:rFonts w:ascii="Calibri" w:hAnsi="Calibri"/>
                <w:sz w:val="18"/>
                <w:szCs w:val="18"/>
              </w:rPr>
              <w:t>,</w:t>
            </w:r>
            <w:r w:rsidRPr="00022865">
              <w:rPr>
                <w:rFonts w:ascii="Calibri" w:hAnsi="Calibri"/>
                <w:sz w:val="18"/>
                <w:szCs w:val="18"/>
              </w:rPr>
              <w:t>500</w:t>
            </w:r>
          </w:p>
        </w:tc>
      </w:tr>
      <w:tr w:rsidR="00A12E6B" w:rsidRPr="00022865" w:rsidTr="00022865">
        <w:trPr>
          <w:cantSplit/>
          <w:jc w:val="center"/>
        </w:trPr>
        <w:tc>
          <w:tcPr>
            <w:tcW w:w="3771" w:type="dxa"/>
            <w:shd w:val="clear" w:color="auto" w:fill="auto"/>
            <w:tcMar>
              <w:top w:w="58" w:type="dxa"/>
              <w:left w:w="58" w:type="dxa"/>
              <w:bottom w:w="58" w:type="dxa"/>
              <w:right w:w="58" w:type="dxa"/>
            </w:tcMar>
            <w:vAlign w:val="center"/>
          </w:tcPr>
          <w:p w:rsidR="00A12E6B" w:rsidRPr="00022865" w:rsidRDefault="00A12E6B" w:rsidP="000914EB">
            <w:pPr>
              <w:keepNext/>
              <w:keepLines/>
              <w:spacing w:before="20" w:after="20" w:line="240" w:lineRule="auto"/>
              <w:rPr>
                <w:rFonts w:ascii="Calibri" w:hAnsi="Calibri"/>
                <w:b/>
                <w:sz w:val="18"/>
                <w:szCs w:val="18"/>
              </w:rPr>
            </w:pPr>
            <w:r w:rsidRPr="00022865">
              <w:rPr>
                <w:rFonts w:ascii="Calibri" w:hAnsi="Calibri"/>
                <w:b/>
                <w:sz w:val="18"/>
                <w:szCs w:val="18"/>
              </w:rPr>
              <w:t>Maine</w:t>
            </w:r>
            <w:r w:rsidR="00022865">
              <w:rPr>
                <w:rFonts w:ascii="Calibri" w:hAnsi="Calibri"/>
                <w:b/>
                <w:sz w:val="18"/>
                <w:szCs w:val="18"/>
              </w:rPr>
              <w:t>–</w:t>
            </w:r>
            <w:r w:rsidRPr="00022865">
              <w:rPr>
                <w:rFonts w:ascii="Calibri" w:hAnsi="Calibri"/>
                <w:b/>
                <w:sz w:val="18"/>
                <w:szCs w:val="18"/>
              </w:rPr>
              <w:t>-New  Hampshire</w:t>
            </w:r>
          </w:p>
        </w:tc>
        <w:tc>
          <w:tcPr>
            <w:tcW w:w="1059" w:type="dxa"/>
            <w:shd w:val="clear" w:color="auto" w:fill="auto"/>
            <w:tcMar>
              <w:top w:w="58" w:type="dxa"/>
              <w:left w:w="58" w:type="dxa"/>
              <w:bottom w:w="58" w:type="dxa"/>
              <w:right w:w="144" w:type="dxa"/>
            </w:tcMar>
            <w:vAlign w:val="center"/>
          </w:tcPr>
          <w:p w:rsidR="00A12E6B" w:rsidRPr="00022865" w:rsidRDefault="00A12E6B" w:rsidP="000914EB">
            <w:pPr>
              <w:keepNext/>
              <w:keepLines/>
              <w:spacing w:before="20" w:after="20" w:line="240" w:lineRule="auto"/>
              <w:jc w:val="right"/>
              <w:rPr>
                <w:rFonts w:ascii="Calibri" w:hAnsi="Calibri"/>
                <w:sz w:val="18"/>
                <w:szCs w:val="18"/>
              </w:rPr>
            </w:pPr>
            <w:r w:rsidRPr="00022865">
              <w:rPr>
                <w:rFonts w:ascii="Calibri" w:hAnsi="Calibri"/>
                <w:sz w:val="18"/>
                <w:szCs w:val="18"/>
              </w:rPr>
              <w:t>1</w:t>
            </w:r>
            <w:r w:rsidR="00B63FC5" w:rsidRPr="00022865">
              <w:rPr>
                <w:rFonts w:ascii="Calibri" w:hAnsi="Calibri"/>
                <w:sz w:val="18"/>
                <w:szCs w:val="18"/>
              </w:rPr>
              <w:t>,</w:t>
            </w:r>
            <w:r w:rsidRPr="00022865">
              <w:rPr>
                <w:rFonts w:ascii="Calibri" w:hAnsi="Calibri"/>
                <w:sz w:val="18"/>
                <w:szCs w:val="18"/>
              </w:rPr>
              <w:t>900</w:t>
            </w:r>
          </w:p>
        </w:tc>
      </w:tr>
      <w:tr w:rsidR="00A12E6B" w:rsidRPr="00022865" w:rsidTr="00022865">
        <w:trPr>
          <w:cantSplit/>
          <w:jc w:val="center"/>
        </w:trPr>
        <w:tc>
          <w:tcPr>
            <w:tcW w:w="3771" w:type="dxa"/>
            <w:shd w:val="clear" w:color="auto" w:fill="DBE5F1" w:themeFill="accent1" w:themeFillTint="33"/>
            <w:tcMar>
              <w:top w:w="58" w:type="dxa"/>
              <w:left w:w="58" w:type="dxa"/>
              <w:bottom w:w="58" w:type="dxa"/>
              <w:right w:w="58" w:type="dxa"/>
            </w:tcMar>
            <w:vAlign w:val="center"/>
          </w:tcPr>
          <w:p w:rsidR="00A12E6B" w:rsidRPr="00022865" w:rsidRDefault="00A12E6B" w:rsidP="000914EB">
            <w:pPr>
              <w:keepNext/>
              <w:keepLines/>
              <w:spacing w:before="20" w:after="20" w:line="240" w:lineRule="auto"/>
              <w:rPr>
                <w:rFonts w:ascii="Calibri" w:hAnsi="Calibri"/>
                <w:b/>
                <w:sz w:val="18"/>
                <w:szCs w:val="18"/>
              </w:rPr>
            </w:pPr>
            <w:r w:rsidRPr="00022865">
              <w:rPr>
                <w:rFonts w:ascii="Calibri" w:hAnsi="Calibri"/>
                <w:b/>
                <w:sz w:val="18"/>
                <w:szCs w:val="18"/>
              </w:rPr>
              <w:t>Northern New England-Scobie + 394</w:t>
            </w:r>
          </w:p>
        </w:tc>
        <w:tc>
          <w:tcPr>
            <w:tcW w:w="1059" w:type="dxa"/>
            <w:shd w:val="clear" w:color="auto" w:fill="DBE5F1" w:themeFill="accent1" w:themeFillTint="33"/>
            <w:tcMar>
              <w:top w:w="58" w:type="dxa"/>
              <w:left w:w="58" w:type="dxa"/>
              <w:bottom w:w="58" w:type="dxa"/>
              <w:right w:w="144" w:type="dxa"/>
            </w:tcMar>
            <w:vAlign w:val="center"/>
          </w:tcPr>
          <w:p w:rsidR="00A12E6B" w:rsidRPr="00022865" w:rsidRDefault="00A12E6B" w:rsidP="000914EB">
            <w:pPr>
              <w:keepNext/>
              <w:keepLines/>
              <w:spacing w:before="20" w:after="20" w:line="240" w:lineRule="auto"/>
              <w:jc w:val="right"/>
              <w:rPr>
                <w:rFonts w:ascii="Calibri" w:hAnsi="Calibri"/>
                <w:sz w:val="18"/>
                <w:szCs w:val="18"/>
              </w:rPr>
            </w:pPr>
            <w:r w:rsidRPr="00022865">
              <w:rPr>
                <w:rFonts w:ascii="Calibri" w:hAnsi="Calibri"/>
                <w:sz w:val="18"/>
                <w:szCs w:val="18"/>
              </w:rPr>
              <w:t>3</w:t>
            </w:r>
            <w:r w:rsidR="00B63FC5" w:rsidRPr="00022865">
              <w:rPr>
                <w:rFonts w:ascii="Calibri" w:hAnsi="Calibri"/>
                <w:sz w:val="18"/>
                <w:szCs w:val="18"/>
              </w:rPr>
              <w:t>,</w:t>
            </w:r>
            <w:r w:rsidRPr="00022865">
              <w:rPr>
                <w:rFonts w:ascii="Calibri" w:hAnsi="Calibri"/>
                <w:sz w:val="18"/>
                <w:szCs w:val="18"/>
              </w:rPr>
              <w:t>200</w:t>
            </w:r>
          </w:p>
        </w:tc>
      </w:tr>
      <w:tr w:rsidR="00A12E6B" w:rsidRPr="00022865" w:rsidTr="00022865">
        <w:trPr>
          <w:cantSplit/>
          <w:jc w:val="center"/>
        </w:trPr>
        <w:tc>
          <w:tcPr>
            <w:tcW w:w="3771" w:type="dxa"/>
            <w:shd w:val="clear" w:color="auto" w:fill="auto"/>
            <w:tcMar>
              <w:top w:w="58" w:type="dxa"/>
              <w:left w:w="58" w:type="dxa"/>
              <w:bottom w:w="58" w:type="dxa"/>
              <w:right w:w="58" w:type="dxa"/>
            </w:tcMar>
            <w:vAlign w:val="center"/>
          </w:tcPr>
          <w:p w:rsidR="00A12E6B" w:rsidRPr="00022865" w:rsidRDefault="00A12E6B" w:rsidP="000914EB">
            <w:pPr>
              <w:keepNext/>
              <w:keepLines/>
              <w:spacing w:before="20" w:after="20" w:line="240" w:lineRule="auto"/>
              <w:rPr>
                <w:rFonts w:ascii="Calibri" w:hAnsi="Calibri"/>
                <w:b/>
                <w:sz w:val="18"/>
                <w:szCs w:val="18"/>
              </w:rPr>
            </w:pPr>
            <w:r w:rsidRPr="00022865">
              <w:rPr>
                <w:rFonts w:ascii="Calibri" w:hAnsi="Calibri"/>
                <w:b/>
                <w:sz w:val="18"/>
                <w:szCs w:val="18"/>
              </w:rPr>
              <w:t>North</w:t>
            </w:r>
            <w:r w:rsidR="00022865">
              <w:rPr>
                <w:rFonts w:ascii="Calibri" w:hAnsi="Calibri"/>
                <w:b/>
                <w:sz w:val="18"/>
                <w:szCs w:val="18"/>
              </w:rPr>
              <w:t>–</w:t>
            </w:r>
            <w:r w:rsidRPr="00022865">
              <w:rPr>
                <w:rFonts w:ascii="Calibri" w:hAnsi="Calibri"/>
                <w:b/>
                <w:sz w:val="18"/>
                <w:szCs w:val="18"/>
              </w:rPr>
              <w:t>South</w:t>
            </w:r>
          </w:p>
        </w:tc>
        <w:tc>
          <w:tcPr>
            <w:tcW w:w="1059" w:type="dxa"/>
            <w:shd w:val="clear" w:color="auto" w:fill="auto"/>
            <w:tcMar>
              <w:top w:w="58" w:type="dxa"/>
              <w:left w:w="58" w:type="dxa"/>
              <w:bottom w:w="58" w:type="dxa"/>
              <w:right w:w="144" w:type="dxa"/>
            </w:tcMar>
            <w:vAlign w:val="center"/>
          </w:tcPr>
          <w:p w:rsidR="00A12E6B" w:rsidRPr="00022865" w:rsidRDefault="00A12E6B" w:rsidP="000914EB">
            <w:pPr>
              <w:keepNext/>
              <w:keepLines/>
              <w:spacing w:before="20" w:after="20" w:line="240" w:lineRule="auto"/>
              <w:jc w:val="right"/>
              <w:rPr>
                <w:rFonts w:ascii="Calibri" w:hAnsi="Calibri"/>
                <w:sz w:val="18"/>
                <w:szCs w:val="18"/>
              </w:rPr>
            </w:pPr>
            <w:r w:rsidRPr="00022865">
              <w:rPr>
                <w:rFonts w:ascii="Calibri" w:hAnsi="Calibri"/>
                <w:sz w:val="18"/>
                <w:szCs w:val="18"/>
              </w:rPr>
              <w:t>2</w:t>
            </w:r>
            <w:r w:rsidR="00B63FC5" w:rsidRPr="00022865">
              <w:rPr>
                <w:rFonts w:ascii="Calibri" w:hAnsi="Calibri"/>
                <w:sz w:val="18"/>
                <w:szCs w:val="18"/>
              </w:rPr>
              <w:t>,</w:t>
            </w:r>
            <w:r w:rsidRPr="00022865">
              <w:rPr>
                <w:rFonts w:ascii="Calibri" w:hAnsi="Calibri"/>
                <w:sz w:val="18"/>
                <w:szCs w:val="18"/>
              </w:rPr>
              <w:t>725</w:t>
            </w:r>
          </w:p>
        </w:tc>
      </w:tr>
      <w:tr w:rsidR="00A12E6B" w:rsidRPr="00022865" w:rsidTr="00022865">
        <w:trPr>
          <w:cantSplit/>
          <w:jc w:val="center"/>
        </w:trPr>
        <w:tc>
          <w:tcPr>
            <w:tcW w:w="3771" w:type="dxa"/>
            <w:shd w:val="clear" w:color="auto" w:fill="DBE5F1" w:themeFill="accent1" w:themeFillTint="33"/>
            <w:tcMar>
              <w:top w:w="58" w:type="dxa"/>
              <w:left w:w="58" w:type="dxa"/>
              <w:bottom w:w="58" w:type="dxa"/>
              <w:right w:w="58" w:type="dxa"/>
            </w:tcMar>
            <w:vAlign w:val="center"/>
          </w:tcPr>
          <w:p w:rsidR="00A12E6B" w:rsidRPr="00022865" w:rsidRDefault="00A12E6B" w:rsidP="000914EB">
            <w:pPr>
              <w:keepNext/>
              <w:keepLines/>
              <w:spacing w:before="20" w:after="20" w:line="240" w:lineRule="auto"/>
              <w:rPr>
                <w:rFonts w:ascii="Calibri" w:hAnsi="Calibri"/>
                <w:b/>
                <w:sz w:val="18"/>
                <w:szCs w:val="18"/>
              </w:rPr>
            </w:pPr>
            <w:r w:rsidRPr="00022865">
              <w:rPr>
                <w:rFonts w:ascii="Calibri" w:hAnsi="Calibri"/>
                <w:b/>
                <w:sz w:val="18"/>
                <w:szCs w:val="18"/>
              </w:rPr>
              <w:t>East</w:t>
            </w:r>
            <w:r w:rsidR="00022865">
              <w:rPr>
                <w:rFonts w:ascii="Calibri" w:hAnsi="Calibri"/>
                <w:b/>
                <w:sz w:val="18"/>
                <w:szCs w:val="18"/>
              </w:rPr>
              <w:t>–</w:t>
            </w:r>
            <w:r w:rsidRPr="00022865">
              <w:rPr>
                <w:rFonts w:ascii="Calibri" w:hAnsi="Calibri"/>
                <w:b/>
                <w:sz w:val="18"/>
                <w:szCs w:val="18"/>
              </w:rPr>
              <w:t>West</w:t>
            </w:r>
          </w:p>
        </w:tc>
        <w:tc>
          <w:tcPr>
            <w:tcW w:w="1059" w:type="dxa"/>
            <w:shd w:val="clear" w:color="auto" w:fill="DBE5F1" w:themeFill="accent1" w:themeFillTint="33"/>
            <w:tcMar>
              <w:top w:w="58" w:type="dxa"/>
              <w:left w:w="58" w:type="dxa"/>
              <w:bottom w:w="58" w:type="dxa"/>
              <w:right w:w="144" w:type="dxa"/>
            </w:tcMar>
            <w:vAlign w:val="center"/>
          </w:tcPr>
          <w:p w:rsidR="00A12E6B" w:rsidRPr="00022865" w:rsidRDefault="00A12E6B" w:rsidP="000914EB">
            <w:pPr>
              <w:keepNext/>
              <w:keepLines/>
              <w:spacing w:before="20" w:after="20" w:line="240" w:lineRule="auto"/>
              <w:jc w:val="right"/>
              <w:rPr>
                <w:rFonts w:ascii="Calibri" w:hAnsi="Calibri"/>
                <w:sz w:val="18"/>
                <w:szCs w:val="18"/>
              </w:rPr>
            </w:pPr>
            <w:r w:rsidRPr="00022865">
              <w:rPr>
                <w:rFonts w:ascii="Calibri" w:hAnsi="Calibri"/>
                <w:sz w:val="18"/>
                <w:szCs w:val="18"/>
              </w:rPr>
              <w:t>3</w:t>
            </w:r>
            <w:r w:rsidR="00B63FC5" w:rsidRPr="00022865">
              <w:rPr>
                <w:rFonts w:ascii="Calibri" w:hAnsi="Calibri"/>
                <w:sz w:val="18"/>
                <w:szCs w:val="18"/>
              </w:rPr>
              <w:t>,</w:t>
            </w:r>
            <w:r w:rsidRPr="00022865">
              <w:rPr>
                <w:rFonts w:ascii="Calibri" w:hAnsi="Calibri"/>
                <w:sz w:val="18"/>
                <w:szCs w:val="18"/>
              </w:rPr>
              <w:t>500</w:t>
            </w:r>
          </w:p>
        </w:tc>
      </w:tr>
      <w:tr w:rsidR="00A12E6B" w:rsidRPr="00022865" w:rsidTr="00022865">
        <w:trPr>
          <w:cantSplit/>
          <w:jc w:val="center"/>
        </w:trPr>
        <w:tc>
          <w:tcPr>
            <w:tcW w:w="3771" w:type="dxa"/>
            <w:shd w:val="clear" w:color="auto" w:fill="auto"/>
            <w:tcMar>
              <w:top w:w="58" w:type="dxa"/>
              <w:left w:w="58" w:type="dxa"/>
              <w:bottom w:w="58" w:type="dxa"/>
              <w:right w:w="58" w:type="dxa"/>
            </w:tcMar>
            <w:vAlign w:val="center"/>
          </w:tcPr>
          <w:p w:rsidR="00A12E6B" w:rsidRPr="00022865" w:rsidRDefault="00A12E6B" w:rsidP="000914EB">
            <w:pPr>
              <w:keepNext/>
              <w:keepLines/>
              <w:spacing w:before="20" w:after="20" w:line="240" w:lineRule="auto"/>
              <w:rPr>
                <w:rFonts w:ascii="Calibri" w:hAnsi="Calibri"/>
                <w:b/>
                <w:sz w:val="18"/>
                <w:szCs w:val="18"/>
              </w:rPr>
            </w:pPr>
            <w:r w:rsidRPr="00022865">
              <w:rPr>
                <w:rFonts w:ascii="Calibri" w:hAnsi="Calibri"/>
                <w:b/>
                <w:sz w:val="18"/>
                <w:szCs w:val="18"/>
              </w:rPr>
              <w:t>West</w:t>
            </w:r>
            <w:r w:rsidR="00022865">
              <w:rPr>
                <w:rFonts w:ascii="Calibri" w:hAnsi="Calibri"/>
                <w:b/>
                <w:sz w:val="18"/>
                <w:szCs w:val="18"/>
              </w:rPr>
              <w:t>–</w:t>
            </w:r>
            <w:r w:rsidRPr="00022865">
              <w:rPr>
                <w:rFonts w:ascii="Calibri" w:hAnsi="Calibri"/>
                <w:b/>
                <w:sz w:val="18"/>
                <w:szCs w:val="18"/>
              </w:rPr>
              <w:t>East</w:t>
            </w:r>
          </w:p>
        </w:tc>
        <w:tc>
          <w:tcPr>
            <w:tcW w:w="1059" w:type="dxa"/>
            <w:shd w:val="clear" w:color="auto" w:fill="auto"/>
            <w:tcMar>
              <w:top w:w="58" w:type="dxa"/>
              <w:left w:w="58" w:type="dxa"/>
              <w:bottom w:w="58" w:type="dxa"/>
              <w:right w:w="144" w:type="dxa"/>
            </w:tcMar>
            <w:vAlign w:val="center"/>
          </w:tcPr>
          <w:p w:rsidR="00A12E6B" w:rsidRPr="00022865" w:rsidRDefault="00A12E6B" w:rsidP="000914EB">
            <w:pPr>
              <w:keepNext/>
              <w:keepLines/>
              <w:spacing w:before="20" w:after="20" w:line="240" w:lineRule="auto"/>
              <w:jc w:val="right"/>
              <w:rPr>
                <w:rFonts w:ascii="Calibri" w:hAnsi="Calibri"/>
                <w:sz w:val="18"/>
                <w:szCs w:val="18"/>
              </w:rPr>
            </w:pPr>
            <w:r w:rsidRPr="00022865">
              <w:rPr>
                <w:rFonts w:ascii="Calibri" w:hAnsi="Calibri"/>
                <w:sz w:val="18"/>
                <w:szCs w:val="18"/>
              </w:rPr>
              <w:t>2</w:t>
            </w:r>
            <w:r w:rsidR="00B63FC5" w:rsidRPr="00022865">
              <w:rPr>
                <w:rFonts w:ascii="Calibri" w:hAnsi="Calibri"/>
                <w:sz w:val="18"/>
                <w:szCs w:val="18"/>
              </w:rPr>
              <w:t>,</w:t>
            </w:r>
            <w:r w:rsidRPr="00022865">
              <w:rPr>
                <w:rFonts w:ascii="Calibri" w:hAnsi="Calibri"/>
                <w:sz w:val="18"/>
                <w:szCs w:val="18"/>
              </w:rPr>
              <w:t>200</w:t>
            </w:r>
          </w:p>
        </w:tc>
      </w:tr>
      <w:tr w:rsidR="00A12E6B" w:rsidRPr="00022865" w:rsidTr="00022865">
        <w:trPr>
          <w:cantSplit/>
          <w:jc w:val="center"/>
        </w:trPr>
        <w:tc>
          <w:tcPr>
            <w:tcW w:w="3771" w:type="dxa"/>
            <w:shd w:val="clear" w:color="auto" w:fill="DBE5F1" w:themeFill="accent1" w:themeFillTint="33"/>
            <w:tcMar>
              <w:top w:w="58" w:type="dxa"/>
              <w:left w:w="58" w:type="dxa"/>
              <w:bottom w:w="58" w:type="dxa"/>
              <w:right w:w="58" w:type="dxa"/>
            </w:tcMar>
            <w:vAlign w:val="center"/>
          </w:tcPr>
          <w:p w:rsidR="00A12E6B" w:rsidRPr="00022865" w:rsidRDefault="00A12E6B" w:rsidP="000914EB">
            <w:pPr>
              <w:keepNext/>
              <w:keepLines/>
              <w:spacing w:before="20" w:after="20" w:line="240" w:lineRule="auto"/>
              <w:rPr>
                <w:rFonts w:ascii="Calibri" w:hAnsi="Calibri"/>
                <w:b/>
                <w:sz w:val="18"/>
                <w:szCs w:val="18"/>
              </w:rPr>
            </w:pPr>
            <w:r w:rsidRPr="00022865">
              <w:rPr>
                <w:rFonts w:ascii="Calibri" w:hAnsi="Calibri"/>
                <w:b/>
                <w:sz w:val="18"/>
                <w:szCs w:val="18"/>
              </w:rPr>
              <w:t>Boston Import (N-1)</w:t>
            </w:r>
          </w:p>
        </w:tc>
        <w:tc>
          <w:tcPr>
            <w:tcW w:w="1059" w:type="dxa"/>
            <w:shd w:val="clear" w:color="auto" w:fill="DBE5F1" w:themeFill="accent1" w:themeFillTint="33"/>
            <w:tcMar>
              <w:top w:w="58" w:type="dxa"/>
              <w:left w:w="58" w:type="dxa"/>
              <w:bottom w:w="58" w:type="dxa"/>
              <w:right w:w="144" w:type="dxa"/>
            </w:tcMar>
            <w:vAlign w:val="center"/>
          </w:tcPr>
          <w:p w:rsidR="00A12E6B" w:rsidRPr="00022865" w:rsidRDefault="00A12E6B" w:rsidP="000914EB">
            <w:pPr>
              <w:keepNext/>
              <w:keepLines/>
              <w:spacing w:before="20" w:after="20" w:line="240" w:lineRule="auto"/>
              <w:jc w:val="right"/>
              <w:rPr>
                <w:rFonts w:ascii="Calibri" w:hAnsi="Calibri"/>
                <w:sz w:val="18"/>
                <w:szCs w:val="18"/>
              </w:rPr>
            </w:pPr>
            <w:r w:rsidRPr="00022865">
              <w:rPr>
                <w:rFonts w:ascii="Calibri" w:hAnsi="Calibri"/>
                <w:sz w:val="18"/>
                <w:szCs w:val="18"/>
              </w:rPr>
              <w:t>5</w:t>
            </w:r>
            <w:r w:rsidR="00B63FC5" w:rsidRPr="00022865">
              <w:rPr>
                <w:rFonts w:ascii="Calibri" w:hAnsi="Calibri"/>
                <w:sz w:val="18"/>
                <w:szCs w:val="18"/>
              </w:rPr>
              <w:t>,</w:t>
            </w:r>
            <w:r w:rsidRPr="00022865">
              <w:rPr>
                <w:rFonts w:ascii="Calibri" w:hAnsi="Calibri"/>
                <w:sz w:val="18"/>
                <w:szCs w:val="18"/>
              </w:rPr>
              <w:t>700</w:t>
            </w:r>
          </w:p>
        </w:tc>
      </w:tr>
      <w:tr w:rsidR="00A12E6B" w:rsidRPr="00022865" w:rsidTr="00022865">
        <w:trPr>
          <w:cantSplit/>
          <w:jc w:val="center"/>
        </w:trPr>
        <w:tc>
          <w:tcPr>
            <w:tcW w:w="3771" w:type="dxa"/>
            <w:shd w:val="clear" w:color="auto" w:fill="auto"/>
            <w:tcMar>
              <w:top w:w="58" w:type="dxa"/>
              <w:left w:w="58" w:type="dxa"/>
              <w:bottom w:w="58" w:type="dxa"/>
              <w:right w:w="58" w:type="dxa"/>
            </w:tcMar>
            <w:vAlign w:val="center"/>
          </w:tcPr>
          <w:p w:rsidR="00A12E6B" w:rsidRPr="00022865" w:rsidRDefault="00A12E6B" w:rsidP="000914EB">
            <w:pPr>
              <w:keepNext/>
              <w:keepLines/>
              <w:spacing w:before="20" w:after="20" w:line="240" w:lineRule="auto"/>
              <w:rPr>
                <w:rFonts w:ascii="Calibri" w:hAnsi="Calibri"/>
                <w:b/>
                <w:sz w:val="18"/>
                <w:szCs w:val="18"/>
              </w:rPr>
            </w:pPr>
            <w:r w:rsidRPr="00022865">
              <w:rPr>
                <w:rFonts w:ascii="Calibri" w:hAnsi="Calibri"/>
                <w:b/>
                <w:sz w:val="18"/>
                <w:szCs w:val="18"/>
              </w:rPr>
              <w:t>SEMA/RI Export</w:t>
            </w:r>
          </w:p>
        </w:tc>
        <w:tc>
          <w:tcPr>
            <w:tcW w:w="1059" w:type="dxa"/>
            <w:shd w:val="clear" w:color="auto" w:fill="auto"/>
            <w:tcMar>
              <w:top w:w="58" w:type="dxa"/>
              <w:left w:w="58" w:type="dxa"/>
              <w:bottom w:w="58" w:type="dxa"/>
              <w:right w:w="144" w:type="dxa"/>
            </w:tcMar>
            <w:vAlign w:val="center"/>
          </w:tcPr>
          <w:p w:rsidR="00A12E6B" w:rsidRPr="00022865" w:rsidRDefault="00A12E6B" w:rsidP="000914EB">
            <w:pPr>
              <w:keepNext/>
              <w:keepLines/>
              <w:spacing w:before="20" w:after="20" w:line="240" w:lineRule="auto"/>
              <w:jc w:val="right"/>
              <w:rPr>
                <w:rFonts w:ascii="Calibri" w:hAnsi="Calibri"/>
                <w:sz w:val="18"/>
                <w:szCs w:val="18"/>
              </w:rPr>
            </w:pPr>
            <w:r w:rsidRPr="00022865">
              <w:rPr>
                <w:rFonts w:ascii="Calibri" w:hAnsi="Calibri"/>
                <w:sz w:val="18"/>
                <w:szCs w:val="18"/>
              </w:rPr>
              <w:t>3</w:t>
            </w:r>
            <w:r w:rsidR="00B63FC5" w:rsidRPr="00022865">
              <w:rPr>
                <w:rFonts w:ascii="Calibri" w:hAnsi="Calibri"/>
                <w:sz w:val="18"/>
                <w:szCs w:val="18"/>
              </w:rPr>
              <w:t>,</w:t>
            </w:r>
            <w:r w:rsidRPr="00022865">
              <w:rPr>
                <w:rFonts w:ascii="Calibri" w:hAnsi="Calibri"/>
                <w:sz w:val="18"/>
                <w:szCs w:val="18"/>
              </w:rPr>
              <w:t>400</w:t>
            </w:r>
          </w:p>
        </w:tc>
      </w:tr>
      <w:tr w:rsidR="00A12E6B" w:rsidRPr="00022865" w:rsidTr="00022865">
        <w:trPr>
          <w:cantSplit/>
          <w:jc w:val="center"/>
        </w:trPr>
        <w:tc>
          <w:tcPr>
            <w:tcW w:w="3771" w:type="dxa"/>
            <w:shd w:val="clear" w:color="auto" w:fill="DBE5F1" w:themeFill="accent1" w:themeFillTint="33"/>
            <w:tcMar>
              <w:top w:w="58" w:type="dxa"/>
              <w:left w:w="58" w:type="dxa"/>
              <w:bottom w:w="58" w:type="dxa"/>
              <w:right w:w="58" w:type="dxa"/>
            </w:tcMar>
            <w:vAlign w:val="center"/>
          </w:tcPr>
          <w:p w:rsidR="00A12E6B" w:rsidRPr="00022865" w:rsidRDefault="00A12E6B" w:rsidP="000914EB">
            <w:pPr>
              <w:keepNext/>
              <w:keepLines/>
              <w:spacing w:before="20" w:after="20" w:line="240" w:lineRule="auto"/>
              <w:rPr>
                <w:rFonts w:ascii="Calibri" w:hAnsi="Calibri"/>
                <w:b/>
                <w:sz w:val="18"/>
                <w:szCs w:val="18"/>
              </w:rPr>
            </w:pPr>
            <w:r w:rsidRPr="00022865">
              <w:rPr>
                <w:rFonts w:ascii="Calibri" w:hAnsi="Calibri"/>
                <w:b/>
                <w:sz w:val="18"/>
                <w:szCs w:val="18"/>
              </w:rPr>
              <w:t>SEMA/RI Import (N-1)</w:t>
            </w:r>
          </w:p>
        </w:tc>
        <w:tc>
          <w:tcPr>
            <w:tcW w:w="1059" w:type="dxa"/>
            <w:shd w:val="clear" w:color="auto" w:fill="DBE5F1" w:themeFill="accent1" w:themeFillTint="33"/>
            <w:tcMar>
              <w:top w:w="58" w:type="dxa"/>
              <w:left w:w="58" w:type="dxa"/>
              <w:bottom w:w="58" w:type="dxa"/>
              <w:right w:w="144" w:type="dxa"/>
            </w:tcMar>
            <w:vAlign w:val="center"/>
          </w:tcPr>
          <w:p w:rsidR="00A12E6B" w:rsidRPr="00022865" w:rsidRDefault="00A12E6B" w:rsidP="000914EB">
            <w:pPr>
              <w:keepNext/>
              <w:keepLines/>
              <w:spacing w:before="20" w:after="20" w:line="240" w:lineRule="auto"/>
              <w:jc w:val="right"/>
              <w:rPr>
                <w:rFonts w:ascii="Calibri" w:hAnsi="Calibri"/>
                <w:sz w:val="18"/>
                <w:szCs w:val="18"/>
              </w:rPr>
            </w:pPr>
            <w:r w:rsidRPr="00022865">
              <w:rPr>
                <w:rFonts w:ascii="Calibri" w:hAnsi="Calibri"/>
                <w:sz w:val="18"/>
                <w:szCs w:val="18"/>
              </w:rPr>
              <w:t>1</w:t>
            </w:r>
            <w:r w:rsidR="00B63FC5" w:rsidRPr="00022865">
              <w:rPr>
                <w:rFonts w:ascii="Calibri" w:hAnsi="Calibri"/>
                <w:sz w:val="18"/>
                <w:szCs w:val="18"/>
              </w:rPr>
              <w:t>,</w:t>
            </w:r>
            <w:r w:rsidRPr="00022865">
              <w:rPr>
                <w:rFonts w:ascii="Calibri" w:hAnsi="Calibri"/>
                <w:sz w:val="18"/>
                <w:szCs w:val="18"/>
              </w:rPr>
              <w:t>280</w:t>
            </w:r>
          </w:p>
        </w:tc>
      </w:tr>
      <w:tr w:rsidR="00A12E6B" w:rsidRPr="00022865" w:rsidTr="00022865">
        <w:trPr>
          <w:cantSplit/>
          <w:jc w:val="center"/>
        </w:trPr>
        <w:tc>
          <w:tcPr>
            <w:tcW w:w="3771" w:type="dxa"/>
            <w:shd w:val="clear" w:color="auto" w:fill="auto"/>
            <w:tcMar>
              <w:top w:w="58" w:type="dxa"/>
              <w:left w:w="58" w:type="dxa"/>
              <w:bottom w:w="58" w:type="dxa"/>
              <w:right w:w="58" w:type="dxa"/>
            </w:tcMar>
            <w:vAlign w:val="center"/>
          </w:tcPr>
          <w:p w:rsidR="00A12E6B" w:rsidRPr="00022865" w:rsidRDefault="00A12E6B" w:rsidP="000914EB">
            <w:pPr>
              <w:keepNext/>
              <w:keepLines/>
              <w:spacing w:before="20" w:after="20" w:line="240" w:lineRule="auto"/>
              <w:rPr>
                <w:rFonts w:ascii="Calibri" w:hAnsi="Calibri"/>
                <w:b/>
                <w:sz w:val="18"/>
                <w:szCs w:val="18"/>
              </w:rPr>
            </w:pPr>
            <w:r w:rsidRPr="00022865">
              <w:rPr>
                <w:rFonts w:ascii="Calibri" w:hAnsi="Calibri"/>
                <w:b/>
                <w:sz w:val="18"/>
                <w:szCs w:val="18"/>
              </w:rPr>
              <w:t>Southeast New England Import (N-1)</w:t>
            </w:r>
          </w:p>
        </w:tc>
        <w:tc>
          <w:tcPr>
            <w:tcW w:w="1059" w:type="dxa"/>
            <w:shd w:val="clear" w:color="auto" w:fill="auto"/>
            <w:tcMar>
              <w:top w:w="58" w:type="dxa"/>
              <w:left w:w="58" w:type="dxa"/>
              <w:bottom w:w="58" w:type="dxa"/>
              <w:right w:w="144" w:type="dxa"/>
            </w:tcMar>
            <w:vAlign w:val="center"/>
          </w:tcPr>
          <w:p w:rsidR="00A12E6B" w:rsidRPr="00022865" w:rsidRDefault="00A12E6B" w:rsidP="000914EB">
            <w:pPr>
              <w:keepNext/>
              <w:keepLines/>
              <w:spacing w:before="20" w:after="20" w:line="240" w:lineRule="auto"/>
              <w:jc w:val="right"/>
              <w:rPr>
                <w:rFonts w:ascii="Calibri" w:hAnsi="Calibri"/>
                <w:sz w:val="18"/>
                <w:szCs w:val="18"/>
              </w:rPr>
            </w:pPr>
            <w:r w:rsidRPr="00022865">
              <w:rPr>
                <w:rFonts w:ascii="Calibri" w:hAnsi="Calibri"/>
                <w:sz w:val="18"/>
                <w:szCs w:val="18"/>
              </w:rPr>
              <w:t>5</w:t>
            </w:r>
            <w:r w:rsidR="00B63FC5" w:rsidRPr="00022865">
              <w:rPr>
                <w:rFonts w:ascii="Calibri" w:hAnsi="Calibri"/>
                <w:sz w:val="18"/>
                <w:szCs w:val="18"/>
              </w:rPr>
              <w:t>,</w:t>
            </w:r>
            <w:r w:rsidRPr="00022865">
              <w:rPr>
                <w:rFonts w:ascii="Calibri" w:hAnsi="Calibri"/>
                <w:sz w:val="18"/>
                <w:szCs w:val="18"/>
              </w:rPr>
              <w:t>700</w:t>
            </w:r>
          </w:p>
        </w:tc>
      </w:tr>
      <w:tr w:rsidR="006238ED" w:rsidRPr="00022865" w:rsidTr="00022865">
        <w:trPr>
          <w:cantSplit/>
          <w:jc w:val="center"/>
        </w:trPr>
        <w:tc>
          <w:tcPr>
            <w:tcW w:w="3771" w:type="dxa"/>
            <w:shd w:val="clear" w:color="auto" w:fill="DBE5F1" w:themeFill="accent1" w:themeFillTint="33"/>
            <w:tcMar>
              <w:top w:w="58" w:type="dxa"/>
              <w:left w:w="58" w:type="dxa"/>
              <w:bottom w:w="58" w:type="dxa"/>
              <w:right w:w="58" w:type="dxa"/>
            </w:tcMar>
            <w:vAlign w:val="center"/>
          </w:tcPr>
          <w:p w:rsidR="006238ED" w:rsidRPr="00022865" w:rsidRDefault="006238ED" w:rsidP="000914EB">
            <w:pPr>
              <w:keepNext/>
              <w:keepLines/>
              <w:spacing w:before="20" w:after="20" w:line="240" w:lineRule="auto"/>
              <w:rPr>
                <w:rFonts w:ascii="Calibri" w:hAnsi="Calibri"/>
                <w:b/>
                <w:sz w:val="18"/>
                <w:szCs w:val="18"/>
              </w:rPr>
            </w:pPr>
            <w:r w:rsidRPr="00022865">
              <w:rPr>
                <w:rFonts w:ascii="Calibri" w:hAnsi="Calibri"/>
                <w:b/>
                <w:sz w:val="18"/>
                <w:szCs w:val="18"/>
              </w:rPr>
              <w:t>Connecticut Import (N-1)</w:t>
            </w:r>
          </w:p>
        </w:tc>
        <w:tc>
          <w:tcPr>
            <w:tcW w:w="1059" w:type="dxa"/>
            <w:shd w:val="clear" w:color="auto" w:fill="DBE5F1" w:themeFill="accent1" w:themeFillTint="33"/>
            <w:tcMar>
              <w:top w:w="58" w:type="dxa"/>
              <w:left w:w="58" w:type="dxa"/>
              <w:bottom w:w="58" w:type="dxa"/>
              <w:right w:w="144" w:type="dxa"/>
            </w:tcMar>
            <w:vAlign w:val="center"/>
          </w:tcPr>
          <w:p w:rsidR="006238ED" w:rsidRPr="00022865" w:rsidRDefault="006238ED" w:rsidP="000914EB">
            <w:pPr>
              <w:keepNext/>
              <w:keepLines/>
              <w:spacing w:before="20" w:after="20" w:line="240" w:lineRule="auto"/>
              <w:jc w:val="right"/>
              <w:rPr>
                <w:rFonts w:ascii="Calibri" w:hAnsi="Calibri"/>
                <w:sz w:val="18"/>
                <w:szCs w:val="18"/>
              </w:rPr>
            </w:pPr>
            <w:r w:rsidRPr="00022865">
              <w:rPr>
                <w:rFonts w:ascii="Calibri" w:hAnsi="Calibri"/>
                <w:sz w:val="18"/>
                <w:szCs w:val="18"/>
              </w:rPr>
              <w:t>3,400</w:t>
            </w:r>
          </w:p>
        </w:tc>
      </w:tr>
      <w:tr w:rsidR="00A12E6B" w:rsidRPr="00022865" w:rsidTr="00022865">
        <w:trPr>
          <w:cantSplit/>
          <w:jc w:val="center"/>
        </w:trPr>
        <w:tc>
          <w:tcPr>
            <w:tcW w:w="3771" w:type="dxa"/>
            <w:shd w:val="clear" w:color="auto" w:fill="auto"/>
            <w:tcMar>
              <w:top w:w="58" w:type="dxa"/>
              <w:left w:w="58" w:type="dxa"/>
              <w:bottom w:w="58" w:type="dxa"/>
              <w:right w:w="58" w:type="dxa"/>
            </w:tcMar>
            <w:vAlign w:val="center"/>
          </w:tcPr>
          <w:p w:rsidR="00A12E6B" w:rsidRPr="00022865" w:rsidRDefault="00A12E6B" w:rsidP="000914EB">
            <w:pPr>
              <w:keepNext/>
              <w:keepLines/>
              <w:spacing w:before="20" w:after="20" w:line="240" w:lineRule="auto"/>
              <w:rPr>
                <w:rFonts w:ascii="Calibri" w:hAnsi="Calibri"/>
                <w:b/>
                <w:sz w:val="18"/>
                <w:szCs w:val="18"/>
              </w:rPr>
            </w:pPr>
            <w:r w:rsidRPr="00022865">
              <w:rPr>
                <w:rFonts w:ascii="Calibri" w:hAnsi="Calibri"/>
                <w:b/>
                <w:sz w:val="18"/>
                <w:szCs w:val="18"/>
              </w:rPr>
              <w:t>SW Connecticut Import (N-1)</w:t>
            </w:r>
          </w:p>
        </w:tc>
        <w:tc>
          <w:tcPr>
            <w:tcW w:w="1059" w:type="dxa"/>
            <w:shd w:val="clear" w:color="auto" w:fill="auto"/>
            <w:tcMar>
              <w:top w:w="58" w:type="dxa"/>
              <w:left w:w="58" w:type="dxa"/>
              <w:bottom w:w="58" w:type="dxa"/>
              <w:right w:w="144" w:type="dxa"/>
            </w:tcMar>
            <w:vAlign w:val="center"/>
          </w:tcPr>
          <w:p w:rsidR="00A12E6B" w:rsidRPr="00022865" w:rsidRDefault="00A12E6B" w:rsidP="000914EB">
            <w:pPr>
              <w:keepNext/>
              <w:keepLines/>
              <w:spacing w:before="20" w:after="20" w:line="240" w:lineRule="auto"/>
              <w:jc w:val="right"/>
              <w:rPr>
                <w:rFonts w:ascii="Calibri" w:hAnsi="Calibri"/>
                <w:sz w:val="18"/>
                <w:szCs w:val="18"/>
              </w:rPr>
            </w:pPr>
            <w:r w:rsidRPr="00022865">
              <w:rPr>
                <w:rFonts w:ascii="Calibri" w:hAnsi="Calibri"/>
                <w:sz w:val="18"/>
                <w:szCs w:val="18"/>
              </w:rPr>
              <w:t>2</w:t>
            </w:r>
            <w:r w:rsidR="00B63FC5" w:rsidRPr="00022865">
              <w:rPr>
                <w:rFonts w:ascii="Calibri" w:hAnsi="Calibri"/>
                <w:sz w:val="18"/>
                <w:szCs w:val="18"/>
              </w:rPr>
              <w:t>,</w:t>
            </w:r>
            <w:r w:rsidRPr="00022865">
              <w:rPr>
                <w:rFonts w:ascii="Calibri" w:hAnsi="Calibri"/>
                <w:sz w:val="18"/>
                <w:szCs w:val="18"/>
              </w:rPr>
              <w:t>800</w:t>
            </w:r>
          </w:p>
        </w:tc>
      </w:tr>
    </w:tbl>
    <w:p w:rsidR="00A12E6B" w:rsidRPr="003A2CA8" w:rsidRDefault="00E0246D" w:rsidP="002F71DB">
      <w:pPr>
        <w:widowControl w:val="0"/>
        <w:tabs>
          <w:tab w:val="left" w:pos="720"/>
        </w:tabs>
        <w:adjustRightInd/>
        <w:spacing w:before="120" w:line="240" w:lineRule="auto"/>
        <w:ind w:left="2246" w:right="2246"/>
        <w:textAlignment w:val="auto"/>
        <w:rPr>
          <w:rFonts w:ascii="Calibri" w:hAnsi="Calibri"/>
          <w:color w:val="1794D2"/>
          <w:spacing w:val="-1"/>
          <w:sz w:val="16"/>
          <w:szCs w:val="16"/>
          <w:u w:val="single" w:color="1794D2"/>
        </w:rPr>
      </w:pPr>
      <w:r w:rsidRPr="003A2CA8">
        <w:rPr>
          <w:rFonts w:ascii="Calibri" w:hAnsi="Calibri"/>
          <w:b/>
          <w:sz w:val="16"/>
          <w:szCs w:val="16"/>
        </w:rPr>
        <w:t>Source:</w:t>
      </w:r>
      <w:r w:rsidRPr="003A2CA8">
        <w:rPr>
          <w:rFonts w:ascii="Calibri" w:hAnsi="Calibri"/>
          <w:sz w:val="16"/>
          <w:szCs w:val="16"/>
        </w:rPr>
        <w:t xml:space="preserve"> </w:t>
      </w:r>
      <w:r w:rsidR="00AD567A" w:rsidRPr="003A2CA8">
        <w:rPr>
          <w:rFonts w:ascii="Calibri" w:hAnsi="Calibri"/>
          <w:sz w:val="16"/>
          <w:szCs w:val="16"/>
        </w:rPr>
        <w:t xml:space="preserve">ISO New England, </w:t>
      </w:r>
      <w:r w:rsidR="00AD567A" w:rsidRPr="003A2CA8">
        <w:rPr>
          <w:rFonts w:ascii="Calibri" w:hAnsi="Calibri"/>
          <w:i/>
          <w:sz w:val="16"/>
          <w:szCs w:val="16"/>
        </w:rPr>
        <w:t>Transmission Transfer Capabilities Update</w:t>
      </w:r>
      <w:r w:rsidR="00AD567A" w:rsidRPr="003A2CA8">
        <w:rPr>
          <w:rFonts w:ascii="Calibri" w:hAnsi="Calibri"/>
          <w:sz w:val="16"/>
          <w:szCs w:val="16"/>
        </w:rPr>
        <w:t xml:space="preserve">, PAC presentation (June 10, 2016), </w:t>
      </w:r>
      <w:hyperlink r:id="rId35">
        <w:r w:rsidR="00A12E6B" w:rsidRPr="003A2CA8">
          <w:rPr>
            <w:rFonts w:ascii="Calibri" w:hAnsi="Calibri"/>
            <w:i/>
            <w:color w:val="1794D2"/>
            <w:spacing w:val="-1"/>
            <w:sz w:val="16"/>
            <w:szCs w:val="16"/>
            <w:u w:val="single" w:color="1794D2"/>
          </w:rPr>
          <w:t>https://smd.iso</w:t>
        </w:r>
      </w:hyperlink>
      <w:hyperlink r:id="rId36">
        <w:r w:rsidR="00A12E6B" w:rsidRPr="003A2CA8">
          <w:rPr>
            <w:rFonts w:ascii="Calibri" w:hAnsi="Calibri"/>
            <w:i/>
            <w:color w:val="1794D2"/>
            <w:spacing w:val="-1"/>
            <w:sz w:val="16"/>
            <w:szCs w:val="16"/>
            <w:u w:val="single" w:color="1794D2"/>
          </w:rPr>
          <w:t>-</w:t>
        </w:r>
      </w:hyperlink>
      <w:hyperlink r:id="rId37">
        <w:r w:rsidR="00A12E6B" w:rsidRPr="003A2CA8">
          <w:rPr>
            <w:rFonts w:ascii="Calibri" w:hAnsi="Calibri"/>
            <w:i/>
            <w:color w:val="1794D2"/>
            <w:spacing w:val="-1"/>
            <w:sz w:val="16"/>
            <w:szCs w:val="16"/>
            <w:u w:val="single" w:color="1794D2"/>
          </w:rPr>
          <w:t>ne.com/operations</w:t>
        </w:r>
      </w:hyperlink>
      <w:hyperlink r:id="rId38">
        <w:r w:rsidR="00A12E6B" w:rsidRPr="003A2CA8">
          <w:rPr>
            <w:rFonts w:ascii="Calibri" w:hAnsi="Calibri"/>
            <w:i/>
            <w:color w:val="1794D2"/>
            <w:spacing w:val="-1"/>
            <w:sz w:val="16"/>
            <w:szCs w:val="16"/>
            <w:u w:val="single" w:color="1794D2"/>
          </w:rPr>
          <w:t>-</w:t>
        </w:r>
      </w:hyperlink>
      <w:hyperlink r:id="rId39">
        <w:r w:rsidR="00A12E6B" w:rsidRPr="003A2CA8">
          <w:rPr>
            <w:rFonts w:ascii="Calibri" w:hAnsi="Calibri"/>
            <w:i/>
            <w:color w:val="1794D2"/>
            <w:spacing w:val="-1"/>
            <w:sz w:val="16"/>
            <w:szCs w:val="16"/>
            <w:u w:val="single" w:color="1794D2"/>
          </w:rPr>
          <w:t>services/ceii/pac/2016/06/a3_transmission_transfer_capabilities_update.pdf</w:t>
        </w:r>
      </w:hyperlink>
      <w:r w:rsidRPr="003A2CA8">
        <w:rPr>
          <w:rFonts w:ascii="Calibri" w:hAnsi="Calibri"/>
          <w:color w:val="1794D2"/>
          <w:spacing w:val="-1"/>
          <w:sz w:val="16"/>
          <w:szCs w:val="16"/>
          <w:u w:val="single" w:color="1794D2"/>
        </w:rPr>
        <w:t>.</w:t>
      </w:r>
    </w:p>
    <w:p w:rsidR="00022865" w:rsidRDefault="00022865" w:rsidP="0065472C">
      <w:pPr>
        <w:keepNext/>
        <w:keepLines/>
        <w:spacing w:after="0" w:line="240" w:lineRule="auto"/>
        <w:jc w:val="center"/>
      </w:pPr>
    </w:p>
    <w:p w:rsidR="00D404E5" w:rsidRDefault="00D404E5" w:rsidP="00D404E5">
      <w:pPr>
        <w:keepNext/>
        <w:keepLines/>
        <w:spacing w:after="0" w:line="240" w:lineRule="auto"/>
        <w:jc w:val="center"/>
      </w:pPr>
      <w:r>
        <w:rPr>
          <w:noProof/>
        </w:rPr>
        <w:drawing>
          <wp:inline distT="0" distB="0" distL="0" distR="0" wp14:anchorId="5DB1D420" wp14:editId="0A23BA1A">
            <wp:extent cx="5943600" cy="4283982"/>
            <wp:effectExtent l="19050" t="19050" r="19050" b="215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4283982"/>
                    </a:xfrm>
                    <a:prstGeom prst="rect">
                      <a:avLst/>
                    </a:prstGeom>
                    <a:noFill/>
                    <a:ln w="3175">
                      <a:solidFill>
                        <a:srgbClr val="000000"/>
                      </a:solidFill>
                    </a:ln>
                  </pic:spPr>
                </pic:pic>
              </a:graphicData>
            </a:graphic>
          </wp:inline>
        </w:drawing>
      </w:r>
    </w:p>
    <w:p w:rsidR="003C3C38" w:rsidRPr="00BD250C" w:rsidRDefault="00255638" w:rsidP="00EF45CF">
      <w:pPr>
        <w:pStyle w:val="Caption"/>
        <w:spacing w:before="120" w:after="80"/>
      </w:pPr>
      <w:bookmarkStart w:id="151" w:name="_Ref461610691"/>
      <w:bookmarkStart w:id="152" w:name="_Ref461610675"/>
      <w:bookmarkStart w:id="153" w:name="_Toc486406066"/>
      <w:r w:rsidRPr="00BD250C">
        <w:t xml:space="preserve">Figure </w:t>
      </w:r>
      <w:fldSimple w:instr=" STYLEREF 1 \s ">
        <w:r w:rsidR="00742B49" w:rsidRPr="00BD250C">
          <w:t>5</w:t>
        </w:r>
      </w:fldSimple>
      <w:r w:rsidR="00024994" w:rsidRPr="00BD250C">
        <w:noBreakHyphen/>
      </w:r>
      <w:fldSimple w:instr=" SEQ Figure \* ARABIC \s 1 ">
        <w:r w:rsidR="00742B49" w:rsidRPr="00BD250C">
          <w:t>6</w:t>
        </w:r>
      </w:fldSimple>
      <w:bookmarkEnd w:id="151"/>
      <w:r w:rsidR="00D70052" w:rsidRPr="00BD250C">
        <w:t>: Pipe and bubble representations of transmission interfaces in New England for 2025 and 2030 (MW).</w:t>
      </w:r>
      <w:bookmarkEnd w:id="152"/>
      <w:bookmarkEnd w:id="153"/>
      <w:r w:rsidR="00642A08" w:rsidRPr="00BD250C">
        <w:rPr>
          <w:color w:val="FF0000"/>
        </w:rPr>
        <w:t xml:space="preserve"> </w:t>
      </w:r>
    </w:p>
    <w:p w:rsidR="00900E26" w:rsidRPr="00BD250C" w:rsidRDefault="008C5922" w:rsidP="00877379">
      <w:pPr>
        <w:spacing w:line="240" w:lineRule="auto"/>
        <w:rPr>
          <w:rFonts w:ascii="Calibri" w:hAnsi="Calibri"/>
          <w:sz w:val="16"/>
          <w:szCs w:val="16"/>
        </w:rPr>
      </w:pPr>
      <w:r w:rsidRPr="00BD250C">
        <w:rPr>
          <w:rFonts w:ascii="Calibri" w:hAnsi="Calibri"/>
          <w:b/>
          <w:sz w:val="16"/>
          <w:szCs w:val="16"/>
        </w:rPr>
        <w:t>Note</w:t>
      </w:r>
      <w:r w:rsidR="00900E26" w:rsidRPr="00BD250C">
        <w:rPr>
          <w:rFonts w:ascii="Calibri" w:hAnsi="Calibri"/>
          <w:b/>
          <w:sz w:val="16"/>
          <w:szCs w:val="16"/>
        </w:rPr>
        <w:t>s</w:t>
      </w:r>
      <w:r w:rsidRPr="00BD250C">
        <w:rPr>
          <w:rFonts w:ascii="Calibri" w:hAnsi="Calibri"/>
          <w:b/>
          <w:sz w:val="16"/>
          <w:szCs w:val="16"/>
        </w:rPr>
        <w:t>:</w:t>
      </w:r>
      <w:r w:rsidRPr="00BD250C">
        <w:rPr>
          <w:rFonts w:ascii="Calibri" w:hAnsi="Calibri"/>
          <w:sz w:val="16"/>
          <w:szCs w:val="16"/>
        </w:rPr>
        <w:t xml:space="preserve"> The Cross-Sound Cable </w:t>
      </w:r>
      <w:r w:rsidR="000D4B7A">
        <w:rPr>
          <w:rFonts w:ascii="Calibri" w:hAnsi="Calibri"/>
          <w:sz w:val="16"/>
          <w:szCs w:val="16"/>
        </w:rPr>
        <w:t xml:space="preserve">(CSC) </w:t>
      </w:r>
      <w:r w:rsidRPr="00BD250C">
        <w:rPr>
          <w:rFonts w:ascii="Calibri" w:hAnsi="Calibri"/>
          <w:sz w:val="16"/>
          <w:szCs w:val="16"/>
        </w:rPr>
        <w:t>capacity import capability was assumed to provide no capacity (0 MW).</w:t>
      </w:r>
      <w:r w:rsidR="001D41ED" w:rsidRPr="00BD250C">
        <w:rPr>
          <w:rFonts w:ascii="Calibri" w:hAnsi="Calibri"/>
          <w:sz w:val="16"/>
          <w:szCs w:val="16"/>
        </w:rPr>
        <w:t xml:space="preserve"> </w:t>
      </w:r>
      <w:r w:rsidR="00900E26" w:rsidRPr="00BD250C">
        <w:rPr>
          <w:rFonts w:ascii="Calibri" w:hAnsi="Calibri"/>
          <w:sz w:val="16"/>
          <w:szCs w:val="16"/>
        </w:rPr>
        <w:t xml:space="preserve">For Scenario 3, </w:t>
      </w:r>
      <w:r w:rsidR="007A10B1" w:rsidRPr="00BD250C">
        <w:rPr>
          <w:rFonts w:ascii="Calibri" w:hAnsi="Calibri"/>
          <w:sz w:val="16"/>
          <w:szCs w:val="16"/>
        </w:rPr>
        <w:t>R</w:t>
      </w:r>
      <w:r w:rsidR="00F832D4" w:rsidRPr="00BD250C">
        <w:rPr>
          <w:rFonts w:ascii="Calibri" w:hAnsi="Calibri"/>
          <w:sz w:val="16"/>
          <w:szCs w:val="16"/>
        </w:rPr>
        <w:t>enewables</w:t>
      </w:r>
      <w:r w:rsidR="00C16903" w:rsidRPr="00BD250C">
        <w:rPr>
          <w:rFonts w:ascii="Calibri" w:hAnsi="Calibri"/>
          <w:sz w:val="16"/>
          <w:szCs w:val="16"/>
        </w:rPr>
        <w:t xml:space="preserve"> </w:t>
      </w:r>
      <w:r w:rsidR="007A10B1" w:rsidRPr="00BD250C">
        <w:rPr>
          <w:rFonts w:ascii="Calibri" w:hAnsi="Calibri"/>
          <w:sz w:val="16"/>
          <w:szCs w:val="16"/>
        </w:rPr>
        <w:t xml:space="preserve">Plus, </w:t>
      </w:r>
      <w:r w:rsidR="00921B89" w:rsidRPr="00BD250C">
        <w:rPr>
          <w:rFonts w:ascii="Calibri" w:hAnsi="Calibri"/>
          <w:sz w:val="16"/>
          <w:szCs w:val="16"/>
        </w:rPr>
        <w:t>the ties were modeled similar to Scenario</w:t>
      </w:r>
      <w:r w:rsidR="009D011D" w:rsidRPr="00BD250C">
        <w:rPr>
          <w:rFonts w:ascii="Calibri" w:hAnsi="Calibri"/>
          <w:sz w:val="16"/>
          <w:szCs w:val="16"/>
        </w:rPr>
        <w:t>s</w:t>
      </w:r>
      <w:r w:rsidR="00921B89" w:rsidRPr="00BD250C">
        <w:rPr>
          <w:rFonts w:ascii="Calibri" w:hAnsi="Calibri"/>
          <w:sz w:val="16"/>
          <w:szCs w:val="16"/>
        </w:rPr>
        <w:t xml:space="preserve"> 1, 2, 4, 5, </w:t>
      </w:r>
      <w:r w:rsidR="006F6382" w:rsidRPr="00BD250C">
        <w:rPr>
          <w:rFonts w:ascii="Calibri" w:hAnsi="Calibri"/>
          <w:sz w:val="16"/>
          <w:szCs w:val="16"/>
        </w:rPr>
        <w:t xml:space="preserve">and 6 </w:t>
      </w:r>
      <w:r w:rsidR="00921B89" w:rsidRPr="00BD250C">
        <w:rPr>
          <w:rFonts w:ascii="Calibri" w:hAnsi="Calibri"/>
          <w:sz w:val="16"/>
          <w:szCs w:val="16"/>
        </w:rPr>
        <w:t>except that one new tie was added from Q</w:t>
      </w:r>
      <w:r w:rsidR="00C713E4" w:rsidRPr="00BD250C">
        <w:rPr>
          <w:rFonts w:ascii="Calibri" w:hAnsi="Calibri"/>
          <w:sz w:val="16"/>
          <w:szCs w:val="16"/>
        </w:rPr>
        <w:t>uébec</w:t>
      </w:r>
      <w:r w:rsidR="00921B89" w:rsidRPr="00BD250C">
        <w:rPr>
          <w:rFonts w:ascii="Calibri" w:hAnsi="Calibri"/>
          <w:sz w:val="16"/>
          <w:szCs w:val="16"/>
        </w:rPr>
        <w:t xml:space="preserve"> to WMA and one new tie was added from Q</w:t>
      </w:r>
      <w:r w:rsidR="00C713E4" w:rsidRPr="00BD250C">
        <w:rPr>
          <w:rFonts w:ascii="Calibri" w:hAnsi="Calibri"/>
          <w:sz w:val="16"/>
          <w:szCs w:val="16"/>
        </w:rPr>
        <w:t>uébec</w:t>
      </w:r>
      <w:r w:rsidR="00921B89" w:rsidRPr="00BD250C">
        <w:rPr>
          <w:rFonts w:ascii="Calibri" w:hAnsi="Calibri"/>
          <w:sz w:val="16"/>
          <w:szCs w:val="16"/>
        </w:rPr>
        <w:t xml:space="preserve"> to </w:t>
      </w:r>
      <w:r w:rsidR="0011576D" w:rsidRPr="00BD250C">
        <w:rPr>
          <w:rFonts w:ascii="Calibri" w:hAnsi="Calibri"/>
          <w:sz w:val="16"/>
          <w:szCs w:val="16"/>
        </w:rPr>
        <w:t>the Central Massachusetts/Northeast Massachusetts (</w:t>
      </w:r>
      <w:r w:rsidR="00921B89" w:rsidRPr="00BD250C">
        <w:rPr>
          <w:rFonts w:ascii="Calibri" w:hAnsi="Calibri"/>
          <w:sz w:val="16"/>
          <w:szCs w:val="16"/>
        </w:rPr>
        <w:t>C</w:t>
      </w:r>
      <w:r w:rsidR="00C713E4" w:rsidRPr="00BD250C">
        <w:rPr>
          <w:rFonts w:ascii="Calibri" w:hAnsi="Calibri"/>
          <w:sz w:val="16"/>
          <w:szCs w:val="16"/>
        </w:rPr>
        <w:t>MA</w:t>
      </w:r>
      <w:r w:rsidR="00921B89" w:rsidRPr="00BD250C">
        <w:rPr>
          <w:rFonts w:ascii="Calibri" w:hAnsi="Calibri"/>
          <w:sz w:val="16"/>
          <w:szCs w:val="16"/>
        </w:rPr>
        <w:t>/NEMA</w:t>
      </w:r>
      <w:r w:rsidR="0011576D" w:rsidRPr="00BD250C">
        <w:rPr>
          <w:rFonts w:ascii="Calibri" w:hAnsi="Calibri"/>
          <w:sz w:val="16"/>
          <w:szCs w:val="16"/>
        </w:rPr>
        <w:t xml:space="preserve">) area </w:t>
      </w:r>
      <w:r w:rsidR="00921B89" w:rsidRPr="00BD250C">
        <w:rPr>
          <w:rFonts w:ascii="Calibri" w:hAnsi="Calibri"/>
          <w:sz w:val="16"/>
          <w:szCs w:val="16"/>
        </w:rPr>
        <w:t>with equal capability and energy.</w:t>
      </w:r>
      <w:r w:rsidR="00877379" w:rsidRPr="00BD250C">
        <w:rPr>
          <w:rFonts w:ascii="Calibri" w:hAnsi="Calibri"/>
          <w:sz w:val="16"/>
          <w:szCs w:val="16"/>
        </w:rPr>
        <w:t xml:space="preserve"> See Section</w:t>
      </w:r>
      <w:r w:rsidR="00955153" w:rsidRPr="00BD250C">
        <w:rPr>
          <w:rFonts w:ascii="Calibri" w:hAnsi="Calibri"/>
          <w:sz w:val="16"/>
          <w:szCs w:val="16"/>
        </w:rPr>
        <w:t xml:space="preserve"> </w:t>
      </w:r>
      <w:r w:rsidR="00BD250C" w:rsidRPr="00BD250C">
        <w:rPr>
          <w:rFonts w:ascii="Calibri" w:hAnsi="Calibri"/>
          <w:sz w:val="16"/>
          <w:szCs w:val="16"/>
        </w:rPr>
        <w:fldChar w:fldCharType="begin"/>
      </w:r>
      <w:r w:rsidR="00BD250C" w:rsidRPr="00BD250C">
        <w:rPr>
          <w:rFonts w:ascii="Calibri" w:hAnsi="Calibri"/>
          <w:sz w:val="16"/>
          <w:szCs w:val="16"/>
        </w:rPr>
        <w:instrText xml:space="preserve"> REF _Ref486261846 \r \h </w:instrText>
      </w:r>
      <w:r w:rsidR="00BD250C">
        <w:rPr>
          <w:rFonts w:ascii="Calibri" w:hAnsi="Calibri"/>
          <w:sz w:val="16"/>
          <w:szCs w:val="16"/>
        </w:rPr>
        <w:instrText xml:space="preserve"> \* MERGEFORMAT </w:instrText>
      </w:r>
      <w:r w:rsidR="00BD250C" w:rsidRPr="00BD250C">
        <w:rPr>
          <w:rFonts w:ascii="Calibri" w:hAnsi="Calibri"/>
          <w:sz w:val="16"/>
          <w:szCs w:val="16"/>
        </w:rPr>
      </w:r>
      <w:r w:rsidR="00BD250C" w:rsidRPr="00BD250C">
        <w:rPr>
          <w:rFonts w:ascii="Calibri" w:hAnsi="Calibri"/>
          <w:sz w:val="16"/>
          <w:szCs w:val="16"/>
        </w:rPr>
        <w:fldChar w:fldCharType="separate"/>
      </w:r>
      <w:r w:rsidR="00BD250C" w:rsidRPr="00BD250C">
        <w:rPr>
          <w:rFonts w:ascii="Calibri" w:hAnsi="Calibri"/>
          <w:sz w:val="16"/>
          <w:szCs w:val="16"/>
        </w:rPr>
        <w:t>5.3.8.2</w:t>
      </w:r>
      <w:r w:rsidR="00BD250C" w:rsidRPr="00BD250C">
        <w:rPr>
          <w:rFonts w:ascii="Calibri" w:hAnsi="Calibri"/>
          <w:sz w:val="16"/>
          <w:szCs w:val="16"/>
        </w:rPr>
        <w:fldChar w:fldCharType="end"/>
      </w:r>
      <w:r w:rsidR="00877379" w:rsidRPr="00BD250C">
        <w:rPr>
          <w:rFonts w:ascii="Calibri" w:hAnsi="Calibri"/>
          <w:sz w:val="16"/>
          <w:szCs w:val="16"/>
        </w:rPr>
        <w:t>.</w:t>
      </w:r>
      <w:r w:rsidR="00921B89" w:rsidRPr="00BD250C">
        <w:rPr>
          <w:rFonts w:ascii="Calibri" w:hAnsi="Calibri"/>
          <w:sz w:val="16"/>
          <w:szCs w:val="16"/>
        </w:rPr>
        <w:t xml:space="preserve"> </w:t>
      </w:r>
    </w:p>
    <w:p w:rsidR="00225C77" w:rsidRPr="0097425C" w:rsidRDefault="00225C77" w:rsidP="0097425C">
      <w:pPr>
        <w:pStyle w:val="Heading4"/>
      </w:pPr>
      <w:bookmarkStart w:id="154" w:name="_Ref486261846"/>
      <w:r w:rsidRPr="0097425C">
        <w:t>External Ties</w:t>
      </w:r>
      <w:bookmarkEnd w:id="154"/>
    </w:p>
    <w:p w:rsidR="00225C77" w:rsidRDefault="00225C77" w:rsidP="00C713E4">
      <w:r w:rsidRPr="00CB5BCE">
        <w:t xml:space="preserve">The scenarios required information about the </w:t>
      </w:r>
      <w:r w:rsidRPr="007A1B20">
        <w:t>capacity imports assumed to determine the initial mix of resources</w:t>
      </w:r>
      <w:r>
        <w:t xml:space="preserve">. </w:t>
      </w:r>
      <w:r w:rsidRPr="00DE7C49">
        <w:t xml:space="preserve">The assumptions for each scenario’s resource mix considered capacity imports with capacity supply obligations. </w:t>
      </w:r>
      <w:r w:rsidRPr="003A4727">
        <w:t>Import capacity includes New York Power Authority imports under a long-term contract plus the average capacity supply obligations associated with New Brunswick, Highgate, and Phase II occurring during 2013, 2014, and 2015.</w:t>
      </w:r>
      <w:r w:rsidRPr="00C16903">
        <w:t xml:space="preserve"> Scenario 3 assumes additional import capacity of 1,500 MW in 2025 and </w:t>
      </w:r>
      <w:r>
        <w:t>2,000 MW in 2030, respectively.</w:t>
      </w:r>
    </w:p>
    <w:p w:rsidR="0030601D" w:rsidRPr="0097425C" w:rsidRDefault="00225C77" w:rsidP="00C713E4">
      <w:pPr>
        <w:rPr>
          <w:highlight w:val="green"/>
        </w:rPr>
      </w:pPr>
      <w:r>
        <w:t>Energy i</w:t>
      </w:r>
      <w:r w:rsidR="00A10C4B" w:rsidRPr="004C04F8">
        <w:t>mports over the existing ties with Canada</w:t>
      </w:r>
      <w:r w:rsidR="00A651AB" w:rsidRPr="00C16903">
        <w:t xml:space="preserve"> </w:t>
      </w:r>
      <w:r w:rsidR="00A10C4B" w:rsidRPr="004C04F8">
        <w:t>were based on diurnal profiles for 2013, 2014, and 2015</w:t>
      </w:r>
      <w:r w:rsidR="00A651AB" w:rsidRPr="004C04F8">
        <w:t>.</w:t>
      </w:r>
      <w:r w:rsidR="00C16903">
        <w:rPr>
          <w:rStyle w:val="FootnoteReference"/>
        </w:rPr>
        <w:footnoteReference w:id="52"/>
      </w:r>
      <w:r w:rsidR="004C04F8">
        <w:t xml:space="preserve"> </w:t>
      </w:r>
      <w:r w:rsidR="00957741" w:rsidRPr="00C713E4">
        <w:t xml:space="preserve">The energy profiles for </w:t>
      </w:r>
      <w:r w:rsidR="009F26D4">
        <w:t xml:space="preserve">imports from </w:t>
      </w:r>
      <w:r w:rsidR="00957741" w:rsidRPr="00C713E4">
        <w:t xml:space="preserve">Québec and the Maritimes for </w:t>
      </w:r>
      <w:r w:rsidR="0030601D" w:rsidRPr="00C713E4">
        <w:t xml:space="preserve">Scenarios 1, 2, 4, </w:t>
      </w:r>
      <w:r w:rsidR="00E95312">
        <w:t>5</w:t>
      </w:r>
      <w:r w:rsidR="009D011D">
        <w:t>,</w:t>
      </w:r>
      <w:r w:rsidR="00E95312">
        <w:t xml:space="preserve"> </w:t>
      </w:r>
      <w:r w:rsidR="0030601D" w:rsidRPr="00C713E4">
        <w:t xml:space="preserve">and </w:t>
      </w:r>
      <w:r w:rsidR="00E95312">
        <w:t>6</w:t>
      </w:r>
      <w:r w:rsidR="00DD2369">
        <w:t xml:space="preserve"> </w:t>
      </w:r>
      <w:r w:rsidR="00957741" w:rsidRPr="009A7169">
        <w:t>were developed</w:t>
      </w:r>
      <w:r w:rsidR="00957741" w:rsidRPr="00C713E4">
        <w:t xml:space="preserve"> </w:t>
      </w:r>
      <w:r w:rsidR="00957741" w:rsidRPr="007A186C">
        <w:lastRenderedPageBreak/>
        <w:t xml:space="preserve">using </w:t>
      </w:r>
      <w:r w:rsidR="0030601D" w:rsidRPr="007A186C">
        <w:t xml:space="preserve">a </w:t>
      </w:r>
      <w:r w:rsidR="0030601D" w:rsidRPr="003A4727">
        <w:t xml:space="preserve">methodology similar to </w:t>
      </w:r>
      <w:r w:rsidR="00957741" w:rsidRPr="003A4727">
        <w:t xml:space="preserve">one used in </w:t>
      </w:r>
      <w:r w:rsidR="00EF2612">
        <w:t>previous</w:t>
      </w:r>
      <w:r w:rsidR="0030601D" w:rsidRPr="003A4727">
        <w:t xml:space="preserve"> Economic Studies</w:t>
      </w:r>
      <w:r w:rsidR="00957741" w:rsidRPr="003A4727">
        <w:t>.</w:t>
      </w:r>
      <w:r w:rsidR="007C7C93" w:rsidRPr="003A4727">
        <w:rPr>
          <w:rStyle w:val="FootnoteReference"/>
        </w:rPr>
        <w:footnoteReference w:id="53"/>
      </w:r>
      <w:r w:rsidR="00957741" w:rsidRPr="003A4727">
        <w:t xml:space="preserve"> </w:t>
      </w:r>
      <w:r w:rsidR="00EF2612">
        <w:t>Because of the dispatch threshold price assumed, they would be able to set the clearing price only when natural</w:t>
      </w:r>
      <w:r w:rsidR="00BD250C">
        <w:t>-</w:t>
      </w:r>
      <w:r w:rsidR="00EF2612">
        <w:t>gas</w:t>
      </w:r>
      <w:r w:rsidR="00BD250C">
        <w:t>-</w:t>
      </w:r>
      <w:r w:rsidR="00EF2612">
        <w:t>fired combined</w:t>
      </w:r>
      <w:r w:rsidR="00BD250C">
        <w:t>-</w:t>
      </w:r>
      <w:r w:rsidR="00EF2612">
        <w:t>cycle generation was not needed.</w:t>
      </w:r>
      <w:r w:rsidR="00BD250C">
        <w:rPr>
          <w:rStyle w:val="FootnoteReference"/>
        </w:rPr>
        <w:footnoteReference w:id="54"/>
      </w:r>
      <w:r w:rsidR="00BD250C">
        <w:t xml:space="preserve"> </w:t>
      </w:r>
      <w:r w:rsidR="00EF2612">
        <w:t xml:space="preserve">The threshold price for imports from New Brunswick was </w:t>
      </w:r>
      <w:r w:rsidR="00755884">
        <w:t xml:space="preserve">assumed to be </w:t>
      </w:r>
      <w:r w:rsidR="00EF2612">
        <w:t>$10/MWh</w:t>
      </w:r>
      <w:r w:rsidR="00BD250C">
        <w:t>,</w:t>
      </w:r>
      <w:r w:rsidR="00EF2612">
        <w:t xml:space="preserve"> </w:t>
      </w:r>
      <w:r w:rsidR="00755884">
        <w:t xml:space="preserve">while </w:t>
      </w:r>
      <w:r w:rsidR="00EF2612">
        <w:t xml:space="preserve">imports </w:t>
      </w:r>
      <w:r w:rsidR="00755884">
        <w:t xml:space="preserve">from Quebec </w:t>
      </w:r>
      <w:r w:rsidR="00EF2612">
        <w:t>w</w:t>
      </w:r>
      <w:r w:rsidR="00736DEB">
        <w:t>ere</w:t>
      </w:r>
      <w:r w:rsidR="00EF2612">
        <w:t xml:space="preserve"> assumed</w:t>
      </w:r>
      <w:r w:rsidR="00755884">
        <w:t xml:space="preserve"> to be $5/MWh. </w:t>
      </w:r>
      <w:r w:rsidR="009D4865" w:rsidRPr="003A4727">
        <w:t>The study also assumed no interchange would occur across the Cross</w:t>
      </w:r>
      <w:r w:rsidR="00FA7845" w:rsidRPr="003A4727">
        <w:t>-</w:t>
      </w:r>
      <w:r w:rsidR="009D4865" w:rsidRPr="003A4727">
        <w:t>Sound Cable or N</w:t>
      </w:r>
      <w:r w:rsidR="00FA7845" w:rsidRPr="003A4727">
        <w:t xml:space="preserve">ew </w:t>
      </w:r>
      <w:r w:rsidR="009D4865" w:rsidRPr="003A4727">
        <w:t>Y</w:t>
      </w:r>
      <w:r w:rsidR="00FA7845" w:rsidRPr="003A4727">
        <w:t>ork</w:t>
      </w:r>
      <w:r w:rsidR="009D4865" w:rsidRPr="003A4727">
        <w:t xml:space="preserve"> AC interconnections as a simplifying assumption that would accentuate results for New England resources and imports from Canada</w:t>
      </w:r>
      <w:r w:rsidR="00957741" w:rsidRPr="003A4727">
        <w:t>.</w:t>
      </w:r>
    </w:p>
    <w:p w:rsidR="00C713E4" w:rsidRPr="009F7A20" w:rsidRDefault="00C713E4" w:rsidP="00C713E4">
      <w:pPr>
        <w:rPr>
          <w:highlight w:val="green"/>
        </w:rPr>
      </w:pPr>
      <w:r w:rsidRPr="00FE361E">
        <w:t>For Scenario 3, R</w:t>
      </w:r>
      <w:r w:rsidR="00F832D4" w:rsidRPr="00FE361E">
        <w:t>enewables</w:t>
      </w:r>
      <w:r w:rsidR="00E90B69" w:rsidRPr="00FE361E">
        <w:t xml:space="preserve"> </w:t>
      </w:r>
      <w:r w:rsidRPr="00FE361E">
        <w:t xml:space="preserve">Plus, the </w:t>
      </w:r>
      <w:r w:rsidR="007860C0" w:rsidRPr="00FE361E">
        <w:t>energy imports from Qu</w:t>
      </w:r>
      <w:r w:rsidR="00C52E23" w:rsidRPr="00FE361E">
        <w:t>é</w:t>
      </w:r>
      <w:r w:rsidR="007860C0" w:rsidRPr="00FE361E">
        <w:t>bec and the Maritimes</w:t>
      </w:r>
      <w:r w:rsidRPr="00FE361E">
        <w:t xml:space="preserve"> were modeled similar to</w:t>
      </w:r>
      <w:r w:rsidRPr="009A7169">
        <w:t xml:space="preserve"> Scenario</w:t>
      </w:r>
      <w:r w:rsidR="00626354">
        <w:t>s</w:t>
      </w:r>
      <w:r w:rsidRPr="009A7169">
        <w:t xml:space="preserve"> 1, 2, 4, </w:t>
      </w:r>
      <w:r w:rsidR="00E95312">
        <w:t>5</w:t>
      </w:r>
      <w:r w:rsidR="00642A08">
        <w:t>,</w:t>
      </w:r>
      <w:r w:rsidR="00E95312">
        <w:t xml:space="preserve"> </w:t>
      </w:r>
      <w:r w:rsidRPr="009A7169">
        <w:t xml:space="preserve">and </w:t>
      </w:r>
      <w:r w:rsidR="00E95312">
        <w:t>6</w:t>
      </w:r>
      <w:r w:rsidRPr="009A7169">
        <w:t xml:space="preserve">, except that </w:t>
      </w:r>
      <w:r w:rsidR="007860C0">
        <w:t xml:space="preserve">two </w:t>
      </w:r>
      <w:r w:rsidRPr="009A7169">
        <w:t xml:space="preserve">new </w:t>
      </w:r>
      <w:r w:rsidR="007860C0">
        <w:t>interconnections</w:t>
      </w:r>
      <w:r w:rsidRPr="009A7169">
        <w:t xml:space="preserve"> </w:t>
      </w:r>
      <w:r w:rsidR="007860C0">
        <w:t>with Qu</w:t>
      </w:r>
      <w:r w:rsidR="00C52E23">
        <w:t>é</w:t>
      </w:r>
      <w:r w:rsidR="007860C0">
        <w:t xml:space="preserve">bec </w:t>
      </w:r>
      <w:r w:rsidRPr="009A7169">
        <w:t>w</w:t>
      </w:r>
      <w:r w:rsidR="007860C0">
        <w:t>ere</w:t>
      </w:r>
      <w:r w:rsidRPr="009A7169">
        <w:t xml:space="preserve"> added</w:t>
      </w:r>
      <w:r w:rsidR="00C52E23">
        <w:t>—</w:t>
      </w:r>
      <w:r w:rsidR="007860C0">
        <w:t>one interconnecting</w:t>
      </w:r>
      <w:r w:rsidRPr="009A7169">
        <w:t xml:space="preserve"> to </w:t>
      </w:r>
      <w:r w:rsidRPr="00E90B69">
        <w:t>WMA</w:t>
      </w:r>
      <w:r w:rsidRPr="00624D5F">
        <w:t xml:space="preserve"> and one </w:t>
      </w:r>
      <w:r w:rsidR="007860C0" w:rsidRPr="00624D5F">
        <w:t xml:space="preserve">interconnecting </w:t>
      </w:r>
      <w:r w:rsidRPr="00624D5F">
        <w:t xml:space="preserve">to </w:t>
      </w:r>
      <w:r w:rsidRPr="00E90B69">
        <w:t>CMA/NEMA</w:t>
      </w:r>
      <w:r w:rsidR="007860C0" w:rsidRPr="00E90B69">
        <w:t xml:space="preserve">. Both ties </w:t>
      </w:r>
      <w:r w:rsidR="00062479">
        <w:t xml:space="preserve">were assumed to </w:t>
      </w:r>
      <w:r w:rsidR="007860C0" w:rsidRPr="00E90B69">
        <w:t>have</w:t>
      </w:r>
      <w:r w:rsidRPr="00E90B69">
        <w:t xml:space="preserve"> </w:t>
      </w:r>
      <w:r w:rsidRPr="00624D5F">
        <w:t>equal</w:t>
      </w:r>
      <w:r w:rsidRPr="009A7169">
        <w:t xml:space="preserve"> </w:t>
      </w:r>
      <w:r w:rsidR="007860C0" w:rsidRPr="00624D5F">
        <w:t>capacity contract</w:t>
      </w:r>
      <w:r w:rsidR="00062479">
        <w:t>s</w:t>
      </w:r>
      <w:r w:rsidR="007860C0">
        <w:t xml:space="preserve"> </w:t>
      </w:r>
      <w:r w:rsidRPr="009A7169">
        <w:t>and energy</w:t>
      </w:r>
      <w:r w:rsidR="00C52E23">
        <w:t>-</w:t>
      </w:r>
      <w:r w:rsidR="007860C0">
        <w:t>delivery assumptions</w:t>
      </w:r>
      <w:r w:rsidRPr="009A7169">
        <w:t xml:space="preserve">. </w:t>
      </w:r>
      <w:r w:rsidR="007860C0">
        <w:t>The two n</w:t>
      </w:r>
      <w:r w:rsidR="00154EF6" w:rsidRPr="009A7169">
        <w:t>ew interconnections total</w:t>
      </w:r>
      <w:r w:rsidRPr="009A7169">
        <w:t xml:space="preserve">ed </w:t>
      </w:r>
      <w:r w:rsidR="00154EF6" w:rsidRPr="009A7169">
        <w:t>1,500 MW in 2025 (750 MW in each location)</w:t>
      </w:r>
      <w:r w:rsidRPr="009A7169">
        <w:t xml:space="preserve"> </w:t>
      </w:r>
      <w:r w:rsidRPr="003B0588">
        <w:t xml:space="preserve">and </w:t>
      </w:r>
      <w:r w:rsidR="00154EF6" w:rsidRPr="003B0588">
        <w:t>2,000</w:t>
      </w:r>
      <w:r w:rsidR="009A7169" w:rsidRPr="003B0588">
        <w:t> </w:t>
      </w:r>
      <w:r w:rsidR="00154EF6" w:rsidRPr="003B0588">
        <w:t>MW in 2030 (1,000 MW in each</w:t>
      </w:r>
      <w:r w:rsidRPr="003B0588">
        <w:t xml:space="preserve"> </w:t>
      </w:r>
      <w:r w:rsidR="00154EF6" w:rsidRPr="003B0588">
        <w:t>location)</w:t>
      </w:r>
      <w:r w:rsidRPr="003B0588">
        <w:t xml:space="preserve">. </w:t>
      </w:r>
      <w:r w:rsidR="004F3E03" w:rsidRPr="003B0588">
        <w:t>To balance and smooth out the net load profile affected by renewables, t</w:t>
      </w:r>
      <w:r w:rsidR="009F7A20" w:rsidRPr="003B0588">
        <w:t xml:space="preserve">he energy imports from external capacity resources over the new ties postulated in Scenario 3 used a profile that imported more energy when loads </w:t>
      </w:r>
      <w:r w:rsidR="00230F35" w:rsidRPr="003B0588">
        <w:t xml:space="preserve">net of EE and other renewable resources (PV, wind, and hydro) </w:t>
      </w:r>
      <w:r w:rsidR="009F7A20" w:rsidRPr="003B0588">
        <w:t xml:space="preserve">were higher and less when </w:t>
      </w:r>
      <w:r w:rsidR="00230F35" w:rsidRPr="003B0588">
        <w:t xml:space="preserve">the net </w:t>
      </w:r>
      <w:r w:rsidR="009F7A20" w:rsidRPr="003B0588">
        <w:t>loads were lower</w:t>
      </w:r>
      <w:r w:rsidRPr="003B0588">
        <w:t>.</w:t>
      </w:r>
      <w:r w:rsidR="009F7A20" w:rsidRPr="009F7A20">
        <w:t xml:space="preserve"> </w:t>
      </w:r>
    </w:p>
    <w:p w:rsidR="00F8573F" w:rsidRPr="00626354" w:rsidRDefault="001D41ED" w:rsidP="00EB1618">
      <w:r w:rsidRPr="003B0588">
        <w:fldChar w:fldCharType="begin"/>
      </w:r>
      <w:r w:rsidRPr="003B0588">
        <w:instrText xml:space="preserve"> REF _Ref462320501 \h  \* MERGEFORMAT </w:instrText>
      </w:r>
      <w:r w:rsidRPr="003B0588">
        <w:fldChar w:fldCharType="separate"/>
      </w:r>
      <w:r w:rsidR="00742B49" w:rsidRPr="00626354">
        <w:t xml:space="preserve">Table </w:t>
      </w:r>
      <w:r w:rsidR="00742B49">
        <w:rPr>
          <w:noProof/>
        </w:rPr>
        <w:t>5</w:t>
      </w:r>
      <w:r w:rsidR="00742B49">
        <w:rPr>
          <w:noProof/>
        </w:rPr>
        <w:noBreakHyphen/>
        <w:t>13</w:t>
      </w:r>
      <w:r w:rsidRPr="003B0588">
        <w:fldChar w:fldCharType="end"/>
      </w:r>
      <w:r w:rsidRPr="003B0588">
        <w:t xml:space="preserve"> </w:t>
      </w:r>
      <w:r w:rsidR="00EB1618" w:rsidRPr="003B0588">
        <w:t xml:space="preserve">shows the </w:t>
      </w:r>
      <w:r w:rsidR="00626354" w:rsidRPr="003B0588">
        <w:t>import</w:t>
      </w:r>
      <w:r w:rsidR="00FE361E">
        <w:t>-</w:t>
      </w:r>
      <w:r w:rsidR="00626354" w:rsidRPr="003B0588">
        <w:t>transfer capabilities</w:t>
      </w:r>
      <w:r w:rsidR="009A2F9C" w:rsidRPr="003B0588">
        <w:t xml:space="preserve">, </w:t>
      </w:r>
      <w:r w:rsidR="00626354" w:rsidRPr="003B0588">
        <w:t xml:space="preserve">capacity </w:t>
      </w:r>
      <w:r w:rsidR="009A2F9C" w:rsidRPr="003B0588">
        <w:t xml:space="preserve">imports, </w:t>
      </w:r>
      <w:r w:rsidR="00626354" w:rsidRPr="003B0588">
        <w:t xml:space="preserve">and energy </w:t>
      </w:r>
      <w:r w:rsidR="009A2F9C" w:rsidRPr="003B0588">
        <w:t xml:space="preserve">imports used </w:t>
      </w:r>
      <w:r w:rsidR="00626354" w:rsidRPr="003B0588">
        <w:t xml:space="preserve">for 2025 and 2030 external </w:t>
      </w:r>
      <w:r w:rsidR="00EB1618" w:rsidRPr="003B0588">
        <w:t>inter</w:t>
      </w:r>
      <w:r w:rsidR="009A7169" w:rsidRPr="003B0588">
        <w:t>changes with neighboring systems</w:t>
      </w:r>
      <w:r w:rsidRPr="003B0588">
        <w:t xml:space="preserve">, including </w:t>
      </w:r>
      <w:r w:rsidR="009A7169" w:rsidRPr="003B0588">
        <w:t xml:space="preserve">the </w:t>
      </w:r>
      <w:r w:rsidRPr="003B0588">
        <w:t>two new ones from Québec assumed for Scenario 3</w:t>
      </w:r>
      <w:r w:rsidR="00EB1618" w:rsidRPr="00626354">
        <w:t>.</w:t>
      </w:r>
      <w:r w:rsidR="009A2F9C">
        <w:t xml:space="preserve"> </w:t>
      </w:r>
      <w:r w:rsidR="003B0588">
        <w:t xml:space="preserve">Based on the </w:t>
      </w:r>
      <w:r w:rsidR="009A2F9C">
        <w:t>historical profiles</w:t>
      </w:r>
      <w:r w:rsidR="003B0588">
        <w:t>,</w:t>
      </w:r>
      <w:r w:rsidR="009A2F9C">
        <w:t xml:space="preserve"> the maximum energy import</w:t>
      </w:r>
      <w:r w:rsidR="003B0588">
        <w:t xml:space="preserve"> value</w:t>
      </w:r>
      <w:r w:rsidR="009A2F9C">
        <w:t>s w</w:t>
      </w:r>
      <w:r w:rsidR="003B0588">
        <w:t>ere</w:t>
      </w:r>
      <w:r w:rsidR="009A2F9C">
        <w:t xml:space="preserve"> allowed to exceed the capacity import values, but </w:t>
      </w:r>
      <w:r w:rsidR="003B0588">
        <w:t>they</w:t>
      </w:r>
      <w:r w:rsidR="009A2F9C">
        <w:t xml:space="preserve"> never exceeded the import capability of the ties. </w:t>
      </w:r>
    </w:p>
    <w:p w:rsidR="001D41ED" w:rsidRDefault="001D41ED" w:rsidP="001D41ED">
      <w:pPr>
        <w:pStyle w:val="Caption"/>
        <w:jc w:val="center"/>
      </w:pPr>
      <w:bookmarkStart w:id="155" w:name="_Ref462320501"/>
      <w:bookmarkStart w:id="156" w:name="_Toc486406027"/>
      <w:r w:rsidRPr="00626354">
        <w:lastRenderedPageBreak/>
        <w:t xml:space="preserve">Table </w:t>
      </w:r>
      <w:fldSimple w:instr=" STYLEREF 1 \s ">
        <w:r w:rsidR="004248FE">
          <w:rPr>
            <w:noProof/>
          </w:rPr>
          <w:t>5</w:t>
        </w:r>
      </w:fldSimple>
      <w:r w:rsidR="004248FE">
        <w:noBreakHyphen/>
      </w:r>
      <w:r w:rsidR="00736DEB">
        <w:t>13</w:t>
      </w:r>
      <w:bookmarkEnd w:id="155"/>
      <w:r w:rsidRPr="00626354">
        <w:br/>
        <w:t>Assumed Interconnections with Neighboring Systems, Import Capabilities,</w:t>
      </w:r>
      <w:r w:rsidRPr="00626354">
        <w:br/>
        <w:t>and Capacity Imports for 2025  and 2030 (MW)</w:t>
      </w:r>
      <w:bookmarkEnd w:id="156"/>
    </w:p>
    <w:tbl>
      <w:tblPr>
        <w:tblW w:w="811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639"/>
        <w:gridCol w:w="1080"/>
        <w:gridCol w:w="1068"/>
        <w:gridCol w:w="12"/>
        <w:gridCol w:w="1080"/>
        <w:gridCol w:w="1080"/>
        <w:gridCol w:w="2160"/>
      </w:tblGrid>
      <w:tr w:rsidR="0059014F" w:rsidRPr="0059014F" w:rsidTr="00082296">
        <w:trPr>
          <w:trHeight w:val="333"/>
          <w:jc w:val="center"/>
        </w:trPr>
        <w:tc>
          <w:tcPr>
            <w:tcW w:w="1639" w:type="dxa"/>
            <w:vMerge w:val="restart"/>
            <w:shd w:val="clear" w:color="auto" w:fill="4F81BD" w:themeFill="accent1"/>
            <w:tcMar>
              <w:top w:w="29" w:type="dxa"/>
              <w:left w:w="58" w:type="dxa"/>
              <w:bottom w:w="29" w:type="dxa"/>
              <w:right w:w="58" w:type="dxa"/>
            </w:tcMar>
            <w:vAlign w:val="center"/>
          </w:tcPr>
          <w:p w:rsidR="0065472C" w:rsidRPr="00082296" w:rsidRDefault="0065472C" w:rsidP="001D41ED">
            <w:pPr>
              <w:keepNext/>
              <w:keepLines/>
              <w:spacing w:before="40" w:after="40" w:line="240" w:lineRule="auto"/>
              <w:jc w:val="center"/>
              <w:rPr>
                <w:rFonts w:ascii="Calibri" w:hAnsi="Calibri"/>
                <w:color w:val="FFFFFF" w:themeColor="background1"/>
                <w:sz w:val="18"/>
                <w:szCs w:val="18"/>
              </w:rPr>
            </w:pPr>
            <w:r w:rsidRPr="00082296">
              <w:rPr>
                <w:rFonts w:ascii="Calibri" w:hAnsi="Calibri"/>
                <w:b/>
                <w:bCs/>
                <w:color w:val="FFFFFF" w:themeColor="background1"/>
                <w:sz w:val="18"/>
                <w:szCs w:val="18"/>
              </w:rPr>
              <w:t xml:space="preserve">Interconnection </w:t>
            </w:r>
          </w:p>
        </w:tc>
        <w:tc>
          <w:tcPr>
            <w:tcW w:w="2148" w:type="dxa"/>
            <w:gridSpan w:val="2"/>
            <w:shd w:val="clear" w:color="auto" w:fill="4F81BD" w:themeFill="accent1"/>
            <w:tcMar>
              <w:top w:w="29" w:type="dxa"/>
              <w:left w:w="58" w:type="dxa"/>
              <w:bottom w:w="29" w:type="dxa"/>
              <w:right w:w="58" w:type="dxa"/>
            </w:tcMar>
            <w:vAlign w:val="center"/>
          </w:tcPr>
          <w:p w:rsidR="0065472C" w:rsidRPr="00082296" w:rsidRDefault="0065472C" w:rsidP="003369B6">
            <w:pPr>
              <w:keepNext/>
              <w:keepLines/>
              <w:spacing w:before="40" w:after="40" w:line="240" w:lineRule="auto"/>
              <w:jc w:val="center"/>
              <w:rPr>
                <w:rFonts w:ascii="Calibri" w:hAnsi="Calibri"/>
                <w:color w:val="FFFFFF" w:themeColor="background1"/>
                <w:sz w:val="18"/>
                <w:szCs w:val="18"/>
              </w:rPr>
            </w:pPr>
            <w:r w:rsidRPr="00082296">
              <w:rPr>
                <w:rFonts w:ascii="Calibri" w:hAnsi="Calibri"/>
                <w:b/>
                <w:bCs/>
                <w:color w:val="FFFFFF" w:themeColor="background1"/>
                <w:sz w:val="18"/>
                <w:szCs w:val="18"/>
              </w:rPr>
              <w:t>Import Capability</w:t>
            </w:r>
          </w:p>
        </w:tc>
        <w:tc>
          <w:tcPr>
            <w:tcW w:w="2172" w:type="dxa"/>
            <w:gridSpan w:val="3"/>
            <w:shd w:val="clear" w:color="auto" w:fill="4F81BD" w:themeFill="accent1"/>
            <w:tcMar>
              <w:top w:w="29" w:type="dxa"/>
              <w:left w:w="58" w:type="dxa"/>
              <w:bottom w:w="29" w:type="dxa"/>
              <w:right w:w="58" w:type="dxa"/>
            </w:tcMar>
            <w:vAlign w:val="center"/>
          </w:tcPr>
          <w:p w:rsidR="0065472C" w:rsidRPr="00082296" w:rsidRDefault="0065472C" w:rsidP="003369B6">
            <w:pPr>
              <w:keepNext/>
              <w:keepLines/>
              <w:spacing w:before="40" w:after="40" w:line="240" w:lineRule="auto"/>
              <w:jc w:val="center"/>
              <w:rPr>
                <w:rFonts w:ascii="Calibri" w:hAnsi="Calibri"/>
                <w:color w:val="FFFFFF" w:themeColor="background1"/>
                <w:sz w:val="18"/>
                <w:szCs w:val="18"/>
              </w:rPr>
            </w:pPr>
            <w:r w:rsidRPr="00082296">
              <w:rPr>
                <w:rFonts w:ascii="Calibri" w:hAnsi="Calibri"/>
                <w:b/>
                <w:bCs/>
                <w:color w:val="FFFFFF" w:themeColor="background1"/>
                <w:sz w:val="18"/>
                <w:szCs w:val="18"/>
              </w:rPr>
              <w:t>Capacity Imports</w:t>
            </w:r>
          </w:p>
        </w:tc>
        <w:tc>
          <w:tcPr>
            <w:tcW w:w="2160" w:type="dxa"/>
            <w:vMerge w:val="restart"/>
            <w:shd w:val="clear" w:color="auto" w:fill="4F81BD" w:themeFill="accent1"/>
            <w:vAlign w:val="center"/>
          </w:tcPr>
          <w:p w:rsidR="0065472C" w:rsidRPr="00082296" w:rsidRDefault="00353971" w:rsidP="001D41ED">
            <w:pPr>
              <w:keepNext/>
              <w:keepLines/>
              <w:spacing w:before="40" w:after="40" w:line="240" w:lineRule="auto"/>
              <w:jc w:val="center"/>
              <w:rPr>
                <w:rFonts w:ascii="Calibri" w:hAnsi="Calibri"/>
                <w:color w:val="FFFFFF" w:themeColor="background1"/>
                <w:sz w:val="18"/>
                <w:szCs w:val="18"/>
                <w:highlight w:val="yellow"/>
              </w:rPr>
            </w:pPr>
            <w:r w:rsidRPr="00082296">
              <w:rPr>
                <w:rFonts w:ascii="Calibri" w:hAnsi="Calibri"/>
                <w:b/>
                <w:bCs/>
                <w:color w:val="FFFFFF" w:themeColor="background1"/>
                <w:sz w:val="18"/>
                <w:szCs w:val="18"/>
              </w:rPr>
              <w:t>Energy Delivery</w:t>
            </w:r>
          </w:p>
        </w:tc>
      </w:tr>
      <w:tr w:rsidR="0059014F" w:rsidRPr="0059014F" w:rsidTr="00082296">
        <w:trPr>
          <w:trHeight w:val="140"/>
          <w:jc w:val="center"/>
        </w:trPr>
        <w:tc>
          <w:tcPr>
            <w:tcW w:w="1639" w:type="dxa"/>
            <w:vMerge/>
            <w:shd w:val="clear" w:color="auto" w:fill="4F81BD" w:themeFill="accent1"/>
            <w:tcMar>
              <w:top w:w="29" w:type="dxa"/>
              <w:left w:w="58" w:type="dxa"/>
              <w:bottom w:w="29" w:type="dxa"/>
              <w:right w:w="58" w:type="dxa"/>
            </w:tcMar>
            <w:vAlign w:val="center"/>
          </w:tcPr>
          <w:p w:rsidR="0065472C" w:rsidRPr="00082296" w:rsidRDefault="0065472C" w:rsidP="001D41ED">
            <w:pPr>
              <w:keepNext/>
              <w:keepLines/>
              <w:spacing w:before="40" w:after="40" w:line="240" w:lineRule="auto"/>
              <w:rPr>
                <w:rFonts w:ascii="Calibri" w:hAnsi="Calibri"/>
                <w:color w:val="FFFFFF" w:themeColor="background1"/>
                <w:sz w:val="18"/>
                <w:szCs w:val="18"/>
              </w:rPr>
            </w:pPr>
          </w:p>
        </w:tc>
        <w:tc>
          <w:tcPr>
            <w:tcW w:w="1080" w:type="dxa"/>
            <w:shd w:val="clear" w:color="auto" w:fill="4F81BD" w:themeFill="accent1"/>
            <w:tcMar>
              <w:top w:w="29" w:type="dxa"/>
              <w:left w:w="58" w:type="dxa"/>
              <w:bottom w:w="29" w:type="dxa"/>
              <w:right w:w="58" w:type="dxa"/>
            </w:tcMar>
            <w:vAlign w:val="center"/>
          </w:tcPr>
          <w:p w:rsidR="0065472C" w:rsidRPr="00082296" w:rsidRDefault="0065472C" w:rsidP="001D41ED">
            <w:pPr>
              <w:keepNext/>
              <w:keepLines/>
              <w:spacing w:before="40" w:after="40" w:line="240" w:lineRule="auto"/>
              <w:jc w:val="center"/>
              <w:rPr>
                <w:rFonts w:ascii="Calibri" w:hAnsi="Calibri"/>
                <w:b/>
                <w:color w:val="FFFFFF" w:themeColor="background1"/>
                <w:sz w:val="18"/>
                <w:szCs w:val="18"/>
              </w:rPr>
            </w:pPr>
            <w:r w:rsidRPr="00082296">
              <w:rPr>
                <w:rFonts w:ascii="Calibri" w:hAnsi="Calibri"/>
                <w:b/>
                <w:color w:val="FFFFFF" w:themeColor="background1"/>
                <w:sz w:val="18"/>
                <w:szCs w:val="18"/>
              </w:rPr>
              <w:t>2025</w:t>
            </w:r>
          </w:p>
        </w:tc>
        <w:tc>
          <w:tcPr>
            <w:tcW w:w="1080" w:type="dxa"/>
            <w:gridSpan w:val="2"/>
            <w:shd w:val="clear" w:color="auto" w:fill="4F81BD" w:themeFill="accent1"/>
            <w:tcMar>
              <w:top w:w="29" w:type="dxa"/>
              <w:left w:w="58" w:type="dxa"/>
              <w:bottom w:w="29" w:type="dxa"/>
              <w:right w:w="58" w:type="dxa"/>
            </w:tcMar>
            <w:vAlign w:val="center"/>
          </w:tcPr>
          <w:p w:rsidR="0065472C" w:rsidRPr="00082296" w:rsidRDefault="0065472C" w:rsidP="001D41ED">
            <w:pPr>
              <w:keepNext/>
              <w:keepLines/>
              <w:spacing w:before="40" w:after="40" w:line="240" w:lineRule="auto"/>
              <w:jc w:val="center"/>
              <w:rPr>
                <w:rFonts w:ascii="Calibri" w:hAnsi="Calibri"/>
                <w:b/>
                <w:color w:val="FFFFFF" w:themeColor="background1"/>
                <w:sz w:val="18"/>
                <w:szCs w:val="18"/>
              </w:rPr>
            </w:pPr>
            <w:r w:rsidRPr="00082296">
              <w:rPr>
                <w:rFonts w:ascii="Calibri" w:hAnsi="Calibri"/>
                <w:b/>
                <w:color w:val="FFFFFF" w:themeColor="background1"/>
                <w:sz w:val="18"/>
                <w:szCs w:val="18"/>
              </w:rPr>
              <w:t>2030</w:t>
            </w:r>
          </w:p>
        </w:tc>
        <w:tc>
          <w:tcPr>
            <w:tcW w:w="1080" w:type="dxa"/>
            <w:shd w:val="clear" w:color="auto" w:fill="4F81BD" w:themeFill="accent1"/>
            <w:tcMar>
              <w:top w:w="29" w:type="dxa"/>
              <w:left w:w="58" w:type="dxa"/>
              <w:bottom w:w="29" w:type="dxa"/>
              <w:right w:w="58" w:type="dxa"/>
            </w:tcMar>
            <w:vAlign w:val="center"/>
          </w:tcPr>
          <w:p w:rsidR="0065472C" w:rsidRPr="00082296" w:rsidRDefault="0065472C" w:rsidP="001D41ED">
            <w:pPr>
              <w:keepNext/>
              <w:keepLines/>
              <w:spacing w:before="40" w:after="40" w:line="240" w:lineRule="auto"/>
              <w:jc w:val="center"/>
              <w:rPr>
                <w:rFonts w:ascii="Calibri" w:hAnsi="Calibri"/>
                <w:b/>
                <w:color w:val="FFFFFF" w:themeColor="background1"/>
                <w:sz w:val="18"/>
                <w:szCs w:val="18"/>
              </w:rPr>
            </w:pPr>
            <w:r w:rsidRPr="00082296">
              <w:rPr>
                <w:rFonts w:ascii="Calibri" w:hAnsi="Calibri"/>
                <w:b/>
                <w:color w:val="FFFFFF" w:themeColor="background1"/>
                <w:sz w:val="18"/>
                <w:szCs w:val="18"/>
              </w:rPr>
              <w:t>2025</w:t>
            </w:r>
          </w:p>
        </w:tc>
        <w:tc>
          <w:tcPr>
            <w:tcW w:w="1080" w:type="dxa"/>
            <w:shd w:val="clear" w:color="auto" w:fill="4F81BD" w:themeFill="accent1"/>
            <w:tcMar>
              <w:top w:w="29" w:type="dxa"/>
              <w:left w:w="58" w:type="dxa"/>
              <w:bottom w:w="29" w:type="dxa"/>
              <w:right w:w="58" w:type="dxa"/>
            </w:tcMar>
            <w:vAlign w:val="center"/>
          </w:tcPr>
          <w:p w:rsidR="0065472C" w:rsidRPr="00082296" w:rsidRDefault="0065472C" w:rsidP="001D41ED">
            <w:pPr>
              <w:keepNext/>
              <w:keepLines/>
              <w:spacing w:before="40" w:after="40" w:line="240" w:lineRule="auto"/>
              <w:jc w:val="center"/>
              <w:rPr>
                <w:rFonts w:ascii="Calibri" w:hAnsi="Calibri"/>
                <w:b/>
                <w:color w:val="FFFFFF" w:themeColor="background1"/>
                <w:sz w:val="18"/>
                <w:szCs w:val="18"/>
              </w:rPr>
            </w:pPr>
            <w:r w:rsidRPr="00082296">
              <w:rPr>
                <w:rFonts w:ascii="Calibri" w:hAnsi="Calibri"/>
                <w:b/>
                <w:color w:val="FFFFFF" w:themeColor="background1"/>
                <w:sz w:val="18"/>
                <w:szCs w:val="18"/>
              </w:rPr>
              <w:t>2030</w:t>
            </w:r>
          </w:p>
        </w:tc>
        <w:tc>
          <w:tcPr>
            <w:tcW w:w="2160" w:type="dxa"/>
            <w:vMerge/>
            <w:shd w:val="clear" w:color="auto" w:fill="4F81BD" w:themeFill="accent1"/>
            <w:vAlign w:val="center"/>
          </w:tcPr>
          <w:p w:rsidR="0065472C" w:rsidRPr="00082296" w:rsidRDefault="0065472C" w:rsidP="001D41ED">
            <w:pPr>
              <w:keepNext/>
              <w:keepLines/>
              <w:spacing w:before="40" w:after="40" w:line="240" w:lineRule="auto"/>
              <w:rPr>
                <w:rFonts w:ascii="Calibri" w:hAnsi="Calibri"/>
                <w:color w:val="FFFFFF" w:themeColor="background1"/>
                <w:sz w:val="18"/>
                <w:szCs w:val="18"/>
              </w:rPr>
            </w:pPr>
          </w:p>
        </w:tc>
      </w:tr>
      <w:tr w:rsidR="00F8573F" w:rsidRPr="00F8573F" w:rsidTr="00082296">
        <w:trPr>
          <w:trHeight w:val="147"/>
          <w:jc w:val="center"/>
        </w:trPr>
        <w:tc>
          <w:tcPr>
            <w:tcW w:w="1639" w:type="dxa"/>
            <w:tcMar>
              <w:top w:w="29" w:type="dxa"/>
              <w:left w:w="58" w:type="dxa"/>
              <w:bottom w:w="29" w:type="dxa"/>
              <w:right w:w="58" w:type="dxa"/>
            </w:tcMar>
            <w:vAlign w:val="center"/>
          </w:tcPr>
          <w:p w:rsidR="00F8573F" w:rsidRPr="00F8573F" w:rsidRDefault="00F8573F" w:rsidP="001D41ED">
            <w:pPr>
              <w:keepNext/>
              <w:keepLines/>
              <w:spacing w:before="40" w:after="40" w:line="240" w:lineRule="auto"/>
              <w:rPr>
                <w:rFonts w:ascii="Calibri" w:hAnsi="Calibri"/>
                <w:sz w:val="18"/>
                <w:szCs w:val="18"/>
              </w:rPr>
            </w:pPr>
            <w:r w:rsidRPr="00F8573F">
              <w:rPr>
                <w:rFonts w:ascii="Calibri" w:hAnsi="Calibri"/>
                <w:b/>
                <w:bCs/>
                <w:sz w:val="18"/>
                <w:szCs w:val="18"/>
              </w:rPr>
              <w:t xml:space="preserve">Highgate </w:t>
            </w:r>
          </w:p>
        </w:tc>
        <w:tc>
          <w:tcPr>
            <w:tcW w:w="1080" w:type="dxa"/>
            <w:tcMar>
              <w:top w:w="29" w:type="dxa"/>
              <w:left w:w="58" w:type="dxa"/>
              <w:bottom w:w="29" w:type="dxa"/>
              <w:right w:w="115" w:type="dxa"/>
            </w:tcMar>
            <w:vAlign w:val="center"/>
          </w:tcPr>
          <w:p w:rsidR="00F8573F" w:rsidRPr="00F8573F" w:rsidRDefault="00F8573F" w:rsidP="001D41ED">
            <w:pPr>
              <w:keepNext/>
              <w:keepLines/>
              <w:spacing w:before="40" w:after="40" w:line="240" w:lineRule="auto"/>
              <w:jc w:val="right"/>
              <w:rPr>
                <w:rFonts w:ascii="Calibri" w:hAnsi="Calibri"/>
                <w:sz w:val="18"/>
                <w:szCs w:val="18"/>
              </w:rPr>
            </w:pPr>
            <w:r w:rsidRPr="00F8573F">
              <w:rPr>
                <w:rFonts w:ascii="Calibri" w:hAnsi="Calibri"/>
                <w:sz w:val="18"/>
                <w:szCs w:val="18"/>
              </w:rPr>
              <w:t>217</w:t>
            </w:r>
            <w:r w:rsidR="001D41ED" w:rsidRPr="001D41ED">
              <w:rPr>
                <w:rFonts w:ascii="Calibri" w:hAnsi="Calibri"/>
                <w:sz w:val="18"/>
                <w:szCs w:val="18"/>
                <w:vertAlign w:val="superscript"/>
              </w:rPr>
              <w:t>(a)</w:t>
            </w:r>
            <w:r w:rsidRPr="00F8573F">
              <w:rPr>
                <w:rFonts w:ascii="Calibri" w:hAnsi="Calibri"/>
                <w:sz w:val="18"/>
                <w:szCs w:val="18"/>
              </w:rPr>
              <w:t xml:space="preserve"> </w:t>
            </w:r>
          </w:p>
        </w:tc>
        <w:tc>
          <w:tcPr>
            <w:tcW w:w="1080" w:type="dxa"/>
            <w:gridSpan w:val="2"/>
            <w:tcMar>
              <w:top w:w="29" w:type="dxa"/>
              <w:left w:w="58" w:type="dxa"/>
              <w:bottom w:w="29" w:type="dxa"/>
              <w:right w:w="115" w:type="dxa"/>
            </w:tcMar>
            <w:vAlign w:val="center"/>
          </w:tcPr>
          <w:p w:rsidR="00F8573F" w:rsidRPr="00F8573F" w:rsidRDefault="00F8573F" w:rsidP="001D41ED">
            <w:pPr>
              <w:keepNext/>
              <w:keepLines/>
              <w:spacing w:before="40" w:after="40" w:line="240" w:lineRule="auto"/>
              <w:jc w:val="right"/>
              <w:rPr>
                <w:rFonts w:ascii="Calibri" w:hAnsi="Calibri"/>
                <w:sz w:val="18"/>
                <w:szCs w:val="18"/>
              </w:rPr>
            </w:pPr>
            <w:r w:rsidRPr="00F8573F">
              <w:rPr>
                <w:rFonts w:ascii="Calibri" w:hAnsi="Calibri"/>
                <w:sz w:val="18"/>
                <w:szCs w:val="18"/>
              </w:rPr>
              <w:t>217</w:t>
            </w:r>
            <w:r w:rsidR="001D41ED" w:rsidRPr="001D41ED">
              <w:rPr>
                <w:rFonts w:ascii="Calibri" w:hAnsi="Calibri"/>
                <w:sz w:val="18"/>
                <w:szCs w:val="18"/>
                <w:vertAlign w:val="superscript"/>
              </w:rPr>
              <w:t>(a)</w:t>
            </w:r>
            <w:r w:rsidRPr="00F8573F">
              <w:rPr>
                <w:rFonts w:ascii="Calibri" w:hAnsi="Calibri"/>
                <w:sz w:val="18"/>
                <w:szCs w:val="18"/>
              </w:rPr>
              <w:t xml:space="preserve"> </w:t>
            </w:r>
          </w:p>
        </w:tc>
        <w:tc>
          <w:tcPr>
            <w:tcW w:w="1080" w:type="dxa"/>
            <w:tcMar>
              <w:top w:w="29" w:type="dxa"/>
              <w:left w:w="58" w:type="dxa"/>
              <w:bottom w:w="29" w:type="dxa"/>
              <w:right w:w="115" w:type="dxa"/>
            </w:tcMar>
            <w:vAlign w:val="center"/>
          </w:tcPr>
          <w:p w:rsidR="00F8573F" w:rsidRPr="00F8573F" w:rsidRDefault="008D674C" w:rsidP="001D41ED">
            <w:pPr>
              <w:keepNext/>
              <w:keepLines/>
              <w:spacing w:before="40" w:after="40" w:line="240" w:lineRule="auto"/>
              <w:jc w:val="right"/>
              <w:rPr>
                <w:rFonts w:ascii="Calibri" w:hAnsi="Calibri"/>
                <w:sz w:val="18"/>
                <w:szCs w:val="18"/>
              </w:rPr>
            </w:pPr>
            <w:r>
              <w:rPr>
                <w:rFonts w:ascii="Calibri" w:hAnsi="Calibri"/>
                <w:sz w:val="18"/>
                <w:szCs w:val="18"/>
              </w:rPr>
              <w:t>194</w:t>
            </w:r>
            <w:r w:rsidRPr="00F8573F">
              <w:rPr>
                <w:rFonts w:ascii="Calibri" w:hAnsi="Calibri"/>
                <w:sz w:val="18"/>
                <w:szCs w:val="18"/>
              </w:rPr>
              <w:t xml:space="preserve"> </w:t>
            </w:r>
          </w:p>
        </w:tc>
        <w:tc>
          <w:tcPr>
            <w:tcW w:w="1080" w:type="dxa"/>
            <w:tcMar>
              <w:top w:w="29" w:type="dxa"/>
              <w:left w:w="58" w:type="dxa"/>
              <w:bottom w:w="29" w:type="dxa"/>
              <w:right w:w="115" w:type="dxa"/>
            </w:tcMar>
            <w:vAlign w:val="center"/>
          </w:tcPr>
          <w:p w:rsidR="00F8573F" w:rsidRPr="00F8573F" w:rsidRDefault="008D674C" w:rsidP="001D41ED">
            <w:pPr>
              <w:keepNext/>
              <w:keepLines/>
              <w:spacing w:before="40" w:after="40" w:line="240" w:lineRule="auto"/>
              <w:jc w:val="right"/>
              <w:rPr>
                <w:rFonts w:ascii="Calibri" w:hAnsi="Calibri"/>
                <w:sz w:val="18"/>
                <w:szCs w:val="18"/>
              </w:rPr>
            </w:pPr>
            <w:r>
              <w:rPr>
                <w:rFonts w:ascii="Calibri" w:hAnsi="Calibri"/>
                <w:sz w:val="18"/>
                <w:szCs w:val="18"/>
              </w:rPr>
              <w:t>194</w:t>
            </w:r>
            <w:r w:rsidRPr="00F8573F">
              <w:rPr>
                <w:rFonts w:ascii="Calibri" w:hAnsi="Calibri"/>
                <w:sz w:val="18"/>
                <w:szCs w:val="18"/>
              </w:rPr>
              <w:t xml:space="preserve"> </w:t>
            </w:r>
          </w:p>
        </w:tc>
        <w:tc>
          <w:tcPr>
            <w:tcW w:w="2160" w:type="dxa"/>
            <w:tcMar>
              <w:top w:w="29" w:type="dxa"/>
              <w:left w:w="58" w:type="dxa"/>
              <w:bottom w:w="29" w:type="dxa"/>
              <w:right w:w="58" w:type="dxa"/>
            </w:tcMar>
            <w:vAlign w:val="center"/>
          </w:tcPr>
          <w:p w:rsidR="00F8573F" w:rsidRPr="00F8573F" w:rsidRDefault="00F8573F" w:rsidP="001D41ED">
            <w:pPr>
              <w:keepNext/>
              <w:keepLines/>
              <w:spacing w:before="40" w:after="40" w:line="240" w:lineRule="auto"/>
              <w:rPr>
                <w:rFonts w:ascii="Calibri" w:hAnsi="Calibri"/>
                <w:sz w:val="18"/>
                <w:szCs w:val="18"/>
              </w:rPr>
            </w:pPr>
            <w:r w:rsidRPr="00F8573F">
              <w:rPr>
                <w:rFonts w:ascii="Calibri" w:hAnsi="Calibri"/>
                <w:sz w:val="18"/>
                <w:szCs w:val="18"/>
              </w:rPr>
              <w:t xml:space="preserve">Historical profile </w:t>
            </w:r>
          </w:p>
        </w:tc>
      </w:tr>
      <w:tr w:rsidR="00F8573F" w:rsidRPr="00F8573F" w:rsidTr="00082296">
        <w:trPr>
          <w:trHeight w:val="147"/>
          <w:jc w:val="center"/>
        </w:trPr>
        <w:tc>
          <w:tcPr>
            <w:tcW w:w="1639" w:type="dxa"/>
            <w:shd w:val="clear" w:color="auto" w:fill="DBE5F1" w:themeFill="accent1" w:themeFillTint="33"/>
            <w:tcMar>
              <w:top w:w="29" w:type="dxa"/>
              <w:left w:w="58" w:type="dxa"/>
              <w:bottom w:w="29" w:type="dxa"/>
              <w:right w:w="58" w:type="dxa"/>
            </w:tcMar>
            <w:vAlign w:val="center"/>
          </w:tcPr>
          <w:p w:rsidR="00F8573F" w:rsidRPr="00F8573F" w:rsidRDefault="00F8573F" w:rsidP="001D41ED">
            <w:pPr>
              <w:keepNext/>
              <w:keepLines/>
              <w:spacing w:before="40" w:after="40" w:line="240" w:lineRule="auto"/>
              <w:rPr>
                <w:rFonts w:ascii="Calibri" w:hAnsi="Calibri"/>
                <w:sz w:val="18"/>
                <w:szCs w:val="18"/>
              </w:rPr>
            </w:pPr>
            <w:r w:rsidRPr="00F8573F">
              <w:rPr>
                <w:rFonts w:ascii="Calibri" w:hAnsi="Calibri"/>
                <w:b/>
                <w:bCs/>
                <w:sz w:val="18"/>
                <w:szCs w:val="18"/>
              </w:rPr>
              <w:t xml:space="preserve">HQ Phase II </w:t>
            </w:r>
          </w:p>
        </w:tc>
        <w:tc>
          <w:tcPr>
            <w:tcW w:w="1080" w:type="dxa"/>
            <w:shd w:val="clear" w:color="auto" w:fill="DBE5F1" w:themeFill="accent1" w:themeFillTint="33"/>
            <w:tcMar>
              <w:top w:w="29" w:type="dxa"/>
              <w:left w:w="58" w:type="dxa"/>
              <w:bottom w:w="29" w:type="dxa"/>
              <w:right w:w="115" w:type="dxa"/>
            </w:tcMar>
            <w:vAlign w:val="center"/>
          </w:tcPr>
          <w:p w:rsidR="00F8573F" w:rsidRPr="00F8573F" w:rsidRDefault="00F8573F" w:rsidP="001D41ED">
            <w:pPr>
              <w:keepNext/>
              <w:keepLines/>
              <w:spacing w:before="40" w:after="40" w:line="240" w:lineRule="auto"/>
              <w:jc w:val="right"/>
              <w:rPr>
                <w:rFonts w:ascii="Calibri" w:hAnsi="Calibri"/>
                <w:sz w:val="18"/>
                <w:szCs w:val="18"/>
              </w:rPr>
            </w:pPr>
            <w:r w:rsidRPr="00F8573F">
              <w:rPr>
                <w:rFonts w:ascii="Calibri" w:hAnsi="Calibri"/>
                <w:sz w:val="18"/>
                <w:szCs w:val="18"/>
              </w:rPr>
              <w:t>2,000</w:t>
            </w:r>
            <w:r w:rsidR="001D41ED" w:rsidRPr="001D41ED">
              <w:rPr>
                <w:rFonts w:ascii="Calibri" w:hAnsi="Calibri"/>
                <w:sz w:val="18"/>
                <w:szCs w:val="18"/>
                <w:vertAlign w:val="superscript"/>
              </w:rPr>
              <w:t>(a)</w:t>
            </w:r>
            <w:r w:rsidRPr="00F8573F">
              <w:rPr>
                <w:rFonts w:ascii="Calibri" w:hAnsi="Calibri"/>
                <w:sz w:val="18"/>
                <w:szCs w:val="18"/>
              </w:rPr>
              <w:t xml:space="preserve"> </w:t>
            </w:r>
          </w:p>
        </w:tc>
        <w:tc>
          <w:tcPr>
            <w:tcW w:w="1080" w:type="dxa"/>
            <w:gridSpan w:val="2"/>
            <w:shd w:val="clear" w:color="auto" w:fill="DBE5F1" w:themeFill="accent1" w:themeFillTint="33"/>
            <w:tcMar>
              <w:top w:w="29" w:type="dxa"/>
              <w:left w:w="58" w:type="dxa"/>
              <w:bottom w:w="29" w:type="dxa"/>
              <w:right w:w="115" w:type="dxa"/>
            </w:tcMar>
            <w:vAlign w:val="center"/>
          </w:tcPr>
          <w:p w:rsidR="00F8573F" w:rsidRPr="00F8573F" w:rsidRDefault="00F8573F" w:rsidP="001D41ED">
            <w:pPr>
              <w:keepNext/>
              <w:keepLines/>
              <w:spacing w:before="40" w:after="40" w:line="240" w:lineRule="auto"/>
              <w:jc w:val="right"/>
              <w:rPr>
                <w:rFonts w:ascii="Calibri" w:hAnsi="Calibri"/>
                <w:sz w:val="18"/>
                <w:szCs w:val="18"/>
              </w:rPr>
            </w:pPr>
            <w:r w:rsidRPr="00F8573F">
              <w:rPr>
                <w:rFonts w:ascii="Calibri" w:hAnsi="Calibri"/>
                <w:sz w:val="18"/>
                <w:szCs w:val="18"/>
              </w:rPr>
              <w:t>2,000</w:t>
            </w:r>
            <w:r w:rsidR="001D41ED" w:rsidRPr="001D41ED">
              <w:rPr>
                <w:rFonts w:ascii="Calibri" w:hAnsi="Calibri"/>
                <w:sz w:val="18"/>
                <w:szCs w:val="18"/>
                <w:vertAlign w:val="superscript"/>
              </w:rPr>
              <w:t>(a)</w:t>
            </w:r>
            <w:r w:rsidRPr="00F8573F">
              <w:rPr>
                <w:rFonts w:ascii="Calibri" w:hAnsi="Calibri"/>
                <w:sz w:val="18"/>
                <w:szCs w:val="18"/>
              </w:rPr>
              <w:t xml:space="preserve"> </w:t>
            </w:r>
          </w:p>
        </w:tc>
        <w:tc>
          <w:tcPr>
            <w:tcW w:w="1080" w:type="dxa"/>
            <w:shd w:val="clear" w:color="auto" w:fill="DBE5F1" w:themeFill="accent1" w:themeFillTint="33"/>
            <w:tcMar>
              <w:top w:w="29" w:type="dxa"/>
              <w:left w:w="58" w:type="dxa"/>
              <w:bottom w:w="29" w:type="dxa"/>
              <w:right w:w="115" w:type="dxa"/>
            </w:tcMar>
            <w:vAlign w:val="center"/>
          </w:tcPr>
          <w:p w:rsidR="00F8573F" w:rsidRPr="00F8573F" w:rsidRDefault="008D674C" w:rsidP="001D41ED">
            <w:pPr>
              <w:keepNext/>
              <w:keepLines/>
              <w:spacing w:before="40" w:after="40" w:line="240" w:lineRule="auto"/>
              <w:jc w:val="right"/>
              <w:rPr>
                <w:rFonts w:ascii="Calibri" w:hAnsi="Calibri"/>
                <w:sz w:val="18"/>
                <w:szCs w:val="18"/>
              </w:rPr>
            </w:pPr>
            <w:r>
              <w:rPr>
                <w:rFonts w:ascii="Calibri" w:hAnsi="Calibri"/>
                <w:sz w:val="18"/>
                <w:szCs w:val="18"/>
              </w:rPr>
              <w:t>429</w:t>
            </w:r>
            <w:r w:rsidRPr="00F8573F">
              <w:rPr>
                <w:rFonts w:ascii="Calibri" w:hAnsi="Calibri"/>
                <w:sz w:val="18"/>
                <w:szCs w:val="18"/>
              </w:rPr>
              <w:t xml:space="preserve"> </w:t>
            </w:r>
          </w:p>
        </w:tc>
        <w:tc>
          <w:tcPr>
            <w:tcW w:w="1080" w:type="dxa"/>
            <w:shd w:val="clear" w:color="auto" w:fill="DBE5F1" w:themeFill="accent1" w:themeFillTint="33"/>
            <w:tcMar>
              <w:top w:w="29" w:type="dxa"/>
              <w:left w:w="58" w:type="dxa"/>
              <w:bottom w:w="29" w:type="dxa"/>
              <w:right w:w="115" w:type="dxa"/>
            </w:tcMar>
            <w:vAlign w:val="center"/>
          </w:tcPr>
          <w:p w:rsidR="00F8573F" w:rsidRPr="00F8573F" w:rsidRDefault="008D674C" w:rsidP="001D41ED">
            <w:pPr>
              <w:keepNext/>
              <w:keepLines/>
              <w:spacing w:before="40" w:after="40" w:line="240" w:lineRule="auto"/>
              <w:jc w:val="right"/>
              <w:rPr>
                <w:rFonts w:ascii="Calibri" w:hAnsi="Calibri"/>
                <w:sz w:val="18"/>
                <w:szCs w:val="18"/>
              </w:rPr>
            </w:pPr>
            <w:r>
              <w:rPr>
                <w:rFonts w:ascii="Calibri" w:hAnsi="Calibri"/>
                <w:sz w:val="18"/>
                <w:szCs w:val="18"/>
              </w:rPr>
              <w:t>429</w:t>
            </w:r>
            <w:r w:rsidRPr="00F8573F">
              <w:rPr>
                <w:rFonts w:ascii="Calibri" w:hAnsi="Calibri"/>
                <w:sz w:val="18"/>
                <w:szCs w:val="18"/>
              </w:rPr>
              <w:t xml:space="preserve"> </w:t>
            </w:r>
          </w:p>
        </w:tc>
        <w:tc>
          <w:tcPr>
            <w:tcW w:w="2160" w:type="dxa"/>
            <w:shd w:val="clear" w:color="auto" w:fill="DBE5F1" w:themeFill="accent1" w:themeFillTint="33"/>
            <w:tcMar>
              <w:top w:w="29" w:type="dxa"/>
              <w:left w:w="58" w:type="dxa"/>
              <w:bottom w:w="29" w:type="dxa"/>
              <w:right w:w="58" w:type="dxa"/>
            </w:tcMar>
            <w:vAlign w:val="center"/>
          </w:tcPr>
          <w:p w:rsidR="00F8573F" w:rsidRPr="00F8573F" w:rsidRDefault="00F8573F" w:rsidP="001D41ED">
            <w:pPr>
              <w:keepNext/>
              <w:keepLines/>
              <w:spacing w:before="40" w:after="40" w:line="240" w:lineRule="auto"/>
              <w:rPr>
                <w:rFonts w:ascii="Calibri" w:hAnsi="Calibri"/>
                <w:sz w:val="18"/>
                <w:szCs w:val="18"/>
              </w:rPr>
            </w:pPr>
            <w:r w:rsidRPr="00F8573F">
              <w:rPr>
                <w:rFonts w:ascii="Calibri" w:hAnsi="Calibri"/>
                <w:sz w:val="18"/>
                <w:szCs w:val="18"/>
              </w:rPr>
              <w:t xml:space="preserve">Historical profile </w:t>
            </w:r>
          </w:p>
        </w:tc>
      </w:tr>
      <w:tr w:rsidR="00F8573F" w:rsidRPr="00F8573F" w:rsidTr="00082296">
        <w:trPr>
          <w:trHeight w:val="333"/>
          <w:jc w:val="center"/>
        </w:trPr>
        <w:tc>
          <w:tcPr>
            <w:tcW w:w="1639" w:type="dxa"/>
            <w:tcMar>
              <w:top w:w="29" w:type="dxa"/>
              <w:left w:w="58" w:type="dxa"/>
              <w:bottom w:w="29" w:type="dxa"/>
              <w:right w:w="58" w:type="dxa"/>
            </w:tcMar>
            <w:vAlign w:val="center"/>
          </w:tcPr>
          <w:p w:rsidR="00F8573F" w:rsidRPr="00F8573F" w:rsidRDefault="00F8573F" w:rsidP="001D41ED">
            <w:pPr>
              <w:keepNext/>
              <w:keepLines/>
              <w:spacing w:before="40" w:after="40" w:line="240" w:lineRule="auto"/>
              <w:rPr>
                <w:rFonts w:ascii="Calibri" w:hAnsi="Calibri"/>
                <w:sz w:val="18"/>
                <w:szCs w:val="18"/>
              </w:rPr>
            </w:pPr>
            <w:r w:rsidRPr="00F8573F">
              <w:rPr>
                <w:rFonts w:ascii="Calibri" w:hAnsi="Calibri"/>
                <w:b/>
                <w:bCs/>
                <w:sz w:val="18"/>
                <w:szCs w:val="18"/>
              </w:rPr>
              <w:t xml:space="preserve">HQ-WMA </w:t>
            </w:r>
          </w:p>
        </w:tc>
        <w:tc>
          <w:tcPr>
            <w:tcW w:w="1080" w:type="dxa"/>
            <w:tcMar>
              <w:top w:w="29" w:type="dxa"/>
              <w:left w:w="58" w:type="dxa"/>
              <w:bottom w:w="29" w:type="dxa"/>
              <w:right w:w="259" w:type="dxa"/>
            </w:tcMar>
            <w:vAlign w:val="center"/>
          </w:tcPr>
          <w:p w:rsidR="00F8573F" w:rsidRPr="00F8573F" w:rsidRDefault="00F8573F" w:rsidP="001D41ED">
            <w:pPr>
              <w:keepNext/>
              <w:keepLines/>
              <w:spacing w:before="40" w:after="40" w:line="240" w:lineRule="auto"/>
              <w:jc w:val="right"/>
              <w:rPr>
                <w:rFonts w:ascii="Calibri" w:hAnsi="Calibri"/>
                <w:sz w:val="18"/>
                <w:szCs w:val="18"/>
              </w:rPr>
            </w:pPr>
            <w:r w:rsidRPr="00F8573F">
              <w:rPr>
                <w:rFonts w:ascii="Calibri" w:hAnsi="Calibri"/>
                <w:sz w:val="18"/>
                <w:szCs w:val="18"/>
              </w:rPr>
              <w:t xml:space="preserve">750 </w:t>
            </w:r>
          </w:p>
        </w:tc>
        <w:tc>
          <w:tcPr>
            <w:tcW w:w="1080" w:type="dxa"/>
            <w:gridSpan w:val="2"/>
            <w:tcMar>
              <w:top w:w="29" w:type="dxa"/>
              <w:left w:w="58" w:type="dxa"/>
              <w:bottom w:w="29" w:type="dxa"/>
              <w:right w:w="259" w:type="dxa"/>
            </w:tcMar>
            <w:vAlign w:val="center"/>
          </w:tcPr>
          <w:p w:rsidR="00F8573F" w:rsidRPr="00F8573F" w:rsidRDefault="00F8573F" w:rsidP="001D41ED">
            <w:pPr>
              <w:keepNext/>
              <w:keepLines/>
              <w:spacing w:before="40" w:after="40" w:line="240" w:lineRule="auto"/>
              <w:jc w:val="right"/>
              <w:rPr>
                <w:rFonts w:ascii="Calibri" w:hAnsi="Calibri"/>
                <w:sz w:val="18"/>
                <w:szCs w:val="18"/>
              </w:rPr>
            </w:pPr>
            <w:r w:rsidRPr="00F8573F">
              <w:rPr>
                <w:rFonts w:ascii="Calibri" w:hAnsi="Calibri"/>
                <w:sz w:val="18"/>
                <w:szCs w:val="18"/>
              </w:rPr>
              <w:t xml:space="preserve">1,000 </w:t>
            </w:r>
          </w:p>
        </w:tc>
        <w:tc>
          <w:tcPr>
            <w:tcW w:w="1080" w:type="dxa"/>
            <w:tcMar>
              <w:top w:w="29" w:type="dxa"/>
              <w:left w:w="58" w:type="dxa"/>
              <w:bottom w:w="29" w:type="dxa"/>
              <w:right w:w="115" w:type="dxa"/>
            </w:tcMar>
            <w:vAlign w:val="center"/>
          </w:tcPr>
          <w:p w:rsidR="00F8573F" w:rsidRPr="0059014F" w:rsidRDefault="00F8573F" w:rsidP="001D41ED">
            <w:pPr>
              <w:keepNext/>
              <w:keepLines/>
              <w:spacing w:before="40" w:after="40" w:line="240" w:lineRule="auto"/>
              <w:jc w:val="right"/>
              <w:rPr>
                <w:rFonts w:ascii="Calibri" w:hAnsi="Calibri"/>
                <w:sz w:val="18"/>
                <w:szCs w:val="18"/>
              </w:rPr>
            </w:pPr>
            <w:r w:rsidRPr="0059014F">
              <w:rPr>
                <w:rFonts w:ascii="Calibri" w:hAnsi="Calibri"/>
                <w:sz w:val="18"/>
                <w:szCs w:val="18"/>
              </w:rPr>
              <w:t xml:space="preserve">750 </w:t>
            </w:r>
          </w:p>
        </w:tc>
        <w:tc>
          <w:tcPr>
            <w:tcW w:w="1080" w:type="dxa"/>
            <w:tcMar>
              <w:top w:w="29" w:type="dxa"/>
              <w:left w:w="58" w:type="dxa"/>
              <w:bottom w:w="29" w:type="dxa"/>
              <w:right w:w="115" w:type="dxa"/>
            </w:tcMar>
            <w:vAlign w:val="center"/>
          </w:tcPr>
          <w:p w:rsidR="00F8573F" w:rsidRPr="0059014F" w:rsidRDefault="00F8573F" w:rsidP="0059014F">
            <w:pPr>
              <w:keepNext/>
              <w:keepLines/>
              <w:spacing w:before="40" w:after="40" w:line="240" w:lineRule="auto"/>
              <w:jc w:val="right"/>
              <w:rPr>
                <w:rFonts w:ascii="Calibri" w:hAnsi="Calibri"/>
                <w:sz w:val="18"/>
                <w:szCs w:val="18"/>
              </w:rPr>
            </w:pPr>
            <w:r w:rsidRPr="0059014F">
              <w:rPr>
                <w:rFonts w:ascii="Calibri" w:hAnsi="Calibri"/>
                <w:sz w:val="18"/>
                <w:szCs w:val="18"/>
              </w:rPr>
              <w:t>1,000</w:t>
            </w:r>
          </w:p>
        </w:tc>
        <w:tc>
          <w:tcPr>
            <w:tcW w:w="2160" w:type="dxa"/>
            <w:tcMar>
              <w:top w:w="29" w:type="dxa"/>
              <w:left w:w="58" w:type="dxa"/>
              <w:bottom w:w="29" w:type="dxa"/>
              <w:right w:w="58" w:type="dxa"/>
            </w:tcMar>
            <w:vAlign w:val="center"/>
          </w:tcPr>
          <w:p w:rsidR="00F8573F" w:rsidRPr="00F8573F" w:rsidRDefault="00F8573F" w:rsidP="001D41ED">
            <w:pPr>
              <w:keepNext/>
              <w:keepLines/>
              <w:spacing w:before="40" w:after="40" w:line="240" w:lineRule="auto"/>
              <w:rPr>
                <w:rFonts w:ascii="Calibri" w:hAnsi="Calibri"/>
                <w:sz w:val="18"/>
                <w:szCs w:val="18"/>
              </w:rPr>
            </w:pPr>
            <w:r w:rsidRPr="00F8573F">
              <w:rPr>
                <w:rFonts w:ascii="Calibri" w:hAnsi="Calibri"/>
                <w:sz w:val="18"/>
                <w:szCs w:val="18"/>
              </w:rPr>
              <w:t>Peak-shaving profile</w:t>
            </w:r>
            <w:r w:rsidR="001D41ED" w:rsidRPr="001D41ED">
              <w:rPr>
                <w:rFonts w:ascii="Calibri" w:hAnsi="Calibri"/>
                <w:sz w:val="18"/>
                <w:szCs w:val="18"/>
                <w:vertAlign w:val="superscript"/>
              </w:rPr>
              <w:t>(</w:t>
            </w:r>
            <w:r w:rsidR="001D41ED">
              <w:rPr>
                <w:rFonts w:ascii="Calibri" w:hAnsi="Calibri"/>
                <w:sz w:val="18"/>
                <w:szCs w:val="18"/>
                <w:vertAlign w:val="superscript"/>
              </w:rPr>
              <w:t>b</w:t>
            </w:r>
            <w:r w:rsidR="001D41ED" w:rsidRPr="001D41ED">
              <w:rPr>
                <w:rFonts w:ascii="Calibri" w:hAnsi="Calibri"/>
                <w:sz w:val="18"/>
                <w:szCs w:val="18"/>
                <w:vertAlign w:val="superscript"/>
              </w:rPr>
              <w:t>)</w:t>
            </w:r>
          </w:p>
        </w:tc>
      </w:tr>
      <w:tr w:rsidR="00F8573F" w:rsidRPr="00F8573F" w:rsidTr="00082296">
        <w:trPr>
          <w:trHeight w:val="333"/>
          <w:jc w:val="center"/>
        </w:trPr>
        <w:tc>
          <w:tcPr>
            <w:tcW w:w="1639" w:type="dxa"/>
            <w:shd w:val="clear" w:color="auto" w:fill="DBE5F1" w:themeFill="accent1" w:themeFillTint="33"/>
            <w:tcMar>
              <w:top w:w="29" w:type="dxa"/>
              <w:left w:w="58" w:type="dxa"/>
              <w:bottom w:w="29" w:type="dxa"/>
              <w:right w:w="58" w:type="dxa"/>
            </w:tcMar>
            <w:vAlign w:val="center"/>
          </w:tcPr>
          <w:p w:rsidR="00F8573F" w:rsidRPr="00F8573F" w:rsidRDefault="00F8573F" w:rsidP="001D41ED">
            <w:pPr>
              <w:keepNext/>
              <w:keepLines/>
              <w:spacing w:before="40" w:after="40" w:line="240" w:lineRule="auto"/>
              <w:rPr>
                <w:rFonts w:ascii="Calibri" w:hAnsi="Calibri"/>
                <w:sz w:val="18"/>
                <w:szCs w:val="18"/>
              </w:rPr>
            </w:pPr>
            <w:r w:rsidRPr="00F8573F">
              <w:rPr>
                <w:rFonts w:ascii="Calibri" w:hAnsi="Calibri"/>
                <w:b/>
                <w:bCs/>
                <w:sz w:val="18"/>
                <w:szCs w:val="18"/>
              </w:rPr>
              <w:t xml:space="preserve">HQ-CMA/NEMA </w:t>
            </w:r>
          </w:p>
        </w:tc>
        <w:tc>
          <w:tcPr>
            <w:tcW w:w="1080" w:type="dxa"/>
            <w:shd w:val="clear" w:color="auto" w:fill="DBE5F1" w:themeFill="accent1" w:themeFillTint="33"/>
            <w:tcMar>
              <w:top w:w="29" w:type="dxa"/>
              <w:left w:w="58" w:type="dxa"/>
              <w:bottom w:w="29" w:type="dxa"/>
              <w:right w:w="259" w:type="dxa"/>
            </w:tcMar>
            <w:vAlign w:val="center"/>
          </w:tcPr>
          <w:p w:rsidR="00F8573F" w:rsidRPr="00F8573F" w:rsidRDefault="00F8573F" w:rsidP="001D41ED">
            <w:pPr>
              <w:keepNext/>
              <w:keepLines/>
              <w:spacing w:before="40" w:after="40" w:line="240" w:lineRule="auto"/>
              <w:jc w:val="right"/>
              <w:rPr>
                <w:rFonts w:ascii="Calibri" w:hAnsi="Calibri"/>
                <w:sz w:val="18"/>
                <w:szCs w:val="18"/>
              </w:rPr>
            </w:pPr>
            <w:r w:rsidRPr="00F8573F">
              <w:rPr>
                <w:rFonts w:ascii="Calibri" w:hAnsi="Calibri"/>
                <w:sz w:val="18"/>
                <w:szCs w:val="18"/>
              </w:rPr>
              <w:t xml:space="preserve">750 </w:t>
            </w:r>
          </w:p>
        </w:tc>
        <w:tc>
          <w:tcPr>
            <w:tcW w:w="1080" w:type="dxa"/>
            <w:gridSpan w:val="2"/>
            <w:shd w:val="clear" w:color="auto" w:fill="DBE5F1" w:themeFill="accent1" w:themeFillTint="33"/>
            <w:tcMar>
              <w:top w:w="29" w:type="dxa"/>
              <w:left w:w="58" w:type="dxa"/>
              <w:bottom w:w="29" w:type="dxa"/>
              <w:right w:w="259" w:type="dxa"/>
            </w:tcMar>
            <w:vAlign w:val="center"/>
          </w:tcPr>
          <w:p w:rsidR="00F8573F" w:rsidRPr="00F8573F" w:rsidRDefault="00F8573F" w:rsidP="001D41ED">
            <w:pPr>
              <w:keepNext/>
              <w:keepLines/>
              <w:spacing w:before="40" w:after="40" w:line="240" w:lineRule="auto"/>
              <w:jc w:val="right"/>
              <w:rPr>
                <w:rFonts w:ascii="Calibri" w:hAnsi="Calibri"/>
                <w:sz w:val="18"/>
                <w:szCs w:val="18"/>
              </w:rPr>
            </w:pPr>
            <w:r w:rsidRPr="00F8573F">
              <w:rPr>
                <w:rFonts w:ascii="Calibri" w:hAnsi="Calibri"/>
                <w:sz w:val="18"/>
                <w:szCs w:val="18"/>
              </w:rPr>
              <w:t xml:space="preserve">1,000 </w:t>
            </w:r>
          </w:p>
        </w:tc>
        <w:tc>
          <w:tcPr>
            <w:tcW w:w="1080" w:type="dxa"/>
            <w:shd w:val="clear" w:color="auto" w:fill="DBE5F1" w:themeFill="accent1" w:themeFillTint="33"/>
            <w:tcMar>
              <w:top w:w="29" w:type="dxa"/>
              <w:left w:w="58" w:type="dxa"/>
              <w:bottom w:w="29" w:type="dxa"/>
              <w:right w:w="115" w:type="dxa"/>
            </w:tcMar>
            <w:vAlign w:val="center"/>
          </w:tcPr>
          <w:p w:rsidR="00F8573F" w:rsidRPr="0059014F" w:rsidRDefault="00F8573F" w:rsidP="001D41ED">
            <w:pPr>
              <w:keepNext/>
              <w:keepLines/>
              <w:spacing w:before="40" w:after="40" w:line="240" w:lineRule="auto"/>
              <w:jc w:val="right"/>
              <w:rPr>
                <w:rFonts w:ascii="Calibri" w:hAnsi="Calibri"/>
                <w:sz w:val="18"/>
                <w:szCs w:val="18"/>
              </w:rPr>
            </w:pPr>
            <w:r w:rsidRPr="0059014F">
              <w:rPr>
                <w:rFonts w:ascii="Calibri" w:hAnsi="Calibri"/>
                <w:sz w:val="18"/>
                <w:szCs w:val="18"/>
              </w:rPr>
              <w:t xml:space="preserve">750 </w:t>
            </w:r>
          </w:p>
        </w:tc>
        <w:tc>
          <w:tcPr>
            <w:tcW w:w="1080" w:type="dxa"/>
            <w:shd w:val="clear" w:color="auto" w:fill="DBE5F1" w:themeFill="accent1" w:themeFillTint="33"/>
            <w:tcMar>
              <w:top w:w="29" w:type="dxa"/>
              <w:left w:w="58" w:type="dxa"/>
              <w:bottom w:w="29" w:type="dxa"/>
              <w:right w:w="115" w:type="dxa"/>
            </w:tcMar>
            <w:vAlign w:val="center"/>
          </w:tcPr>
          <w:p w:rsidR="00F8573F" w:rsidRPr="0059014F" w:rsidRDefault="00F8573F" w:rsidP="0059014F">
            <w:pPr>
              <w:keepNext/>
              <w:keepLines/>
              <w:spacing w:before="40" w:after="40" w:line="240" w:lineRule="auto"/>
              <w:jc w:val="right"/>
              <w:rPr>
                <w:rFonts w:ascii="Calibri" w:hAnsi="Calibri"/>
                <w:sz w:val="18"/>
                <w:szCs w:val="18"/>
              </w:rPr>
            </w:pPr>
            <w:r w:rsidRPr="0059014F">
              <w:rPr>
                <w:rFonts w:ascii="Calibri" w:hAnsi="Calibri"/>
                <w:sz w:val="18"/>
                <w:szCs w:val="18"/>
              </w:rPr>
              <w:t>1,000</w:t>
            </w:r>
          </w:p>
        </w:tc>
        <w:tc>
          <w:tcPr>
            <w:tcW w:w="2160" w:type="dxa"/>
            <w:shd w:val="clear" w:color="auto" w:fill="DBE5F1" w:themeFill="accent1" w:themeFillTint="33"/>
            <w:tcMar>
              <w:top w:w="29" w:type="dxa"/>
              <w:left w:w="58" w:type="dxa"/>
              <w:bottom w:w="29" w:type="dxa"/>
              <w:right w:w="58" w:type="dxa"/>
            </w:tcMar>
            <w:vAlign w:val="center"/>
          </w:tcPr>
          <w:p w:rsidR="00F8573F" w:rsidRPr="00F8573F" w:rsidRDefault="00F8573F" w:rsidP="001D41ED">
            <w:pPr>
              <w:keepNext/>
              <w:keepLines/>
              <w:spacing w:before="40" w:after="40" w:line="240" w:lineRule="auto"/>
              <w:rPr>
                <w:rFonts w:ascii="Calibri" w:hAnsi="Calibri"/>
                <w:sz w:val="18"/>
                <w:szCs w:val="18"/>
              </w:rPr>
            </w:pPr>
            <w:r w:rsidRPr="00F8573F">
              <w:rPr>
                <w:rFonts w:ascii="Calibri" w:hAnsi="Calibri"/>
                <w:sz w:val="18"/>
                <w:szCs w:val="18"/>
              </w:rPr>
              <w:t>Peak-shaving profile</w:t>
            </w:r>
            <w:r w:rsidR="001D41ED" w:rsidRPr="001D41ED">
              <w:rPr>
                <w:rFonts w:ascii="Calibri" w:hAnsi="Calibri"/>
                <w:sz w:val="18"/>
                <w:szCs w:val="18"/>
                <w:vertAlign w:val="superscript"/>
              </w:rPr>
              <w:t>(</w:t>
            </w:r>
            <w:r w:rsidR="001D41ED">
              <w:rPr>
                <w:rFonts w:ascii="Calibri" w:hAnsi="Calibri"/>
                <w:sz w:val="18"/>
                <w:szCs w:val="18"/>
                <w:vertAlign w:val="superscript"/>
              </w:rPr>
              <w:t>b</w:t>
            </w:r>
            <w:r w:rsidR="001D41ED" w:rsidRPr="001D41ED">
              <w:rPr>
                <w:rFonts w:ascii="Calibri" w:hAnsi="Calibri"/>
                <w:sz w:val="18"/>
                <w:szCs w:val="18"/>
                <w:vertAlign w:val="superscript"/>
              </w:rPr>
              <w:t>)</w:t>
            </w:r>
            <w:r w:rsidRPr="00F8573F">
              <w:rPr>
                <w:rFonts w:ascii="Calibri" w:hAnsi="Calibri"/>
                <w:sz w:val="18"/>
                <w:szCs w:val="18"/>
              </w:rPr>
              <w:t xml:space="preserve"> </w:t>
            </w:r>
          </w:p>
        </w:tc>
      </w:tr>
      <w:tr w:rsidR="00F8573F" w:rsidRPr="00F8573F" w:rsidTr="00082296">
        <w:trPr>
          <w:trHeight w:val="147"/>
          <w:jc w:val="center"/>
        </w:trPr>
        <w:tc>
          <w:tcPr>
            <w:tcW w:w="1639" w:type="dxa"/>
            <w:tcMar>
              <w:top w:w="29" w:type="dxa"/>
              <w:left w:w="58" w:type="dxa"/>
              <w:bottom w:w="29" w:type="dxa"/>
              <w:right w:w="58" w:type="dxa"/>
            </w:tcMar>
            <w:vAlign w:val="center"/>
          </w:tcPr>
          <w:p w:rsidR="00F8573F" w:rsidRPr="00F8573F" w:rsidRDefault="00F8573F" w:rsidP="001D41ED">
            <w:pPr>
              <w:keepNext/>
              <w:keepLines/>
              <w:spacing w:before="40" w:after="40" w:line="240" w:lineRule="auto"/>
              <w:rPr>
                <w:rFonts w:ascii="Calibri" w:hAnsi="Calibri"/>
                <w:sz w:val="18"/>
                <w:szCs w:val="18"/>
              </w:rPr>
            </w:pPr>
            <w:r w:rsidRPr="00F8573F">
              <w:rPr>
                <w:rFonts w:ascii="Calibri" w:hAnsi="Calibri"/>
                <w:b/>
                <w:bCs/>
                <w:sz w:val="18"/>
                <w:szCs w:val="18"/>
              </w:rPr>
              <w:t xml:space="preserve">New Brunswick </w:t>
            </w:r>
          </w:p>
        </w:tc>
        <w:tc>
          <w:tcPr>
            <w:tcW w:w="1080" w:type="dxa"/>
            <w:tcMar>
              <w:top w:w="29" w:type="dxa"/>
              <w:left w:w="58" w:type="dxa"/>
              <w:bottom w:w="29" w:type="dxa"/>
              <w:right w:w="115" w:type="dxa"/>
            </w:tcMar>
            <w:vAlign w:val="center"/>
          </w:tcPr>
          <w:p w:rsidR="00F8573F" w:rsidRPr="00F8573F" w:rsidRDefault="00F8573F" w:rsidP="001D41ED">
            <w:pPr>
              <w:keepNext/>
              <w:keepLines/>
              <w:spacing w:before="40" w:after="40" w:line="240" w:lineRule="auto"/>
              <w:jc w:val="right"/>
              <w:rPr>
                <w:rFonts w:ascii="Calibri" w:hAnsi="Calibri"/>
                <w:sz w:val="18"/>
                <w:szCs w:val="18"/>
              </w:rPr>
            </w:pPr>
            <w:r w:rsidRPr="00F8573F">
              <w:rPr>
                <w:rFonts w:ascii="Calibri" w:hAnsi="Calibri"/>
                <w:sz w:val="18"/>
                <w:szCs w:val="18"/>
              </w:rPr>
              <w:t>1,000</w:t>
            </w:r>
            <w:r w:rsidR="001D41ED" w:rsidRPr="001D41ED">
              <w:rPr>
                <w:rFonts w:ascii="Calibri" w:hAnsi="Calibri"/>
                <w:sz w:val="18"/>
                <w:szCs w:val="18"/>
                <w:vertAlign w:val="superscript"/>
              </w:rPr>
              <w:t>(a)</w:t>
            </w:r>
            <w:r w:rsidRPr="00F8573F">
              <w:rPr>
                <w:rFonts w:ascii="Calibri" w:hAnsi="Calibri"/>
                <w:sz w:val="18"/>
                <w:szCs w:val="18"/>
              </w:rPr>
              <w:t xml:space="preserve"> </w:t>
            </w:r>
          </w:p>
        </w:tc>
        <w:tc>
          <w:tcPr>
            <w:tcW w:w="1080" w:type="dxa"/>
            <w:gridSpan w:val="2"/>
            <w:tcMar>
              <w:top w:w="29" w:type="dxa"/>
              <w:left w:w="58" w:type="dxa"/>
              <w:bottom w:w="29" w:type="dxa"/>
              <w:right w:w="115" w:type="dxa"/>
            </w:tcMar>
            <w:vAlign w:val="center"/>
          </w:tcPr>
          <w:p w:rsidR="00F8573F" w:rsidRPr="00F8573F" w:rsidRDefault="00F8573F" w:rsidP="001D41ED">
            <w:pPr>
              <w:keepNext/>
              <w:keepLines/>
              <w:spacing w:before="40" w:after="40" w:line="240" w:lineRule="auto"/>
              <w:jc w:val="right"/>
              <w:rPr>
                <w:rFonts w:ascii="Calibri" w:hAnsi="Calibri"/>
                <w:sz w:val="18"/>
                <w:szCs w:val="18"/>
              </w:rPr>
            </w:pPr>
            <w:r w:rsidRPr="00F8573F">
              <w:rPr>
                <w:rFonts w:ascii="Calibri" w:hAnsi="Calibri"/>
                <w:sz w:val="18"/>
                <w:szCs w:val="18"/>
              </w:rPr>
              <w:t>1,000</w:t>
            </w:r>
            <w:r w:rsidR="001D41ED" w:rsidRPr="001D41ED">
              <w:rPr>
                <w:rFonts w:ascii="Calibri" w:hAnsi="Calibri"/>
                <w:sz w:val="18"/>
                <w:szCs w:val="18"/>
                <w:vertAlign w:val="superscript"/>
              </w:rPr>
              <w:t>(a)</w:t>
            </w:r>
            <w:r w:rsidRPr="00F8573F">
              <w:rPr>
                <w:rFonts w:ascii="Calibri" w:hAnsi="Calibri"/>
                <w:sz w:val="18"/>
                <w:szCs w:val="18"/>
              </w:rPr>
              <w:t xml:space="preserve"> </w:t>
            </w:r>
          </w:p>
        </w:tc>
        <w:tc>
          <w:tcPr>
            <w:tcW w:w="1080" w:type="dxa"/>
            <w:tcMar>
              <w:top w:w="29" w:type="dxa"/>
              <w:left w:w="58" w:type="dxa"/>
              <w:bottom w:w="29" w:type="dxa"/>
              <w:right w:w="115" w:type="dxa"/>
            </w:tcMar>
            <w:vAlign w:val="center"/>
          </w:tcPr>
          <w:p w:rsidR="00F8573F" w:rsidRPr="00F8573F" w:rsidRDefault="008D674C" w:rsidP="001D41ED">
            <w:pPr>
              <w:keepNext/>
              <w:keepLines/>
              <w:spacing w:before="40" w:after="40" w:line="240" w:lineRule="auto"/>
              <w:jc w:val="right"/>
              <w:rPr>
                <w:rFonts w:ascii="Calibri" w:hAnsi="Calibri"/>
                <w:sz w:val="18"/>
                <w:szCs w:val="18"/>
              </w:rPr>
            </w:pPr>
            <w:r>
              <w:rPr>
                <w:rFonts w:ascii="Calibri" w:hAnsi="Calibri"/>
                <w:sz w:val="18"/>
                <w:szCs w:val="18"/>
              </w:rPr>
              <w:t>300</w:t>
            </w:r>
            <w:r w:rsidRPr="00F8573F">
              <w:rPr>
                <w:rFonts w:ascii="Calibri" w:hAnsi="Calibri"/>
                <w:sz w:val="18"/>
                <w:szCs w:val="18"/>
              </w:rPr>
              <w:t xml:space="preserve"> </w:t>
            </w:r>
          </w:p>
        </w:tc>
        <w:tc>
          <w:tcPr>
            <w:tcW w:w="1080" w:type="dxa"/>
            <w:tcMar>
              <w:top w:w="29" w:type="dxa"/>
              <w:left w:w="58" w:type="dxa"/>
              <w:bottom w:w="29" w:type="dxa"/>
              <w:right w:w="115" w:type="dxa"/>
            </w:tcMar>
            <w:vAlign w:val="center"/>
          </w:tcPr>
          <w:p w:rsidR="00F8573F" w:rsidRPr="00F8573F" w:rsidRDefault="008D674C" w:rsidP="001D41ED">
            <w:pPr>
              <w:keepNext/>
              <w:keepLines/>
              <w:spacing w:before="40" w:after="40" w:line="240" w:lineRule="auto"/>
              <w:jc w:val="right"/>
              <w:rPr>
                <w:rFonts w:ascii="Calibri" w:hAnsi="Calibri"/>
                <w:sz w:val="18"/>
                <w:szCs w:val="18"/>
              </w:rPr>
            </w:pPr>
            <w:r>
              <w:rPr>
                <w:rFonts w:ascii="Calibri" w:hAnsi="Calibri"/>
                <w:sz w:val="18"/>
                <w:szCs w:val="18"/>
              </w:rPr>
              <w:t>300</w:t>
            </w:r>
            <w:r w:rsidRPr="00F8573F">
              <w:rPr>
                <w:rFonts w:ascii="Calibri" w:hAnsi="Calibri"/>
                <w:sz w:val="18"/>
                <w:szCs w:val="18"/>
              </w:rPr>
              <w:t xml:space="preserve"> </w:t>
            </w:r>
          </w:p>
        </w:tc>
        <w:tc>
          <w:tcPr>
            <w:tcW w:w="2160" w:type="dxa"/>
            <w:tcMar>
              <w:top w:w="29" w:type="dxa"/>
              <w:left w:w="58" w:type="dxa"/>
              <w:bottom w:w="29" w:type="dxa"/>
              <w:right w:w="58" w:type="dxa"/>
            </w:tcMar>
            <w:vAlign w:val="center"/>
          </w:tcPr>
          <w:p w:rsidR="00F8573F" w:rsidRPr="00F8573F" w:rsidRDefault="00F8573F" w:rsidP="001D41ED">
            <w:pPr>
              <w:keepNext/>
              <w:keepLines/>
              <w:spacing w:before="40" w:after="40" w:line="240" w:lineRule="auto"/>
              <w:rPr>
                <w:rFonts w:ascii="Calibri" w:hAnsi="Calibri"/>
                <w:sz w:val="18"/>
                <w:szCs w:val="18"/>
              </w:rPr>
            </w:pPr>
            <w:r w:rsidRPr="00F8573F">
              <w:rPr>
                <w:rFonts w:ascii="Calibri" w:hAnsi="Calibri"/>
                <w:sz w:val="18"/>
                <w:szCs w:val="18"/>
              </w:rPr>
              <w:t xml:space="preserve">Historical profile </w:t>
            </w:r>
          </w:p>
        </w:tc>
      </w:tr>
      <w:tr w:rsidR="00F8573F" w:rsidRPr="00F8573F" w:rsidTr="00082296">
        <w:trPr>
          <w:trHeight w:val="147"/>
          <w:jc w:val="center"/>
        </w:trPr>
        <w:tc>
          <w:tcPr>
            <w:tcW w:w="1639" w:type="dxa"/>
            <w:shd w:val="clear" w:color="auto" w:fill="DBE5F1" w:themeFill="accent1" w:themeFillTint="33"/>
            <w:tcMar>
              <w:top w:w="29" w:type="dxa"/>
              <w:left w:w="58" w:type="dxa"/>
              <w:bottom w:w="29" w:type="dxa"/>
              <w:right w:w="58" w:type="dxa"/>
            </w:tcMar>
            <w:vAlign w:val="center"/>
          </w:tcPr>
          <w:p w:rsidR="00F8573F" w:rsidRPr="00F8573F" w:rsidRDefault="00F8573F" w:rsidP="001D41ED">
            <w:pPr>
              <w:keepNext/>
              <w:keepLines/>
              <w:spacing w:before="40" w:after="40" w:line="240" w:lineRule="auto"/>
              <w:rPr>
                <w:rFonts w:ascii="Calibri" w:hAnsi="Calibri"/>
                <w:sz w:val="18"/>
                <w:szCs w:val="18"/>
              </w:rPr>
            </w:pPr>
            <w:r w:rsidRPr="00F8573F">
              <w:rPr>
                <w:rFonts w:ascii="Calibri" w:hAnsi="Calibri"/>
                <w:b/>
                <w:bCs/>
                <w:sz w:val="18"/>
                <w:szCs w:val="18"/>
              </w:rPr>
              <w:t xml:space="preserve">New York AC </w:t>
            </w:r>
          </w:p>
        </w:tc>
        <w:tc>
          <w:tcPr>
            <w:tcW w:w="1080" w:type="dxa"/>
            <w:shd w:val="clear" w:color="auto" w:fill="DBE5F1" w:themeFill="accent1" w:themeFillTint="33"/>
            <w:tcMar>
              <w:top w:w="29" w:type="dxa"/>
              <w:left w:w="58" w:type="dxa"/>
              <w:bottom w:w="29" w:type="dxa"/>
              <w:right w:w="115" w:type="dxa"/>
            </w:tcMar>
            <w:vAlign w:val="center"/>
          </w:tcPr>
          <w:p w:rsidR="00F8573F" w:rsidRPr="00F8573F" w:rsidRDefault="00F8573F" w:rsidP="001D41ED">
            <w:pPr>
              <w:keepNext/>
              <w:keepLines/>
              <w:spacing w:before="40" w:after="40" w:line="240" w:lineRule="auto"/>
              <w:jc w:val="right"/>
              <w:rPr>
                <w:rFonts w:ascii="Calibri" w:hAnsi="Calibri"/>
                <w:sz w:val="18"/>
                <w:szCs w:val="18"/>
              </w:rPr>
            </w:pPr>
            <w:r w:rsidRPr="00F8573F">
              <w:rPr>
                <w:rFonts w:ascii="Calibri" w:hAnsi="Calibri"/>
                <w:sz w:val="18"/>
                <w:szCs w:val="18"/>
              </w:rPr>
              <w:t>1,400</w:t>
            </w:r>
            <w:r w:rsidR="001D41ED" w:rsidRPr="001D41ED">
              <w:rPr>
                <w:rFonts w:ascii="Calibri" w:hAnsi="Calibri"/>
                <w:sz w:val="18"/>
                <w:szCs w:val="18"/>
                <w:vertAlign w:val="superscript"/>
              </w:rPr>
              <w:t>(a)</w:t>
            </w:r>
            <w:r w:rsidRPr="00F8573F">
              <w:rPr>
                <w:rFonts w:ascii="Calibri" w:hAnsi="Calibri"/>
                <w:sz w:val="18"/>
                <w:szCs w:val="18"/>
              </w:rPr>
              <w:t xml:space="preserve"> </w:t>
            </w:r>
          </w:p>
        </w:tc>
        <w:tc>
          <w:tcPr>
            <w:tcW w:w="1080" w:type="dxa"/>
            <w:gridSpan w:val="2"/>
            <w:shd w:val="clear" w:color="auto" w:fill="DBE5F1" w:themeFill="accent1" w:themeFillTint="33"/>
            <w:tcMar>
              <w:top w:w="29" w:type="dxa"/>
              <w:left w:w="58" w:type="dxa"/>
              <w:bottom w:w="29" w:type="dxa"/>
              <w:right w:w="115" w:type="dxa"/>
            </w:tcMar>
            <w:vAlign w:val="center"/>
          </w:tcPr>
          <w:p w:rsidR="00F8573F" w:rsidRPr="00F8573F" w:rsidRDefault="00F8573F" w:rsidP="001D41ED">
            <w:pPr>
              <w:keepNext/>
              <w:keepLines/>
              <w:spacing w:before="40" w:after="40" w:line="240" w:lineRule="auto"/>
              <w:jc w:val="right"/>
              <w:rPr>
                <w:rFonts w:ascii="Calibri" w:hAnsi="Calibri"/>
                <w:sz w:val="18"/>
                <w:szCs w:val="18"/>
              </w:rPr>
            </w:pPr>
            <w:r w:rsidRPr="00F8573F">
              <w:rPr>
                <w:rFonts w:ascii="Calibri" w:hAnsi="Calibri"/>
                <w:sz w:val="18"/>
                <w:szCs w:val="18"/>
              </w:rPr>
              <w:t>1,400</w:t>
            </w:r>
            <w:r w:rsidR="001D41ED" w:rsidRPr="001D41ED">
              <w:rPr>
                <w:rFonts w:ascii="Calibri" w:hAnsi="Calibri"/>
                <w:sz w:val="18"/>
                <w:szCs w:val="18"/>
                <w:vertAlign w:val="superscript"/>
              </w:rPr>
              <w:t>(a)</w:t>
            </w:r>
            <w:r w:rsidRPr="00F8573F">
              <w:rPr>
                <w:rFonts w:ascii="Calibri" w:hAnsi="Calibri"/>
                <w:sz w:val="18"/>
                <w:szCs w:val="18"/>
              </w:rPr>
              <w:t xml:space="preserve"> </w:t>
            </w:r>
          </w:p>
        </w:tc>
        <w:tc>
          <w:tcPr>
            <w:tcW w:w="1080" w:type="dxa"/>
            <w:shd w:val="clear" w:color="auto" w:fill="DBE5F1" w:themeFill="accent1" w:themeFillTint="33"/>
            <w:tcMar>
              <w:top w:w="29" w:type="dxa"/>
              <w:left w:w="58" w:type="dxa"/>
              <w:bottom w:w="29" w:type="dxa"/>
              <w:right w:w="115" w:type="dxa"/>
            </w:tcMar>
            <w:vAlign w:val="center"/>
          </w:tcPr>
          <w:p w:rsidR="00F8573F" w:rsidRPr="00F8573F" w:rsidRDefault="00F8573F" w:rsidP="001D41ED">
            <w:pPr>
              <w:keepNext/>
              <w:keepLines/>
              <w:spacing w:before="40" w:after="40" w:line="240" w:lineRule="auto"/>
              <w:jc w:val="right"/>
              <w:rPr>
                <w:rFonts w:ascii="Calibri" w:hAnsi="Calibri"/>
                <w:sz w:val="18"/>
                <w:szCs w:val="18"/>
              </w:rPr>
            </w:pPr>
            <w:r w:rsidRPr="00F8573F">
              <w:rPr>
                <w:rFonts w:ascii="Calibri" w:hAnsi="Calibri"/>
                <w:sz w:val="18"/>
                <w:szCs w:val="18"/>
              </w:rPr>
              <w:t xml:space="preserve">0 </w:t>
            </w:r>
          </w:p>
        </w:tc>
        <w:tc>
          <w:tcPr>
            <w:tcW w:w="1080" w:type="dxa"/>
            <w:shd w:val="clear" w:color="auto" w:fill="DBE5F1" w:themeFill="accent1" w:themeFillTint="33"/>
            <w:tcMar>
              <w:top w:w="29" w:type="dxa"/>
              <w:left w:w="58" w:type="dxa"/>
              <w:bottom w:w="29" w:type="dxa"/>
              <w:right w:w="115" w:type="dxa"/>
            </w:tcMar>
            <w:vAlign w:val="center"/>
          </w:tcPr>
          <w:p w:rsidR="00F8573F" w:rsidRPr="00F8573F" w:rsidRDefault="00F8573F" w:rsidP="001D41ED">
            <w:pPr>
              <w:keepNext/>
              <w:keepLines/>
              <w:spacing w:before="40" w:after="40" w:line="240" w:lineRule="auto"/>
              <w:jc w:val="right"/>
              <w:rPr>
                <w:rFonts w:ascii="Calibri" w:hAnsi="Calibri"/>
                <w:sz w:val="18"/>
                <w:szCs w:val="18"/>
              </w:rPr>
            </w:pPr>
            <w:r w:rsidRPr="00F8573F">
              <w:rPr>
                <w:rFonts w:ascii="Calibri" w:hAnsi="Calibri"/>
                <w:sz w:val="18"/>
                <w:szCs w:val="18"/>
              </w:rPr>
              <w:t xml:space="preserve">0 </w:t>
            </w:r>
          </w:p>
        </w:tc>
        <w:tc>
          <w:tcPr>
            <w:tcW w:w="2160" w:type="dxa"/>
            <w:shd w:val="clear" w:color="auto" w:fill="DBE5F1" w:themeFill="accent1" w:themeFillTint="33"/>
            <w:tcMar>
              <w:top w:w="29" w:type="dxa"/>
              <w:left w:w="58" w:type="dxa"/>
              <w:bottom w:w="29" w:type="dxa"/>
              <w:right w:w="58" w:type="dxa"/>
            </w:tcMar>
            <w:vAlign w:val="center"/>
          </w:tcPr>
          <w:p w:rsidR="00F8573F" w:rsidRPr="00F8573F" w:rsidRDefault="00F8573F" w:rsidP="001D41ED">
            <w:pPr>
              <w:keepNext/>
              <w:keepLines/>
              <w:spacing w:before="40" w:after="40" w:line="240" w:lineRule="auto"/>
              <w:rPr>
                <w:rFonts w:ascii="Calibri" w:hAnsi="Calibri"/>
                <w:sz w:val="18"/>
                <w:szCs w:val="18"/>
              </w:rPr>
            </w:pPr>
            <w:r w:rsidRPr="00F8573F">
              <w:rPr>
                <w:rFonts w:ascii="Calibri" w:hAnsi="Calibri"/>
                <w:sz w:val="18"/>
                <w:szCs w:val="18"/>
              </w:rPr>
              <w:t xml:space="preserve">None </w:t>
            </w:r>
          </w:p>
        </w:tc>
      </w:tr>
      <w:tr w:rsidR="00F8573F" w:rsidRPr="00F8573F" w:rsidTr="00082296">
        <w:trPr>
          <w:trHeight w:val="147"/>
          <w:jc w:val="center"/>
        </w:trPr>
        <w:tc>
          <w:tcPr>
            <w:tcW w:w="1639" w:type="dxa"/>
            <w:tcMar>
              <w:top w:w="29" w:type="dxa"/>
              <w:left w:w="58" w:type="dxa"/>
              <w:bottom w:w="29" w:type="dxa"/>
              <w:right w:w="58" w:type="dxa"/>
            </w:tcMar>
            <w:vAlign w:val="center"/>
          </w:tcPr>
          <w:p w:rsidR="00F8573F" w:rsidRPr="00F8573F" w:rsidRDefault="00F8573F" w:rsidP="001D41ED">
            <w:pPr>
              <w:keepNext/>
              <w:keepLines/>
              <w:spacing w:before="40" w:after="40" w:line="240" w:lineRule="auto"/>
              <w:rPr>
                <w:rFonts w:ascii="Calibri" w:hAnsi="Calibri"/>
                <w:sz w:val="18"/>
                <w:szCs w:val="18"/>
              </w:rPr>
            </w:pPr>
            <w:r w:rsidRPr="00F8573F">
              <w:rPr>
                <w:rFonts w:ascii="Calibri" w:hAnsi="Calibri"/>
                <w:b/>
                <w:bCs/>
                <w:sz w:val="18"/>
                <w:szCs w:val="18"/>
              </w:rPr>
              <w:t>C</w:t>
            </w:r>
            <w:r w:rsidR="00E12122">
              <w:rPr>
                <w:rFonts w:ascii="Calibri" w:hAnsi="Calibri"/>
                <w:b/>
                <w:bCs/>
                <w:sz w:val="18"/>
                <w:szCs w:val="18"/>
              </w:rPr>
              <w:t>ross-</w:t>
            </w:r>
            <w:r w:rsidRPr="00F8573F">
              <w:rPr>
                <w:rFonts w:ascii="Calibri" w:hAnsi="Calibri"/>
                <w:b/>
                <w:bCs/>
                <w:sz w:val="18"/>
                <w:szCs w:val="18"/>
              </w:rPr>
              <w:t>S</w:t>
            </w:r>
            <w:r w:rsidR="00E12122">
              <w:rPr>
                <w:rFonts w:ascii="Calibri" w:hAnsi="Calibri"/>
                <w:b/>
                <w:bCs/>
                <w:sz w:val="18"/>
                <w:szCs w:val="18"/>
              </w:rPr>
              <w:t xml:space="preserve">ound </w:t>
            </w:r>
            <w:r w:rsidRPr="00F8573F">
              <w:rPr>
                <w:rFonts w:ascii="Calibri" w:hAnsi="Calibri"/>
                <w:b/>
                <w:bCs/>
                <w:sz w:val="18"/>
                <w:szCs w:val="18"/>
              </w:rPr>
              <w:t>C</w:t>
            </w:r>
            <w:r w:rsidR="00E12122">
              <w:rPr>
                <w:rFonts w:ascii="Calibri" w:hAnsi="Calibri"/>
                <w:b/>
                <w:bCs/>
                <w:sz w:val="18"/>
                <w:szCs w:val="18"/>
              </w:rPr>
              <w:t>able</w:t>
            </w:r>
            <w:r w:rsidRPr="00F8573F">
              <w:rPr>
                <w:rFonts w:ascii="Calibri" w:hAnsi="Calibri"/>
                <w:b/>
                <w:bCs/>
                <w:sz w:val="18"/>
                <w:szCs w:val="18"/>
              </w:rPr>
              <w:t xml:space="preserve"> </w:t>
            </w:r>
          </w:p>
        </w:tc>
        <w:tc>
          <w:tcPr>
            <w:tcW w:w="1080" w:type="dxa"/>
            <w:tcMar>
              <w:top w:w="29" w:type="dxa"/>
              <w:left w:w="58" w:type="dxa"/>
              <w:bottom w:w="29" w:type="dxa"/>
              <w:right w:w="115" w:type="dxa"/>
            </w:tcMar>
            <w:vAlign w:val="center"/>
          </w:tcPr>
          <w:p w:rsidR="00F8573F" w:rsidRPr="00F8573F" w:rsidRDefault="00F8573F" w:rsidP="001D41ED">
            <w:pPr>
              <w:keepNext/>
              <w:keepLines/>
              <w:spacing w:before="40" w:after="40" w:line="240" w:lineRule="auto"/>
              <w:jc w:val="right"/>
              <w:rPr>
                <w:rFonts w:ascii="Calibri" w:hAnsi="Calibri"/>
                <w:sz w:val="18"/>
                <w:szCs w:val="18"/>
              </w:rPr>
            </w:pPr>
            <w:r w:rsidRPr="00F8573F">
              <w:rPr>
                <w:rFonts w:ascii="Calibri" w:hAnsi="Calibri"/>
                <w:sz w:val="18"/>
                <w:szCs w:val="18"/>
              </w:rPr>
              <w:t>330</w:t>
            </w:r>
            <w:r w:rsidR="001D41ED" w:rsidRPr="001D41ED">
              <w:rPr>
                <w:rFonts w:ascii="Calibri" w:hAnsi="Calibri"/>
                <w:sz w:val="18"/>
                <w:szCs w:val="18"/>
                <w:vertAlign w:val="superscript"/>
              </w:rPr>
              <w:t>(a)</w:t>
            </w:r>
            <w:r w:rsidRPr="00F8573F">
              <w:rPr>
                <w:rFonts w:ascii="Calibri" w:hAnsi="Calibri"/>
                <w:sz w:val="18"/>
                <w:szCs w:val="18"/>
              </w:rPr>
              <w:t xml:space="preserve"> </w:t>
            </w:r>
          </w:p>
        </w:tc>
        <w:tc>
          <w:tcPr>
            <w:tcW w:w="1080" w:type="dxa"/>
            <w:gridSpan w:val="2"/>
            <w:tcMar>
              <w:top w:w="29" w:type="dxa"/>
              <w:left w:w="58" w:type="dxa"/>
              <w:bottom w:w="29" w:type="dxa"/>
              <w:right w:w="115" w:type="dxa"/>
            </w:tcMar>
            <w:vAlign w:val="center"/>
          </w:tcPr>
          <w:p w:rsidR="00F8573F" w:rsidRPr="00F8573F" w:rsidRDefault="00F8573F" w:rsidP="001D41ED">
            <w:pPr>
              <w:keepNext/>
              <w:keepLines/>
              <w:spacing w:before="40" w:after="40" w:line="240" w:lineRule="auto"/>
              <w:jc w:val="right"/>
              <w:rPr>
                <w:rFonts w:ascii="Calibri" w:hAnsi="Calibri"/>
                <w:sz w:val="18"/>
                <w:szCs w:val="18"/>
              </w:rPr>
            </w:pPr>
            <w:r w:rsidRPr="00F8573F">
              <w:rPr>
                <w:rFonts w:ascii="Calibri" w:hAnsi="Calibri"/>
                <w:sz w:val="18"/>
                <w:szCs w:val="18"/>
              </w:rPr>
              <w:t>330</w:t>
            </w:r>
            <w:r w:rsidR="001D41ED" w:rsidRPr="001D41ED">
              <w:rPr>
                <w:rFonts w:ascii="Calibri" w:hAnsi="Calibri"/>
                <w:sz w:val="18"/>
                <w:szCs w:val="18"/>
                <w:vertAlign w:val="superscript"/>
              </w:rPr>
              <w:t>(a)</w:t>
            </w:r>
            <w:r w:rsidRPr="00F8573F">
              <w:rPr>
                <w:rFonts w:ascii="Calibri" w:hAnsi="Calibri"/>
                <w:sz w:val="18"/>
                <w:szCs w:val="18"/>
              </w:rPr>
              <w:t xml:space="preserve"> </w:t>
            </w:r>
          </w:p>
        </w:tc>
        <w:tc>
          <w:tcPr>
            <w:tcW w:w="1080" w:type="dxa"/>
            <w:tcMar>
              <w:top w:w="29" w:type="dxa"/>
              <w:left w:w="58" w:type="dxa"/>
              <w:bottom w:w="29" w:type="dxa"/>
              <w:right w:w="115" w:type="dxa"/>
            </w:tcMar>
            <w:vAlign w:val="center"/>
          </w:tcPr>
          <w:p w:rsidR="00F8573F" w:rsidRPr="00F8573F" w:rsidRDefault="00F8573F" w:rsidP="001D41ED">
            <w:pPr>
              <w:keepNext/>
              <w:keepLines/>
              <w:spacing w:before="40" w:after="40" w:line="240" w:lineRule="auto"/>
              <w:jc w:val="right"/>
              <w:rPr>
                <w:rFonts w:ascii="Calibri" w:hAnsi="Calibri"/>
                <w:sz w:val="18"/>
                <w:szCs w:val="18"/>
              </w:rPr>
            </w:pPr>
            <w:r w:rsidRPr="00F8573F">
              <w:rPr>
                <w:rFonts w:ascii="Calibri" w:hAnsi="Calibri"/>
                <w:sz w:val="18"/>
                <w:szCs w:val="18"/>
              </w:rPr>
              <w:t xml:space="preserve">0 </w:t>
            </w:r>
          </w:p>
        </w:tc>
        <w:tc>
          <w:tcPr>
            <w:tcW w:w="1080" w:type="dxa"/>
            <w:tcMar>
              <w:top w:w="29" w:type="dxa"/>
              <w:left w:w="58" w:type="dxa"/>
              <w:bottom w:w="29" w:type="dxa"/>
              <w:right w:w="115" w:type="dxa"/>
            </w:tcMar>
            <w:vAlign w:val="center"/>
          </w:tcPr>
          <w:p w:rsidR="00F8573F" w:rsidRPr="00F8573F" w:rsidRDefault="00F8573F" w:rsidP="001D41ED">
            <w:pPr>
              <w:keepNext/>
              <w:keepLines/>
              <w:spacing w:before="40" w:after="40" w:line="240" w:lineRule="auto"/>
              <w:jc w:val="right"/>
              <w:rPr>
                <w:rFonts w:ascii="Calibri" w:hAnsi="Calibri"/>
                <w:sz w:val="18"/>
                <w:szCs w:val="18"/>
              </w:rPr>
            </w:pPr>
            <w:r w:rsidRPr="00F8573F">
              <w:rPr>
                <w:rFonts w:ascii="Calibri" w:hAnsi="Calibri"/>
                <w:sz w:val="18"/>
                <w:szCs w:val="18"/>
              </w:rPr>
              <w:t xml:space="preserve">0 </w:t>
            </w:r>
          </w:p>
        </w:tc>
        <w:tc>
          <w:tcPr>
            <w:tcW w:w="2160" w:type="dxa"/>
            <w:tcMar>
              <w:top w:w="29" w:type="dxa"/>
              <w:left w:w="58" w:type="dxa"/>
              <w:bottom w:w="29" w:type="dxa"/>
              <w:right w:w="58" w:type="dxa"/>
            </w:tcMar>
            <w:vAlign w:val="center"/>
          </w:tcPr>
          <w:p w:rsidR="00F8573F" w:rsidRPr="00F8573F" w:rsidRDefault="00F8573F" w:rsidP="001D41ED">
            <w:pPr>
              <w:keepNext/>
              <w:keepLines/>
              <w:spacing w:before="40" w:after="40" w:line="240" w:lineRule="auto"/>
              <w:rPr>
                <w:rFonts w:ascii="Calibri" w:hAnsi="Calibri"/>
                <w:sz w:val="18"/>
                <w:szCs w:val="18"/>
              </w:rPr>
            </w:pPr>
            <w:r w:rsidRPr="00F8573F">
              <w:rPr>
                <w:rFonts w:ascii="Calibri" w:hAnsi="Calibri"/>
                <w:sz w:val="18"/>
                <w:szCs w:val="18"/>
              </w:rPr>
              <w:t xml:space="preserve">None </w:t>
            </w:r>
          </w:p>
        </w:tc>
      </w:tr>
    </w:tbl>
    <w:p w:rsidR="00154EF6" w:rsidRPr="003A2CA8" w:rsidRDefault="001D41ED" w:rsidP="00F70A80">
      <w:pPr>
        <w:keepNext/>
        <w:keepLines/>
        <w:spacing w:before="120" w:after="80" w:line="240" w:lineRule="auto"/>
        <w:ind w:left="900" w:right="630" w:hanging="270"/>
        <w:rPr>
          <w:rFonts w:ascii="Calibri" w:hAnsi="Calibri"/>
          <w:sz w:val="16"/>
          <w:szCs w:val="16"/>
        </w:rPr>
      </w:pPr>
      <w:r w:rsidRPr="003A2CA8">
        <w:rPr>
          <w:rFonts w:ascii="Calibri" w:hAnsi="Calibri"/>
          <w:sz w:val="16"/>
          <w:szCs w:val="16"/>
        </w:rPr>
        <w:t>(a)</w:t>
      </w:r>
      <w:r w:rsidR="00154EF6" w:rsidRPr="003A2CA8">
        <w:rPr>
          <w:rFonts w:ascii="Calibri" w:hAnsi="Calibri"/>
          <w:sz w:val="16"/>
          <w:szCs w:val="16"/>
        </w:rPr>
        <w:t xml:space="preserve"> </w:t>
      </w:r>
      <w:r w:rsidR="00F70A80" w:rsidRPr="003A2CA8">
        <w:rPr>
          <w:rFonts w:ascii="Calibri" w:hAnsi="Calibri"/>
          <w:sz w:val="16"/>
          <w:szCs w:val="16"/>
        </w:rPr>
        <w:tab/>
      </w:r>
      <w:r w:rsidR="00225C77" w:rsidRPr="003A2CA8">
        <w:rPr>
          <w:rFonts w:ascii="Calibri" w:hAnsi="Calibri"/>
          <w:sz w:val="16"/>
          <w:szCs w:val="16"/>
        </w:rPr>
        <w:t>The i</w:t>
      </w:r>
      <w:r w:rsidR="00154EF6" w:rsidRPr="003A2CA8">
        <w:rPr>
          <w:rFonts w:ascii="Calibri" w:hAnsi="Calibri"/>
          <w:sz w:val="16"/>
          <w:szCs w:val="16"/>
        </w:rPr>
        <w:t>mport capability for energy</w:t>
      </w:r>
      <w:r w:rsidR="00225C77" w:rsidRPr="003A2CA8">
        <w:rPr>
          <w:rFonts w:ascii="Calibri" w:hAnsi="Calibri"/>
          <w:sz w:val="16"/>
          <w:szCs w:val="16"/>
        </w:rPr>
        <w:t xml:space="preserve"> reflects the physical limitations of the ties. Although Phase II is physically designed to transfer 2,000 MW, its transfer limit </w:t>
      </w:r>
      <w:r w:rsidR="00D44860" w:rsidRPr="003A2CA8">
        <w:rPr>
          <w:rFonts w:ascii="Calibri" w:hAnsi="Calibri"/>
          <w:sz w:val="16"/>
          <w:szCs w:val="16"/>
        </w:rPr>
        <w:t xml:space="preserve">is typically limited to </w:t>
      </w:r>
      <w:r w:rsidR="0019013E" w:rsidRPr="003A2CA8">
        <w:rPr>
          <w:rFonts w:ascii="Calibri" w:hAnsi="Calibri"/>
          <w:sz w:val="16"/>
          <w:szCs w:val="16"/>
        </w:rPr>
        <w:t xml:space="preserve">approximately </w:t>
      </w:r>
      <w:r w:rsidR="00D44860" w:rsidRPr="003A2CA8">
        <w:rPr>
          <w:rFonts w:ascii="Calibri" w:hAnsi="Calibri"/>
          <w:sz w:val="16"/>
          <w:szCs w:val="16"/>
        </w:rPr>
        <w:t>1,500 MW under expected system conditions</w:t>
      </w:r>
      <w:r w:rsidR="0019013E" w:rsidRPr="003A2CA8">
        <w:rPr>
          <w:rFonts w:ascii="Calibri" w:hAnsi="Calibri"/>
          <w:sz w:val="16"/>
          <w:szCs w:val="16"/>
        </w:rPr>
        <w:t xml:space="preserve"> to </w:t>
      </w:r>
      <w:r w:rsidR="00225C77" w:rsidRPr="003A2CA8">
        <w:rPr>
          <w:rFonts w:ascii="Calibri" w:hAnsi="Calibri"/>
          <w:sz w:val="16"/>
          <w:szCs w:val="16"/>
        </w:rPr>
        <w:t xml:space="preserve">respect the </w:t>
      </w:r>
      <w:r w:rsidR="0019013E" w:rsidRPr="003A2CA8">
        <w:rPr>
          <w:rFonts w:ascii="Calibri" w:hAnsi="Calibri"/>
          <w:sz w:val="16"/>
          <w:szCs w:val="16"/>
        </w:rPr>
        <w:t>loss</w:t>
      </w:r>
      <w:r w:rsidR="00FE361E" w:rsidRPr="003A2CA8">
        <w:rPr>
          <w:rFonts w:ascii="Calibri" w:hAnsi="Calibri"/>
          <w:sz w:val="16"/>
          <w:szCs w:val="16"/>
        </w:rPr>
        <w:t>-</w:t>
      </w:r>
      <w:r w:rsidR="0019013E" w:rsidRPr="003A2CA8">
        <w:rPr>
          <w:rFonts w:ascii="Calibri" w:hAnsi="Calibri"/>
          <w:sz w:val="16"/>
          <w:szCs w:val="16"/>
        </w:rPr>
        <w:t>of</w:t>
      </w:r>
      <w:r w:rsidR="00FE361E" w:rsidRPr="003A2CA8">
        <w:rPr>
          <w:rFonts w:ascii="Calibri" w:hAnsi="Calibri"/>
          <w:sz w:val="16"/>
          <w:szCs w:val="16"/>
        </w:rPr>
        <w:t>-</w:t>
      </w:r>
      <w:r w:rsidR="0019013E" w:rsidRPr="003A2CA8">
        <w:rPr>
          <w:rFonts w:ascii="Calibri" w:hAnsi="Calibri"/>
          <w:sz w:val="16"/>
          <w:szCs w:val="16"/>
        </w:rPr>
        <w:t>source</w:t>
      </w:r>
      <w:r w:rsidR="00225C77" w:rsidRPr="003A2CA8">
        <w:rPr>
          <w:rFonts w:ascii="Calibri" w:hAnsi="Calibri"/>
          <w:sz w:val="16"/>
          <w:szCs w:val="16"/>
        </w:rPr>
        <w:t xml:space="preserve"> contingency limit of the New England system</w:t>
      </w:r>
      <w:r w:rsidR="0086003A" w:rsidRPr="003A2CA8">
        <w:rPr>
          <w:rFonts w:ascii="Calibri" w:hAnsi="Calibri"/>
          <w:sz w:val="16"/>
          <w:szCs w:val="16"/>
        </w:rPr>
        <w:t xml:space="preserve">. Import capacity </w:t>
      </w:r>
      <w:r w:rsidR="00225C77" w:rsidRPr="003A2CA8">
        <w:rPr>
          <w:rFonts w:ascii="Calibri" w:hAnsi="Calibri"/>
          <w:sz w:val="16"/>
          <w:szCs w:val="16"/>
        </w:rPr>
        <w:t xml:space="preserve">limits are typically a </w:t>
      </w:r>
      <w:r w:rsidR="0086003A" w:rsidRPr="003A2CA8">
        <w:rPr>
          <w:rFonts w:ascii="Calibri" w:hAnsi="Calibri"/>
          <w:sz w:val="16"/>
          <w:szCs w:val="16"/>
        </w:rPr>
        <w:t>lower value</w:t>
      </w:r>
      <w:r w:rsidR="00225C77" w:rsidRPr="003A2CA8">
        <w:rPr>
          <w:rFonts w:ascii="Calibri" w:hAnsi="Calibri"/>
          <w:sz w:val="16"/>
          <w:szCs w:val="16"/>
        </w:rPr>
        <w:t xml:space="preserve"> than the import </w:t>
      </w:r>
      <w:r w:rsidR="006251C7" w:rsidRPr="003A2CA8">
        <w:rPr>
          <w:rFonts w:ascii="Calibri" w:hAnsi="Calibri"/>
          <w:sz w:val="16"/>
          <w:szCs w:val="16"/>
        </w:rPr>
        <w:t>capabilities of</w:t>
      </w:r>
      <w:r w:rsidR="00225C77" w:rsidRPr="003A2CA8">
        <w:rPr>
          <w:rFonts w:ascii="Calibri" w:hAnsi="Calibri"/>
          <w:sz w:val="16"/>
          <w:szCs w:val="16"/>
        </w:rPr>
        <w:t xml:space="preserve"> external ties</w:t>
      </w:r>
      <w:r w:rsidR="0086003A" w:rsidRPr="003A2CA8">
        <w:rPr>
          <w:rFonts w:ascii="Calibri" w:hAnsi="Calibri"/>
          <w:sz w:val="16"/>
          <w:szCs w:val="16"/>
        </w:rPr>
        <w:t>.</w:t>
      </w:r>
      <w:r w:rsidR="00D44860" w:rsidRPr="003A2CA8">
        <w:rPr>
          <w:rFonts w:ascii="Calibri" w:hAnsi="Calibri"/>
          <w:sz w:val="16"/>
          <w:szCs w:val="16"/>
        </w:rPr>
        <w:t xml:space="preserve"> </w:t>
      </w:r>
    </w:p>
    <w:p w:rsidR="00F8573F" w:rsidRPr="003A2CA8" w:rsidRDefault="001D41ED" w:rsidP="003A2CA8">
      <w:pPr>
        <w:keepNext/>
        <w:keepLines/>
        <w:spacing w:line="240" w:lineRule="auto"/>
        <w:ind w:left="908" w:right="634" w:hanging="274"/>
        <w:rPr>
          <w:rFonts w:ascii="Calibri" w:hAnsi="Calibri"/>
          <w:sz w:val="16"/>
          <w:szCs w:val="16"/>
        </w:rPr>
      </w:pPr>
      <w:r w:rsidRPr="003A2CA8">
        <w:rPr>
          <w:rFonts w:ascii="Calibri" w:hAnsi="Calibri"/>
          <w:sz w:val="16"/>
          <w:szCs w:val="16"/>
        </w:rPr>
        <w:t>(b)</w:t>
      </w:r>
      <w:r w:rsidR="00154EF6" w:rsidRPr="003A2CA8">
        <w:rPr>
          <w:rFonts w:ascii="Calibri" w:hAnsi="Calibri"/>
          <w:sz w:val="16"/>
          <w:szCs w:val="16"/>
        </w:rPr>
        <w:t xml:space="preserve"> </w:t>
      </w:r>
      <w:r w:rsidR="00F70A80" w:rsidRPr="003A2CA8">
        <w:rPr>
          <w:rFonts w:ascii="Calibri" w:hAnsi="Calibri"/>
          <w:sz w:val="16"/>
          <w:szCs w:val="16"/>
        </w:rPr>
        <w:tab/>
      </w:r>
      <w:r w:rsidR="00154EF6" w:rsidRPr="003A2CA8">
        <w:rPr>
          <w:rFonts w:ascii="Calibri" w:hAnsi="Calibri"/>
          <w:sz w:val="16"/>
          <w:szCs w:val="16"/>
        </w:rPr>
        <w:t xml:space="preserve">Energy </w:t>
      </w:r>
      <w:r w:rsidR="00A177B5">
        <w:rPr>
          <w:rFonts w:ascii="Calibri" w:hAnsi="Calibri"/>
          <w:sz w:val="16"/>
          <w:szCs w:val="16"/>
        </w:rPr>
        <w:t xml:space="preserve">was </w:t>
      </w:r>
      <w:r w:rsidR="00154EF6" w:rsidRPr="003A2CA8">
        <w:rPr>
          <w:rFonts w:ascii="Calibri" w:hAnsi="Calibri"/>
          <w:sz w:val="16"/>
          <w:szCs w:val="16"/>
        </w:rPr>
        <w:t xml:space="preserve">imported to </w:t>
      </w:r>
      <w:r w:rsidR="00057090">
        <w:rPr>
          <w:rFonts w:ascii="Calibri" w:hAnsi="Calibri"/>
          <w:sz w:val="16"/>
          <w:szCs w:val="16"/>
        </w:rPr>
        <w:t xml:space="preserve">reduce peaks of net load, which is </w:t>
      </w:r>
      <w:r w:rsidR="006845EF">
        <w:rPr>
          <w:rFonts w:ascii="Calibri" w:hAnsi="Calibri"/>
          <w:sz w:val="16"/>
          <w:szCs w:val="16"/>
        </w:rPr>
        <w:t xml:space="preserve">after adjustment </w:t>
      </w:r>
      <w:r w:rsidR="00A177B5">
        <w:rPr>
          <w:rFonts w:ascii="Calibri" w:hAnsi="Calibri"/>
          <w:sz w:val="16"/>
          <w:szCs w:val="16"/>
        </w:rPr>
        <w:t>for</w:t>
      </w:r>
      <w:r w:rsidR="006845EF">
        <w:rPr>
          <w:rFonts w:ascii="Calibri" w:hAnsi="Calibri"/>
          <w:sz w:val="16"/>
          <w:szCs w:val="16"/>
        </w:rPr>
        <w:t xml:space="preserve"> EE, </w:t>
      </w:r>
      <w:r w:rsidR="009427B1">
        <w:rPr>
          <w:rFonts w:ascii="Calibri" w:hAnsi="Calibri"/>
          <w:sz w:val="16"/>
          <w:szCs w:val="16"/>
        </w:rPr>
        <w:t>PHEV, PV, onshore and offshore wind, local hydro, and interchange over existing tie</w:t>
      </w:r>
      <w:r w:rsidR="009427B1" w:rsidRPr="00A177B5">
        <w:rPr>
          <w:rFonts w:ascii="Calibri" w:hAnsi="Calibri"/>
          <w:sz w:val="16"/>
          <w:szCs w:val="16"/>
        </w:rPr>
        <w:t>s</w:t>
      </w:r>
      <w:r w:rsidR="007748CB" w:rsidRPr="00A177B5">
        <w:rPr>
          <w:rFonts w:ascii="Calibri" w:hAnsi="Calibri"/>
          <w:sz w:val="16"/>
          <w:szCs w:val="16"/>
        </w:rPr>
        <w:t>.</w:t>
      </w:r>
    </w:p>
    <w:p w:rsidR="00CC0709" w:rsidRDefault="00CC0709" w:rsidP="0053379A">
      <w:pPr>
        <w:pStyle w:val="Heading2"/>
      </w:pPr>
      <w:bookmarkStart w:id="157" w:name="_Toc486405987"/>
      <w:r>
        <w:t>Fuel Prices</w:t>
      </w:r>
      <w:bookmarkEnd w:id="157"/>
    </w:p>
    <w:p w:rsidR="00CC0709" w:rsidRDefault="00CC0709" w:rsidP="00082296">
      <w:r>
        <w:t xml:space="preserve">The assumed fuel prices for coal, oil, and natural gas were based on forecasts from the US Department of Energy (DOE), Energy </w:t>
      </w:r>
      <w:r w:rsidRPr="00632AC8">
        <w:t xml:space="preserve">Information Administration (EIA) </w:t>
      </w:r>
      <w:r w:rsidRPr="00632AC8">
        <w:rPr>
          <w:i/>
        </w:rPr>
        <w:t>2016 Annual Energy Outlook</w:t>
      </w:r>
      <w:r w:rsidRPr="00632AC8">
        <w:t xml:space="preserve"> (AEO) for New England</w:t>
      </w:r>
      <w:r w:rsidRPr="00AB7EAC">
        <w:t>.</w:t>
      </w:r>
      <w:r w:rsidRPr="00AB7EAC">
        <w:rPr>
          <w:rStyle w:val="FootnoteReference"/>
        </w:rPr>
        <w:footnoteReference w:id="55"/>
      </w:r>
      <w:r>
        <w:t xml:space="preserve"> </w:t>
      </w:r>
      <w:r>
        <w:fldChar w:fldCharType="begin"/>
      </w:r>
      <w:r>
        <w:instrText xml:space="preserve"> REF _Ref461537126 \h </w:instrText>
      </w:r>
      <w:r>
        <w:fldChar w:fldCharType="separate"/>
      </w:r>
      <w:r w:rsidR="00742B49">
        <w:t xml:space="preserve">Figure </w:t>
      </w:r>
      <w:r w:rsidR="00742B49">
        <w:rPr>
          <w:noProof/>
        </w:rPr>
        <w:t>5</w:t>
      </w:r>
      <w:r w:rsidR="00742B49">
        <w:noBreakHyphen/>
      </w:r>
      <w:r w:rsidR="00742B49">
        <w:rPr>
          <w:noProof/>
        </w:rPr>
        <w:t>7</w:t>
      </w:r>
      <w:r>
        <w:fldChar w:fldCharType="end"/>
      </w:r>
      <w:r>
        <w:t xml:space="preserve"> shows the 2016 AEO reference cases in 2015 $/million British thermal units (</w:t>
      </w:r>
      <w:r w:rsidR="00082296">
        <w:t>2015 </w:t>
      </w:r>
      <w:r>
        <w:t>$/MMBtu).</w:t>
      </w:r>
      <w:r w:rsidR="00B92F44">
        <w:t xml:space="preserve"> </w:t>
      </w:r>
    </w:p>
    <w:p w:rsidR="00082296" w:rsidRDefault="00082296" w:rsidP="00DD2369">
      <w:pPr>
        <w:keepNext/>
        <w:keepLines/>
        <w:spacing w:after="0" w:line="240" w:lineRule="auto"/>
        <w:jc w:val="center"/>
      </w:pPr>
      <w:r>
        <w:rPr>
          <w:noProof/>
        </w:rPr>
        <w:lastRenderedPageBreak/>
        <w:drawing>
          <wp:inline distT="0" distB="0" distL="0" distR="0" wp14:anchorId="17A72F32" wp14:editId="03CA4A0A">
            <wp:extent cx="4811670" cy="3089031"/>
            <wp:effectExtent l="19050" t="19050" r="27305" b="1651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06930" cy="3085988"/>
                    </a:xfrm>
                    <a:prstGeom prst="rect">
                      <a:avLst/>
                    </a:prstGeom>
                    <a:noFill/>
                    <a:ln w="3175">
                      <a:solidFill>
                        <a:schemeClr val="tx1"/>
                      </a:solidFill>
                    </a:ln>
                  </pic:spPr>
                </pic:pic>
              </a:graphicData>
            </a:graphic>
          </wp:inline>
        </w:drawing>
      </w:r>
    </w:p>
    <w:p w:rsidR="00CC0709" w:rsidRDefault="00CC0709" w:rsidP="00082296">
      <w:pPr>
        <w:pStyle w:val="Caption"/>
        <w:spacing w:before="120" w:after="240"/>
        <w:ind w:left="907" w:right="994"/>
      </w:pPr>
      <w:bookmarkStart w:id="158" w:name="_Ref461537126"/>
      <w:bookmarkStart w:id="159" w:name="_Toc486406067"/>
      <w:r>
        <w:t xml:space="preserve">Figure </w:t>
      </w:r>
      <w:fldSimple w:instr=" STYLEREF 1 \s ">
        <w:r w:rsidR="00742B49">
          <w:rPr>
            <w:noProof/>
          </w:rPr>
          <w:t>5</w:t>
        </w:r>
      </w:fldSimple>
      <w:r w:rsidR="00024994">
        <w:noBreakHyphen/>
      </w:r>
      <w:fldSimple w:instr=" SEQ Figure \* ARABIC \s 1 ">
        <w:r w:rsidR="00742B49">
          <w:rPr>
            <w:noProof/>
          </w:rPr>
          <w:t>7</w:t>
        </w:r>
      </w:fldSimple>
      <w:bookmarkEnd w:id="158"/>
      <w:r>
        <w:t>: Reference f</w:t>
      </w:r>
      <w:r w:rsidRPr="00237060">
        <w:t>uel</w:t>
      </w:r>
      <w:r>
        <w:t>-p</w:t>
      </w:r>
      <w:r w:rsidRPr="00237060">
        <w:t xml:space="preserve">rice </w:t>
      </w:r>
      <w:r>
        <w:t>f</w:t>
      </w:r>
      <w:r w:rsidRPr="00237060">
        <w:t>orecast</w:t>
      </w:r>
      <w:r>
        <w:t>s</w:t>
      </w:r>
      <w:r w:rsidRPr="00237060">
        <w:t xml:space="preserve"> for New England, 2025 and 2030 ($/</w:t>
      </w:r>
      <w:r w:rsidR="00BE5473">
        <w:t xml:space="preserve">million British thermal units; </w:t>
      </w:r>
      <w:r w:rsidRPr="00BE5473">
        <w:t>MBtu).</w:t>
      </w:r>
      <w:bookmarkEnd w:id="159"/>
      <w:r w:rsidR="0022006C">
        <w:t xml:space="preserve"> </w:t>
      </w:r>
    </w:p>
    <w:p w:rsidR="00C707F5" w:rsidRPr="00BE28CD" w:rsidRDefault="00C707F5" w:rsidP="00C707F5">
      <w:r w:rsidRPr="00BE28CD">
        <w:t xml:space="preserve">Similar to the </w:t>
      </w:r>
      <w:r w:rsidR="00B92F44" w:rsidRPr="00BE28CD">
        <w:t xml:space="preserve">seasonal variations used in the </w:t>
      </w:r>
      <w:r w:rsidRPr="00BE28CD">
        <w:t xml:space="preserve">2015 Economic Studies, natural gas prices were increased 10% </w:t>
      </w:r>
      <w:r w:rsidRPr="009F4543">
        <w:t>over the nominal price in the winter and reduced 10% of the nominal price in the summer</w:t>
      </w:r>
      <w:r w:rsidR="00B92F44" w:rsidRPr="009F4543">
        <w:t xml:space="preserve"> for 2025 and 2030</w:t>
      </w:r>
      <w:r w:rsidRPr="009F4543">
        <w:t xml:space="preserve">. </w:t>
      </w:r>
      <w:r w:rsidR="00CC0709" w:rsidRPr="009F4543">
        <w:fldChar w:fldCharType="begin"/>
      </w:r>
      <w:r w:rsidR="00CC0709" w:rsidRPr="009F4543">
        <w:instrText xml:space="preserve"> REF _Ref461533499 \h  \* MERGEFORMAT </w:instrText>
      </w:r>
      <w:r w:rsidR="00CC0709" w:rsidRPr="009F4543">
        <w:fldChar w:fldCharType="separate"/>
      </w:r>
      <w:r w:rsidR="00742B49">
        <w:t xml:space="preserve">Figure </w:t>
      </w:r>
      <w:r w:rsidR="00742B49">
        <w:rPr>
          <w:noProof/>
        </w:rPr>
        <w:t>5</w:t>
      </w:r>
      <w:r w:rsidR="00742B49">
        <w:rPr>
          <w:noProof/>
        </w:rPr>
        <w:noBreakHyphen/>
        <w:t>8</w:t>
      </w:r>
      <w:r w:rsidR="00CC0709" w:rsidRPr="009F4543">
        <w:fldChar w:fldCharType="end"/>
      </w:r>
      <w:r w:rsidR="00CC0709" w:rsidRPr="009F4543">
        <w:t xml:space="preserve"> shows the per-unit multipliers used on the forecasted monthly </w:t>
      </w:r>
      <w:r w:rsidR="00CC0709" w:rsidRPr="00BE28CD">
        <w:t>natural gas prices.</w:t>
      </w:r>
      <w:r w:rsidR="008E41AE" w:rsidRPr="00BE28CD">
        <w:t xml:space="preserve"> </w:t>
      </w:r>
      <w:r w:rsidR="00B92F44" w:rsidRPr="00BE28CD">
        <w:t xml:space="preserve">Other fuels used the annual AEO forecast values. </w:t>
      </w:r>
    </w:p>
    <w:p w:rsidR="00CC0709" w:rsidRDefault="00A81713" w:rsidP="00CC0709">
      <w:pPr>
        <w:keepNext/>
        <w:keepLines/>
        <w:spacing w:after="0" w:line="240" w:lineRule="auto"/>
        <w:jc w:val="center"/>
      </w:pPr>
      <w:r w:rsidRPr="00A81713">
        <w:t xml:space="preserve"> </w:t>
      </w:r>
    </w:p>
    <w:p w:rsidR="00B914A9" w:rsidRDefault="00B914A9" w:rsidP="00CC0709">
      <w:pPr>
        <w:keepNext/>
        <w:keepLines/>
        <w:spacing w:after="0" w:line="240" w:lineRule="auto"/>
        <w:jc w:val="center"/>
      </w:pPr>
      <w:r w:rsidRPr="00B914A9">
        <w:rPr>
          <w:noProof/>
        </w:rPr>
        <w:drawing>
          <wp:inline distT="0" distB="0" distL="0" distR="0" wp14:anchorId="02870FF1" wp14:editId="127B4DC5">
            <wp:extent cx="3954843" cy="2716439"/>
            <wp:effectExtent l="19050" t="19050" r="26670" b="2730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59551" cy="2719673"/>
                    </a:xfrm>
                    <a:prstGeom prst="rect">
                      <a:avLst/>
                    </a:prstGeom>
                    <a:noFill/>
                    <a:ln w="3175">
                      <a:solidFill>
                        <a:schemeClr val="tx1"/>
                      </a:solidFill>
                    </a:ln>
                  </pic:spPr>
                </pic:pic>
              </a:graphicData>
            </a:graphic>
          </wp:inline>
        </w:drawing>
      </w:r>
    </w:p>
    <w:p w:rsidR="00CC0709" w:rsidRPr="0058370C" w:rsidRDefault="00CC0709" w:rsidP="00B914A9">
      <w:pPr>
        <w:pStyle w:val="Caption"/>
        <w:keepNext w:val="0"/>
        <w:keepLines w:val="0"/>
        <w:spacing w:before="120" w:after="240"/>
        <w:ind w:left="1526" w:right="1526"/>
        <w:rPr>
          <w:sz w:val="18"/>
          <w:szCs w:val="18"/>
        </w:rPr>
      </w:pPr>
      <w:bookmarkStart w:id="160" w:name="_Ref461533499"/>
      <w:bookmarkStart w:id="161" w:name="_Toc486406068"/>
      <w:r>
        <w:t xml:space="preserve">Figure </w:t>
      </w:r>
      <w:fldSimple w:instr=" STYLEREF 1 \s ">
        <w:r w:rsidR="00742B49">
          <w:rPr>
            <w:noProof/>
          </w:rPr>
          <w:t>5</w:t>
        </w:r>
      </w:fldSimple>
      <w:r w:rsidR="00024994">
        <w:noBreakHyphen/>
      </w:r>
      <w:fldSimple w:instr=" SEQ Figure \* ARABIC \s 1 ">
        <w:r w:rsidR="00742B49">
          <w:rPr>
            <w:noProof/>
          </w:rPr>
          <w:t>8</w:t>
        </w:r>
      </w:fldSimple>
      <w:bookmarkEnd w:id="160"/>
      <w:r>
        <w:t>: Per-u</w:t>
      </w:r>
      <w:r w:rsidRPr="00DE7399">
        <w:t xml:space="preserve">nit </w:t>
      </w:r>
      <w:r>
        <w:t>m</w:t>
      </w:r>
      <w:r w:rsidRPr="00DE7399">
        <w:t xml:space="preserve">ultiplier for </w:t>
      </w:r>
      <w:r>
        <w:t>m</w:t>
      </w:r>
      <w:r w:rsidRPr="00DE7399">
        <w:t xml:space="preserve">onthly </w:t>
      </w:r>
      <w:r>
        <w:t>n</w:t>
      </w:r>
      <w:r w:rsidRPr="00DE7399">
        <w:t xml:space="preserve">atural </w:t>
      </w:r>
      <w:r>
        <w:t>g</w:t>
      </w:r>
      <w:r w:rsidRPr="00DE7399">
        <w:t xml:space="preserve">as </w:t>
      </w:r>
      <w:r>
        <w:t>p</w:t>
      </w:r>
      <w:r w:rsidRPr="00DE7399">
        <w:t xml:space="preserve">rice </w:t>
      </w:r>
      <w:r w:rsidR="00C707F5">
        <w:t xml:space="preserve">forecast </w:t>
      </w:r>
      <w:r w:rsidRPr="009F4543">
        <w:t>assumptions</w:t>
      </w:r>
      <w:r>
        <w:t xml:space="preserve"> for 2025 </w:t>
      </w:r>
      <w:r w:rsidRPr="00DE7399">
        <w:t>and 2030</w:t>
      </w:r>
      <w:r>
        <w:t>.</w:t>
      </w:r>
      <w:bookmarkEnd w:id="161"/>
    </w:p>
    <w:p w:rsidR="00CC0709" w:rsidRDefault="00CC0709" w:rsidP="00CC0709">
      <w:r>
        <w:fldChar w:fldCharType="begin"/>
      </w:r>
      <w:r>
        <w:instrText xml:space="preserve"> REF _Ref461435234 \h </w:instrText>
      </w:r>
      <w:r>
        <w:fldChar w:fldCharType="separate"/>
      </w:r>
      <w:r w:rsidR="00742B49">
        <w:t xml:space="preserve">Table </w:t>
      </w:r>
      <w:r w:rsidR="00742B49">
        <w:rPr>
          <w:noProof/>
        </w:rPr>
        <w:t>5</w:t>
      </w:r>
      <w:r w:rsidR="00742B49">
        <w:noBreakHyphen/>
      </w:r>
      <w:r w:rsidR="00742B49">
        <w:rPr>
          <w:noProof/>
        </w:rPr>
        <w:t>14</w:t>
      </w:r>
      <w:r>
        <w:fldChar w:fldCharType="end"/>
      </w:r>
      <w:r>
        <w:t xml:space="preserve"> shows the fuel price forecasts for New England for 2025 and 2030 used in this analysis.</w:t>
      </w:r>
    </w:p>
    <w:p w:rsidR="00CC0709" w:rsidRDefault="00CC0709" w:rsidP="00CC0709">
      <w:pPr>
        <w:pStyle w:val="Caption"/>
        <w:jc w:val="center"/>
      </w:pPr>
      <w:bookmarkStart w:id="162" w:name="_Ref461435234"/>
      <w:bookmarkStart w:id="163" w:name="_Toc486406028"/>
      <w:r>
        <w:lastRenderedPageBreak/>
        <w:t xml:space="preserve">Table </w:t>
      </w:r>
      <w:fldSimple w:instr=" STYLEREF 1 \s ">
        <w:r w:rsidR="004248FE">
          <w:rPr>
            <w:noProof/>
          </w:rPr>
          <w:t>5</w:t>
        </w:r>
      </w:fldSimple>
      <w:r w:rsidR="004248FE">
        <w:noBreakHyphen/>
      </w:r>
      <w:r w:rsidR="00FF29E0">
        <w:t>14</w:t>
      </w:r>
      <w:bookmarkEnd w:id="162"/>
      <w:r>
        <w:br/>
      </w:r>
      <w:r w:rsidR="00F92794">
        <w:t xml:space="preserve">Nominal </w:t>
      </w:r>
      <w:r>
        <w:t>Fuel Price Forecast for New England, 2025 and 2030 ($/MMBtu)</w:t>
      </w:r>
      <w:bookmarkEnd w:id="1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915"/>
        <w:gridCol w:w="1915"/>
      </w:tblGrid>
      <w:tr w:rsidR="0059014F" w:rsidRPr="0059014F" w:rsidTr="0059014F">
        <w:trPr>
          <w:jc w:val="center"/>
        </w:trPr>
        <w:tc>
          <w:tcPr>
            <w:tcW w:w="1915" w:type="dxa"/>
            <w:shd w:val="clear" w:color="auto" w:fill="4F81BD" w:themeFill="accent1"/>
          </w:tcPr>
          <w:p w:rsidR="00CC0709" w:rsidRPr="00BE28CD" w:rsidRDefault="00CC0709" w:rsidP="009A5E9F">
            <w:pPr>
              <w:widowControl w:val="0"/>
              <w:spacing w:before="40" w:after="40" w:line="240" w:lineRule="auto"/>
              <w:jc w:val="center"/>
              <w:rPr>
                <w:rFonts w:ascii="Calibri" w:hAnsi="Calibri"/>
                <w:b/>
                <w:color w:val="FFFFFF" w:themeColor="background1"/>
                <w:sz w:val="18"/>
                <w:szCs w:val="18"/>
              </w:rPr>
            </w:pPr>
            <w:r w:rsidRPr="00BE28CD">
              <w:rPr>
                <w:rFonts w:ascii="Calibri" w:hAnsi="Calibri"/>
                <w:b/>
                <w:color w:val="FFFFFF" w:themeColor="background1"/>
                <w:sz w:val="18"/>
                <w:szCs w:val="18"/>
              </w:rPr>
              <w:t>Fuel</w:t>
            </w:r>
          </w:p>
        </w:tc>
        <w:tc>
          <w:tcPr>
            <w:tcW w:w="1915" w:type="dxa"/>
            <w:shd w:val="clear" w:color="auto" w:fill="4F81BD" w:themeFill="accent1"/>
          </w:tcPr>
          <w:p w:rsidR="00CC0709" w:rsidRPr="00BE28CD" w:rsidRDefault="00CC0709" w:rsidP="009A5E9F">
            <w:pPr>
              <w:widowControl w:val="0"/>
              <w:spacing w:before="40" w:after="40" w:line="240" w:lineRule="auto"/>
              <w:jc w:val="center"/>
              <w:rPr>
                <w:rFonts w:ascii="Calibri" w:hAnsi="Calibri"/>
                <w:b/>
                <w:color w:val="FFFFFF" w:themeColor="background1"/>
                <w:sz w:val="18"/>
                <w:szCs w:val="18"/>
              </w:rPr>
            </w:pPr>
            <w:r w:rsidRPr="00BE28CD">
              <w:rPr>
                <w:rFonts w:ascii="Calibri" w:hAnsi="Calibri"/>
                <w:b/>
                <w:color w:val="FFFFFF" w:themeColor="background1"/>
                <w:sz w:val="18"/>
                <w:szCs w:val="18"/>
              </w:rPr>
              <w:t>2025</w:t>
            </w:r>
          </w:p>
        </w:tc>
        <w:tc>
          <w:tcPr>
            <w:tcW w:w="1915" w:type="dxa"/>
            <w:shd w:val="clear" w:color="auto" w:fill="4F81BD" w:themeFill="accent1"/>
          </w:tcPr>
          <w:p w:rsidR="00CC0709" w:rsidRPr="00BE28CD" w:rsidRDefault="00CC0709" w:rsidP="009A5E9F">
            <w:pPr>
              <w:widowControl w:val="0"/>
              <w:spacing w:before="40" w:after="40" w:line="240" w:lineRule="auto"/>
              <w:jc w:val="center"/>
              <w:rPr>
                <w:rFonts w:ascii="Calibri" w:hAnsi="Calibri"/>
                <w:b/>
                <w:color w:val="FFFFFF" w:themeColor="background1"/>
                <w:sz w:val="18"/>
                <w:szCs w:val="18"/>
              </w:rPr>
            </w:pPr>
            <w:r w:rsidRPr="00BE28CD">
              <w:rPr>
                <w:rFonts w:ascii="Calibri" w:hAnsi="Calibri"/>
                <w:b/>
                <w:color w:val="FFFFFF" w:themeColor="background1"/>
                <w:sz w:val="18"/>
                <w:szCs w:val="18"/>
              </w:rPr>
              <w:t>2030</w:t>
            </w:r>
          </w:p>
        </w:tc>
      </w:tr>
      <w:tr w:rsidR="00CC0709" w:rsidRPr="00E619F5" w:rsidTr="009A5E9F">
        <w:trPr>
          <w:jc w:val="center"/>
        </w:trPr>
        <w:tc>
          <w:tcPr>
            <w:tcW w:w="1915" w:type="dxa"/>
            <w:shd w:val="clear" w:color="auto" w:fill="auto"/>
          </w:tcPr>
          <w:p w:rsidR="00CC0709" w:rsidRPr="00E619F5" w:rsidRDefault="00CC0709" w:rsidP="009A5E9F">
            <w:pPr>
              <w:widowControl w:val="0"/>
              <w:spacing w:before="40" w:after="40" w:line="240" w:lineRule="auto"/>
              <w:rPr>
                <w:rFonts w:ascii="Calibri" w:hAnsi="Calibri"/>
                <w:b/>
                <w:sz w:val="18"/>
                <w:szCs w:val="18"/>
              </w:rPr>
            </w:pPr>
            <w:r w:rsidRPr="00E619F5">
              <w:rPr>
                <w:rFonts w:ascii="Calibri" w:hAnsi="Calibri"/>
                <w:b/>
                <w:sz w:val="18"/>
                <w:szCs w:val="18"/>
              </w:rPr>
              <w:t>Distillate fuel oil</w:t>
            </w:r>
          </w:p>
        </w:tc>
        <w:tc>
          <w:tcPr>
            <w:tcW w:w="1915" w:type="dxa"/>
            <w:shd w:val="clear" w:color="auto" w:fill="auto"/>
          </w:tcPr>
          <w:p w:rsidR="00CC0709" w:rsidRPr="00E619F5" w:rsidRDefault="00CC0709" w:rsidP="009A5E9F">
            <w:pPr>
              <w:widowControl w:val="0"/>
              <w:spacing w:before="40" w:after="40" w:line="240" w:lineRule="auto"/>
              <w:jc w:val="center"/>
              <w:rPr>
                <w:rFonts w:ascii="Calibri" w:hAnsi="Calibri"/>
                <w:sz w:val="18"/>
                <w:szCs w:val="18"/>
              </w:rPr>
            </w:pPr>
            <w:r w:rsidRPr="00E619F5">
              <w:rPr>
                <w:rFonts w:ascii="Calibri" w:hAnsi="Calibri"/>
                <w:sz w:val="18"/>
                <w:szCs w:val="18"/>
              </w:rPr>
              <w:t>20.749</w:t>
            </w:r>
          </w:p>
        </w:tc>
        <w:tc>
          <w:tcPr>
            <w:tcW w:w="1915" w:type="dxa"/>
            <w:shd w:val="clear" w:color="auto" w:fill="auto"/>
          </w:tcPr>
          <w:p w:rsidR="00CC0709" w:rsidRPr="00E619F5" w:rsidRDefault="00CC0709" w:rsidP="009A5E9F">
            <w:pPr>
              <w:widowControl w:val="0"/>
              <w:spacing w:before="40" w:after="40" w:line="240" w:lineRule="auto"/>
              <w:jc w:val="center"/>
              <w:rPr>
                <w:rFonts w:ascii="Calibri" w:hAnsi="Calibri"/>
                <w:sz w:val="18"/>
                <w:szCs w:val="18"/>
              </w:rPr>
            </w:pPr>
            <w:r w:rsidRPr="00E619F5">
              <w:rPr>
                <w:rFonts w:ascii="Calibri" w:hAnsi="Calibri"/>
                <w:sz w:val="18"/>
                <w:szCs w:val="18"/>
              </w:rPr>
              <w:t>22.995</w:t>
            </w:r>
          </w:p>
        </w:tc>
      </w:tr>
      <w:tr w:rsidR="00CC0709" w:rsidRPr="00E619F5" w:rsidTr="00BE28CD">
        <w:trPr>
          <w:jc w:val="center"/>
        </w:trPr>
        <w:tc>
          <w:tcPr>
            <w:tcW w:w="1915" w:type="dxa"/>
            <w:shd w:val="clear" w:color="auto" w:fill="DBE5F1" w:themeFill="accent1" w:themeFillTint="33"/>
          </w:tcPr>
          <w:p w:rsidR="00CC0709" w:rsidRPr="00E619F5" w:rsidRDefault="00CC0709" w:rsidP="009A5E9F">
            <w:pPr>
              <w:widowControl w:val="0"/>
              <w:spacing w:before="40" w:after="40" w:line="240" w:lineRule="auto"/>
              <w:rPr>
                <w:rFonts w:ascii="Calibri" w:hAnsi="Calibri"/>
                <w:b/>
                <w:sz w:val="18"/>
                <w:szCs w:val="18"/>
              </w:rPr>
            </w:pPr>
            <w:r w:rsidRPr="00E619F5">
              <w:rPr>
                <w:rFonts w:ascii="Calibri" w:hAnsi="Calibri"/>
                <w:b/>
                <w:sz w:val="18"/>
                <w:szCs w:val="18"/>
              </w:rPr>
              <w:t>Residual fuel oil</w:t>
            </w:r>
          </w:p>
        </w:tc>
        <w:tc>
          <w:tcPr>
            <w:tcW w:w="1915" w:type="dxa"/>
            <w:shd w:val="clear" w:color="auto" w:fill="DBE5F1" w:themeFill="accent1" w:themeFillTint="33"/>
          </w:tcPr>
          <w:p w:rsidR="00CC0709" w:rsidRPr="00E619F5" w:rsidRDefault="00CC0709" w:rsidP="009A5E9F">
            <w:pPr>
              <w:widowControl w:val="0"/>
              <w:spacing w:before="40" w:after="40" w:line="240" w:lineRule="auto"/>
              <w:jc w:val="center"/>
              <w:rPr>
                <w:rFonts w:ascii="Calibri" w:hAnsi="Calibri"/>
                <w:sz w:val="18"/>
                <w:szCs w:val="18"/>
              </w:rPr>
            </w:pPr>
            <w:r w:rsidRPr="00E619F5">
              <w:rPr>
                <w:rFonts w:ascii="Calibri" w:hAnsi="Calibri"/>
                <w:sz w:val="18"/>
                <w:szCs w:val="18"/>
              </w:rPr>
              <w:t>13.149</w:t>
            </w:r>
          </w:p>
        </w:tc>
        <w:tc>
          <w:tcPr>
            <w:tcW w:w="1915" w:type="dxa"/>
            <w:shd w:val="clear" w:color="auto" w:fill="DBE5F1" w:themeFill="accent1" w:themeFillTint="33"/>
          </w:tcPr>
          <w:p w:rsidR="00CC0709" w:rsidRPr="00E619F5" w:rsidRDefault="00CC0709" w:rsidP="009A5E9F">
            <w:pPr>
              <w:widowControl w:val="0"/>
              <w:spacing w:before="40" w:after="40" w:line="240" w:lineRule="auto"/>
              <w:jc w:val="center"/>
              <w:rPr>
                <w:rFonts w:ascii="Calibri" w:hAnsi="Calibri"/>
                <w:sz w:val="18"/>
                <w:szCs w:val="18"/>
              </w:rPr>
            </w:pPr>
            <w:r w:rsidRPr="00E619F5">
              <w:rPr>
                <w:rFonts w:ascii="Calibri" w:hAnsi="Calibri"/>
                <w:sz w:val="18"/>
                <w:szCs w:val="18"/>
              </w:rPr>
              <w:t>14.923</w:t>
            </w:r>
          </w:p>
        </w:tc>
      </w:tr>
      <w:tr w:rsidR="00CC0709" w:rsidRPr="00E619F5" w:rsidTr="009A5E9F">
        <w:trPr>
          <w:jc w:val="center"/>
        </w:trPr>
        <w:tc>
          <w:tcPr>
            <w:tcW w:w="1915" w:type="dxa"/>
            <w:shd w:val="clear" w:color="auto" w:fill="auto"/>
          </w:tcPr>
          <w:p w:rsidR="00CC0709" w:rsidRPr="00E619F5" w:rsidRDefault="00CC0709" w:rsidP="009A5E9F">
            <w:pPr>
              <w:widowControl w:val="0"/>
              <w:spacing w:before="40" w:after="40" w:line="240" w:lineRule="auto"/>
              <w:rPr>
                <w:rFonts w:ascii="Calibri" w:hAnsi="Calibri"/>
                <w:b/>
                <w:sz w:val="18"/>
                <w:szCs w:val="18"/>
              </w:rPr>
            </w:pPr>
            <w:r w:rsidRPr="00E619F5">
              <w:rPr>
                <w:rFonts w:ascii="Calibri" w:hAnsi="Calibri"/>
                <w:b/>
                <w:sz w:val="18"/>
                <w:szCs w:val="18"/>
              </w:rPr>
              <w:t>Natural gas</w:t>
            </w:r>
          </w:p>
        </w:tc>
        <w:tc>
          <w:tcPr>
            <w:tcW w:w="1915" w:type="dxa"/>
            <w:shd w:val="clear" w:color="auto" w:fill="auto"/>
          </w:tcPr>
          <w:p w:rsidR="00CC0709" w:rsidRPr="00E619F5" w:rsidRDefault="00CC0709" w:rsidP="009A5E9F">
            <w:pPr>
              <w:widowControl w:val="0"/>
              <w:spacing w:before="40" w:after="40" w:line="240" w:lineRule="auto"/>
              <w:jc w:val="center"/>
              <w:rPr>
                <w:rFonts w:ascii="Calibri" w:hAnsi="Calibri"/>
                <w:sz w:val="18"/>
                <w:szCs w:val="18"/>
              </w:rPr>
            </w:pPr>
            <w:r w:rsidRPr="00E619F5">
              <w:rPr>
                <w:rFonts w:ascii="Calibri" w:hAnsi="Calibri"/>
                <w:sz w:val="18"/>
                <w:szCs w:val="18"/>
              </w:rPr>
              <w:t>5.390</w:t>
            </w:r>
          </w:p>
        </w:tc>
        <w:tc>
          <w:tcPr>
            <w:tcW w:w="1915" w:type="dxa"/>
            <w:shd w:val="clear" w:color="auto" w:fill="auto"/>
          </w:tcPr>
          <w:p w:rsidR="00CC0709" w:rsidRPr="00E619F5" w:rsidRDefault="00CC0709" w:rsidP="009A5E9F">
            <w:pPr>
              <w:widowControl w:val="0"/>
              <w:spacing w:before="40" w:after="40" w:line="240" w:lineRule="auto"/>
              <w:jc w:val="center"/>
              <w:rPr>
                <w:rFonts w:ascii="Calibri" w:hAnsi="Calibri"/>
                <w:sz w:val="18"/>
                <w:szCs w:val="18"/>
              </w:rPr>
            </w:pPr>
            <w:r w:rsidRPr="00E619F5">
              <w:rPr>
                <w:rFonts w:ascii="Calibri" w:hAnsi="Calibri"/>
                <w:sz w:val="18"/>
                <w:szCs w:val="18"/>
              </w:rPr>
              <w:t>5.874</w:t>
            </w:r>
          </w:p>
        </w:tc>
      </w:tr>
      <w:tr w:rsidR="00CC0709" w:rsidRPr="00E619F5" w:rsidTr="009A5E9F">
        <w:trPr>
          <w:jc w:val="center"/>
        </w:trPr>
        <w:tc>
          <w:tcPr>
            <w:tcW w:w="1915" w:type="dxa"/>
            <w:shd w:val="clear" w:color="auto" w:fill="DBE5F1"/>
          </w:tcPr>
          <w:p w:rsidR="00CC0709" w:rsidRPr="00E619F5" w:rsidRDefault="00CC0709" w:rsidP="009A5E9F">
            <w:pPr>
              <w:widowControl w:val="0"/>
              <w:spacing w:before="40" w:after="40" w:line="240" w:lineRule="auto"/>
              <w:rPr>
                <w:rFonts w:ascii="Calibri" w:hAnsi="Calibri"/>
                <w:b/>
                <w:sz w:val="18"/>
                <w:szCs w:val="18"/>
              </w:rPr>
            </w:pPr>
            <w:r w:rsidRPr="00E619F5">
              <w:rPr>
                <w:rFonts w:ascii="Calibri" w:hAnsi="Calibri"/>
                <w:b/>
                <w:sz w:val="18"/>
                <w:szCs w:val="18"/>
              </w:rPr>
              <w:t>Steam coal</w:t>
            </w:r>
          </w:p>
        </w:tc>
        <w:tc>
          <w:tcPr>
            <w:tcW w:w="1915" w:type="dxa"/>
            <w:shd w:val="clear" w:color="auto" w:fill="DBE5F1"/>
          </w:tcPr>
          <w:p w:rsidR="00CC0709" w:rsidRPr="00E619F5" w:rsidRDefault="00CC0709" w:rsidP="009A5E9F">
            <w:pPr>
              <w:widowControl w:val="0"/>
              <w:spacing w:before="40" w:after="40" w:line="240" w:lineRule="auto"/>
              <w:jc w:val="center"/>
              <w:rPr>
                <w:rFonts w:ascii="Calibri" w:hAnsi="Calibri"/>
                <w:sz w:val="18"/>
                <w:szCs w:val="18"/>
              </w:rPr>
            </w:pPr>
            <w:r w:rsidRPr="00E619F5">
              <w:rPr>
                <w:rFonts w:ascii="Calibri" w:hAnsi="Calibri"/>
                <w:sz w:val="18"/>
                <w:szCs w:val="18"/>
              </w:rPr>
              <w:t>2.721</w:t>
            </w:r>
          </w:p>
        </w:tc>
        <w:tc>
          <w:tcPr>
            <w:tcW w:w="1915" w:type="dxa"/>
            <w:shd w:val="clear" w:color="auto" w:fill="DBE5F1"/>
          </w:tcPr>
          <w:p w:rsidR="00CC0709" w:rsidRPr="00E619F5" w:rsidRDefault="00CC0709" w:rsidP="009A5E9F">
            <w:pPr>
              <w:widowControl w:val="0"/>
              <w:spacing w:before="40" w:after="40" w:line="240" w:lineRule="auto"/>
              <w:jc w:val="center"/>
              <w:rPr>
                <w:rFonts w:ascii="Calibri" w:hAnsi="Calibri"/>
                <w:sz w:val="18"/>
                <w:szCs w:val="18"/>
              </w:rPr>
            </w:pPr>
            <w:r w:rsidRPr="00E619F5">
              <w:rPr>
                <w:rFonts w:ascii="Calibri" w:hAnsi="Calibri"/>
                <w:sz w:val="18"/>
                <w:szCs w:val="18"/>
              </w:rPr>
              <w:t>2.799</w:t>
            </w:r>
          </w:p>
        </w:tc>
      </w:tr>
    </w:tbl>
    <w:p w:rsidR="00A37A8D" w:rsidRDefault="00A37A8D" w:rsidP="00CC0709">
      <w:pPr>
        <w:rPr>
          <w:highlight w:val="yellow"/>
        </w:rPr>
      </w:pPr>
    </w:p>
    <w:p w:rsidR="003B0588" w:rsidRPr="00851CC4" w:rsidRDefault="003B0588" w:rsidP="003B0588">
      <w:pPr>
        <w:pStyle w:val="Heading2"/>
      </w:pPr>
      <w:bookmarkStart w:id="164" w:name="_Ref483919087"/>
      <w:bookmarkStart w:id="165" w:name="_Toc486405988"/>
      <w:r w:rsidRPr="00851CC4">
        <w:t>Threshold Prices</w:t>
      </w:r>
      <w:bookmarkEnd w:id="164"/>
      <w:bookmarkEnd w:id="165"/>
    </w:p>
    <w:p w:rsidR="003B0588" w:rsidRPr="00915638" w:rsidRDefault="003B0588" w:rsidP="003B0588">
      <w:r>
        <w:t>S</w:t>
      </w:r>
      <w:r w:rsidRPr="00915638">
        <w:t>everal price-taking resources were assumed to have $0/MWh production costs</w:t>
      </w:r>
      <w:r>
        <w:t xml:space="preserve">, including PV resources, onshore and offshore wind, local New England hydro, imports over the existing </w:t>
      </w:r>
      <w:r w:rsidR="007B5BDA">
        <w:t xml:space="preserve">ties </w:t>
      </w:r>
      <w:r>
        <w:t xml:space="preserve">and </w:t>
      </w:r>
      <w:r w:rsidR="007B5BDA">
        <w:t xml:space="preserve">imports over </w:t>
      </w:r>
      <w:r>
        <w:t xml:space="preserve">new ties with Canada. </w:t>
      </w:r>
      <w:r w:rsidRPr="00A177B5">
        <w:t xml:space="preserve">Threshold prices were assumed for price-taking resources to economically reduce their production during hours when total production would otherwise exceed the systemwide hourly demand </w:t>
      </w:r>
      <w:r w:rsidR="003363A0" w:rsidRPr="00A177B5">
        <w:t>(</w:t>
      </w:r>
      <w:r w:rsidR="00B257F6" w:rsidRPr="00A177B5">
        <w:t>i.e., the</w:t>
      </w:r>
      <w:r w:rsidR="00EC3A1C" w:rsidRPr="00A177B5">
        <w:t xml:space="preserve"> resources </w:t>
      </w:r>
      <w:r w:rsidR="00B257F6" w:rsidRPr="00A177B5">
        <w:t xml:space="preserve">would </w:t>
      </w:r>
      <w:r w:rsidR="007B5BDA" w:rsidRPr="00A177B5">
        <w:t xml:space="preserve">be </w:t>
      </w:r>
      <w:r w:rsidR="00B257F6" w:rsidRPr="00A177B5">
        <w:t>spill</w:t>
      </w:r>
      <w:r w:rsidR="007B5BDA" w:rsidRPr="00A177B5">
        <w:t>ed</w:t>
      </w:r>
      <w:r w:rsidR="003363A0" w:rsidRPr="00A177B5">
        <w:t>)</w:t>
      </w:r>
      <w:r w:rsidR="00EC3A1C" w:rsidRPr="00A177B5">
        <w:t>,</w:t>
      </w:r>
      <w:r w:rsidR="00EC3A1C">
        <w:t xml:space="preserve"> </w:t>
      </w:r>
      <w:r w:rsidRPr="00A177B5">
        <w:t>or flows would otherwise exceed transmission interface limits in the constrained cases</w:t>
      </w:r>
      <w:r w:rsidR="001C2C7F" w:rsidRPr="00A177B5">
        <w:t xml:space="preserve"> (i.e., the </w:t>
      </w:r>
      <w:r w:rsidR="00C14994" w:rsidRPr="00A177B5">
        <w:t xml:space="preserve">transmission limits </w:t>
      </w:r>
      <w:r w:rsidR="001C2C7F" w:rsidRPr="00A177B5">
        <w:t>bottled</w:t>
      </w:r>
      <w:r w:rsidR="00C14994" w:rsidRPr="00A177B5">
        <w:t xml:space="preserve"> resource production</w:t>
      </w:r>
      <w:r w:rsidR="001C2C7F" w:rsidRPr="00A8490C">
        <w:t>)</w:t>
      </w:r>
      <w:r w:rsidRPr="00A8490C">
        <w:t>. Threshold prices reduce the output of resources</w:t>
      </w:r>
      <w:r w:rsidR="00A177B5" w:rsidRPr="00A8490C">
        <w:t>;</w:t>
      </w:r>
      <w:r w:rsidR="007B5BDA" w:rsidRPr="00A8490C">
        <w:t xml:space="preserve"> </w:t>
      </w:r>
      <w:r w:rsidRPr="00A8490C">
        <w:t xml:space="preserve">they </w:t>
      </w:r>
      <w:r w:rsidR="00147ACD" w:rsidRPr="00A8490C">
        <w:t xml:space="preserve">can </w:t>
      </w:r>
      <w:r w:rsidRPr="00A8490C">
        <w:t>set LMPs</w:t>
      </w:r>
      <w:r w:rsidR="00A177B5" w:rsidRPr="00A8490C">
        <w:t xml:space="preserve"> </w:t>
      </w:r>
      <w:r w:rsidR="00147ACD" w:rsidRPr="00A8490C">
        <w:t>and are not reflected in the production costs</w:t>
      </w:r>
      <w:r w:rsidRPr="00A8490C">
        <w:t xml:space="preserve">. </w:t>
      </w:r>
      <w:r w:rsidR="00851CC4" w:rsidRPr="00A8490C">
        <w:fldChar w:fldCharType="begin"/>
      </w:r>
      <w:r w:rsidR="00851CC4" w:rsidRPr="00A8490C">
        <w:instrText xml:space="preserve"> REF _Ref480800494 \h </w:instrText>
      </w:r>
      <w:r w:rsidR="00A8490C">
        <w:instrText xml:space="preserve"> \* MERGEFORMAT </w:instrText>
      </w:r>
      <w:r w:rsidR="00851CC4" w:rsidRPr="00A8490C">
        <w:fldChar w:fldCharType="separate"/>
      </w:r>
      <w:r w:rsidR="00742B49" w:rsidRPr="00A8490C">
        <w:t xml:space="preserve">Table </w:t>
      </w:r>
      <w:r w:rsidR="00742B49" w:rsidRPr="00A8490C">
        <w:rPr>
          <w:noProof/>
        </w:rPr>
        <w:t>5</w:t>
      </w:r>
      <w:r w:rsidR="00742B49" w:rsidRPr="00A8490C">
        <w:noBreakHyphen/>
      </w:r>
      <w:r w:rsidR="00742B49" w:rsidRPr="00A8490C">
        <w:rPr>
          <w:noProof/>
        </w:rPr>
        <w:t>15</w:t>
      </w:r>
      <w:r w:rsidR="00851CC4" w:rsidRPr="00A8490C">
        <w:fldChar w:fldCharType="end"/>
      </w:r>
      <w:r w:rsidRPr="00915638">
        <w:t xml:space="preserve"> shows the assumed threshold prices.</w:t>
      </w:r>
      <w:r>
        <w:t xml:space="preserve"> </w:t>
      </w:r>
      <w:r w:rsidR="007B5BDA" w:rsidRPr="007B5BDA">
        <w:t>The assum</w:t>
      </w:r>
      <w:r w:rsidR="007B5BDA">
        <w:t>ed order of</w:t>
      </w:r>
      <w:r w:rsidR="007B5BDA" w:rsidRPr="007B5BDA">
        <w:t xml:space="preserve"> threshold prices </w:t>
      </w:r>
      <w:r w:rsidR="00071FAC">
        <w:t xml:space="preserve">for different energy sources reflects one possible hierarchy </w:t>
      </w:r>
      <w:r w:rsidR="00A177B5">
        <w:t xml:space="preserve">that </w:t>
      </w:r>
      <w:r w:rsidR="00071FAC">
        <w:t>may not be indicative of future agreements</w:t>
      </w:r>
      <w:r w:rsidR="007B5BDA" w:rsidRPr="007B5BDA">
        <w:t>.</w:t>
      </w:r>
      <w:r w:rsidR="00071FAC">
        <w:t xml:space="preserve"> For example,</w:t>
      </w:r>
      <w:r w:rsidR="000179CA">
        <w:t xml:space="preserve"> in the future</w:t>
      </w:r>
      <w:r w:rsidR="00A177B5">
        <w:t>,</w:t>
      </w:r>
      <w:r w:rsidR="000179CA">
        <w:t xml:space="preserve"> wind may be curtailed before local New England hydro</w:t>
      </w:r>
      <w:r w:rsidR="00A177B5">
        <w:t>,</w:t>
      </w:r>
      <w:r w:rsidR="000179CA">
        <w:t xml:space="preserve"> suggesting th</w:t>
      </w:r>
      <w:r w:rsidR="00A177B5">
        <w:t>at</w:t>
      </w:r>
      <w:r w:rsidR="000179CA">
        <w:t xml:space="preserve"> </w:t>
      </w:r>
      <w:r w:rsidR="00A177B5">
        <w:t xml:space="preserve">resources with no </w:t>
      </w:r>
      <w:r w:rsidR="000179CA">
        <w:t>production cost</w:t>
      </w:r>
      <w:r w:rsidR="00A177B5">
        <w:t>s</w:t>
      </w:r>
      <w:r w:rsidR="000179CA">
        <w:t xml:space="preserve"> would have different threshold prices. </w:t>
      </w:r>
      <w:r w:rsidR="00071FAC">
        <w:t xml:space="preserve"> </w:t>
      </w:r>
    </w:p>
    <w:p w:rsidR="003B0588" w:rsidRPr="00915638" w:rsidRDefault="003B0588" w:rsidP="003B0588">
      <w:pPr>
        <w:pStyle w:val="Caption"/>
        <w:jc w:val="center"/>
        <w:rPr>
          <w:highlight w:val="yellow"/>
        </w:rPr>
      </w:pPr>
      <w:bookmarkStart w:id="166" w:name="_Ref480800494"/>
      <w:bookmarkStart w:id="167" w:name="_Toc486406029"/>
      <w:r>
        <w:t xml:space="preserve">Table </w:t>
      </w:r>
      <w:fldSimple w:instr=" STYLEREF 1 \s ">
        <w:r w:rsidR="004248FE">
          <w:rPr>
            <w:noProof/>
          </w:rPr>
          <w:t>5</w:t>
        </w:r>
      </w:fldSimple>
      <w:r w:rsidR="004248FE">
        <w:noBreakHyphen/>
      </w:r>
      <w:r w:rsidR="00FF29E0">
        <w:t>15</w:t>
      </w:r>
      <w:bookmarkEnd w:id="166"/>
      <w:r>
        <w:br/>
      </w:r>
      <w:r w:rsidRPr="00851CC4">
        <w:t>Assumed Threshold Prices for Price-Taking Resources</w:t>
      </w:r>
      <w:bookmarkEnd w:id="167"/>
    </w:p>
    <w:tbl>
      <w:tblPr>
        <w:tblStyle w:val="TableGrid"/>
        <w:tblW w:w="0" w:type="auto"/>
        <w:jc w:val="center"/>
        <w:tblLook w:val="04A0" w:firstRow="1" w:lastRow="0" w:firstColumn="1" w:lastColumn="0" w:noHBand="0" w:noVBand="1"/>
      </w:tblPr>
      <w:tblGrid>
        <w:gridCol w:w="2808"/>
        <w:gridCol w:w="1980"/>
      </w:tblGrid>
      <w:tr w:rsidR="003B0588" w:rsidRPr="00851CC4" w:rsidTr="00D83AE7">
        <w:trPr>
          <w:jc w:val="center"/>
        </w:trPr>
        <w:tc>
          <w:tcPr>
            <w:tcW w:w="2808" w:type="dxa"/>
            <w:shd w:val="clear" w:color="auto" w:fill="4F81BD" w:themeFill="accent1"/>
            <w:vAlign w:val="center"/>
          </w:tcPr>
          <w:p w:rsidR="003B0588" w:rsidRPr="00851CC4" w:rsidRDefault="003B0588" w:rsidP="00474D29">
            <w:pPr>
              <w:keepNext/>
              <w:keepLines/>
              <w:spacing w:before="40" w:after="40" w:line="240" w:lineRule="auto"/>
              <w:jc w:val="center"/>
              <w:rPr>
                <w:rFonts w:asciiTheme="minorHAnsi" w:hAnsiTheme="minorHAnsi"/>
                <w:b/>
                <w:color w:val="FFFFFF" w:themeColor="background1"/>
                <w:sz w:val="18"/>
                <w:szCs w:val="18"/>
              </w:rPr>
            </w:pPr>
            <w:r w:rsidRPr="00851CC4">
              <w:rPr>
                <w:rFonts w:asciiTheme="minorHAnsi" w:hAnsiTheme="minorHAnsi"/>
                <w:b/>
                <w:color w:val="FFFFFF" w:themeColor="background1"/>
                <w:sz w:val="18"/>
                <w:szCs w:val="18"/>
              </w:rPr>
              <w:t>Price-Taking Resource</w:t>
            </w:r>
          </w:p>
        </w:tc>
        <w:tc>
          <w:tcPr>
            <w:tcW w:w="1980" w:type="dxa"/>
            <w:shd w:val="clear" w:color="auto" w:fill="4F81BD" w:themeFill="accent1"/>
            <w:vAlign w:val="center"/>
          </w:tcPr>
          <w:p w:rsidR="003B0588" w:rsidRPr="00851CC4" w:rsidRDefault="003B0588" w:rsidP="00474D29">
            <w:pPr>
              <w:keepNext/>
              <w:keepLines/>
              <w:spacing w:before="40" w:after="40" w:line="240" w:lineRule="auto"/>
              <w:jc w:val="center"/>
              <w:rPr>
                <w:rFonts w:asciiTheme="minorHAnsi" w:hAnsiTheme="minorHAnsi"/>
                <w:b/>
                <w:color w:val="FFFFFF" w:themeColor="background1"/>
                <w:sz w:val="18"/>
                <w:szCs w:val="18"/>
              </w:rPr>
            </w:pPr>
            <w:r w:rsidRPr="00851CC4">
              <w:rPr>
                <w:rFonts w:asciiTheme="minorHAnsi" w:hAnsiTheme="minorHAnsi"/>
                <w:b/>
                <w:color w:val="FFFFFF" w:themeColor="background1"/>
                <w:sz w:val="18"/>
                <w:szCs w:val="18"/>
              </w:rPr>
              <w:t>Threshold Price ($/MWh)</w:t>
            </w:r>
          </w:p>
        </w:tc>
      </w:tr>
      <w:tr w:rsidR="003B0588" w:rsidRPr="00851CC4" w:rsidTr="00D83AE7">
        <w:trPr>
          <w:jc w:val="center"/>
        </w:trPr>
        <w:tc>
          <w:tcPr>
            <w:tcW w:w="2808" w:type="dxa"/>
            <w:vAlign w:val="center"/>
          </w:tcPr>
          <w:p w:rsidR="003B0588" w:rsidRPr="00851CC4" w:rsidRDefault="003B0588" w:rsidP="00474D29">
            <w:pPr>
              <w:keepNext/>
              <w:keepLines/>
              <w:spacing w:before="40" w:after="40" w:line="240" w:lineRule="auto"/>
              <w:rPr>
                <w:rFonts w:asciiTheme="minorHAnsi" w:hAnsiTheme="minorHAnsi"/>
                <w:b/>
                <w:sz w:val="18"/>
                <w:szCs w:val="18"/>
              </w:rPr>
            </w:pPr>
            <w:r w:rsidRPr="00851CC4">
              <w:rPr>
                <w:rFonts w:asciiTheme="minorHAnsi" w:hAnsiTheme="minorHAnsi"/>
                <w:b/>
                <w:sz w:val="18"/>
                <w:szCs w:val="18"/>
              </w:rPr>
              <w:t>Photovoltaics</w:t>
            </w:r>
          </w:p>
        </w:tc>
        <w:tc>
          <w:tcPr>
            <w:tcW w:w="1980" w:type="dxa"/>
            <w:tcMar>
              <w:left w:w="115" w:type="dxa"/>
              <w:right w:w="720" w:type="dxa"/>
            </w:tcMar>
            <w:vAlign w:val="center"/>
          </w:tcPr>
          <w:p w:rsidR="003B0588" w:rsidRPr="00851CC4" w:rsidRDefault="003B0588" w:rsidP="00474D29">
            <w:pPr>
              <w:keepNext/>
              <w:keepLines/>
              <w:spacing w:before="40" w:after="40" w:line="240" w:lineRule="auto"/>
              <w:jc w:val="right"/>
              <w:rPr>
                <w:rFonts w:asciiTheme="minorHAnsi" w:hAnsiTheme="minorHAnsi"/>
                <w:sz w:val="18"/>
                <w:szCs w:val="18"/>
              </w:rPr>
            </w:pPr>
            <w:r w:rsidRPr="00851CC4">
              <w:rPr>
                <w:rFonts w:asciiTheme="minorHAnsi" w:hAnsiTheme="minorHAnsi"/>
                <w:sz w:val="18"/>
                <w:szCs w:val="18"/>
              </w:rPr>
              <w:t>1.00</w:t>
            </w:r>
          </w:p>
        </w:tc>
      </w:tr>
      <w:tr w:rsidR="00851CC4" w:rsidRPr="00851CC4" w:rsidTr="00851CC4">
        <w:trPr>
          <w:jc w:val="center"/>
        </w:trPr>
        <w:tc>
          <w:tcPr>
            <w:tcW w:w="2808" w:type="dxa"/>
            <w:shd w:val="clear" w:color="auto" w:fill="DBE5F1" w:themeFill="accent1" w:themeFillTint="33"/>
            <w:vAlign w:val="center"/>
          </w:tcPr>
          <w:p w:rsidR="003B0588" w:rsidRPr="00851CC4" w:rsidRDefault="003B0588" w:rsidP="00474D29">
            <w:pPr>
              <w:keepNext/>
              <w:keepLines/>
              <w:spacing w:before="40" w:after="40" w:line="240" w:lineRule="auto"/>
              <w:rPr>
                <w:rFonts w:asciiTheme="minorHAnsi" w:hAnsiTheme="minorHAnsi"/>
                <w:b/>
                <w:sz w:val="18"/>
                <w:szCs w:val="18"/>
              </w:rPr>
            </w:pPr>
            <w:r w:rsidRPr="00851CC4">
              <w:rPr>
                <w:rFonts w:asciiTheme="minorHAnsi" w:hAnsiTheme="minorHAnsi"/>
                <w:b/>
                <w:sz w:val="18"/>
                <w:szCs w:val="18"/>
              </w:rPr>
              <w:t>Onshore and offshore wind</w:t>
            </w:r>
          </w:p>
        </w:tc>
        <w:tc>
          <w:tcPr>
            <w:tcW w:w="1980" w:type="dxa"/>
            <w:shd w:val="clear" w:color="auto" w:fill="DBE5F1" w:themeFill="accent1" w:themeFillTint="33"/>
            <w:tcMar>
              <w:left w:w="115" w:type="dxa"/>
              <w:right w:w="720" w:type="dxa"/>
            </w:tcMar>
            <w:vAlign w:val="center"/>
          </w:tcPr>
          <w:p w:rsidR="003B0588" w:rsidRPr="00851CC4" w:rsidRDefault="003B0588" w:rsidP="00474D29">
            <w:pPr>
              <w:keepNext/>
              <w:keepLines/>
              <w:spacing w:before="40" w:after="40" w:line="240" w:lineRule="auto"/>
              <w:jc w:val="right"/>
              <w:rPr>
                <w:rFonts w:asciiTheme="minorHAnsi" w:hAnsiTheme="minorHAnsi"/>
                <w:sz w:val="18"/>
                <w:szCs w:val="18"/>
              </w:rPr>
            </w:pPr>
            <w:r w:rsidRPr="00851CC4">
              <w:rPr>
                <w:rFonts w:asciiTheme="minorHAnsi" w:hAnsiTheme="minorHAnsi"/>
                <w:sz w:val="18"/>
                <w:szCs w:val="18"/>
              </w:rPr>
              <w:t>4.00</w:t>
            </w:r>
          </w:p>
        </w:tc>
      </w:tr>
      <w:tr w:rsidR="003B0588" w:rsidRPr="00851CC4" w:rsidTr="00D83AE7">
        <w:trPr>
          <w:jc w:val="center"/>
        </w:trPr>
        <w:tc>
          <w:tcPr>
            <w:tcW w:w="2808" w:type="dxa"/>
            <w:vAlign w:val="center"/>
          </w:tcPr>
          <w:p w:rsidR="003B0588" w:rsidRPr="00851CC4" w:rsidRDefault="003B0588" w:rsidP="00474D29">
            <w:pPr>
              <w:keepNext/>
              <w:keepLines/>
              <w:spacing w:before="40" w:after="40" w:line="240" w:lineRule="auto"/>
              <w:rPr>
                <w:rFonts w:asciiTheme="minorHAnsi" w:hAnsiTheme="minorHAnsi"/>
                <w:b/>
                <w:sz w:val="18"/>
                <w:szCs w:val="18"/>
              </w:rPr>
            </w:pPr>
            <w:r w:rsidRPr="00851CC4">
              <w:rPr>
                <w:rFonts w:asciiTheme="minorHAnsi" w:hAnsiTheme="minorHAnsi"/>
                <w:b/>
                <w:sz w:val="18"/>
                <w:szCs w:val="18"/>
              </w:rPr>
              <w:t>Imports over the new ties modeled in Scenario 3</w:t>
            </w:r>
          </w:p>
        </w:tc>
        <w:tc>
          <w:tcPr>
            <w:tcW w:w="1980" w:type="dxa"/>
            <w:tcMar>
              <w:left w:w="115" w:type="dxa"/>
              <w:right w:w="720" w:type="dxa"/>
            </w:tcMar>
            <w:vAlign w:val="center"/>
          </w:tcPr>
          <w:p w:rsidR="003B0588" w:rsidRPr="00851CC4" w:rsidRDefault="003B0588" w:rsidP="00474D29">
            <w:pPr>
              <w:keepNext/>
              <w:keepLines/>
              <w:spacing w:before="40" w:after="40" w:line="240" w:lineRule="auto"/>
              <w:jc w:val="right"/>
              <w:rPr>
                <w:rFonts w:asciiTheme="minorHAnsi" w:hAnsiTheme="minorHAnsi"/>
                <w:sz w:val="18"/>
                <w:szCs w:val="18"/>
              </w:rPr>
            </w:pPr>
            <w:r w:rsidRPr="00851CC4">
              <w:rPr>
                <w:rFonts w:asciiTheme="minorHAnsi" w:hAnsiTheme="minorHAnsi"/>
                <w:sz w:val="18"/>
                <w:szCs w:val="18"/>
              </w:rPr>
              <w:t>10.50</w:t>
            </w:r>
          </w:p>
        </w:tc>
      </w:tr>
      <w:tr w:rsidR="00851CC4" w:rsidRPr="00851CC4" w:rsidTr="00851CC4">
        <w:trPr>
          <w:jc w:val="center"/>
        </w:trPr>
        <w:tc>
          <w:tcPr>
            <w:tcW w:w="2808" w:type="dxa"/>
            <w:shd w:val="clear" w:color="auto" w:fill="DBE5F1" w:themeFill="accent1" w:themeFillTint="33"/>
            <w:vAlign w:val="center"/>
          </w:tcPr>
          <w:p w:rsidR="003B0588" w:rsidRPr="00851CC4" w:rsidRDefault="003B0588" w:rsidP="00474D29">
            <w:pPr>
              <w:keepNext/>
              <w:keepLines/>
              <w:spacing w:before="40" w:after="40" w:line="240" w:lineRule="auto"/>
              <w:rPr>
                <w:rFonts w:asciiTheme="minorHAnsi" w:hAnsiTheme="minorHAnsi"/>
                <w:b/>
                <w:sz w:val="18"/>
                <w:szCs w:val="18"/>
              </w:rPr>
            </w:pPr>
            <w:r w:rsidRPr="00851CC4">
              <w:rPr>
                <w:rFonts w:asciiTheme="minorHAnsi" w:hAnsiTheme="minorHAnsi"/>
                <w:b/>
                <w:sz w:val="18"/>
                <w:szCs w:val="18"/>
              </w:rPr>
              <w:t>Imports from New Brunswick</w:t>
            </w:r>
          </w:p>
        </w:tc>
        <w:tc>
          <w:tcPr>
            <w:tcW w:w="1980" w:type="dxa"/>
            <w:shd w:val="clear" w:color="auto" w:fill="DBE5F1" w:themeFill="accent1" w:themeFillTint="33"/>
            <w:tcMar>
              <w:left w:w="115" w:type="dxa"/>
              <w:right w:w="720" w:type="dxa"/>
            </w:tcMar>
            <w:vAlign w:val="center"/>
          </w:tcPr>
          <w:p w:rsidR="003B0588" w:rsidRPr="00851CC4" w:rsidRDefault="003B0588" w:rsidP="00474D29">
            <w:pPr>
              <w:keepNext/>
              <w:keepLines/>
              <w:spacing w:before="40" w:after="40" w:line="240" w:lineRule="auto"/>
              <w:jc w:val="right"/>
              <w:rPr>
                <w:rFonts w:asciiTheme="minorHAnsi" w:hAnsiTheme="minorHAnsi"/>
                <w:sz w:val="18"/>
                <w:szCs w:val="18"/>
              </w:rPr>
            </w:pPr>
            <w:r w:rsidRPr="00851CC4">
              <w:rPr>
                <w:rFonts w:asciiTheme="minorHAnsi" w:hAnsiTheme="minorHAnsi"/>
                <w:sz w:val="18"/>
                <w:szCs w:val="18"/>
              </w:rPr>
              <w:t>10.00</w:t>
            </w:r>
          </w:p>
        </w:tc>
      </w:tr>
      <w:tr w:rsidR="003B0588" w:rsidRPr="008C001A" w:rsidTr="00D83AE7">
        <w:trPr>
          <w:jc w:val="center"/>
        </w:trPr>
        <w:tc>
          <w:tcPr>
            <w:tcW w:w="2808" w:type="dxa"/>
            <w:vAlign w:val="center"/>
          </w:tcPr>
          <w:p w:rsidR="003B0588" w:rsidRPr="00851CC4" w:rsidRDefault="003B0588" w:rsidP="00474D29">
            <w:pPr>
              <w:keepNext/>
              <w:keepLines/>
              <w:spacing w:before="40" w:after="40" w:line="240" w:lineRule="auto"/>
              <w:rPr>
                <w:rFonts w:asciiTheme="minorHAnsi" w:hAnsiTheme="minorHAnsi"/>
                <w:b/>
                <w:sz w:val="18"/>
                <w:szCs w:val="18"/>
              </w:rPr>
            </w:pPr>
            <w:r w:rsidRPr="00851CC4">
              <w:rPr>
                <w:rFonts w:asciiTheme="minorHAnsi" w:hAnsiTheme="minorHAnsi"/>
                <w:b/>
                <w:sz w:val="18"/>
                <w:szCs w:val="18"/>
              </w:rPr>
              <w:t>Imports from Québec over Highgate and Phase II ties</w:t>
            </w:r>
          </w:p>
        </w:tc>
        <w:tc>
          <w:tcPr>
            <w:tcW w:w="1980" w:type="dxa"/>
            <w:tcMar>
              <w:left w:w="115" w:type="dxa"/>
              <w:right w:w="720" w:type="dxa"/>
            </w:tcMar>
            <w:vAlign w:val="center"/>
          </w:tcPr>
          <w:p w:rsidR="003B0588" w:rsidRPr="008C001A" w:rsidRDefault="003B0588" w:rsidP="00474D29">
            <w:pPr>
              <w:keepNext/>
              <w:keepLines/>
              <w:spacing w:before="40" w:after="40" w:line="240" w:lineRule="auto"/>
              <w:jc w:val="right"/>
              <w:rPr>
                <w:rFonts w:asciiTheme="minorHAnsi" w:hAnsiTheme="minorHAnsi"/>
                <w:sz w:val="18"/>
                <w:szCs w:val="18"/>
              </w:rPr>
            </w:pPr>
            <w:r w:rsidRPr="00851CC4">
              <w:rPr>
                <w:rFonts w:asciiTheme="minorHAnsi" w:hAnsiTheme="minorHAnsi"/>
                <w:sz w:val="18"/>
                <w:szCs w:val="18"/>
              </w:rPr>
              <w:t>5.00</w:t>
            </w:r>
          </w:p>
        </w:tc>
      </w:tr>
      <w:tr w:rsidR="00071FAC" w:rsidRPr="008C001A" w:rsidTr="00474D29">
        <w:trPr>
          <w:jc w:val="center"/>
        </w:trPr>
        <w:tc>
          <w:tcPr>
            <w:tcW w:w="2808" w:type="dxa"/>
            <w:shd w:val="clear" w:color="auto" w:fill="DBE5F1" w:themeFill="accent1" w:themeFillTint="33"/>
            <w:vAlign w:val="center"/>
          </w:tcPr>
          <w:p w:rsidR="00071FAC" w:rsidRPr="00851CC4" w:rsidRDefault="000179CA" w:rsidP="00474D29">
            <w:pPr>
              <w:keepNext/>
              <w:keepLines/>
              <w:spacing w:before="40" w:after="40" w:line="240" w:lineRule="auto"/>
              <w:rPr>
                <w:rFonts w:asciiTheme="minorHAnsi" w:hAnsiTheme="minorHAnsi"/>
                <w:b/>
                <w:sz w:val="18"/>
                <w:szCs w:val="18"/>
              </w:rPr>
            </w:pPr>
            <w:r>
              <w:rPr>
                <w:rFonts w:asciiTheme="minorHAnsi" w:hAnsiTheme="minorHAnsi"/>
                <w:b/>
                <w:sz w:val="18"/>
                <w:szCs w:val="18"/>
              </w:rPr>
              <w:t>Local New England h</w:t>
            </w:r>
            <w:r w:rsidR="00071FAC">
              <w:rPr>
                <w:rFonts w:asciiTheme="minorHAnsi" w:hAnsiTheme="minorHAnsi"/>
                <w:b/>
                <w:sz w:val="18"/>
                <w:szCs w:val="18"/>
              </w:rPr>
              <w:t>ydro</w:t>
            </w:r>
          </w:p>
        </w:tc>
        <w:tc>
          <w:tcPr>
            <w:tcW w:w="1980" w:type="dxa"/>
            <w:shd w:val="clear" w:color="auto" w:fill="DBE5F1" w:themeFill="accent1" w:themeFillTint="33"/>
            <w:tcMar>
              <w:left w:w="115" w:type="dxa"/>
              <w:right w:w="720" w:type="dxa"/>
            </w:tcMar>
            <w:vAlign w:val="center"/>
          </w:tcPr>
          <w:p w:rsidR="00071FAC" w:rsidRPr="00851CC4" w:rsidRDefault="00071FAC" w:rsidP="00474D29">
            <w:pPr>
              <w:keepNext/>
              <w:keepLines/>
              <w:spacing w:before="40" w:after="40" w:line="240" w:lineRule="auto"/>
              <w:jc w:val="right"/>
              <w:rPr>
                <w:rFonts w:asciiTheme="minorHAnsi" w:hAnsiTheme="minorHAnsi"/>
                <w:sz w:val="18"/>
                <w:szCs w:val="18"/>
              </w:rPr>
            </w:pPr>
            <w:r>
              <w:rPr>
                <w:rFonts w:asciiTheme="minorHAnsi" w:hAnsiTheme="minorHAnsi"/>
                <w:sz w:val="18"/>
                <w:szCs w:val="18"/>
              </w:rPr>
              <w:t>4.50</w:t>
            </w:r>
          </w:p>
        </w:tc>
      </w:tr>
    </w:tbl>
    <w:p w:rsidR="003B0588" w:rsidRDefault="003B0588" w:rsidP="00CC0709">
      <w:pPr>
        <w:rPr>
          <w:highlight w:val="yellow"/>
        </w:rPr>
      </w:pPr>
    </w:p>
    <w:p w:rsidR="009733F0" w:rsidRDefault="009733F0" w:rsidP="0053379A">
      <w:pPr>
        <w:pStyle w:val="Heading2"/>
      </w:pPr>
      <w:bookmarkStart w:id="168" w:name="_Toc486405989"/>
      <w:r>
        <w:t>Environmental Emissions Allowance Assumptions</w:t>
      </w:r>
      <w:bookmarkEnd w:id="168"/>
    </w:p>
    <w:p w:rsidR="009733F0" w:rsidRDefault="00816C99" w:rsidP="009733F0">
      <w:r>
        <w:t>The study used a</w:t>
      </w:r>
      <w:r w:rsidR="009733F0">
        <w:t>ir emission allowance prices for nitrogen oxides, sulfur dioxide, and carbon dioxide</w:t>
      </w:r>
      <w:r>
        <w:t>, which</w:t>
      </w:r>
      <w:r w:rsidR="009733F0">
        <w:t xml:space="preserve"> </w:t>
      </w:r>
      <w:r w:rsidR="00B92F44">
        <w:t xml:space="preserve">affect the economic dispatch price for fossil-burning generation units. </w:t>
      </w:r>
      <w:r w:rsidR="009733F0">
        <w:rPr>
          <w:highlight w:val="green"/>
        </w:rPr>
        <w:fldChar w:fldCharType="begin"/>
      </w:r>
      <w:r w:rsidR="009733F0">
        <w:rPr>
          <w:highlight w:val="green"/>
        </w:rPr>
        <w:instrText xml:space="preserve"> REF _Ref461546293 \h </w:instrText>
      </w:r>
      <w:r w:rsidR="009733F0">
        <w:rPr>
          <w:highlight w:val="green"/>
        </w:rPr>
      </w:r>
      <w:r w:rsidR="009733F0">
        <w:rPr>
          <w:highlight w:val="green"/>
        </w:rPr>
        <w:fldChar w:fldCharType="separate"/>
      </w:r>
      <w:r w:rsidR="00742B49">
        <w:t xml:space="preserve">Table </w:t>
      </w:r>
      <w:r w:rsidR="00742B49">
        <w:rPr>
          <w:noProof/>
        </w:rPr>
        <w:t>5</w:t>
      </w:r>
      <w:r w:rsidR="00742B49">
        <w:noBreakHyphen/>
      </w:r>
      <w:r w:rsidR="00742B49">
        <w:rPr>
          <w:noProof/>
        </w:rPr>
        <w:t>16</w:t>
      </w:r>
      <w:r w:rsidR="009733F0">
        <w:rPr>
          <w:highlight w:val="green"/>
        </w:rPr>
        <w:fldChar w:fldCharType="end"/>
      </w:r>
      <w:r w:rsidR="009733F0">
        <w:t xml:space="preserve"> shows the assumed air emission allowance prices for 2025 and 2030 used in the study.</w:t>
      </w:r>
    </w:p>
    <w:p w:rsidR="009733F0" w:rsidRDefault="009733F0" w:rsidP="00A177B5">
      <w:pPr>
        <w:pStyle w:val="Caption"/>
        <w:jc w:val="center"/>
      </w:pPr>
      <w:bookmarkStart w:id="169" w:name="_Ref486340651"/>
      <w:bookmarkStart w:id="170" w:name="_Ref461546293"/>
      <w:bookmarkStart w:id="171" w:name="_Toc486406030"/>
      <w:r>
        <w:lastRenderedPageBreak/>
        <w:t xml:space="preserve">Table </w:t>
      </w:r>
      <w:fldSimple w:instr=" STYLEREF 1 \s ">
        <w:r w:rsidR="004248FE">
          <w:rPr>
            <w:noProof/>
          </w:rPr>
          <w:t>5</w:t>
        </w:r>
      </w:fldSimple>
      <w:r w:rsidR="004248FE">
        <w:noBreakHyphen/>
      </w:r>
      <w:r w:rsidR="00FF29E0">
        <w:t>16</w:t>
      </w:r>
      <w:bookmarkEnd w:id="169"/>
      <w:bookmarkEnd w:id="170"/>
      <w:r>
        <w:br/>
        <w:t>Air Emission Allowance Prices for 2025 and 2030 ($/</w:t>
      </w:r>
      <w:r w:rsidR="000179CA">
        <w:t xml:space="preserve">short </w:t>
      </w:r>
      <w:r>
        <w:t>ton)</w:t>
      </w:r>
      <w:bookmarkEnd w:id="1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59014F" w:rsidRPr="0059014F" w:rsidTr="0059014F">
        <w:trPr>
          <w:jc w:val="center"/>
        </w:trPr>
        <w:tc>
          <w:tcPr>
            <w:tcW w:w="2394" w:type="dxa"/>
            <w:shd w:val="clear" w:color="auto" w:fill="4F81BD" w:themeFill="accent1"/>
          </w:tcPr>
          <w:p w:rsidR="009733F0" w:rsidRPr="00087581" w:rsidRDefault="009733F0" w:rsidP="00A177B5">
            <w:pPr>
              <w:keepNext/>
              <w:keepLines/>
              <w:widowControl w:val="0"/>
              <w:spacing w:before="40" w:after="40" w:line="240" w:lineRule="auto"/>
              <w:jc w:val="center"/>
              <w:rPr>
                <w:rFonts w:ascii="Calibri" w:hAnsi="Calibri"/>
                <w:b/>
                <w:color w:val="FFFFFF" w:themeColor="background1"/>
                <w:sz w:val="18"/>
                <w:szCs w:val="18"/>
              </w:rPr>
            </w:pPr>
            <w:r w:rsidRPr="00087581">
              <w:rPr>
                <w:rFonts w:ascii="Calibri" w:hAnsi="Calibri"/>
                <w:b/>
                <w:color w:val="FFFFFF" w:themeColor="background1"/>
                <w:sz w:val="18"/>
                <w:szCs w:val="18"/>
              </w:rPr>
              <w:t>Emission</w:t>
            </w:r>
          </w:p>
        </w:tc>
        <w:tc>
          <w:tcPr>
            <w:tcW w:w="2394" w:type="dxa"/>
            <w:shd w:val="clear" w:color="auto" w:fill="4F81BD" w:themeFill="accent1"/>
          </w:tcPr>
          <w:p w:rsidR="009733F0" w:rsidRPr="00087581" w:rsidRDefault="009733F0" w:rsidP="00A177B5">
            <w:pPr>
              <w:keepNext/>
              <w:keepLines/>
              <w:widowControl w:val="0"/>
              <w:spacing w:before="40" w:after="40" w:line="240" w:lineRule="auto"/>
              <w:jc w:val="center"/>
              <w:rPr>
                <w:rFonts w:ascii="Calibri" w:hAnsi="Calibri"/>
                <w:b/>
                <w:color w:val="FFFFFF" w:themeColor="background1"/>
                <w:sz w:val="18"/>
                <w:szCs w:val="18"/>
              </w:rPr>
            </w:pPr>
            <w:r w:rsidRPr="00087581">
              <w:rPr>
                <w:rFonts w:ascii="Calibri" w:hAnsi="Calibri"/>
                <w:b/>
                <w:color w:val="FFFFFF" w:themeColor="background1"/>
                <w:sz w:val="18"/>
                <w:szCs w:val="18"/>
              </w:rPr>
              <w:t>2025</w:t>
            </w:r>
          </w:p>
        </w:tc>
        <w:tc>
          <w:tcPr>
            <w:tcW w:w="2394" w:type="dxa"/>
            <w:shd w:val="clear" w:color="auto" w:fill="4F81BD" w:themeFill="accent1"/>
          </w:tcPr>
          <w:p w:rsidR="009733F0" w:rsidRPr="00087581" w:rsidRDefault="009733F0" w:rsidP="00A177B5">
            <w:pPr>
              <w:keepNext/>
              <w:keepLines/>
              <w:widowControl w:val="0"/>
              <w:spacing w:before="40" w:after="40" w:line="240" w:lineRule="auto"/>
              <w:jc w:val="center"/>
              <w:rPr>
                <w:rFonts w:ascii="Calibri" w:hAnsi="Calibri"/>
                <w:b/>
                <w:color w:val="FFFFFF" w:themeColor="background1"/>
                <w:sz w:val="18"/>
                <w:szCs w:val="18"/>
              </w:rPr>
            </w:pPr>
            <w:r w:rsidRPr="00087581">
              <w:rPr>
                <w:rFonts w:ascii="Calibri" w:hAnsi="Calibri"/>
                <w:b/>
                <w:color w:val="FFFFFF" w:themeColor="background1"/>
                <w:sz w:val="18"/>
                <w:szCs w:val="18"/>
              </w:rPr>
              <w:t>2030</w:t>
            </w:r>
          </w:p>
        </w:tc>
      </w:tr>
      <w:tr w:rsidR="009733F0" w:rsidRPr="00AA0BC4" w:rsidTr="00466F9E">
        <w:trPr>
          <w:jc w:val="center"/>
        </w:trPr>
        <w:tc>
          <w:tcPr>
            <w:tcW w:w="2394" w:type="dxa"/>
            <w:shd w:val="clear" w:color="auto" w:fill="auto"/>
          </w:tcPr>
          <w:p w:rsidR="009733F0" w:rsidRPr="00AA0BC4" w:rsidRDefault="009733F0" w:rsidP="00A177B5">
            <w:pPr>
              <w:keepNext/>
              <w:keepLines/>
              <w:widowControl w:val="0"/>
              <w:spacing w:before="40" w:after="40" w:line="240" w:lineRule="auto"/>
              <w:rPr>
                <w:rFonts w:ascii="Calibri" w:hAnsi="Calibri"/>
                <w:b/>
                <w:sz w:val="18"/>
                <w:szCs w:val="18"/>
              </w:rPr>
            </w:pPr>
            <w:r w:rsidRPr="00AA0BC4">
              <w:rPr>
                <w:rFonts w:ascii="Calibri" w:hAnsi="Calibri"/>
                <w:b/>
                <w:sz w:val="18"/>
                <w:szCs w:val="18"/>
              </w:rPr>
              <w:t>Nitrogen oxides</w:t>
            </w:r>
          </w:p>
        </w:tc>
        <w:tc>
          <w:tcPr>
            <w:tcW w:w="2394" w:type="dxa"/>
            <w:shd w:val="clear" w:color="auto" w:fill="auto"/>
          </w:tcPr>
          <w:p w:rsidR="009733F0" w:rsidRPr="00AA0BC4" w:rsidRDefault="009733F0" w:rsidP="00A177B5">
            <w:pPr>
              <w:keepNext/>
              <w:keepLines/>
              <w:widowControl w:val="0"/>
              <w:spacing w:before="40" w:after="40" w:line="240" w:lineRule="auto"/>
              <w:jc w:val="center"/>
              <w:rPr>
                <w:rFonts w:ascii="Calibri" w:hAnsi="Calibri"/>
                <w:sz w:val="18"/>
                <w:szCs w:val="18"/>
              </w:rPr>
            </w:pPr>
            <w:r w:rsidRPr="00AA0BC4">
              <w:rPr>
                <w:rFonts w:ascii="Calibri" w:hAnsi="Calibri"/>
                <w:sz w:val="18"/>
                <w:szCs w:val="18"/>
              </w:rPr>
              <w:t>18.87</w:t>
            </w:r>
          </w:p>
        </w:tc>
        <w:tc>
          <w:tcPr>
            <w:tcW w:w="2394" w:type="dxa"/>
            <w:shd w:val="clear" w:color="auto" w:fill="auto"/>
          </w:tcPr>
          <w:p w:rsidR="009733F0" w:rsidRPr="00AA0BC4" w:rsidRDefault="009733F0" w:rsidP="00A177B5">
            <w:pPr>
              <w:keepNext/>
              <w:keepLines/>
              <w:widowControl w:val="0"/>
              <w:spacing w:before="40" w:after="40" w:line="240" w:lineRule="auto"/>
              <w:jc w:val="center"/>
              <w:rPr>
                <w:rFonts w:ascii="Calibri" w:hAnsi="Calibri"/>
                <w:sz w:val="18"/>
                <w:szCs w:val="18"/>
              </w:rPr>
            </w:pPr>
            <w:r w:rsidRPr="00AA0BC4">
              <w:rPr>
                <w:rFonts w:ascii="Calibri" w:hAnsi="Calibri"/>
                <w:sz w:val="18"/>
                <w:szCs w:val="18"/>
              </w:rPr>
              <w:t>6.18</w:t>
            </w:r>
          </w:p>
        </w:tc>
      </w:tr>
      <w:tr w:rsidR="009733F0" w:rsidRPr="00AA0BC4" w:rsidTr="00087581">
        <w:trPr>
          <w:jc w:val="center"/>
        </w:trPr>
        <w:tc>
          <w:tcPr>
            <w:tcW w:w="2394" w:type="dxa"/>
            <w:shd w:val="clear" w:color="auto" w:fill="DBE5F1" w:themeFill="accent1" w:themeFillTint="33"/>
          </w:tcPr>
          <w:p w:rsidR="009733F0" w:rsidRPr="00AA0BC4" w:rsidRDefault="009733F0" w:rsidP="00A177B5">
            <w:pPr>
              <w:keepNext/>
              <w:keepLines/>
              <w:widowControl w:val="0"/>
              <w:spacing w:before="40" w:after="40" w:line="240" w:lineRule="auto"/>
              <w:rPr>
                <w:rFonts w:ascii="Calibri" w:hAnsi="Calibri"/>
                <w:b/>
                <w:sz w:val="18"/>
                <w:szCs w:val="18"/>
              </w:rPr>
            </w:pPr>
            <w:r w:rsidRPr="00AA0BC4">
              <w:rPr>
                <w:rFonts w:ascii="Calibri" w:hAnsi="Calibri"/>
                <w:b/>
                <w:sz w:val="18"/>
                <w:szCs w:val="18"/>
              </w:rPr>
              <w:t>Sulfur dioxide</w:t>
            </w:r>
          </w:p>
        </w:tc>
        <w:tc>
          <w:tcPr>
            <w:tcW w:w="2394" w:type="dxa"/>
            <w:shd w:val="clear" w:color="auto" w:fill="DBE5F1" w:themeFill="accent1" w:themeFillTint="33"/>
          </w:tcPr>
          <w:p w:rsidR="009733F0" w:rsidRPr="00AA0BC4" w:rsidRDefault="009733F0" w:rsidP="00A177B5">
            <w:pPr>
              <w:keepNext/>
              <w:keepLines/>
              <w:widowControl w:val="0"/>
              <w:spacing w:before="40" w:after="40" w:line="240" w:lineRule="auto"/>
              <w:jc w:val="center"/>
              <w:rPr>
                <w:rFonts w:ascii="Calibri" w:hAnsi="Calibri"/>
                <w:sz w:val="18"/>
                <w:szCs w:val="18"/>
              </w:rPr>
            </w:pPr>
            <w:r w:rsidRPr="00AA0BC4">
              <w:rPr>
                <w:rFonts w:ascii="Calibri" w:hAnsi="Calibri"/>
                <w:sz w:val="18"/>
                <w:szCs w:val="18"/>
              </w:rPr>
              <w:t>18.87</w:t>
            </w:r>
          </w:p>
        </w:tc>
        <w:tc>
          <w:tcPr>
            <w:tcW w:w="2394" w:type="dxa"/>
            <w:shd w:val="clear" w:color="auto" w:fill="DBE5F1" w:themeFill="accent1" w:themeFillTint="33"/>
          </w:tcPr>
          <w:p w:rsidR="009733F0" w:rsidRPr="00AA0BC4" w:rsidRDefault="009733F0" w:rsidP="00A177B5">
            <w:pPr>
              <w:keepNext/>
              <w:keepLines/>
              <w:widowControl w:val="0"/>
              <w:spacing w:before="40" w:after="40" w:line="240" w:lineRule="auto"/>
              <w:jc w:val="center"/>
              <w:rPr>
                <w:rFonts w:ascii="Calibri" w:hAnsi="Calibri"/>
                <w:sz w:val="18"/>
                <w:szCs w:val="18"/>
              </w:rPr>
            </w:pPr>
            <w:r w:rsidRPr="00AA0BC4">
              <w:rPr>
                <w:rFonts w:ascii="Calibri" w:hAnsi="Calibri"/>
                <w:sz w:val="18"/>
                <w:szCs w:val="18"/>
              </w:rPr>
              <w:t>6.18</w:t>
            </w:r>
          </w:p>
        </w:tc>
      </w:tr>
      <w:tr w:rsidR="009733F0" w:rsidRPr="00AA0BC4" w:rsidTr="00466F9E">
        <w:trPr>
          <w:jc w:val="center"/>
        </w:trPr>
        <w:tc>
          <w:tcPr>
            <w:tcW w:w="2394" w:type="dxa"/>
            <w:shd w:val="clear" w:color="auto" w:fill="auto"/>
          </w:tcPr>
          <w:p w:rsidR="009733F0" w:rsidRPr="00AA0BC4" w:rsidRDefault="009733F0" w:rsidP="00A177B5">
            <w:pPr>
              <w:keepNext/>
              <w:keepLines/>
              <w:widowControl w:val="0"/>
              <w:spacing w:before="40" w:after="40" w:line="240" w:lineRule="auto"/>
              <w:rPr>
                <w:rFonts w:ascii="Calibri" w:hAnsi="Calibri"/>
                <w:b/>
                <w:sz w:val="18"/>
                <w:szCs w:val="18"/>
              </w:rPr>
            </w:pPr>
            <w:r w:rsidRPr="00AA0BC4">
              <w:rPr>
                <w:rFonts w:ascii="Calibri" w:hAnsi="Calibri"/>
                <w:b/>
                <w:sz w:val="18"/>
                <w:szCs w:val="18"/>
              </w:rPr>
              <w:t>Carbon dioxide</w:t>
            </w:r>
          </w:p>
        </w:tc>
        <w:tc>
          <w:tcPr>
            <w:tcW w:w="2394" w:type="dxa"/>
            <w:shd w:val="clear" w:color="auto" w:fill="auto"/>
          </w:tcPr>
          <w:p w:rsidR="009733F0" w:rsidRPr="00AA0BC4" w:rsidRDefault="009733F0" w:rsidP="00A177B5">
            <w:pPr>
              <w:keepNext/>
              <w:keepLines/>
              <w:widowControl w:val="0"/>
              <w:spacing w:before="40" w:after="40" w:line="240" w:lineRule="auto"/>
              <w:jc w:val="center"/>
              <w:rPr>
                <w:rFonts w:ascii="Calibri" w:hAnsi="Calibri"/>
                <w:sz w:val="18"/>
                <w:szCs w:val="18"/>
              </w:rPr>
            </w:pPr>
            <w:r w:rsidRPr="00AA0BC4">
              <w:rPr>
                <w:rFonts w:ascii="Calibri" w:hAnsi="Calibri"/>
                <w:sz w:val="18"/>
                <w:szCs w:val="18"/>
              </w:rPr>
              <w:t>19.00</w:t>
            </w:r>
          </w:p>
        </w:tc>
        <w:tc>
          <w:tcPr>
            <w:tcW w:w="2394" w:type="dxa"/>
            <w:shd w:val="clear" w:color="auto" w:fill="auto"/>
          </w:tcPr>
          <w:p w:rsidR="009733F0" w:rsidRPr="00AA0BC4" w:rsidRDefault="009733F0" w:rsidP="00A177B5">
            <w:pPr>
              <w:keepNext/>
              <w:keepLines/>
              <w:widowControl w:val="0"/>
              <w:spacing w:before="40" w:after="40" w:line="240" w:lineRule="auto"/>
              <w:jc w:val="center"/>
              <w:rPr>
                <w:rFonts w:ascii="Calibri" w:hAnsi="Calibri"/>
                <w:sz w:val="18"/>
                <w:szCs w:val="18"/>
              </w:rPr>
            </w:pPr>
            <w:r w:rsidRPr="00AA0BC4">
              <w:rPr>
                <w:rFonts w:ascii="Calibri" w:hAnsi="Calibri"/>
                <w:sz w:val="18"/>
                <w:szCs w:val="18"/>
              </w:rPr>
              <w:t>24.00</w:t>
            </w:r>
          </w:p>
        </w:tc>
      </w:tr>
    </w:tbl>
    <w:p w:rsidR="00816C99" w:rsidRDefault="00816C99" w:rsidP="00A177B5">
      <w:pPr>
        <w:spacing w:line="240" w:lineRule="auto"/>
      </w:pPr>
    </w:p>
    <w:p w:rsidR="00230FBF" w:rsidRPr="00736314" w:rsidRDefault="00D53DCB">
      <w:r w:rsidRPr="00736314">
        <w:t xml:space="preserve">The </w:t>
      </w:r>
      <w:r w:rsidR="00EE5747" w:rsidRPr="00736314">
        <w:t xml:space="preserve">future </w:t>
      </w:r>
      <w:r w:rsidRPr="00736314">
        <w:t xml:space="preserve">emission allowance prices for nitrogen oxides and sulfur dioxide were based on </w:t>
      </w:r>
      <w:r w:rsidR="00EE5747" w:rsidRPr="00736314">
        <w:t>work by the New York ISO.</w:t>
      </w:r>
      <w:r w:rsidR="00736314" w:rsidRPr="00736314">
        <w:rPr>
          <w:rStyle w:val="FootnoteReference"/>
        </w:rPr>
        <w:footnoteReference w:id="56"/>
      </w:r>
      <w:r w:rsidR="00EE5747" w:rsidRPr="00736314">
        <w:t xml:space="preserve"> </w:t>
      </w:r>
      <w:r w:rsidR="0076114A" w:rsidRPr="00736314">
        <w:t>The CO</w:t>
      </w:r>
      <w:r w:rsidR="0076114A" w:rsidRPr="00736314">
        <w:rPr>
          <w:vertAlign w:val="subscript"/>
        </w:rPr>
        <w:t>2</w:t>
      </w:r>
      <w:r w:rsidR="0076114A" w:rsidRPr="00736314">
        <w:t xml:space="preserve"> prices were </w:t>
      </w:r>
      <w:r w:rsidR="00EE5747" w:rsidRPr="00736314">
        <w:t xml:space="preserve">also </w:t>
      </w:r>
      <w:r w:rsidR="0076114A" w:rsidRPr="00736314">
        <w:t xml:space="preserve">based on a study by </w:t>
      </w:r>
      <w:r w:rsidR="00EE5747" w:rsidRPr="00736314">
        <w:t>New York ISO</w:t>
      </w:r>
      <w:r w:rsidR="0076114A" w:rsidRPr="00736314">
        <w:t>.</w:t>
      </w:r>
      <w:r w:rsidR="00736314" w:rsidRPr="00736314">
        <w:rPr>
          <w:rStyle w:val="FootnoteReference"/>
        </w:rPr>
        <w:footnoteReference w:id="57"/>
      </w:r>
      <w:r w:rsidR="0076114A" w:rsidRPr="00736314">
        <w:t xml:space="preserve"> </w:t>
      </w:r>
      <w:r w:rsidRPr="00736314">
        <w:t xml:space="preserve">Although carbon prices apply to generating units greater than 25 MW (in accordance with </w:t>
      </w:r>
      <w:r w:rsidR="00087581" w:rsidRPr="00736314">
        <w:t>RGGI</w:t>
      </w:r>
      <w:r w:rsidRPr="00736314">
        <w:t xml:space="preserve">), carbon allowance prices were assumed for all generating units consistent with discussions held with the PAC. </w:t>
      </w:r>
    </w:p>
    <w:p w:rsidR="00E66C3D" w:rsidRPr="00736314" w:rsidRDefault="00E66C3D" w:rsidP="0053379A">
      <w:pPr>
        <w:pStyle w:val="Heading2"/>
      </w:pPr>
      <w:bookmarkStart w:id="172" w:name="_Ref476824574"/>
      <w:bookmarkStart w:id="173" w:name="_Toc486405990"/>
      <w:r w:rsidRPr="00736314">
        <w:t>Annual Carrying Charges</w:t>
      </w:r>
      <w:bookmarkEnd w:id="172"/>
      <w:bookmarkEnd w:id="173"/>
    </w:p>
    <w:p w:rsidR="00125170" w:rsidRPr="00736314" w:rsidRDefault="001C012A" w:rsidP="00125170">
      <w:r w:rsidRPr="00736314">
        <w:t>Annual carrying charges represent the annual revenue a facility must receive to cover its annual fixed costs and remain economically viable.</w:t>
      </w:r>
      <w:r w:rsidRPr="00736314">
        <w:rPr>
          <w:rStyle w:val="FootnoteReference"/>
        </w:rPr>
        <w:footnoteReference w:id="58"/>
      </w:r>
      <w:r w:rsidRPr="00736314">
        <w:t xml:space="preserve"> </w:t>
      </w:r>
      <w:r w:rsidR="00D1362F" w:rsidRPr="00736314">
        <w:t>This study applied annual carrying charges for new resources and transmission expansion.</w:t>
      </w:r>
      <w:r w:rsidR="00D93F24" w:rsidRPr="00736314">
        <w:t xml:space="preserve"> The values presented reflect input from the PAC</w:t>
      </w:r>
      <w:r w:rsidR="001C2C7F" w:rsidRPr="00736314">
        <w:t>.</w:t>
      </w:r>
      <w:r w:rsidR="00D93F24" w:rsidRPr="00736314">
        <w:t xml:space="preserve">  </w:t>
      </w:r>
    </w:p>
    <w:p w:rsidR="009A2A6E" w:rsidRPr="00736314" w:rsidRDefault="009A2A6E" w:rsidP="00D1362F">
      <w:pPr>
        <w:pStyle w:val="Heading3"/>
      </w:pPr>
      <w:bookmarkStart w:id="174" w:name="_Ref480804991"/>
      <w:bookmarkStart w:id="175" w:name="_Toc486405991"/>
      <w:r w:rsidRPr="00736314">
        <w:t>Annual Carrying Charges for New Resources</w:t>
      </w:r>
      <w:bookmarkEnd w:id="174"/>
      <w:bookmarkEnd w:id="175"/>
    </w:p>
    <w:p w:rsidR="001C012A" w:rsidRDefault="001C012A" w:rsidP="00201D25">
      <w:r w:rsidRPr="00736314">
        <w:t xml:space="preserve">Although </w:t>
      </w:r>
      <w:r w:rsidR="00D1362F" w:rsidRPr="00736314">
        <w:t xml:space="preserve">resource </w:t>
      </w:r>
      <w:r w:rsidRPr="00736314">
        <w:t xml:space="preserve">costs </w:t>
      </w:r>
      <w:r w:rsidR="00D1362F" w:rsidRPr="00736314">
        <w:t xml:space="preserve">can </w:t>
      </w:r>
      <w:r w:rsidRPr="00736314">
        <w:t>vary significantly, generic capital costs for new resources can illustrate the differences among the scenarios. Generic overnight capital costs, also called overnight construction costs, were assumed for new resources based on US Energy Information Administration information. The costs assume construction occurring at a single point in time and reflect several details, including materials, equipment</w:t>
      </w:r>
      <w:r w:rsidR="00DA3248">
        <w:t>,</w:t>
      </w:r>
      <w:r w:rsidRPr="00736314">
        <w:t xml:space="preserve"> and labor for all process facilities, fuel handling and storage, water intake structure and wastewater treatment, offices, maintenance shops, warehouses, and step-up transformer and transmission interconnection. While the estimates adjust for regional differences in costs, they do not include owners’ costs and interest expenses during construction (often referred to as </w:t>
      </w:r>
      <w:r w:rsidR="003369B6">
        <w:t>“a</w:t>
      </w:r>
      <w:r w:rsidRPr="00736314">
        <w:t xml:space="preserve">llowance for </w:t>
      </w:r>
      <w:r w:rsidR="003369B6">
        <w:t>f</w:t>
      </w:r>
      <w:r w:rsidRPr="00736314">
        <w:t xml:space="preserve">unds </w:t>
      </w:r>
      <w:r w:rsidR="003369B6">
        <w:t>u</w:t>
      </w:r>
      <w:r w:rsidRPr="00736314">
        <w:t xml:space="preserve">sed during </w:t>
      </w:r>
      <w:r w:rsidR="003369B6">
        <w:t>c</w:t>
      </w:r>
      <w:r w:rsidRPr="00736314">
        <w:t>onstruction</w:t>
      </w:r>
      <w:r w:rsidR="003369B6">
        <w:t xml:space="preserve">;” </w:t>
      </w:r>
      <w:r w:rsidRPr="00736314">
        <w:t>AFUDC).</w:t>
      </w:r>
      <w:r w:rsidRPr="001C012A">
        <w:t xml:space="preserve"> </w:t>
      </w:r>
    </w:p>
    <w:p w:rsidR="005615DE" w:rsidRDefault="001C012A" w:rsidP="00201D25">
      <w:r w:rsidRPr="00087581">
        <w:t>The annual carrying charge rate of 15% was applied to the generic overnight capital costs of new resources to determine the annual fixed costs of new resources.</w:t>
      </w:r>
      <w:r>
        <w:t xml:space="preserve"> </w:t>
      </w:r>
      <w:r w:rsidR="00A37A8D">
        <w:fldChar w:fldCharType="begin"/>
      </w:r>
      <w:r w:rsidR="00A37A8D">
        <w:instrText xml:space="preserve"> REF _Ref476756458 \h </w:instrText>
      </w:r>
      <w:r w:rsidR="00A37A8D">
        <w:fldChar w:fldCharType="separate"/>
      </w:r>
      <w:r w:rsidR="00742B49">
        <w:t xml:space="preserve">Table </w:t>
      </w:r>
      <w:r w:rsidR="00742B49">
        <w:rPr>
          <w:noProof/>
        </w:rPr>
        <w:t>5</w:t>
      </w:r>
      <w:r w:rsidR="00742B49">
        <w:noBreakHyphen/>
      </w:r>
      <w:r w:rsidR="00742B49">
        <w:rPr>
          <w:noProof/>
        </w:rPr>
        <w:t>17</w:t>
      </w:r>
      <w:r w:rsidR="00A37A8D">
        <w:fldChar w:fldCharType="end"/>
      </w:r>
      <w:r w:rsidR="009F6C91">
        <w:t xml:space="preserve"> </w:t>
      </w:r>
      <w:r w:rsidR="005615DE">
        <w:t xml:space="preserve">shows the generic overnight capital costs and </w:t>
      </w:r>
      <w:r w:rsidR="005615DE" w:rsidRPr="00EC3A1C">
        <w:t xml:space="preserve">annual carrying charges </w:t>
      </w:r>
      <w:r w:rsidR="00D305B8" w:rsidRPr="00EC3A1C">
        <w:t>assumed</w:t>
      </w:r>
      <w:r w:rsidR="006F1DD9" w:rsidRPr="00EC3A1C">
        <w:t xml:space="preserve"> </w:t>
      </w:r>
      <w:r w:rsidR="005615DE" w:rsidRPr="00EC3A1C">
        <w:t>for new resources in New England.</w:t>
      </w:r>
      <w:r w:rsidR="00D26C86">
        <w:t xml:space="preserve"> </w:t>
      </w:r>
    </w:p>
    <w:p w:rsidR="009F4543" w:rsidRDefault="009F4543" w:rsidP="00BE28CD">
      <w:pPr>
        <w:pStyle w:val="Caption"/>
        <w:jc w:val="center"/>
      </w:pPr>
      <w:bookmarkStart w:id="176" w:name="_Ref476756458"/>
      <w:bookmarkStart w:id="177" w:name="_Toc486406031"/>
      <w:r>
        <w:lastRenderedPageBreak/>
        <w:t xml:space="preserve">Table </w:t>
      </w:r>
      <w:fldSimple w:instr=" STYLEREF 1 \s ">
        <w:r w:rsidR="004248FE">
          <w:rPr>
            <w:noProof/>
          </w:rPr>
          <w:t>5</w:t>
        </w:r>
      </w:fldSimple>
      <w:r w:rsidR="004248FE">
        <w:noBreakHyphen/>
      </w:r>
      <w:r w:rsidR="00FF29E0">
        <w:t>17</w:t>
      </w:r>
      <w:bookmarkEnd w:id="176"/>
      <w:r>
        <w:br/>
      </w:r>
      <w:r w:rsidR="00D305B8" w:rsidRPr="00BE28CD">
        <w:t xml:space="preserve">Assumed </w:t>
      </w:r>
      <w:r w:rsidRPr="00BE28CD">
        <w:t>Total Overnight Generator Costs and Typical Annual Carrying Charges for New Resources</w:t>
      </w:r>
      <w:r w:rsidR="00FE3B14">
        <w:t xml:space="preserve"> (MW, $/kW)</w:t>
      </w:r>
      <w:bookmarkEnd w:id="1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728"/>
        <w:gridCol w:w="1113"/>
        <w:gridCol w:w="2239"/>
        <w:gridCol w:w="2070"/>
        <w:gridCol w:w="2185"/>
        <w:gridCol w:w="13"/>
      </w:tblGrid>
      <w:tr w:rsidR="004B3F6A" w:rsidRPr="004B3F6A" w:rsidTr="00230FBF">
        <w:trPr>
          <w:gridAfter w:val="1"/>
          <w:wAfter w:w="13" w:type="dxa"/>
          <w:jc w:val="center"/>
        </w:trPr>
        <w:tc>
          <w:tcPr>
            <w:tcW w:w="1728" w:type="dxa"/>
            <w:shd w:val="clear" w:color="auto" w:fill="4F81BD" w:themeFill="accent1"/>
            <w:vAlign w:val="center"/>
          </w:tcPr>
          <w:p w:rsidR="005C2C9F" w:rsidRPr="00230FBF" w:rsidRDefault="005C2C9F" w:rsidP="00230FBF">
            <w:pPr>
              <w:keepNext/>
              <w:keepLines/>
              <w:widowControl w:val="0"/>
              <w:adjustRightInd/>
              <w:spacing w:before="40" w:after="40" w:line="240" w:lineRule="auto"/>
              <w:jc w:val="center"/>
              <w:textAlignment w:val="auto"/>
              <w:rPr>
                <w:rFonts w:asciiTheme="minorHAnsi" w:hAnsiTheme="minorHAnsi"/>
                <w:b/>
                <w:color w:val="FFFFFF" w:themeColor="background1"/>
                <w:sz w:val="18"/>
                <w:szCs w:val="18"/>
              </w:rPr>
            </w:pPr>
            <w:r w:rsidRPr="00230FBF">
              <w:rPr>
                <w:rFonts w:asciiTheme="minorHAnsi" w:hAnsiTheme="minorHAnsi"/>
                <w:b/>
                <w:color w:val="FFFFFF" w:themeColor="background1"/>
                <w:sz w:val="18"/>
                <w:szCs w:val="18"/>
              </w:rPr>
              <w:t>Technology Type</w:t>
            </w:r>
          </w:p>
        </w:tc>
        <w:tc>
          <w:tcPr>
            <w:tcW w:w="1113" w:type="dxa"/>
            <w:shd w:val="clear" w:color="auto" w:fill="4F81BD" w:themeFill="accent1"/>
            <w:vAlign w:val="center"/>
          </w:tcPr>
          <w:p w:rsidR="005C2C9F" w:rsidRPr="00230FBF" w:rsidRDefault="005C2C9F" w:rsidP="00230FBF">
            <w:pPr>
              <w:keepNext/>
              <w:keepLines/>
              <w:widowControl w:val="0"/>
              <w:adjustRightInd/>
              <w:spacing w:before="40" w:after="40" w:line="240" w:lineRule="auto"/>
              <w:jc w:val="center"/>
              <w:textAlignment w:val="auto"/>
              <w:rPr>
                <w:rFonts w:asciiTheme="minorHAnsi" w:hAnsiTheme="minorHAnsi"/>
                <w:b/>
                <w:color w:val="FFFFFF" w:themeColor="background1"/>
                <w:sz w:val="18"/>
                <w:szCs w:val="18"/>
              </w:rPr>
            </w:pPr>
            <w:r w:rsidRPr="00230FBF">
              <w:rPr>
                <w:rFonts w:asciiTheme="minorHAnsi" w:hAnsiTheme="minorHAnsi"/>
                <w:b/>
                <w:color w:val="FFFFFF" w:themeColor="background1"/>
                <w:sz w:val="18"/>
                <w:szCs w:val="18"/>
              </w:rPr>
              <w:t>Typical Plant Size (MW)</w:t>
            </w:r>
          </w:p>
        </w:tc>
        <w:tc>
          <w:tcPr>
            <w:tcW w:w="2239" w:type="dxa"/>
            <w:shd w:val="clear" w:color="auto" w:fill="4F81BD" w:themeFill="accent1"/>
            <w:vAlign w:val="center"/>
          </w:tcPr>
          <w:p w:rsidR="005C2C9F" w:rsidRPr="00230FBF" w:rsidRDefault="005C2C9F" w:rsidP="00230FBF">
            <w:pPr>
              <w:keepNext/>
              <w:keepLines/>
              <w:widowControl w:val="0"/>
              <w:adjustRightInd/>
              <w:spacing w:before="40" w:after="40" w:line="240" w:lineRule="auto"/>
              <w:jc w:val="center"/>
              <w:textAlignment w:val="auto"/>
              <w:rPr>
                <w:rFonts w:asciiTheme="minorHAnsi" w:hAnsiTheme="minorHAnsi"/>
                <w:b/>
                <w:color w:val="FFFFFF" w:themeColor="background1"/>
                <w:sz w:val="18"/>
                <w:szCs w:val="18"/>
              </w:rPr>
            </w:pPr>
            <w:r w:rsidRPr="00230FBF">
              <w:rPr>
                <w:rFonts w:asciiTheme="minorHAnsi" w:hAnsiTheme="minorHAnsi"/>
                <w:b/>
                <w:color w:val="FFFFFF" w:themeColor="background1"/>
                <w:sz w:val="18"/>
                <w:szCs w:val="18"/>
              </w:rPr>
              <w:t>Generic  Total Overnight Plant Cost</w:t>
            </w:r>
            <w:r w:rsidR="00A37A8D">
              <w:rPr>
                <w:rFonts w:asciiTheme="minorHAnsi" w:hAnsiTheme="minorHAnsi"/>
                <w:b/>
                <w:color w:val="FFFFFF" w:themeColor="background1"/>
                <w:sz w:val="18"/>
                <w:szCs w:val="18"/>
              </w:rPr>
              <w:t>s</w:t>
            </w:r>
            <w:r w:rsidRPr="00230FBF">
              <w:rPr>
                <w:rFonts w:asciiTheme="minorHAnsi" w:hAnsiTheme="minorHAnsi"/>
                <w:b/>
                <w:color w:val="FFFFFF" w:themeColor="background1"/>
                <w:sz w:val="18"/>
                <w:szCs w:val="18"/>
              </w:rPr>
              <w:t xml:space="preserve"> (2015 $/kW)</w:t>
            </w:r>
            <w:r w:rsidR="009F4543" w:rsidRPr="00230FBF">
              <w:rPr>
                <w:rFonts w:asciiTheme="minorHAnsi" w:hAnsiTheme="minorHAnsi"/>
                <w:b/>
                <w:color w:val="FFFFFF" w:themeColor="background1"/>
                <w:sz w:val="18"/>
                <w:szCs w:val="18"/>
                <w:vertAlign w:val="superscript"/>
              </w:rPr>
              <w:t>(a)</w:t>
            </w:r>
          </w:p>
        </w:tc>
        <w:tc>
          <w:tcPr>
            <w:tcW w:w="2070" w:type="dxa"/>
            <w:shd w:val="clear" w:color="auto" w:fill="4F81BD" w:themeFill="accent1"/>
            <w:vAlign w:val="center"/>
          </w:tcPr>
          <w:p w:rsidR="005C2C9F" w:rsidRPr="00230FBF" w:rsidRDefault="005C2C9F" w:rsidP="00230FBF">
            <w:pPr>
              <w:keepNext/>
              <w:keepLines/>
              <w:widowControl w:val="0"/>
              <w:adjustRightInd/>
              <w:spacing w:before="40" w:after="40" w:line="240" w:lineRule="auto"/>
              <w:jc w:val="center"/>
              <w:textAlignment w:val="auto"/>
              <w:rPr>
                <w:rFonts w:asciiTheme="minorHAnsi" w:hAnsiTheme="minorHAnsi"/>
                <w:b/>
                <w:color w:val="FFFFFF" w:themeColor="background1"/>
                <w:sz w:val="18"/>
                <w:szCs w:val="18"/>
              </w:rPr>
            </w:pPr>
            <w:r w:rsidRPr="00230FBF">
              <w:rPr>
                <w:rFonts w:asciiTheme="minorHAnsi" w:hAnsiTheme="minorHAnsi"/>
                <w:b/>
                <w:color w:val="FFFFFF" w:themeColor="background1"/>
                <w:sz w:val="18"/>
                <w:szCs w:val="18"/>
              </w:rPr>
              <w:t>New England- Specific Total Overnight Plant Cost</w:t>
            </w:r>
            <w:r w:rsidR="00A37A8D">
              <w:rPr>
                <w:rFonts w:asciiTheme="minorHAnsi" w:hAnsiTheme="minorHAnsi"/>
                <w:b/>
                <w:color w:val="FFFFFF" w:themeColor="background1"/>
                <w:sz w:val="18"/>
                <w:szCs w:val="18"/>
              </w:rPr>
              <w:t>s</w:t>
            </w:r>
            <w:r w:rsidRPr="00230FBF">
              <w:rPr>
                <w:rFonts w:asciiTheme="minorHAnsi" w:hAnsiTheme="minorHAnsi"/>
                <w:b/>
                <w:color w:val="FFFFFF" w:themeColor="background1"/>
                <w:sz w:val="18"/>
                <w:szCs w:val="18"/>
              </w:rPr>
              <w:t xml:space="preserve"> (2015 $/kW)</w:t>
            </w:r>
            <w:r w:rsidR="009F4543" w:rsidRPr="00230FBF">
              <w:rPr>
                <w:rFonts w:asciiTheme="minorHAnsi" w:hAnsiTheme="minorHAnsi"/>
                <w:b/>
                <w:color w:val="FFFFFF" w:themeColor="background1"/>
                <w:sz w:val="18"/>
                <w:szCs w:val="18"/>
                <w:vertAlign w:val="superscript"/>
              </w:rPr>
              <w:t>(a)</w:t>
            </w:r>
          </w:p>
        </w:tc>
        <w:tc>
          <w:tcPr>
            <w:tcW w:w="2185" w:type="dxa"/>
            <w:shd w:val="clear" w:color="auto" w:fill="4F81BD" w:themeFill="accent1"/>
            <w:vAlign w:val="center"/>
          </w:tcPr>
          <w:p w:rsidR="005C2C9F" w:rsidRPr="00230FBF" w:rsidRDefault="005C2C9F" w:rsidP="00230FBF">
            <w:pPr>
              <w:keepNext/>
              <w:keepLines/>
              <w:widowControl w:val="0"/>
              <w:adjustRightInd/>
              <w:spacing w:before="40" w:after="40" w:line="240" w:lineRule="auto"/>
              <w:jc w:val="center"/>
              <w:textAlignment w:val="auto"/>
              <w:rPr>
                <w:rFonts w:asciiTheme="minorHAnsi" w:hAnsiTheme="minorHAnsi"/>
                <w:b/>
                <w:color w:val="FFFFFF" w:themeColor="background1"/>
                <w:sz w:val="18"/>
                <w:szCs w:val="18"/>
              </w:rPr>
            </w:pPr>
            <w:r w:rsidRPr="00230FBF">
              <w:rPr>
                <w:rFonts w:asciiTheme="minorHAnsi" w:hAnsiTheme="minorHAnsi"/>
                <w:b/>
                <w:color w:val="FFFFFF" w:themeColor="background1"/>
                <w:sz w:val="18"/>
                <w:szCs w:val="18"/>
              </w:rPr>
              <w:t>Typical Annual Carrying Charge</w:t>
            </w:r>
            <w:r w:rsidR="00A37A8D">
              <w:rPr>
                <w:rFonts w:asciiTheme="minorHAnsi" w:hAnsiTheme="minorHAnsi"/>
                <w:b/>
                <w:color w:val="FFFFFF" w:themeColor="background1"/>
                <w:sz w:val="18"/>
                <w:szCs w:val="18"/>
              </w:rPr>
              <w:t>s</w:t>
            </w:r>
            <w:r w:rsidRPr="00230FBF">
              <w:rPr>
                <w:rFonts w:asciiTheme="minorHAnsi" w:hAnsiTheme="minorHAnsi"/>
                <w:b/>
                <w:color w:val="FFFFFF" w:themeColor="background1"/>
                <w:sz w:val="18"/>
                <w:szCs w:val="18"/>
              </w:rPr>
              <w:t xml:space="preserve"> for New</w:t>
            </w:r>
            <w:r w:rsidR="00A37A8D">
              <w:rPr>
                <w:rFonts w:asciiTheme="minorHAnsi" w:hAnsiTheme="minorHAnsi"/>
                <w:b/>
                <w:color w:val="FFFFFF" w:themeColor="background1"/>
                <w:sz w:val="18"/>
                <w:szCs w:val="18"/>
              </w:rPr>
              <w:t>-</w:t>
            </w:r>
            <w:r w:rsidRPr="00230FBF">
              <w:rPr>
                <w:rFonts w:asciiTheme="minorHAnsi" w:hAnsiTheme="minorHAnsi"/>
                <w:b/>
                <w:color w:val="FFFFFF" w:themeColor="background1"/>
                <w:sz w:val="18"/>
                <w:szCs w:val="18"/>
              </w:rPr>
              <w:t>England</w:t>
            </w:r>
            <w:r w:rsidR="00A37A8D">
              <w:rPr>
                <w:rFonts w:asciiTheme="minorHAnsi" w:hAnsiTheme="minorHAnsi"/>
                <w:b/>
                <w:color w:val="FFFFFF" w:themeColor="background1"/>
                <w:sz w:val="18"/>
                <w:szCs w:val="18"/>
              </w:rPr>
              <w:t>-</w:t>
            </w:r>
            <w:r w:rsidRPr="00230FBF">
              <w:rPr>
                <w:rFonts w:asciiTheme="minorHAnsi" w:hAnsiTheme="minorHAnsi"/>
                <w:b/>
                <w:color w:val="FFFFFF" w:themeColor="background1"/>
                <w:sz w:val="18"/>
                <w:szCs w:val="18"/>
              </w:rPr>
              <w:t>Specific Resource</w:t>
            </w:r>
            <w:r w:rsidR="00A37A8D">
              <w:rPr>
                <w:rFonts w:asciiTheme="minorHAnsi" w:hAnsiTheme="minorHAnsi"/>
                <w:b/>
                <w:color w:val="FFFFFF" w:themeColor="background1"/>
                <w:sz w:val="18"/>
                <w:szCs w:val="18"/>
              </w:rPr>
              <w:t>s</w:t>
            </w:r>
            <w:r w:rsidRPr="00230FBF">
              <w:rPr>
                <w:rFonts w:asciiTheme="minorHAnsi" w:hAnsiTheme="minorHAnsi"/>
                <w:b/>
                <w:color w:val="FFFFFF" w:themeColor="background1"/>
                <w:sz w:val="18"/>
                <w:szCs w:val="18"/>
              </w:rPr>
              <w:t xml:space="preserve"> using 15% ($/kW-year)</w:t>
            </w:r>
          </w:p>
        </w:tc>
      </w:tr>
      <w:tr w:rsidR="00F60979" w:rsidRPr="004B3F6A" w:rsidTr="00D93F24">
        <w:trPr>
          <w:gridAfter w:val="1"/>
          <w:wAfter w:w="13" w:type="dxa"/>
          <w:jc w:val="center"/>
        </w:trPr>
        <w:tc>
          <w:tcPr>
            <w:tcW w:w="1728" w:type="dxa"/>
            <w:shd w:val="clear" w:color="auto" w:fill="auto"/>
            <w:vAlign w:val="center"/>
          </w:tcPr>
          <w:p w:rsidR="005C2C9F" w:rsidRPr="00D93F24" w:rsidRDefault="005C2C9F" w:rsidP="00D93F24">
            <w:pPr>
              <w:keepNext/>
              <w:keepLines/>
              <w:widowControl w:val="0"/>
              <w:adjustRightInd/>
              <w:spacing w:before="40" w:after="40" w:line="240" w:lineRule="auto"/>
              <w:textAlignment w:val="auto"/>
              <w:rPr>
                <w:rFonts w:asciiTheme="minorHAnsi" w:hAnsiTheme="minorHAnsi"/>
                <w:b/>
                <w:sz w:val="18"/>
                <w:szCs w:val="18"/>
              </w:rPr>
            </w:pPr>
            <w:r w:rsidRPr="00D93F24">
              <w:rPr>
                <w:rFonts w:asciiTheme="minorHAnsi" w:hAnsiTheme="minorHAnsi"/>
                <w:b/>
                <w:sz w:val="18"/>
                <w:szCs w:val="18"/>
              </w:rPr>
              <w:t>Solar Photovoltaic</w:t>
            </w:r>
            <w:r w:rsidR="009F4543" w:rsidRPr="00D93F24">
              <w:rPr>
                <w:rFonts w:asciiTheme="minorHAnsi" w:hAnsiTheme="minorHAnsi"/>
                <w:b/>
                <w:sz w:val="18"/>
                <w:szCs w:val="18"/>
                <w:vertAlign w:val="superscript"/>
              </w:rPr>
              <w:t>(b)</w:t>
            </w:r>
          </w:p>
        </w:tc>
        <w:tc>
          <w:tcPr>
            <w:tcW w:w="1113" w:type="dxa"/>
            <w:shd w:val="clear" w:color="auto" w:fill="auto"/>
            <w:tcMar>
              <w:left w:w="0" w:type="dxa"/>
              <w:right w:w="0" w:type="dxa"/>
            </w:tcMar>
            <w:vAlign w:val="center"/>
          </w:tcPr>
          <w:p w:rsidR="005C2C9F" w:rsidRPr="00D93F24" w:rsidRDefault="005C2C9F" w:rsidP="00D93F24">
            <w:pPr>
              <w:keepNext/>
              <w:keepLines/>
              <w:widowControl w:val="0"/>
              <w:adjustRightInd/>
              <w:spacing w:before="40" w:after="40" w:line="240" w:lineRule="auto"/>
              <w:jc w:val="center"/>
              <w:textAlignment w:val="auto"/>
              <w:rPr>
                <w:rFonts w:asciiTheme="minorHAnsi" w:hAnsiTheme="minorHAnsi"/>
                <w:sz w:val="18"/>
                <w:szCs w:val="18"/>
              </w:rPr>
            </w:pPr>
            <w:r w:rsidRPr="00D93F24">
              <w:rPr>
                <w:rFonts w:asciiTheme="minorHAnsi" w:hAnsiTheme="minorHAnsi"/>
                <w:sz w:val="18"/>
                <w:szCs w:val="18"/>
              </w:rPr>
              <w:t>150</w:t>
            </w:r>
          </w:p>
        </w:tc>
        <w:tc>
          <w:tcPr>
            <w:tcW w:w="2239" w:type="dxa"/>
            <w:shd w:val="clear" w:color="auto" w:fill="auto"/>
            <w:tcMar>
              <w:left w:w="0" w:type="dxa"/>
              <w:right w:w="720" w:type="dxa"/>
            </w:tcMar>
            <w:vAlign w:val="center"/>
          </w:tcPr>
          <w:p w:rsidR="005C2C9F" w:rsidRPr="00D93F24" w:rsidRDefault="005C2C9F" w:rsidP="00D93F24">
            <w:pPr>
              <w:keepNext/>
              <w:keepLines/>
              <w:widowControl w:val="0"/>
              <w:adjustRightInd/>
              <w:spacing w:before="40" w:after="40" w:line="240" w:lineRule="auto"/>
              <w:jc w:val="right"/>
              <w:textAlignment w:val="auto"/>
              <w:rPr>
                <w:rFonts w:asciiTheme="minorHAnsi" w:hAnsiTheme="minorHAnsi"/>
                <w:sz w:val="18"/>
                <w:szCs w:val="18"/>
              </w:rPr>
            </w:pPr>
            <w:r w:rsidRPr="00D93F24">
              <w:rPr>
                <w:rFonts w:asciiTheme="minorHAnsi" w:hAnsiTheme="minorHAnsi"/>
                <w:sz w:val="18"/>
                <w:szCs w:val="18"/>
              </w:rPr>
              <w:t>2,362</w:t>
            </w:r>
          </w:p>
        </w:tc>
        <w:tc>
          <w:tcPr>
            <w:tcW w:w="2070" w:type="dxa"/>
            <w:shd w:val="clear" w:color="auto" w:fill="auto"/>
            <w:tcMar>
              <w:left w:w="0" w:type="dxa"/>
              <w:right w:w="720" w:type="dxa"/>
            </w:tcMar>
            <w:vAlign w:val="center"/>
          </w:tcPr>
          <w:p w:rsidR="005C2C9F" w:rsidRPr="00D93F24" w:rsidRDefault="005C2C9F" w:rsidP="00D93F24">
            <w:pPr>
              <w:keepNext/>
              <w:keepLines/>
              <w:widowControl w:val="0"/>
              <w:adjustRightInd/>
              <w:spacing w:before="40" w:after="40" w:line="240" w:lineRule="auto"/>
              <w:jc w:val="right"/>
              <w:textAlignment w:val="auto"/>
              <w:rPr>
                <w:rFonts w:asciiTheme="minorHAnsi" w:hAnsiTheme="minorHAnsi"/>
                <w:sz w:val="18"/>
                <w:szCs w:val="18"/>
              </w:rPr>
            </w:pPr>
            <w:r w:rsidRPr="00D93F24">
              <w:rPr>
                <w:rFonts w:asciiTheme="minorHAnsi" w:hAnsiTheme="minorHAnsi"/>
                <w:sz w:val="18"/>
                <w:szCs w:val="18"/>
              </w:rPr>
              <w:t>2,559</w:t>
            </w:r>
          </w:p>
        </w:tc>
        <w:tc>
          <w:tcPr>
            <w:tcW w:w="2185" w:type="dxa"/>
            <w:shd w:val="clear" w:color="auto" w:fill="auto"/>
            <w:tcMar>
              <w:left w:w="0" w:type="dxa"/>
              <w:right w:w="0" w:type="dxa"/>
            </w:tcMar>
            <w:vAlign w:val="center"/>
          </w:tcPr>
          <w:p w:rsidR="005C2C9F" w:rsidRPr="00D93F24" w:rsidRDefault="005C2C9F" w:rsidP="00D93F24">
            <w:pPr>
              <w:keepNext/>
              <w:keepLines/>
              <w:widowControl w:val="0"/>
              <w:adjustRightInd/>
              <w:spacing w:before="40" w:after="40" w:line="240" w:lineRule="auto"/>
              <w:jc w:val="center"/>
              <w:textAlignment w:val="auto"/>
              <w:rPr>
                <w:rFonts w:asciiTheme="minorHAnsi" w:hAnsiTheme="minorHAnsi"/>
                <w:sz w:val="18"/>
                <w:szCs w:val="18"/>
              </w:rPr>
            </w:pPr>
            <w:r w:rsidRPr="00D93F24">
              <w:rPr>
                <w:rFonts w:asciiTheme="minorHAnsi" w:hAnsiTheme="minorHAnsi"/>
                <w:sz w:val="18"/>
                <w:szCs w:val="18"/>
              </w:rPr>
              <w:t>384</w:t>
            </w:r>
          </w:p>
        </w:tc>
      </w:tr>
      <w:tr w:rsidR="00F60979" w:rsidRPr="004B3F6A" w:rsidTr="00D93F24">
        <w:trPr>
          <w:gridAfter w:val="1"/>
          <w:wAfter w:w="13" w:type="dxa"/>
          <w:jc w:val="center"/>
        </w:trPr>
        <w:tc>
          <w:tcPr>
            <w:tcW w:w="1728" w:type="dxa"/>
            <w:shd w:val="clear" w:color="auto" w:fill="DBE5F1" w:themeFill="accent1" w:themeFillTint="33"/>
            <w:vAlign w:val="center"/>
          </w:tcPr>
          <w:p w:rsidR="005C2C9F" w:rsidRPr="00D93F24" w:rsidRDefault="005C2C9F" w:rsidP="00D93F24">
            <w:pPr>
              <w:keepNext/>
              <w:keepLines/>
              <w:widowControl w:val="0"/>
              <w:adjustRightInd/>
              <w:spacing w:before="40" w:after="40" w:line="240" w:lineRule="auto"/>
              <w:textAlignment w:val="auto"/>
              <w:rPr>
                <w:rFonts w:asciiTheme="minorHAnsi" w:hAnsiTheme="minorHAnsi"/>
                <w:b/>
                <w:sz w:val="18"/>
                <w:szCs w:val="18"/>
              </w:rPr>
            </w:pPr>
            <w:r w:rsidRPr="00D93F24">
              <w:rPr>
                <w:rFonts w:asciiTheme="minorHAnsi" w:hAnsiTheme="minorHAnsi"/>
                <w:b/>
                <w:sz w:val="18"/>
                <w:szCs w:val="18"/>
              </w:rPr>
              <w:t>Conventional CC</w:t>
            </w:r>
          </w:p>
        </w:tc>
        <w:tc>
          <w:tcPr>
            <w:tcW w:w="1113" w:type="dxa"/>
            <w:shd w:val="clear" w:color="auto" w:fill="DBE5F1" w:themeFill="accent1" w:themeFillTint="33"/>
            <w:tcMar>
              <w:left w:w="0" w:type="dxa"/>
              <w:right w:w="0" w:type="dxa"/>
            </w:tcMar>
            <w:vAlign w:val="center"/>
          </w:tcPr>
          <w:p w:rsidR="005C2C9F" w:rsidRPr="00D93F24" w:rsidRDefault="005C2C9F" w:rsidP="00D93F24">
            <w:pPr>
              <w:keepNext/>
              <w:keepLines/>
              <w:widowControl w:val="0"/>
              <w:adjustRightInd/>
              <w:spacing w:before="40" w:after="40" w:line="240" w:lineRule="auto"/>
              <w:jc w:val="center"/>
              <w:textAlignment w:val="auto"/>
              <w:rPr>
                <w:rFonts w:asciiTheme="minorHAnsi" w:hAnsiTheme="minorHAnsi"/>
                <w:sz w:val="18"/>
                <w:szCs w:val="18"/>
              </w:rPr>
            </w:pPr>
            <w:r w:rsidRPr="00D93F24">
              <w:rPr>
                <w:rFonts w:asciiTheme="minorHAnsi" w:hAnsiTheme="minorHAnsi"/>
                <w:sz w:val="18"/>
                <w:szCs w:val="18"/>
              </w:rPr>
              <w:t>702</w:t>
            </w:r>
          </w:p>
        </w:tc>
        <w:tc>
          <w:tcPr>
            <w:tcW w:w="2239" w:type="dxa"/>
            <w:shd w:val="clear" w:color="auto" w:fill="DBE5F1" w:themeFill="accent1" w:themeFillTint="33"/>
            <w:tcMar>
              <w:left w:w="0" w:type="dxa"/>
              <w:right w:w="720" w:type="dxa"/>
            </w:tcMar>
            <w:vAlign w:val="center"/>
          </w:tcPr>
          <w:p w:rsidR="005C2C9F" w:rsidRPr="00D93F24" w:rsidRDefault="005C2C9F" w:rsidP="00D93F24">
            <w:pPr>
              <w:keepNext/>
              <w:keepLines/>
              <w:widowControl w:val="0"/>
              <w:adjustRightInd/>
              <w:spacing w:before="40" w:after="40" w:line="240" w:lineRule="auto"/>
              <w:jc w:val="right"/>
              <w:textAlignment w:val="auto"/>
              <w:rPr>
                <w:rFonts w:asciiTheme="minorHAnsi" w:hAnsiTheme="minorHAnsi"/>
                <w:sz w:val="18"/>
                <w:szCs w:val="18"/>
              </w:rPr>
            </w:pPr>
            <w:r w:rsidRPr="00D93F24">
              <w:rPr>
                <w:rFonts w:asciiTheme="minorHAnsi" w:hAnsiTheme="minorHAnsi"/>
                <w:sz w:val="18"/>
                <w:szCs w:val="18"/>
              </w:rPr>
              <w:t>911</w:t>
            </w:r>
          </w:p>
        </w:tc>
        <w:tc>
          <w:tcPr>
            <w:tcW w:w="2070" w:type="dxa"/>
            <w:shd w:val="clear" w:color="auto" w:fill="DBE5F1" w:themeFill="accent1" w:themeFillTint="33"/>
            <w:tcMar>
              <w:left w:w="0" w:type="dxa"/>
              <w:right w:w="720" w:type="dxa"/>
            </w:tcMar>
            <w:vAlign w:val="center"/>
          </w:tcPr>
          <w:p w:rsidR="005C2C9F" w:rsidRPr="00D93F24" w:rsidRDefault="005C2C9F" w:rsidP="00D93F24">
            <w:pPr>
              <w:keepNext/>
              <w:keepLines/>
              <w:widowControl w:val="0"/>
              <w:adjustRightInd/>
              <w:spacing w:before="40" w:after="40" w:line="240" w:lineRule="auto"/>
              <w:jc w:val="right"/>
              <w:textAlignment w:val="auto"/>
              <w:rPr>
                <w:rFonts w:asciiTheme="minorHAnsi" w:hAnsiTheme="minorHAnsi"/>
                <w:sz w:val="18"/>
                <w:szCs w:val="18"/>
              </w:rPr>
            </w:pPr>
            <w:r w:rsidRPr="00D93F24">
              <w:rPr>
                <w:rFonts w:asciiTheme="minorHAnsi" w:hAnsiTheme="minorHAnsi"/>
                <w:sz w:val="18"/>
                <w:szCs w:val="18"/>
              </w:rPr>
              <w:t>1,062</w:t>
            </w:r>
          </w:p>
        </w:tc>
        <w:tc>
          <w:tcPr>
            <w:tcW w:w="2185" w:type="dxa"/>
            <w:shd w:val="clear" w:color="auto" w:fill="DBE5F1" w:themeFill="accent1" w:themeFillTint="33"/>
            <w:tcMar>
              <w:left w:w="0" w:type="dxa"/>
              <w:right w:w="0" w:type="dxa"/>
            </w:tcMar>
            <w:vAlign w:val="center"/>
          </w:tcPr>
          <w:p w:rsidR="005C2C9F" w:rsidRPr="00D93F24" w:rsidRDefault="005C2C9F" w:rsidP="00D93F24">
            <w:pPr>
              <w:keepNext/>
              <w:keepLines/>
              <w:widowControl w:val="0"/>
              <w:adjustRightInd/>
              <w:spacing w:before="40" w:after="40" w:line="240" w:lineRule="auto"/>
              <w:jc w:val="center"/>
              <w:textAlignment w:val="auto"/>
              <w:rPr>
                <w:rFonts w:asciiTheme="minorHAnsi" w:hAnsiTheme="minorHAnsi"/>
                <w:sz w:val="18"/>
                <w:szCs w:val="18"/>
              </w:rPr>
            </w:pPr>
            <w:r w:rsidRPr="00D93F24">
              <w:rPr>
                <w:rFonts w:asciiTheme="minorHAnsi" w:hAnsiTheme="minorHAnsi"/>
                <w:sz w:val="18"/>
                <w:szCs w:val="18"/>
              </w:rPr>
              <w:t>159</w:t>
            </w:r>
          </w:p>
        </w:tc>
      </w:tr>
      <w:tr w:rsidR="00F60979" w:rsidRPr="004B3F6A" w:rsidTr="00D93F24">
        <w:trPr>
          <w:gridAfter w:val="1"/>
          <w:wAfter w:w="13" w:type="dxa"/>
          <w:jc w:val="center"/>
        </w:trPr>
        <w:tc>
          <w:tcPr>
            <w:tcW w:w="1728" w:type="dxa"/>
            <w:shd w:val="clear" w:color="auto" w:fill="auto"/>
            <w:vAlign w:val="center"/>
          </w:tcPr>
          <w:p w:rsidR="005C2C9F" w:rsidRPr="00D93F24" w:rsidRDefault="005C2C9F" w:rsidP="00D93F24">
            <w:pPr>
              <w:keepNext/>
              <w:keepLines/>
              <w:widowControl w:val="0"/>
              <w:adjustRightInd/>
              <w:spacing w:before="40" w:after="40" w:line="240" w:lineRule="auto"/>
              <w:textAlignment w:val="auto"/>
              <w:rPr>
                <w:rFonts w:asciiTheme="minorHAnsi" w:hAnsiTheme="minorHAnsi"/>
                <w:b/>
                <w:sz w:val="18"/>
                <w:szCs w:val="18"/>
              </w:rPr>
            </w:pPr>
            <w:r w:rsidRPr="00D93F24">
              <w:rPr>
                <w:rFonts w:asciiTheme="minorHAnsi" w:hAnsiTheme="minorHAnsi"/>
                <w:b/>
                <w:sz w:val="18"/>
                <w:szCs w:val="18"/>
              </w:rPr>
              <w:t>Conventional CT</w:t>
            </w:r>
          </w:p>
        </w:tc>
        <w:tc>
          <w:tcPr>
            <w:tcW w:w="1113" w:type="dxa"/>
            <w:shd w:val="clear" w:color="auto" w:fill="auto"/>
            <w:tcMar>
              <w:left w:w="0" w:type="dxa"/>
              <w:right w:w="0" w:type="dxa"/>
            </w:tcMar>
            <w:vAlign w:val="center"/>
          </w:tcPr>
          <w:p w:rsidR="005C2C9F" w:rsidRPr="00D93F24" w:rsidRDefault="005C2C9F" w:rsidP="00D93F24">
            <w:pPr>
              <w:keepNext/>
              <w:keepLines/>
              <w:widowControl w:val="0"/>
              <w:adjustRightInd/>
              <w:spacing w:before="40" w:after="40" w:line="240" w:lineRule="auto"/>
              <w:jc w:val="center"/>
              <w:textAlignment w:val="auto"/>
              <w:rPr>
                <w:rFonts w:asciiTheme="minorHAnsi" w:hAnsiTheme="minorHAnsi"/>
                <w:sz w:val="18"/>
                <w:szCs w:val="18"/>
              </w:rPr>
            </w:pPr>
            <w:r w:rsidRPr="00D93F24">
              <w:rPr>
                <w:rFonts w:asciiTheme="minorHAnsi" w:hAnsiTheme="minorHAnsi"/>
                <w:sz w:val="18"/>
                <w:szCs w:val="18"/>
              </w:rPr>
              <w:t>100</w:t>
            </w:r>
          </w:p>
        </w:tc>
        <w:tc>
          <w:tcPr>
            <w:tcW w:w="2239" w:type="dxa"/>
            <w:shd w:val="clear" w:color="auto" w:fill="auto"/>
            <w:tcMar>
              <w:left w:w="0" w:type="dxa"/>
              <w:right w:w="720" w:type="dxa"/>
            </w:tcMar>
            <w:vAlign w:val="center"/>
          </w:tcPr>
          <w:p w:rsidR="005C2C9F" w:rsidRPr="00D93F24" w:rsidRDefault="005C2C9F" w:rsidP="00D93F24">
            <w:pPr>
              <w:keepNext/>
              <w:keepLines/>
              <w:widowControl w:val="0"/>
              <w:adjustRightInd/>
              <w:spacing w:before="40" w:after="40" w:line="240" w:lineRule="auto"/>
              <w:jc w:val="right"/>
              <w:textAlignment w:val="auto"/>
              <w:rPr>
                <w:rFonts w:asciiTheme="minorHAnsi" w:hAnsiTheme="minorHAnsi"/>
                <w:sz w:val="18"/>
                <w:szCs w:val="18"/>
              </w:rPr>
            </w:pPr>
            <w:r w:rsidRPr="00D93F24">
              <w:rPr>
                <w:rFonts w:asciiTheme="minorHAnsi" w:hAnsiTheme="minorHAnsi"/>
                <w:sz w:val="18"/>
                <w:szCs w:val="18"/>
              </w:rPr>
              <w:t>1,026</w:t>
            </w:r>
          </w:p>
        </w:tc>
        <w:tc>
          <w:tcPr>
            <w:tcW w:w="2070" w:type="dxa"/>
            <w:shd w:val="clear" w:color="auto" w:fill="auto"/>
            <w:tcMar>
              <w:left w:w="0" w:type="dxa"/>
              <w:right w:w="720" w:type="dxa"/>
            </w:tcMar>
            <w:vAlign w:val="center"/>
          </w:tcPr>
          <w:p w:rsidR="005C2C9F" w:rsidRPr="00D93F24" w:rsidRDefault="005C2C9F" w:rsidP="00D93F24">
            <w:pPr>
              <w:keepNext/>
              <w:keepLines/>
              <w:widowControl w:val="0"/>
              <w:adjustRightInd/>
              <w:spacing w:before="40" w:after="40" w:line="240" w:lineRule="auto"/>
              <w:jc w:val="right"/>
              <w:textAlignment w:val="auto"/>
              <w:rPr>
                <w:rFonts w:asciiTheme="minorHAnsi" w:hAnsiTheme="minorHAnsi"/>
                <w:sz w:val="18"/>
                <w:szCs w:val="18"/>
              </w:rPr>
            </w:pPr>
            <w:r w:rsidRPr="00D93F24">
              <w:rPr>
                <w:rFonts w:asciiTheme="minorHAnsi" w:hAnsiTheme="minorHAnsi"/>
                <w:sz w:val="18"/>
                <w:szCs w:val="18"/>
              </w:rPr>
              <w:t>1,119</w:t>
            </w:r>
          </w:p>
        </w:tc>
        <w:tc>
          <w:tcPr>
            <w:tcW w:w="2185" w:type="dxa"/>
            <w:shd w:val="clear" w:color="auto" w:fill="auto"/>
            <w:tcMar>
              <w:left w:w="0" w:type="dxa"/>
              <w:right w:w="0" w:type="dxa"/>
            </w:tcMar>
            <w:vAlign w:val="center"/>
          </w:tcPr>
          <w:p w:rsidR="005C2C9F" w:rsidRPr="00D93F24" w:rsidRDefault="005C2C9F" w:rsidP="00D93F24">
            <w:pPr>
              <w:keepNext/>
              <w:keepLines/>
              <w:widowControl w:val="0"/>
              <w:adjustRightInd/>
              <w:spacing w:before="40" w:after="40" w:line="240" w:lineRule="auto"/>
              <w:jc w:val="center"/>
              <w:textAlignment w:val="auto"/>
              <w:rPr>
                <w:rFonts w:asciiTheme="minorHAnsi" w:hAnsiTheme="minorHAnsi"/>
                <w:sz w:val="18"/>
                <w:szCs w:val="18"/>
              </w:rPr>
            </w:pPr>
            <w:r w:rsidRPr="00D93F24">
              <w:rPr>
                <w:rFonts w:asciiTheme="minorHAnsi" w:hAnsiTheme="minorHAnsi"/>
                <w:sz w:val="18"/>
                <w:szCs w:val="18"/>
              </w:rPr>
              <w:t>168</w:t>
            </w:r>
          </w:p>
        </w:tc>
      </w:tr>
      <w:tr w:rsidR="00F60979" w:rsidRPr="004B3F6A" w:rsidTr="00D93F24">
        <w:trPr>
          <w:gridAfter w:val="1"/>
          <w:wAfter w:w="13" w:type="dxa"/>
          <w:jc w:val="center"/>
        </w:trPr>
        <w:tc>
          <w:tcPr>
            <w:tcW w:w="1728" w:type="dxa"/>
            <w:shd w:val="clear" w:color="auto" w:fill="DBE5F1" w:themeFill="accent1" w:themeFillTint="33"/>
            <w:vAlign w:val="center"/>
          </w:tcPr>
          <w:p w:rsidR="005C2C9F" w:rsidRPr="00D93F24" w:rsidRDefault="005C2C9F" w:rsidP="00D93F24">
            <w:pPr>
              <w:keepNext/>
              <w:keepLines/>
              <w:widowControl w:val="0"/>
              <w:adjustRightInd/>
              <w:spacing w:before="40" w:after="40" w:line="240" w:lineRule="auto"/>
              <w:textAlignment w:val="auto"/>
              <w:rPr>
                <w:rFonts w:asciiTheme="minorHAnsi" w:hAnsiTheme="minorHAnsi"/>
                <w:b/>
                <w:sz w:val="18"/>
                <w:szCs w:val="18"/>
              </w:rPr>
            </w:pPr>
            <w:r w:rsidRPr="00D93F24">
              <w:rPr>
                <w:rFonts w:asciiTheme="minorHAnsi" w:hAnsiTheme="minorHAnsi"/>
                <w:b/>
                <w:sz w:val="18"/>
                <w:szCs w:val="18"/>
              </w:rPr>
              <w:t>Offshore Wind</w:t>
            </w:r>
          </w:p>
        </w:tc>
        <w:tc>
          <w:tcPr>
            <w:tcW w:w="1113" w:type="dxa"/>
            <w:shd w:val="clear" w:color="auto" w:fill="DBE5F1" w:themeFill="accent1" w:themeFillTint="33"/>
            <w:tcMar>
              <w:left w:w="0" w:type="dxa"/>
              <w:right w:w="0" w:type="dxa"/>
            </w:tcMar>
            <w:vAlign w:val="center"/>
          </w:tcPr>
          <w:p w:rsidR="005C2C9F" w:rsidRPr="00D93F24" w:rsidRDefault="005C2C9F" w:rsidP="00D93F24">
            <w:pPr>
              <w:keepNext/>
              <w:keepLines/>
              <w:widowControl w:val="0"/>
              <w:adjustRightInd/>
              <w:spacing w:before="40" w:after="40" w:line="240" w:lineRule="auto"/>
              <w:jc w:val="center"/>
              <w:textAlignment w:val="auto"/>
              <w:rPr>
                <w:rFonts w:asciiTheme="minorHAnsi" w:hAnsiTheme="minorHAnsi"/>
                <w:sz w:val="18"/>
                <w:szCs w:val="18"/>
              </w:rPr>
            </w:pPr>
            <w:r w:rsidRPr="00D93F24">
              <w:rPr>
                <w:rFonts w:asciiTheme="minorHAnsi" w:hAnsiTheme="minorHAnsi"/>
                <w:sz w:val="18"/>
                <w:szCs w:val="18"/>
              </w:rPr>
              <w:t>400</w:t>
            </w:r>
          </w:p>
        </w:tc>
        <w:tc>
          <w:tcPr>
            <w:tcW w:w="2239" w:type="dxa"/>
            <w:shd w:val="clear" w:color="auto" w:fill="DBE5F1" w:themeFill="accent1" w:themeFillTint="33"/>
            <w:tcMar>
              <w:left w:w="0" w:type="dxa"/>
              <w:right w:w="720" w:type="dxa"/>
            </w:tcMar>
            <w:vAlign w:val="center"/>
          </w:tcPr>
          <w:p w:rsidR="005C2C9F" w:rsidRPr="00D93F24" w:rsidRDefault="005C2C9F" w:rsidP="00D93F24">
            <w:pPr>
              <w:keepNext/>
              <w:keepLines/>
              <w:widowControl w:val="0"/>
              <w:adjustRightInd/>
              <w:spacing w:before="40" w:after="40" w:line="240" w:lineRule="auto"/>
              <w:jc w:val="right"/>
              <w:textAlignment w:val="auto"/>
              <w:rPr>
                <w:rFonts w:asciiTheme="minorHAnsi" w:hAnsiTheme="minorHAnsi"/>
                <w:sz w:val="18"/>
                <w:szCs w:val="18"/>
              </w:rPr>
            </w:pPr>
            <w:r w:rsidRPr="00D93F24">
              <w:rPr>
                <w:rFonts w:asciiTheme="minorHAnsi" w:hAnsiTheme="minorHAnsi"/>
                <w:sz w:val="18"/>
                <w:szCs w:val="18"/>
              </w:rPr>
              <w:t>4,605</w:t>
            </w:r>
          </w:p>
        </w:tc>
        <w:tc>
          <w:tcPr>
            <w:tcW w:w="2070" w:type="dxa"/>
            <w:shd w:val="clear" w:color="auto" w:fill="DBE5F1" w:themeFill="accent1" w:themeFillTint="33"/>
            <w:tcMar>
              <w:left w:w="0" w:type="dxa"/>
              <w:right w:w="720" w:type="dxa"/>
            </w:tcMar>
            <w:vAlign w:val="center"/>
          </w:tcPr>
          <w:p w:rsidR="005C2C9F" w:rsidRPr="00D93F24" w:rsidRDefault="005C2C9F" w:rsidP="00D93F24">
            <w:pPr>
              <w:keepNext/>
              <w:keepLines/>
              <w:widowControl w:val="0"/>
              <w:adjustRightInd/>
              <w:spacing w:before="40" w:after="40" w:line="240" w:lineRule="auto"/>
              <w:jc w:val="right"/>
              <w:textAlignment w:val="auto"/>
              <w:rPr>
                <w:rFonts w:asciiTheme="minorHAnsi" w:hAnsiTheme="minorHAnsi"/>
                <w:sz w:val="18"/>
                <w:szCs w:val="18"/>
              </w:rPr>
            </w:pPr>
            <w:r w:rsidRPr="00D93F24">
              <w:rPr>
                <w:rFonts w:asciiTheme="minorHAnsi" w:hAnsiTheme="minorHAnsi"/>
                <w:sz w:val="18"/>
                <w:szCs w:val="18"/>
              </w:rPr>
              <w:t>6,496</w:t>
            </w:r>
          </w:p>
        </w:tc>
        <w:tc>
          <w:tcPr>
            <w:tcW w:w="2185" w:type="dxa"/>
            <w:shd w:val="clear" w:color="auto" w:fill="DBE5F1" w:themeFill="accent1" w:themeFillTint="33"/>
            <w:tcMar>
              <w:left w:w="0" w:type="dxa"/>
              <w:right w:w="0" w:type="dxa"/>
            </w:tcMar>
            <w:vAlign w:val="center"/>
          </w:tcPr>
          <w:p w:rsidR="005C2C9F" w:rsidRPr="00D93F24" w:rsidRDefault="005C2C9F" w:rsidP="00D93F24">
            <w:pPr>
              <w:keepNext/>
              <w:keepLines/>
              <w:widowControl w:val="0"/>
              <w:adjustRightInd/>
              <w:spacing w:before="40" w:after="40" w:line="240" w:lineRule="auto"/>
              <w:jc w:val="center"/>
              <w:textAlignment w:val="auto"/>
              <w:rPr>
                <w:rFonts w:asciiTheme="minorHAnsi" w:hAnsiTheme="minorHAnsi"/>
                <w:sz w:val="18"/>
                <w:szCs w:val="18"/>
              </w:rPr>
            </w:pPr>
            <w:r w:rsidRPr="00D93F24">
              <w:rPr>
                <w:rFonts w:asciiTheme="minorHAnsi" w:hAnsiTheme="minorHAnsi"/>
                <w:sz w:val="18"/>
                <w:szCs w:val="18"/>
              </w:rPr>
              <w:t>974</w:t>
            </w:r>
          </w:p>
        </w:tc>
      </w:tr>
      <w:tr w:rsidR="00F60979" w:rsidRPr="004B3F6A" w:rsidTr="00D93F24">
        <w:trPr>
          <w:jc w:val="center"/>
        </w:trPr>
        <w:tc>
          <w:tcPr>
            <w:tcW w:w="1728" w:type="dxa"/>
            <w:shd w:val="clear" w:color="auto" w:fill="auto"/>
            <w:vAlign w:val="center"/>
          </w:tcPr>
          <w:p w:rsidR="005C2C9F" w:rsidRPr="00D93F24" w:rsidRDefault="005C2C9F" w:rsidP="00D93F24">
            <w:pPr>
              <w:keepNext/>
              <w:keepLines/>
              <w:widowControl w:val="0"/>
              <w:adjustRightInd/>
              <w:spacing w:before="40" w:after="40" w:line="240" w:lineRule="auto"/>
              <w:textAlignment w:val="auto"/>
              <w:rPr>
                <w:rFonts w:asciiTheme="minorHAnsi" w:hAnsiTheme="minorHAnsi"/>
                <w:b/>
                <w:sz w:val="18"/>
                <w:szCs w:val="18"/>
              </w:rPr>
            </w:pPr>
            <w:r w:rsidRPr="00D93F24">
              <w:rPr>
                <w:rFonts w:asciiTheme="minorHAnsi" w:hAnsiTheme="minorHAnsi"/>
                <w:b/>
                <w:sz w:val="18"/>
                <w:szCs w:val="18"/>
              </w:rPr>
              <w:t>Onshore Wind</w:t>
            </w:r>
          </w:p>
        </w:tc>
        <w:tc>
          <w:tcPr>
            <w:tcW w:w="1113" w:type="dxa"/>
            <w:shd w:val="clear" w:color="auto" w:fill="auto"/>
            <w:tcMar>
              <w:left w:w="0" w:type="dxa"/>
              <w:right w:w="0" w:type="dxa"/>
            </w:tcMar>
            <w:vAlign w:val="center"/>
          </w:tcPr>
          <w:p w:rsidR="005C2C9F" w:rsidRPr="00D93F24" w:rsidRDefault="005C2C9F" w:rsidP="00D93F24">
            <w:pPr>
              <w:keepNext/>
              <w:keepLines/>
              <w:widowControl w:val="0"/>
              <w:adjustRightInd/>
              <w:spacing w:before="40" w:after="40" w:line="240" w:lineRule="auto"/>
              <w:jc w:val="center"/>
              <w:textAlignment w:val="auto"/>
              <w:rPr>
                <w:rFonts w:asciiTheme="minorHAnsi" w:hAnsiTheme="minorHAnsi"/>
                <w:sz w:val="18"/>
                <w:szCs w:val="18"/>
              </w:rPr>
            </w:pPr>
            <w:r w:rsidRPr="00D93F24">
              <w:rPr>
                <w:rFonts w:asciiTheme="minorHAnsi" w:hAnsiTheme="minorHAnsi"/>
                <w:sz w:val="18"/>
                <w:szCs w:val="18"/>
              </w:rPr>
              <w:t>100</w:t>
            </w:r>
          </w:p>
        </w:tc>
        <w:tc>
          <w:tcPr>
            <w:tcW w:w="2239" w:type="dxa"/>
            <w:shd w:val="clear" w:color="auto" w:fill="auto"/>
            <w:tcMar>
              <w:left w:w="0" w:type="dxa"/>
              <w:right w:w="720" w:type="dxa"/>
            </w:tcMar>
            <w:vAlign w:val="center"/>
          </w:tcPr>
          <w:p w:rsidR="005C2C9F" w:rsidRPr="00D93F24" w:rsidRDefault="005C2C9F" w:rsidP="00D93F24">
            <w:pPr>
              <w:keepNext/>
              <w:keepLines/>
              <w:widowControl w:val="0"/>
              <w:adjustRightInd/>
              <w:spacing w:before="40" w:after="40" w:line="240" w:lineRule="auto"/>
              <w:jc w:val="right"/>
              <w:textAlignment w:val="auto"/>
              <w:rPr>
                <w:rFonts w:asciiTheme="minorHAnsi" w:hAnsiTheme="minorHAnsi"/>
                <w:sz w:val="18"/>
                <w:szCs w:val="18"/>
              </w:rPr>
            </w:pPr>
            <w:r w:rsidRPr="00D93F24">
              <w:rPr>
                <w:rFonts w:asciiTheme="minorHAnsi" w:hAnsiTheme="minorHAnsi"/>
                <w:sz w:val="18"/>
                <w:szCs w:val="18"/>
              </w:rPr>
              <w:t>1,536</w:t>
            </w:r>
          </w:p>
        </w:tc>
        <w:tc>
          <w:tcPr>
            <w:tcW w:w="2070" w:type="dxa"/>
            <w:shd w:val="clear" w:color="auto" w:fill="auto"/>
            <w:tcMar>
              <w:left w:w="0" w:type="dxa"/>
              <w:right w:w="720" w:type="dxa"/>
            </w:tcMar>
            <w:vAlign w:val="center"/>
          </w:tcPr>
          <w:p w:rsidR="005C2C9F" w:rsidRPr="00D93F24" w:rsidRDefault="005C2C9F" w:rsidP="00D93F24">
            <w:pPr>
              <w:keepNext/>
              <w:keepLines/>
              <w:widowControl w:val="0"/>
              <w:adjustRightInd/>
              <w:spacing w:before="40" w:after="40" w:line="240" w:lineRule="auto"/>
              <w:jc w:val="right"/>
              <w:textAlignment w:val="auto"/>
              <w:rPr>
                <w:rFonts w:asciiTheme="minorHAnsi" w:hAnsiTheme="minorHAnsi"/>
                <w:sz w:val="18"/>
                <w:szCs w:val="18"/>
              </w:rPr>
            </w:pPr>
            <w:r w:rsidRPr="00D93F24">
              <w:rPr>
                <w:rFonts w:asciiTheme="minorHAnsi" w:hAnsiTheme="minorHAnsi"/>
                <w:sz w:val="18"/>
                <w:szCs w:val="18"/>
              </w:rPr>
              <w:t>2,465</w:t>
            </w:r>
          </w:p>
        </w:tc>
        <w:tc>
          <w:tcPr>
            <w:tcW w:w="2198" w:type="dxa"/>
            <w:gridSpan w:val="2"/>
            <w:shd w:val="clear" w:color="auto" w:fill="auto"/>
            <w:tcMar>
              <w:left w:w="0" w:type="dxa"/>
              <w:right w:w="0" w:type="dxa"/>
            </w:tcMar>
            <w:vAlign w:val="center"/>
          </w:tcPr>
          <w:p w:rsidR="005C2C9F" w:rsidRPr="00D93F24" w:rsidRDefault="005C2C9F" w:rsidP="00D93F24">
            <w:pPr>
              <w:keepNext/>
              <w:keepLines/>
              <w:widowControl w:val="0"/>
              <w:adjustRightInd/>
              <w:spacing w:before="40" w:after="40" w:line="240" w:lineRule="auto"/>
              <w:jc w:val="center"/>
              <w:textAlignment w:val="auto"/>
              <w:rPr>
                <w:rFonts w:asciiTheme="minorHAnsi" w:hAnsiTheme="minorHAnsi"/>
                <w:sz w:val="18"/>
                <w:szCs w:val="18"/>
              </w:rPr>
            </w:pPr>
            <w:r w:rsidRPr="00D93F24">
              <w:rPr>
                <w:rFonts w:asciiTheme="minorHAnsi" w:hAnsiTheme="minorHAnsi"/>
                <w:sz w:val="18"/>
                <w:szCs w:val="18"/>
              </w:rPr>
              <w:t>370</w:t>
            </w:r>
          </w:p>
        </w:tc>
      </w:tr>
    </w:tbl>
    <w:p w:rsidR="00EF75C6" w:rsidRPr="003A2CA8" w:rsidRDefault="009F4543" w:rsidP="00583B44">
      <w:pPr>
        <w:keepNext/>
        <w:keepLines/>
        <w:spacing w:before="120" w:after="80" w:line="240" w:lineRule="auto"/>
        <w:ind w:left="270" w:hanging="270"/>
        <w:rPr>
          <w:rFonts w:asciiTheme="minorHAnsi" w:hAnsiTheme="minorHAnsi"/>
          <w:sz w:val="16"/>
          <w:szCs w:val="16"/>
        </w:rPr>
      </w:pPr>
      <w:r w:rsidRPr="003A2CA8">
        <w:rPr>
          <w:rFonts w:asciiTheme="minorHAnsi" w:hAnsiTheme="minorHAnsi"/>
          <w:sz w:val="16"/>
          <w:szCs w:val="16"/>
        </w:rPr>
        <w:t>(a)</w:t>
      </w:r>
      <w:r w:rsidR="00EF75C6" w:rsidRPr="003A2CA8">
        <w:rPr>
          <w:rFonts w:asciiTheme="minorHAnsi" w:hAnsiTheme="minorHAnsi"/>
          <w:sz w:val="16"/>
          <w:szCs w:val="16"/>
        </w:rPr>
        <w:t xml:space="preserve"> </w:t>
      </w:r>
      <w:r w:rsidR="003A2CA8">
        <w:rPr>
          <w:rFonts w:asciiTheme="minorHAnsi" w:hAnsiTheme="minorHAnsi"/>
          <w:sz w:val="16"/>
          <w:szCs w:val="16"/>
        </w:rPr>
        <w:tab/>
      </w:r>
      <w:r w:rsidR="00EF75C6" w:rsidRPr="003A2CA8">
        <w:rPr>
          <w:rFonts w:asciiTheme="minorHAnsi" w:hAnsiTheme="minorHAnsi"/>
          <w:sz w:val="16"/>
          <w:szCs w:val="16"/>
        </w:rPr>
        <w:t xml:space="preserve">The lower cost is the </w:t>
      </w:r>
      <w:r w:rsidR="00D1362F" w:rsidRPr="003A2CA8">
        <w:rPr>
          <w:rFonts w:asciiTheme="minorHAnsi" w:hAnsiTheme="minorHAnsi"/>
          <w:sz w:val="16"/>
          <w:szCs w:val="16"/>
        </w:rPr>
        <w:t>O</w:t>
      </w:r>
      <w:r w:rsidR="00EF75C6" w:rsidRPr="003A2CA8">
        <w:rPr>
          <w:rFonts w:asciiTheme="minorHAnsi" w:hAnsiTheme="minorHAnsi"/>
          <w:sz w:val="16"/>
          <w:szCs w:val="16"/>
        </w:rPr>
        <w:t xml:space="preserve">vernight </w:t>
      </w:r>
      <w:r w:rsidR="00D1362F" w:rsidRPr="003A2CA8">
        <w:rPr>
          <w:rFonts w:asciiTheme="minorHAnsi" w:hAnsiTheme="minorHAnsi"/>
          <w:sz w:val="16"/>
          <w:szCs w:val="16"/>
        </w:rPr>
        <w:t>P</w:t>
      </w:r>
      <w:r w:rsidR="00EF75C6" w:rsidRPr="003A2CA8">
        <w:rPr>
          <w:rFonts w:asciiTheme="minorHAnsi" w:hAnsiTheme="minorHAnsi"/>
          <w:sz w:val="16"/>
          <w:szCs w:val="16"/>
        </w:rPr>
        <w:t xml:space="preserve">lant </w:t>
      </w:r>
      <w:r w:rsidR="00D1362F" w:rsidRPr="003A2CA8">
        <w:rPr>
          <w:rFonts w:asciiTheme="minorHAnsi" w:hAnsiTheme="minorHAnsi"/>
          <w:sz w:val="16"/>
          <w:szCs w:val="16"/>
        </w:rPr>
        <w:t>C</w:t>
      </w:r>
      <w:r w:rsidR="00EF75C6" w:rsidRPr="003A2CA8">
        <w:rPr>
          <w:rFonts w:asciiTheme="minorHAnsi" w:hAnsiTheme="minorHAnsi"/>
          <w:sz w:val="16"/>
          <w:szCs w:val="16"/>
        </w:rPr>
        <w:t>ost</w:t>
      </w:r>
      <w:r w:rsidR="00D1362F" w:rsidRPr="003A2CA8">
        <w:rPr>
          <w:rFonts w:asciiTheme="minorHAnsi" w:hAnsiTheme="minorHAnsi"/>
          <w:sz w:val="16"/>
          <w:szCs w:val="16"/>
        </w:rPr>
        <w:t>, and t</w:t>
      </w:r>
      <w:r w:rsidR="00EF75C6" w:rsidRPr="003A2CA8">
        <w:rPr>
          <w:rFonts w:asciiTheme="minorHAnsi" w:hAnsiTheme="minorHAnsi"/>
          <w:sz w:val="16"/>
          <w:szCs w:val="16"/>
        </w:rPr>
        <w:t>he higher cost is the New England-</w:t>
      </w:r>
      <w:r w:rsidR="00D1362F" w:rsidRPr="003A2CA8">
        <w:rPr>
          <w:rFonts w:asciiTheme="minorHAnsi" w:hAnsiTheme="minorHAnsi"/>
          <w:sz w:val="16"/>
          <w:szCs w:val="16"/>
        </w:rPr>
        <w:t>S</w:t>
      </w:r>
      <w:r w:rsidR="00EF75C6" w:rsidRPr="003A2CA8">
        <w:rPr>
          <w:rFonts w:asciiTheme="minorHAnsi" w:hAnsiTheme="minorHAnsi"/>
          <w:sz w:val="16"/>
          <w:szCs w:val="16"/>
        </w:rPr>
        <w:t xml:space="preserve">pecific </w:t>
      </w:r>
      <w:r w:rsidR="00D1362F" w:rsidRPr="003A2CA8">
        <w:rPr>
          <w:rFonts w:asciiTheme="minorHAnsi" w:hAnsiTheme="minorHAnsi"/>
          <w:sz w:val="16"/>
          <w:szCs w:val="16"/>
        </w:rPr>
        <w:t>T</w:t>
      </w:r>
      <w:r w:rsidR="00EF75C6" w:rsidRPr="003A2CA8">
        <w:rPr>
          <w:rFonts w:asciiTheme="minorHAnsi" w:hAnsiTheme="minorHAnsi"/>
          <w:sz w:val="16"/>
          <w:szCs w:val="16"/>
        </w:rPr>
        <w:t xml:space="preserve">otal </w:t>
      </w:r>
      <w:r w:rsidR="00D1362F" w:rsidRPr="003A2CA8">
        <w:rPr>
          <w:rFonts w:asciiTheme="minorHAnsi" w:hAnsiTheme="minorHAnsi"/>
          <w:sz w:val="16"/>
          <w:szCs w:val="16"/>
        </w:rPr>
        <w:t>O</w:t>
      </w:r>
      <w:r w:rsidR="00EF75C6" w:rsidRPr="003A2CA8">
        <w:rPr>
          <w:rFonts w:asciiTheme="minorHAnsi" w:hAnsiTheme="minorHAnsi"/>
          <w:sz w:val="16"/>
          <w:szCs w:val="16"/>
        </w:rPr>
        <w:t xml:space="preserve">vernight </w:t>
      </w:r>
      <w:r w:rsidR="00D1362F" w:rsidRPr="003A2CA8">
        <w:rPr>
          <w:rFonts w:asciiTheme="minorHAnsi" w:hAnsiTheme="minorHAnsi"/>
          <w:sz w:val="16"/>
          <w:szCs w:val="16"/>
        </w:rPr>
        <w:t>C</w:t>
      </w:r>
      <w:r w:rsidR="00EF75C6" w:rsidRPr="003A2CA8">
        <w:rPr>
          <w:rFonts w:asciiTheme="minorHAnsi" w:hAnsiTheme="minorHAnsi"/>
          <w:sz w:val="16"/>
          <w:szCs w:val="16"/>
        </w:rPr>
        <w:t>ost</w:t>
      </w:r>
      <w:r w:rsidR="00230FBF" w:rsidRPr="003A2CA8">
        <w:rPr>
          <w:rFonts w:asciiTheme="minorHAnsi" w:hAnsiTheme="minorHAnsi"/>
          <w:sz w:val="16"/>
          <w:szCs w:val="16"/>
        </w:rPr>
        <w:t>,</w:t>
      </w:r>
      <w:r w:rsidR="00EF75C6" w:rsidRPr="003A2CA8">
        <w:rPr>
          <w:rFonts w:asciiTheme="minorHAnsi" w:hAnsiTheme="minorHAnsi"/>
          <w:sz w:val="16"/>
          <w:szCs w:val="16"/>
        </w:rPr>
        <w:t xml:space="preserve"> which includes a project Contingency Factor</w:t>
      </w:r>
      <w:r w:rsidR="00D93F24" w:rsidRPr="003A2CA8">
        <w:rPr>
          <w:rFonts w:asciiTheme="minorHAnsi" w:hAnsiTheme="minorHAnsi"/>
          <w:sz w:val="16"/>
          <w:szCs w:val="16"/>
        </w:rPr>
        <w:t xml:space="preserve">, </w:t>
      </w:r>
      <w:r w:rsidR="00EF75C6" w:rsidRPr="003A2CA8">
        <w:rPr>
          <w:rFonts w:asciiTheme="minorHAnsi" w:hAnsiTheme="minorHAnsi"/>
          <w:sz w:val="16"/>
          <w:szCs w:val="16"/>
        </w:rPr>
        <w:t xml:space="preserve">a Technological Optimism Factor, and </w:t>
      </w:r>
      <w:r w:rsidR="008C4C8E" w:rsidRPr="003A2CA8">
        <w:rPr>
          <w:rFonts w:asciiTheme="minorHAnsi" w:hAnsiTheme="minorHAnsi"/>
          <w:sz w:val="16"/>
          <w:szCs w:val="16"/>
        </w:rPr>
        <w:t>l</w:t>
      </w:r>
      <w:r w:rsidR="00EF75C6" w:rsidRPr="003A2CA8">
        <w:rPr>
          <w:rFonts w:asciiTheme="minorHAnsi" w:hAnsiTheme="minorHAnsi"/>
          <w:sz w:val="16"/>
          <w:szCs w:val="16"/>
        </w:rPr>
        <w:t xml:space="preserve">ocational </w:t>
      </w:r>
      <w:r w:rsidR="00230FBF" w:rsidRPr="003A2CA8">
        <w:rPr>
          <w:rFonts w:asciiTheme="minorHAnsi" w:hAnsiTheme="minorHAnsi"/>
          <w:sz w:val="16"/>
          <w:szCs w:val="16"/>
        </w:rPr>
        <w:t>a</w:t>
      </w:r>
      <w:r w:rsidR="00EF75C6" w:rsidRPr="003A2CA8">
        <w:rPr>
          <w:rFonts w:asciiTheme="minorHAnsi" w:hAnsiTheme="minorHAnsi"/>
          <w:sz w:val="16"/>
          <w:szCs w:val="16"/>
        </w:rPr>
        <w:t>djustments</w:t>
      </w:r>
      <w:r w:rsidR="009E7B29" w:rsidRPr="003A2CA8">
        <w:rPr>
          <w:rFonts w:asciiTheme="minorHAnsi" w:hAnsiTheme="minorHAnsi"/>
          <w:sz w:val="16"/>
          <w:szCs w:val="16"/>
        </w:rPr>
        <w:t xml:space="preserve">. </w:t>
      </w:r>
      <w:r w:rsidR="00230FBF" w:rsidRPr="003A2CA8">
        <w:rPr>
          <w:rFonts w:asciiTheme="minorHAnsi" w:hAnsiTheme="minorHAnsi"/>
          <w:sz w:val="16"/>
          <w:szCs w:val="16"/>
        </w:rPr>
        <w:t>The American Association of Cost Engineers defines a</w:t>
      </w:r>
      <w:r w:rsidR="00EF75C6" w:rsidRPr="003A2CA8">
        <w:rPr>
          <w:rFonts w:asciiTheme="minorHAnsi" w:hAnsiTheme="minorHAnsi"/>
          <w:sz w:val="16"/>
          <w:szCs w:val="16"/>
        </w:rPr>
        <w:t xml:space="preserve"> Contingency Factor allowance as the specific provision for unforeseeable </w:t>
      </w:r>
      <w:r w:rsidR="008C4C8E" w:rsidRPr="003A2CA8">
        <w:rPr>
          <w:rFonts w:asciiTheme="minorHAnsi" w:hAnsiTheme="minorHAnsi"/>
          <w:sz w:val="16"/>
          <w:szCs w:val="16"/>
        </w:rPr>
        <w:t xml:space="preserve">cost </w:t>
      </w:r>
      <w:r w:rsidR="00EF75C6" w:rsidRPr="003A2CA8">
        <w:rPr>
          <w:rFonts w:asciiTheme="minorHAnsi" w:hAnsiTheme="minorHAnsi"/>
          <w:sz w:val="16"/>
          <w:szCs w:val="16"/>
        </w:rPr>
        <w:t>elements within a defined project scope</w:t>
      </w:r>
      <w:r w:rsidR="008C4C8E" w:rsidRPr="003A2CA8">
        <w:rPr>
          <w:rFonts w:asciiTheme="minorHAnsi" w:hAnsiTheme="minorHAnsi"/>
          <w:sz w:val="16"/>
          <w:szCs w:val="16"/>
        </w:rPr>
        <w:t xml:space="preserve">, </w:t>
      </w:r>
      <w:r w:rsidR="00EF75C6" w:rsidRPr="003A2CA8">
        <w:rPr>
          <w:rFonts w:asciiTheme="minorHAnsi" w:hAnsiTheme="minorHAnsi"/>
          <w:sz w:val="16"/>
          <w:szCs w:val="16"/>
        </w:rPr>
        <w:t>particularly important whe</w:t>
      </w:r>
      <w:r w:rsidR="008C4C8E" w:rsidRPr="003A2CA8">
        <w:rPr>
          <w:rFonts w:asciiTheme="minorHAnsi" w:hAnsiTheme="minorHAnsi"/>
          <w:sz w:val="16"/>
          <w:szCs w:val="16"/>
        </w:rPr>
        <w:t>n</w:t>
      </w:r>
      <w:r w:rsidR="00EF75C6" w:rsidRPr="003A2CA8">
        <w:rPr>
          <w:rFonts w:asciiTheme="minorHAnsi" w:hAnsiTheme="minorHAnsi"/>
          <w:sz w:val="16"/>
          <w:szCs w:val="16"/>
        </w:rPr>
        <w:t xml:space="preserve"> experience has shown</w:t>
      </w:r>
      <w:r w:rsidR="008C4C8E" w:rsidRPr="003A2CA8">
        <w:rPr>
          <w:rFonts w:asciiTheme="minorHAnsi" w:hAnsiTheme="minorHAnsi"/>
          <w:sz w:val="16"/>
          <w:szCs w:val="16"/>
        </w:rPr>
        <w:t xml:space="preserve"> the likelihood</w:t>
      </w:r>
      <w:r w:rsidR="00EF75C6" w:rsidRPr="003A2CA8">
        <w:rPr>
          <w:rFonts w:asciiTheme="minorHAnsi" w:hAnsiTheme="minorHAnsi"/>
          <w:sz w:val="16"/>
          <w:szCs w:val="16"/>
        </w:rPr>
        <w:t xml:space="preserve"> that unforeseeable events </w:t>
      </w:r>
      <w:r w:rsidR="00230FBF" w:rsidRPr="003A2CA8">
        <w:rPr>
          <w:rFonts w:asciiTheme="minorHAnsi" w:hAnsiTheme="minorHAnsi"/>
          <w:sz w:val="16"/>
          <w:szCs w:val="16"/>
        </w:rPr>
        <w:t>that</w:t>
      </w:r>
      <w:r w:rsidR="008C4C8E" w:rsidRPr="003A2CA8">
        <w:rPr>
          <w:rFonts w:asciiTheme="minorHAnsi" w:hAnsiTheme="minorHAnsi"/>
          <w:sz w:val="16"/>
          <w:szCs w:val="16"/>
        </w:rPr>
        <w:t xml:space="preserve"> </w:t>
      </w:r>
      <w:r w:rsidR="00EF75C6" w:rsidRPr="003A2CA8">
        <w:rPr>
          <w:rFonts w:asciiTheme="minorHAnsi" w:hAnsiTheme="minorHAnsi"/>
          <w:sz w:val="16"/>
          <w:szCs w:val="16"/>
        </w:rPr>
        <w:t xml:space="preserve">increase costs </w:t>
      </w:r>
      <w:r w:rsidR="008C4C8E" w:rsidRPr="003A2CA8">
        <w:rPr>
          <w:rFonts w:asciiTheme="minorHAnsi" w:hAnsiTheme="minorHAnsi"/>
          <w:sz w:val="16"/>
          <w:szCs w:val="16"/>
        </w:rPr>
        <w:t xml:space="preserve">will </w:t>
      </w:r>
      <w:r w:rsidR="00EF75C6" w:rsidRPr="003A2CA8">
        <w:rPr>
          <w:rFonts w:asciiTheme="minorHAnsi" w:hAnsiTheme="minorHAnsi"/>
          <w:sz w:val="16"/>
          <w:szCs w:val="16"/>
        </w:rPr>
        <w:t>occur. The Technological Optimism Factor is applied to the first four units of a new, unproven design</w:t>
      </w:r>
      <w:r w:rsidR="008C4C8E" w:rsidRPr="003A2CA8">
        <w:rPr>
          <w:rFonts w:asciiTheme="minorHAnsi" w:hAnsiTheme="minorHAnsi"/>
          <w:sz w:val="16"/>
          <w:szCs w:val="16"/>
        </w:rPr>
        <w:t xml:space="preserve">, </w:t>
      </w:r>
      <w:r w:rsidR="00EF75C6" w:rsidRPr="003A2CA8">
        <w:rPr>
          <w:rFonts w:asciiTheme="minorHAnsi" w:hAnsiTheme="minorHAnsi"/>
          <w:sz w:val="16"/>
          <w:szCs w:val="16"/>
        </w:rPr>
        <w:t>reflect</w:t>
      </w:r>
      <w:r w:rsidR="008C4C8E" w:rsidRPr="003A2CA8">
        <w:rPr>
          <w:rFonts w:asciiTheme="minorHAnsi" w:hAnsiTheme="minorHAnsi"/>
          <w:sz w:val="16"/>
          <w:szCs w:val="16"/>
        </w:rPr>
        <w:t>ing</w:t>
      </w:r>
      <w:r w:rsidR="00EF75C6" w:rsidRPr="003A2CA8">
        <w:rPr>
          <w:rFonts w:asciiTheme="minorHAnsi" w:hAnsiTheme="minorHAnsi"/>
          <w:sz w:val="16"/>
          <w:szCs w:val="16"/>
        </w:rPr>
        <w:t xml:space="preserve"> the demonstrated tendency to underestimate actual costs for a first-of-a-kind unit. These costs represent new projects initiated in 2015.</w:t>
      </w:r>
    </w:p>
    <w:p w:rsidR="005C2C9F" w:rsidRPr="003A2CA8" w:rsidRDefault="009F4543" w:rsidP="00583B44">
      <w:pPr>
        <w:keepNext/>
        <w:keepLines/>
        <w:spacing w:line="240" w:lineRule="auto"/>
        <w:ind w:left="270" w:hanging="270"/>
        <w:rPr>
          <w:rFonts w:asciiTheme="minorHAnsi" w:hAnsiTheme="minorHAnsi"/>
          <w:sz w:val="16"/>
          <w:szCs w:val="16"/>
        </w:rPr>
      </w:pPr>
      <w:r w:rsidRPr="003A2CA8">
        <w:rPr>
          <w:rFonts w:asciiTheme="minorHAnsi" w:hAnsiTheme="minorHAnsi"/>
          <w:sz w:val="16"/>
          <w:szCs w:val="16"/>
        </w:rPr>
        <w:t>(b)</w:t>
      </w:r>
      <w:r w:rsidR="005C2C9F" w:rsidRPr="003A2CA8">
        <w:rPr>
          <w:rFonts w:asciiTheme="minorHAnsi" w:hAnsiTheme="minorHAnsi"/>
          <w:sz w:val="16"/>
          <w:szCs w:val="16"/>
        </w:rPr>
        <w:t xml:space="preserve"> </w:t>
      </w:r>
      <w:r w:rsidR="00583B44" w:rsidRPr="003A2CA8">
        <w:rPr>
          <w:rFonts w:asciiTheme="minorHAnsi" w:hAnsiTheme="minorHAnsi"/>
          <w:sz w:val="16"/>
          <w:szCs w:val="16"/>
        </w:rPr>
        <w:tab/>
      </w:r>
      <w:r w:rsidR="005C2C9F" w:rsidRPr="003A2CA8">
        <w:rPr>
          <w:rFonts w:asciiTheme="minorHAnsi" w:hAnsiTheme="minorHAnsi"/>
          <w:sz w:val="16"/>
          <w:szCs w:val="16"/>
        </w:rPr>
        <w:t>Net MWe AC Power.</w:t>
      </w:r>
    </w:p>
    <w:p w:rsidR="00395C44" w:rsidRPr="00E66C3D" w:rsidRDefault="001616AA" w:rsidP="00201D25">
      <w:r>
        <w:t xml:space="preserve">In addition to the resources costs shown in </w:t>
      </w:r>
      <w:r w:rsidR="00A37A8D">
        <w:fldChar w:fldCharType="begin"/>
      </w:r>
      <w:r w:rsidR="00A37A8D">
        <w:instrText xml:space="preserve"> REF _Ref476756458 \h </w:instrText>
      </w:r>
      <w:r w:rsidR="00A37A8D">
        <w:fldChar w:fldCharType="separate"/>
      </w:r>
      <w:r w:rsidR="00742B49">
        <w:t xml:space="preserve">Table </w:t>
      </w:r>
      <w:r w:rsidR="00742B49">
        <w:rPr>
          <w:noProof/>
        </w:rPr>
        <w:t>5</w:t>
      </w:r>
      <w:r w:rsidR="00742B49">
        <w:noBreakHyphen/>
      </w:r>
      <w:r w:rsidR="00742B49">
        <w:rPr>
          <w:noProof/>
        </w:rPr>
        <w:t>17</w:t>
      </w:r>
      <w:r w:rsidR="00A37A8D">
        <w:fldChar w:fldCharType="end"/>
      </w:r>
      <w:r>
        <w:t xml:space="preserve">, Scenario 3 assumptions required the development of annual carrying charges for batteries and energy efficiency. A </w:t>
      </w:r>
      <w:r w:rsidRPr="00BE28CD">
        <w:t>15% annual</w:t>
      </w:r>
      <w:r>
        <w:t xml:space="preserve"> charge rate was applied to assumed battery costs of $1,000/kW, or equivalently $150/kW-y</w:t>
      </w:r>
      <w:r w:rsidR="009A1929">
        <w:t>ea</w:t>
      </w:r>
      <w:r>
        <w:t>r</w:t>
      </w:r>
      <w:r w:rsidR="009E7B29">
        <w:t xml:space="preserve">. </w:t>
      </w:r>
      <w:r w:rsidR="00B85AF5">
        <w:t>The annual c</w:t>
      </w:r>
      <w:r w:rsidR="00B85AF5" w:rsidRPr="00B85AF5">
        <w:t>arryi</w:t>
      </w:r>
      <w:r w:rsidR="00B85AF5">
        <w:t>ng c</w:t>
      </w:r>
      <w:r w:rsidR="00B85AF5" w:rsidRPr="00B85AF5">
        <w:t>harges</w:t>
      </w:r>
      <w:r w:rsidR="00B85AF5">
        <w:t xml:space="preserve"> </w:t>
      </w:r>
      <w:r w:rsidR="009A1929">
        <w:t>for e</w:t>
      </w:r>
      <w:r>
        <w:t xml:space="preserve">nergy efficiency were </w:t>
      </w:r>
      <w:r w:rsidR="00D945A4">
        <w:t xml:space="preserve">$431.64/kW-year </w:t>
      </w:r>
      <w:r>
        <w:t>based on levelized capital costs provided by Concentric Energy Advisors</w:t>
      </w:r>
      <w:r w:rsidR="009A1929">
        <w:t>.</w:t>
      </w:r>
      <w:r w:rsidR="009A1929">
        <w:rPr>
          <w:rStyle w:val="FootnoteReference"/>
        </w:rPr>
        <w:footnoteReference w:id="59"/>
      </w:r>
      <w:r>
        <w:t xml:space="preserve"> </w:t>
      </w:r>
    </w:p>
    <w:p w:rsidR="00995AFE" w:rsidRPr="00A177B5" w:rsidRDefault="00E66C3D" w:rsidP="00D93F24">
      <w:pPr>
        <w:pStyle w:val="Heading3"/>
        <w:rPr>
          <w:color w:val="FF0000"/>
        </w:rPr>
      </w:pPr>
      <w:bookmarkStart w:id="178" w:name="_Toc486405992"/>
      <w:r w:rsidRPr="00A177B5">
        <w:t xml:space="preserve">Transmission </w:t>
      </w:r>
      <w:r w:rsidR="008861C5" w:rsidRPr="00A177B5">
        <w:t>Development</w:t>
      </w:r>
      <w:r w:rsidR="0031028D" w:rsidRPr="00A177B5">
        <w:t xml:space="preserve"> </w:t>
      </w:r>
      <w:r w:rsidR="008861C5" w:rsidRPr="00A177B5">
        <w:t>Costs</w:t>
      </w:r>
      <w:bookmarkEnd w:id="178"/>
    </w:p>
    <w:p w:rsidR="0074693B" w:rsidRDefault="001E499A" w:rsidP="0074693B">
      <w:r w:rsidRPr="00EC096F">
        <w:t xml:space="preserve">The ISO developed preliminary </w:t>
      </w:r>
      <w:r w:rsidR="00EC096F" w:rsidRPr="00EC096F">
        <w:t>high</w:t>
      </w:r>
      <w:r w:rsidR="00543810">
        <w:t>-</w:t>
      </w:r>
      <w:r w:rsidR="00EC096F" w:rsidRPr="00EC096F">
        <w:t xml:space="preserve">order-of-magnitude </w:t>
      </w:r>
      <w:r w:rsidR="00195218" w:rsidRPr="00EC096F">
        <w:t>transmission-development costs</w:t>
      </w:r>
      <w:r w:rsidR="00EC096F" w:rsidRPr="00EC096F">
        <w:t xml:space="preserve"> </w:t>
      </w:r>
      <w:r w:rsidRPr="00EC096F">
        <w:t xml:space="preserve">to integrate renewable resources in New England based on judgement and generic costs. </w:t>
      </w:r>
      <w:r w:rsidR="002966F9" w:rsidRPr="00EC096F">
        <w:t xml:space="preserve">The </w:t>
      </w:r>
      <w:r w:rsidR="002966F9" w:rsidRPr="00EC3A1C">
        <w:t>cost analysis d</w:t>
      </w:r>
      <w:r w:rsidR="00BF6BF5">
        <w:t>oes</w:t>
      </w:r>
      <w:r w:rsidR="002966F9" w:rsidRPr="00EC3A1C">
        <w:t xml:space="preserve"> not develop </w:t>
      </w:r>
      <w:r w:rsidR="001C514C" w:rsidRPr="00EC3A1C">
        <w:t xml:space="preserve">specific </w:t>
      </w:r>
      <w:r w:rsidR="002966F9" w:rsidRPr="00EC3A1C">
        <w:t>transmission</w:t>
      </w:r>
      <w:r w:rsidR="006F1DD9" w:rsidRPr="00EC3A1C">
        <w:t>-</w:t>
      </w:r>
      <w:r w:rsidR="002966F9" w:rsidRPr="00EC3A1C">
        <w:t>expansion plans but rather provides a means of com</w:t>
      </w:r>
      <w:r w:rsidR="002966F9">
        <w:t>paring the transmission</w:t>
      </w:r>
      <w:r w:rsidR="00C243FE">
        <w:t>-</w:t>
      </w:r>
      <w:r w:rsidR="002966F9">
        <w:t>development costs across scenarios.</w:t>
      </w:r>
      <w:r w:rsidR="0074693B" w:rsidRPr="0074693B">
        <w:t xml:space="preserve"> </w:t>
      </w:r>
    </w:p>
    <w:p w:rsidR="00833F13" w:rsidRDefault="001E499A" w:rsidP="00833F13">
      <w:r w:rsidRPr="00833F13">
        <w:t xml:space="preserve">The </w:t>
      </w:r>
      <w:r w:rsidR="00702517" w:rsidRPr="00833F13">
        <w:t xml:space="preserve">transmission development cost </w:t>
      </w:r>
      <w:r w:rsidRPr="00833F13">
        <w:t>estimates include costs that would be incurred beyond individual plant</w:t>
      </w:r>
      <w:r w:rsidR="00C243FE" w:rsidRPr="00833F13">
        <w:t>-</w:t>
      </w:r>
      <w:r w:rsidR="00702517" w:rsidRPr="00833F13">
        <w:t>development</w:t>
      </w:r>
      <w:r w:rsidRPr="00833F13">
        <w:t xml:space="preserve"> </w:t>
      </w:r>
      <w:r w:rsidRPr="006708F4">
        <w:t>costs</w:t>
      </w:r>
      <w:r w:rsidR="00702517" w:rsidRPr="006708F4">
        <w:t>, which are assumed as part of the capital costs of generation development</w:t>
      </w:r>
      <w:r w:rsidR="00833F13" w:rsidRPr="006708F4">
        <w:t xml:space="preserve">; </w:t>
      </w:r>
      <w:r w:rsidR="00C243FE" w:rsidRPr="006708F4">
        <w:t>s</w:t>
      </w:r>
      <w:r w:rsidR="00871CC9" w:rsidRPr="006708F4">
        <w:t xml:space="preserve">ee Section </w:t>
      </w:r>
      <w:r w:rsidR="009B68F0" w:rsidRPr="006708F4">
        <w:fldChar w:fldCharType="begin"/>
      </w:r>
      <w:r w:rsidR="009B68F0" w:rsidRPr="006708F4">
        <w:instrText xml:space="preserve"> REF _Ref480804991 \r \h </w:instrText>
      </w:r>
      <w:r w:rsidR="0074693B" w:rsidRPr="006708F4">
        <w:instrText xml:space="preserve"> \* MERGEFORMAT </w:instrText>
      </w:r>
      <w:r w:rsidR="009B68F0" w:rsidRPr="006708F4">
        <w:fldChar w:fldCharType="separate"/>
      </w:r>
      <w:r w:rsidR="00742B49" w:rsidRPr="006708F4">
        <w:t>5.7.1</w:t>
      </w:r>
      <w:r w:rsidR="009B68F0" w:rsidRPr="006708F4">
        <w:fldChar w:fldCharType="end"/>
      </w:r>
      <w:r w:rsidR="00871CC9" w:rsidRPr="006708F4">
        <w:t>)</w:t>
      </w:r>
      <w:r w:rsidR="00C243FE" w:rsidRPr="006708F4">
        <w:t>.</w:t>
      </w:r>
      <w:r w:rsidR="00871CC9" w:rsidRPr="00833F13">
        <w:t xml:space="preserve"> </w:t>
      </w:r>
      <w:r w:rsidR="00ED00A9">
        <w:t>They do not account for the costs to interconnect individual plants, which are also accounted for as part of the generation</w:t>
      </w:r>
      <w:r w:rsidR="00701C54">
        <w:t>-</w:t>
      </w:r>
      <w:r w:rsidR="00ED00A9">
        <w:t xml:space="preserve">development </w:t>
      </w:r>
      <w:r w:rsidR="00ED00A9" w:rsidRPr="0074693B">
        <w:t>costs</w:t>
      </w:r>
      <w:r w:rsidR="00ED00A9">
        <w:t xml:space="preserve">, </w:t>
      </w:r>
      <w:r w:rsidR="00611019">
        <w:t>or</w:t>
      </w:r>
      <w:r w:rsidR="00611019" w:rsidRPr="00611019">
        <w:t xml:space="preserve"> </w:t>
      </w:r>
      <w:r w:rsidR="00611019">
        <w:t xml:space="preserve">the costs associated with addressing operational issues caused by the development of large-scale inverter-based resources, especially during off-peak load </w:t>
      </w:r>
      <w:r w:rsidR="00611019" w:rsidRPr="00701C54">
        <w:t>periods</w:t>
      </w:r>
      <w:r w:rsidR="00611019" w:rsidRPr="006708F4">
        <w:t xml:space="preserve">. </w:t>
      </w:r>
      <w:r w:rsidR="00611019" w:rsidRPr="00701C54">
        <w:t>Transmission</w:t>
      </w:r>
      <w:r w:rsidR="00701C54">
        <w:t>-</w:t>
      </w:r>
      <w:r w:rsidR="00611019">
        <w:t xml:space="preserve">development costs </w:t>
      </w:r>
      <w:r w:rsidR="00701C54">
        <w:t xml:space="preserve">do </w:t>
      </w:r>
      <w:r w:rsidR="00020C5A">
        <w:t xml:space="preserve">not explicitly </w:t>
      </w:r>
      <w:r w:rsidR="00ED00A9">
        <w:t>inc</w:t>
      </w:r>
      <w:r w:rsidR="00833F13">
        <w:t xml:space="preserve">lude the costs </w:t>
      </w:r>
      <w:r w:rsidR="00833F13" w:rsidRPr="00833F13">
        <w:t>f</w:t>
      </w:r>
      <w:r w:rsidR="00833F13" w:rsidRPr="006708F4">
        <w:t xml:space="preserve">or some ancillary devices required to successfully integrate the </w:t>
      </w:r>
      <w:r w:rsidR="00833F13" w:rsidRPr="0075682B">
        <w:t>high penetration of converter-based resources, such</w:t>
      </w:r>
      <w:r w:rsidR="00833F13" w:rsidRPr="006708F4">
        <w:t xml:space="preserve"> as special controls on bulk power system and HVDC power electronic devices and system protection upgrades</w:t>
      </w:r>
      <w:r w:rsidR="00833F13" w:rsidRPr="0075682B">
        <w:t>.</w:t>
      </w:r>
      <w:r w:rsidR="00833F13" w:rsidRPr="0075682B">
        <w:rPr>
          <w:rStyle w:val="FootnoteReference"/>
        </w:rPr>
        <w:footnoteReference w:id="60"/>
      </w:r>
      <w:r w:rsidR="00833F13" w:rsidRPr="0075682B">
        <w:t xml:space="preserve"> </w:t>
      </w:r>
      <w:r w:rsidR="00DA268A" w:rsidRPr="0075682B">
        <w:t>Total transmission</w:t>
      </w:r>
      <w:r w:rsidR="00C243FE" w:rsidRPr="0075682B">
        <w:t>-</w:t>
      </w:r>
      <w:r w:rsidR="00DA268A" w:rsidRPr="0075682B">
        <w:lastRenderedPageBreak/>
        <w:t>development costs</w:t>
      </w:r>
      <w:r w:rsidR="00020C5A" w:rsidRPr="0075682B">
        <w:t>, however,</w:t>
      </w:r>
      <w:r w:rsidR="00DA268A" w:rsidRPr="0075682B">
        <w:t xml:space="preserve"> include </w:t>
      </w:r>
      <w:r w:rsidR="0042479D" w:rsidRPr="0075682B">
        <w:t>some costs for high inertia</w:t>
      </w:r>
      <w:r w:rsidR="0042479D" w:rsidRPr="0042479D">
        <w:t xml:space="preserve"> synchronous condensers</w:t>
      </w:r>
      <w:r w:rsidR="0042479D">
        <w:t xml:space="preserve"> and </w:t>
      </w:r>
      <w:r w:rsidR="00DA268A" w:rsidRPr="00833F13">
        <w:t>a margin to</w:t>
      </w:r>
      <w:r w:rsidR="00DA268A">
        <w:t xml:space="preserve"> account for cost</w:t>
      </w:r>
      <w:r w:rsidR="00380B10">
        <w:t xml:space="preserve"> overruns</w:t>
      </w:r>
      <w:r w:rsidR="00020C5A">
        <w:t xml:space="preserve"> and other unknown costs not specifically estimated</w:t>
      </w:r>
      <w:r w:rsidR="00611019">
        <w:t xml:space="preserve">. </w:t>
      </w:r>
    </w:p>
    <w:p w:rsidR="001E499A" w:rsidRDefault="007C7EE5" w:rsidP="0012435C">
      <w:r w:rsidRPr="00712F7A">
        <w:fldChar w:fldCharType="begin"/>
      </w:r>
      <w:r w:rsidRPr="00712F7A">
        <w:instrText xml:space="preserve"> REF _Ref476826164 \h </w:instrText>
      </w:r>
      <w:r>
        <w:instrText xml:space="preserve"> \* MERGEFORMAT </w:instrText>
      </w:r>
      <w:r w:rsidRPr="00712F7A">
        <w:fldChar w:fldCharType="separate"/>
      </w:r>
      <w:r w:rsidR="00742B49" w:rsidRPr="00EC3A1C">
        <w:t xml:space="preserve">Figure </w:t>
      </w:r>
      <w:r w:rsidR="00742B49">
        <w:rPr>
          <w:noProof/>
        </w:rPr>
        <w:t>5</w:t>
      </w:r>
      <w:r w:rsidR="00742B49" w:rsidRPr="00EC3A1C">
        <w:rPr>
          <w:noProof/>
        </w:rPr>
        <w:noBreakHyphen/>
      </w:r>
      <w:r w:rsidR="00742B49">
        <w:rPr>
          <w:noProof/>
        </w:rPr>
        <w:t>9</w:t>
      </w:r>
      <w:r w:rsidRPr="00712F7A">
        <w:fldChar w:fldCharType="end"/>
      </w:r>
      <w:r w:rsidR="0012435C" w:rsidRPr="007C7EE5">
        <w:t xml:space="preserve"> shows the </w:t>
      </w:r>
      <w:r w:rsidR="00576644" w:rsidRPr="007C7EE5">
        <w:t xml:space="preserve">first two </w:t>
      </w:r>
      <w:r w:rsidR="0012435C" w:rsidRPr="007C7EE5">
        <w:t>components of transmission upgrades needed to integrate</w:t>
      </w:r>
      <w:r w:rsidR="0012435C" w:rsidRPr="0012435C">
        <w:t xml:space="preserve"> renewable resources</w:t>
      </w:r>
      <w:r w:rsidR="0012435C">
        <w:t xml:space="preserve">. </w:t>
      </w:r>
      <w:r w:rsidR="000F2557" w:rsidRPr="00712F7A">
        <w:fldChar w:fldCharType="begin"/>
      </w:r>
      <w:r w:rsidR="000F2557" w:rsidRPr="00712F7A">
        <w:instrText xml:space="preserve"> REF _Ref476826164 \h </w:instrText>
      </w:r>
      <w:r w:rsidR="000F2557">
        <w:instrText xml:space="preserve"> \* MERGEFORMAT </w:instrText>
      </w:r>
      <w:r w:rsidR="000F2557" w:rsidRPr="00712F7A">
        <w:fldChar w:fldCharType="separate"/>
      </w:r>
      <w:r w:rsidR="00742B49" w:rsidRPr="00EC3A1C">
        <w:t xml:space="preserve">Figure </w:t>
      </w:r>
      <w:r w:rsidR="00742B49">
        <w:rPr>
          <w:noProof/>
        </w:rPr>
        <w:t>5</w:t>
      </w:r>
      <w:r w:rsidR="00742B49" w:rsidRPr="00EC3A1C">
        <w:rPr>
          <w:noProof/>
        </w:rPr>
        <w:noBreakHyphen/>
      </w:r>
      <w:r w:rsidR="00742B49">
        <w:rPr>
          <w:noProof/>
        </w:rPr>
        <w:t>9</w:t>
      </w:r>
      <w:r w:rsidR="000F2557" w:rsidRPr="00712F7A">
        <w:fldChar w:fldCharType="end"/>
      </w:r>
      <w:r w:rsidR="000F2557">
        <w:t>-A</w:t>
      </w:r>
      <w:r w:rsidR="000F2557" w:rsidRPr="007C7EE5">
        <w:t xml:space="preserve"> </w:t>
      </w:r>
      <w:r w:rsidR="000F2557">
        <w:t>shows t</w:t>
      </w:r>
      <w:r w:rsidR="0012435C">
        <w:t>he plant collector system</w:t>
      </w:r>
      <w:r w:rsidR="00871CC9">
        <w:t>, which is accounted for as part of the plant</w:t>
      </w:r>
      <w:r w:rsidR="00C243FE">
        <w:t>-</w:t>
      </w:r>
      <w:r w:rsidR="00871CC9">
        <w:t xml:space="preserve">development costs, </w:t>
      </w:r>
      <w:r w:rsidR="0012435C">
        <w:t xml:space="preserve">ties individual wind turbine generators or photovoltaic generators to the collector system station. These components may include generator step-up transformers, collector strings, collector substation, collector step-up transformer, and supplemental static and dynamic reactive devices. The interconnection system is the transmission system that ties the collector system station to the </w:t>
      </w:r>
      <w:r w:rsidR="00C243FE">
        <w:t>p</w:t>
      </w:r>
      <w:r w:rsidR="0012435C">
        <w:t xml:space="preserve">oint of </w:t>
      </w:r>
      <w:r w:rsidR="00C243FE">
        <w:t>i</w:t>
      </w:r>
      <w:r w:rsidR="0012435C">
        <w:t xml:space="preserve">nterconnection (POI). It may include </w:t>
      </w:r>
      <w:r w:rsidR="00576644">
        <w:t xml:space="preserve">the </w:t>
      </w:r>
      <w:r w:rsidR="0012435C">
        <w:t>high-voltage AC generator lead, high-voltage substation,</w:t>
      </w:r>
      <w:r w:rsidR="00576644">
        <w:t xml:space="preserve"> and supplemental static and</w:t>
      </w:r>
      <w:r w:rsidR="0012435C">
        <w:t xml:space="preserve"> dynamic reactive devices</w:t>
      </w:r>
      <w:r w:rsidR="009E7B29">
        <w:t xml:space="preserve">. </w:t>
      </w:r>
      <w:r w:rsidR="00B7513E">
        <w:t xml:space="preserve">Explicit </w:t>
      </w:r>
      <w:r w:rsidR="00380B10">
        <w:t>costs for</w:t>
      </w:r>
      <w:r w:rsidR="00576644">
        <w:t xml:space="preserve"> the interconnection system were not </w:t>
      </w:r>
      <w:r w:rsidR="004A3842">
        <w:t xml:space="preserve">developed because </w:t>
      </w:r>
      <w:r w:rsidR="00C243FE">
        <w:t>this</w:t>
      </w:r>
      <w:r w:rsidR="004A3842">
        <w:t xml:space="preserve"> would require detailed analysis of individual interconnections</w:t>
      </w:r>
      <w:r w:rsidR="009E7B29">
        <w:t xml:space="preserve">. </w:t>
      </w:r>
      <w:r w:rsidR="00483D07">
        <w:t xml:space="preserve">However, </w:t>
      </w:r>
      <w:r w:rsidR="002D3BAB">
        <w:t xml:space="preserve">some generic interconnection </w:t>
      </w:r>
      <w:r w:rsidR="00380B10">
        <w:t xml:space="preserve">costs </w:t>
      </w:r>
      <w:r w:rsidR="002D3BAB">
        <w:t>are included as part of the annual carrying charges for new resources. T</w:t>
      </w:r>
      <w:r w:rsidR="00380B10">
        <w:t xml:space="preserve">he transmission cost metric </w:t>
      </w:r>
      <w:r w:rsidR="002D3BAB">
        <w:t xml:space="preserve">thus </w:t>
      </w:r>
      <w:r w:rsidR="00380B10">
        <w:t>provides a metric suitable for comparing the various scenarios</w:t>
      </w:r>
      <w:r w:rsidR="00871CC9">
        <w:t xml:space="preserve">. </w:t>
      </w:r>
      <w:r w:rsidR="004A3842">
        <w:t xml:space="preserve"> </w:t>
      </w:r>
    </w:p>
    <w:tbl>
      <w:tblPr>
        <w:tblStyle w:val="TableGrid"/>
        <w:tblW w:w="0" w:type="auto"/>
        <w:tblLook w:val="04A0" w:firstRow="1" w:lastRow="0" w:firstColumn="1" w:lastColumn="0" w:noHBand="0" w:noVBand="1"/>
      </w:tblPr>
      <w:tblGrid>
        <w:gridCol w:w="4896"/>
        <w:gridCol w:w="4680"/>
      </w:tblGrid>
      <w:tr w:rsidR="00554F1D" w:rsidTr="00554F1D">
        <w:tc>
          <w:tcPr>
            <w:tcW w:w="4788" w:type="dxa"/>
          </w:tcPr>
          <w:p w:rsidR="00554F1D" w:rsidRPr="00EB06D0" w:rsidRDefault="002249FB" w:rsidP="00EB06D0">
            <w:pPr>
              <w:spacing w:after="0" w:line="240" w:lineRule="auto"/>
            </w:pPr>
            <w:r w:rsidRPr="00EB06D0">
              <w:rPr>
                <w:noProof/>
              </w:rPr>
              <w:drawing>
                <wp:inline distT="0" distB="0" distL="0" distR="0" wp14:anchorId="1F634168" wp14:editId="3DD0FE29">
                  <wp:extent cx="2971800" cy="2450123"/>
                  <wp:effectExtent l="0" t="0" r="0" b="7620"/>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73350" cy="2451401"/>
                          </a:xfrm>
                          <a:prstGeom prst="rect">
                            <a:avLst/>
                          </a:prstGeom>
                          <a:noFill/>
                          <a:ln>
                            <a:noFill/>
                          </a:ln>
                        </pic:spPr>
                      </pic:pic>
                    </a:graphicData>
                  </a:graphic>
                </wp:inline>
              </w:drawing>
            </w:r>
            <w:r w:rsidR="007C7EE5" w:rsidRPr="00EB06D0">
              <w:rPr>
                <w:rFonts w:asciiTheme="minorHAnsi" w:hAnsiTheme="minorHAnsi"/>
                <w:b/>
                <w:szCs w:val="20"/>
              </w:rPr>
              <w:t xml:space="preserve">A. </w:t>
            </w:r>
            <w:r w:rsidR="00554F1D" w:rsidRPr="00EB06D0">
              <w:rPr>
                <w:rFonts w:asciiTheme="minorHAnsi" w:hAnsiTheme="minorHAnsi"/>
                <w:b/>
                <w:szCs w:val="20"/>
              </w:rPr>
              <w:t>The plant collector system and</w:t>
            </w:r>
            <w:r w:rsidR="00EB06D0">
              <w:rPr>
                <w:rFonts w:asciiTheme="minorHAnsi" w:hAnsiTheme="minorHAnsi"/>
                <w:b/>
                <w:szCs w:val="20"/>
              </w:rPr>
              <w:br/>
            </w:r>
            <w:r w:rsidR="00554F1D" w:rsidRPr="00EB06D0">
              <w:rPr>
                <w:rFonts w:asciiTheme="minorHAnsi" w:hAnsiTheme="minorHAnsi"/>
                <w:b/>
                <w:szCs w:val="20"/>
              </w:rPr>
              <w:t>the interconnection system</w:t>
            </w:r>
            <w:r w:rsidR="00D305B8" w:rsidRPr="00EB06D0">
              <w:rPr>
                <w:rFonts w:asciiTheme="minorHAnsi" w:hAnsiTheme="minorHAnsi"/>
                <w:b/>
                <w:szCs w:val="20"/>
              </w:rPr>
              <w:t>.</w:t>
            </w:r>
          </w:p>
        </w:tc>
        <w:tc>
          <w:tcPr>
            <w:tcW w:w="4788" w:type="dxa"/>
          </w:tcPr>
          <w:p w:rsidR="002249FB" w:rsidRPr="00EB06D0" w:rsidRDefault="00EB06D0" w:rsidP="00EB06D0">
            <w:pPr>
              <w:keepNext/>
              <w:spacing w:after="0" w:line="240" w:lineRule="auto"/>
              <w:jc w:val="center"/>
            </w:pPr>
            <w:r w:rsidRPr="00EB06D0">
              <w:rPr>
                <w:noProof/>
              </w:rPr>
              <w:drawing>
                <wp:inline distT="0" distB="0" distL="0" distR="0" wp14:anchorId="15B33A65" wp14:editId="17D403D2">
                  <wp:extent cx="2682240" cy="2398160"/>
                  <wp:effectExtent l="0" t="0" r="3810" b="2540"/>
                  <wp:docPr id="7170" name="Picture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93895" cy="2408580"/>
                          </a:xfrm>
                          <a:prstGeom prst="rect">
                            <a:avLst/>
                          </a:prstGeom>
                          <a:noFill/>
                          <a:ln>
                            <a:noFill/>
                          </a:ln>
                        </pic:spPr>
                      </pic:pic>
                    </a:graphicData>
                  </a:graphic>
                </wp:inline>
              </w:drawing>
            </w:r>
          </w:p>
          <w:p w:rsidR="00DB2D24" w:rsidRDefault="00DB2D24" w:rsidP="001B4057">
            <w:pPr>
              <w:keepNext/>
              <w:spacing w:after="0" w:line="240" w:lineRule="auto"/>
              <w:rPr>
                <w:rFonts w:asciiTheme="minorHAnsi" w:hAnsiTheme="minorHAnsi"/>
                <w:b/>
              </w:rPr>
            </w:pPr>
          </w:p>
          <w:p w:rsidR="00554F1D" w:rsidRDefault="007C7EE5" w:rsidP="001B4057">
            <w:pPr>
              <w:keepNext/>
              <w:spacing w:after="0" w:line="240" w:lineRule="auto"/>
            </w:pPr>
            <w:r w:rsidRPr="00EB06D0">
              <w:rPr>
                <w:rFonts w:asciiTheme="minorHAnsi" w:hAnsiTheme="minorHAnsi"/>
                <w:b/>
              </w:rPr>
              <w:t>B.</w:t>
            </w:r>
            <w:r w:rsidR="006F1DD9" w:rsidRPr="00EB06D0">
              <w:rPr>
                <w:rFonts w:asciiTheme="minorHAnsi" w:hAnsiTheme="minorHAnsi"/>
                <w:b/>
              </w:rPr>
              <w:t xml:space="preserve"> </w:t>
            </w:r>
            <w:r w:rsidR="00554F1D" w:rsidRPr="00EB06D0">
              <w:rPr>
                <w:rFonts w:asciiTheme="minorHAnsi" w:hAnsiTheme="minorHAnsi"/>
                <w:b/>
              </w:rPr>
              <w:t xml:space="preserve">The </w:t>
            </w:r>
            <w:r w:rsidR="00D305B8" w:rsidRPr="00EB06D0">
              <w:rPr>
                <w:rFonts w:asciiTheme="minorHAnsi" w:hAnsiTheme="minorHAnsi"/>
                <w:b/>
              </w:rPr>
              <w:t>i</w:t>
            </w:r>
            <w:r w:rsidR="00554F1D" w:rsidRPr="00EB06D0">
              <w:rPr>
                <w:rFonts w:asciiTheme="minorHAnsi" w:hAnsiTheme="minorHAnsi"/>
                <w:b/>
              </w:rPr>
              <w:t xml:space="preserve">ntegrator </w:t>
            </w:r>
            <w:r w:rsidR="00D305B8" w:rsidRPr="00EB06D0">
              <w:rPr>
                <w:rFonts w:asciiTheme="minorHAnsi" w:hAnsiTheme="minorHAnsi"/>
                <w:b/>
              </w:rPr>
              <w:t>s</w:t>
            </w:r>
            <w:r w:rsidR="00554F1D" w:rsidRPr="00EB06D0">
              <w:rPr>
                <w:rFonts w:asciiTheme="minorHAnsi" w:hAnsiTheme="minorHAnsi"/>
                <w:b/>
              </w:rPr>
              <w:t>ystem</w:t>
            </w:r>
            <w:r w:rsidR="00D305B8" w:rsidRPr="00EB06D0">
              <w:rPr>
                <w:rFonts w:asciiTheme="minorHAnsi" w:hAnsiTheme="minorHAnsi"/>
                <w:b/>
              </w:rPr>
              <w:t>.</w:t>
            </w:r>
          </w:p>
        </w:tc>
      </w:tr>
    </w:tbl>
    <w:p w:rsidR="007C7EE5" w:rsidRDefault="007C7EE5" w:rsidP="008E5D66">
      <w:pPr>
        <w:pStyle w:val="Caption"/>
        <w:spacing w:before="120" w:after="80"/>
      </w:pPr>
      <w:bookmarkStart w:id="179" w:name="_Ref476826164"/>
      <w:bookmarkStart w:id="180" w:name="_Toc486406069"/>
      <w:r w:rsidRPr="00EC3A1C">
        <w:t xml:space="preserve">Figure </w:t>
      </w:r>
      <w:fldSimple w:instr=" STYLEREF 1 \s ">
        <w:r w:rsidR="00742B49">
          <w:rPr>
            <w:noProof/>
          </w:rPr>
          <w:t>5</w:t>
        </w:r>
      </w:fldSimple>
      <w:r w:rsidR="00024994" w:rsidRPr="00EC3A1C">
        <w:noBreakHyphen/>
      </w:r>
      <w:fldSimple w:instr=" SEQ Figure \* ARABIC \s 1 ">
        <w:r w:rsidR="00742B49">
          <w:rPr>
            <w:noProof/>
          </w:rPr>
          <w:t>9</w:t>
        </w:r>
      </w:fldSimple>
      <w:bookmarkEnd w:id="179"/>
      <w:r w:rsidRPr="00EC3A1C">
        <w:t xml:space="preserve"> (A and B): T</w:t>
      </w:r>
      <w:r w:rsidR="00F80B1E" w:rsidRPr="00EC3A1C">
        <w:t xml:space="preserve">he </w:t>
      </w:r>
      <w:r w:rsidRPr="00EC3A1C">
        <w:t>first</w:t>
      </w:r>
      <w:r w:rsidR="00F80B1E" w:rsidRPr="00EC3A1C">
        <w:t xml:space="preserve"> two components of transmission upgrades potentially needed to integrate renewable resources</w:t>
      </w:r>
      <w:r w:rsidRPr="00EC3A1C">
        <w:t>.</w:t>
      </w:r>
      <w:bookmarkEnd w:id="180"/>
    </w:p>
    <w:p w:rsidR="00F80B1E" w:rsidRPr="003A2CA8" w:rsidRDefault="007C7EE5" w:rsidP="00D83AE7">
      <w:pPr>
        <w:pStyle w:val="Caption"/>
        <w:spacing w:after="240"/>
        <w:rPr>
          <w:sz w:val="16"/>
          <w:szCs w:val="16"/>
        </w:rPr>
      </w:pPr>
      <w:r w:rsidRPr="003A2CA8">
        <w:rPr>
          <w:sz w:val="16"/>
          <w:szCs w:val="16"/>
        </w:rPr>
        <w:t>Notes:</w:t>
      </w:r>
      <w:r w:rsidRPr="003A2CA8">
        <w:rPr>
          <w:b w:val="0"/>
          <w:sz w:val="16"/>
          <w:szCs w:val="16"/>
        </w:rPr>
        <w:t xml:space="preserve"> A (on the left) </w:t>
      </w:r>
      <w:r w:rsidR="00B7513E" w:rsidRPr="003A2CA8">
        <w:rPr>
          <w:b w:val="0"/>
          <w:sz w:val="16"/>
          <w:szCs w:val="16"/>
        </w:rPr>
        <w:t xml:space="preserve">shows the </w:t>
      </w:r>
      <w:r w:rsidR="007564B9" w:rsidRPr="003A2CA8">
        <w:rPr>
          <w:b w:val="0"/>
          <w:sz w:val="16"/>
          <w:szCs w:val="16"/>
        </w:rPr>
        <w:t>plant collector system</w:t>
      </w:r>
      <w:r w:rsidR="00854C6C" w:rsidRPr="003A2CA8">
        <w:rPr>
          <w:b w:val="0"/>
          <w:sz w:val="16"/>
          <w:szCs w:val="16"/>
        </w:rPr>
        <w:t xml:space="preserve"> and the interconnection system. Their order</w:t>
      </w:r>
      <w:r w:rsidR="005F7454" w:rsidRPr="003A2CA8">
        <w:rPr>
          <w:b w:val="0"/>
          <w:sz w:val="16"/>
          <w:szCs w:val="16"/>
        </w:rPr>
        <w:t>-</w:t>
      </w:r>
      <w:r w:rsidR="00854C6C" w:rsidRPr="003A2CA8">
        <w:rPr>
          <w:b w:val="0"/>
          <w:sz w:val="16"/>
          <w:szCs w:val="16"/>
        </w:rPr>
        <w:t>of</w:t>
      </w:r>
      <w:r w:rsidR="005F7454" w:rsidRPr="003A2CA8">
        <w:rPr>
          <w:b w:val="0"/>
          <w:sz w:val="16"/>
          <w:szCs w:val="16"/>
        </w:rPr>
        <w:t>-</w:t>
      </w:r>
      <w:r w:rsidR="00854C6C" w:rsidRPr="003A2CA8">
        <w:rPr>
          <w:b w:val="0"/>
          <w:sz w:val="16"/>
          <w:szCs w:val="16"/>
        </w:rPr>
        <w:t>magnitude cost estimates are inc</w:t>
      </w:r>
      <w:r w:rsidR="00D83AE7" w:rsidRPr="003A2CA8">
        <w:rPr>
          <w:b w:val="0"/>
          <w:sz w:val="16"/>
          <w:szCs w:val="16"/>
        </w:rPr>
        <w:t>l</w:t>
      </w:r>
      <w:r w:rsidR="00854C6C" w:rsidRPr="003A2CA8">
        <w:rPr>
          <w:b w:val="0"/>
          <w:sz w:val="16"/>
          <w:szCs w:val="16"/>
        </w:rPr>
        <w:t xml:space="preserve">uded as part of the plant-development costs. </w:t>
      </w:r>
      <w:r w:rsidR="00B7513E" w:rsidRPr="003A2CA8">
        <w:rPr>
          <w:b w:val="0"/>
          <w:sz w:val="16"/>
          <w:szCs w:val="16"/>
        </w:rPr>
        <w:t xml:space="preserve">B (on the right) </w:t>
      </w:r>
      <w:r w:rsidR="00F80B1E" w:rsidRPr="003A2CA8">
        <w:rPr>
          <w:b w:val="0"/>
          <w:sz w:val="16"/>
          <w:szCs w:val="16"/>
        </w:rPr>
        <w:t>shows the integrator system</w:t>
      </w:r>
      <w:r w:rsidR="00854C6C" w:rsidRPr="003A2CA8">
        <w:rPr>
          <w:b w:val="0"/>
          <w:sz w:val="16"/>
          <w:szCs w:val="16"/>
        </w:rPr>
        <w:t>. The integrator system order</w:t>
      </w:r>
      <w:r w:rsidR="00D83AE7" w:rsidRPr="003A2CA8">
        <w:rPr>
          <w:b w:val="0"/>
          <w:sz w:val="16"/>
          <w:szCs w:val="16"/>
        </w:rPr>
        <w:t>-</w:t>
      </w:r>
      <w:r w:rsidR="00854C6C" w:rsidRPr="003A2CA8">
        <w:rPr>
          <w:b w:val="0"/>
          <w:sz w:val="16"/>
          <w:szCs w:val="16"/>
        </w:rPr>
        <w:t>of</w:t>
      </w:r>
      <w:r w:rsidR="00D83AE7" w:rsidRPr="003A2CA8">
        <w:rPr>
          <w:b w:val="0"/>
          <w:sz w:val="16"/>
          <w:szCs w:val="16"/>
        </w:rPr>
        <w:t>-</w:t>
      </w:r>
      <w:r w:rsidR="00854C6C" w:rsidRPr="003A2CA8">
        <w:rPr>
          <w:b w:val="0"/>
          <w:sz w:val="16"/>
          <w:szCs w:val="16"/>
        </w:rPr>
        <w:t>magnitude costs are included as part of the order</w:t>
      </w:r>
      <w:r w:rsidR="00D83AE7" w:rsidRPr="003A2CA8">
        <w:rPr>
          <w:b w:val="0"/>
          <w:sz w:val="16"/>
          <w:szCs w:val="16"/>
        </w:rPr>
        <w:t>-</w:t>
      </w:r>
      <w:r w:rsidR="00854C6C" w:rsidRPr="003A2CA8">
        <w:rPr>
          <w:b w:val="0"/>
          <w:sz w:val="16"/>
          <w:szCs w:val="16"/>
        </w:rPr>
        <w:t>of</w:t>
      </w:r>
      <w:r w:rsidR="00D83AE7" w:rsidRPr="003A2CA8">
        <w:rPr>
          <w:b w:val="0"/>
          <w:sz w:val="16"/>
          <w:szCs w:val="16"/>
        </w:rPr>
        <w:t>-</w:t>
      </w:r>
      <w:r w:rsidR="00854C6C" w:rsidRPr="003A2CA8">
        <w:rPr>
          <w:b w:val="0"/>
          <w:sz w:val="16"/>
          <w:szCs w:val="16"/>
        </w:rPr>
        <w:t>magnitude transmission costs summarized in this section</w:t>
      </w:r>
      <w:r w:rsidR="00B7513E" w:rsidRPr="003A2CA8">
        <w:rPr>
          <w:b w:val="0"/>
          <w:sz w:val="16"/>
          <w:szCs w:val="16"/>
        </w:rPr>
        <w:t>.</w:t>
      </w:r>
    </w:p>
    <w:p w:rsidR="00BD0B41" w:rsidRDefault="000F2557" w:rsidP="00060728">
      <w:r w:rsidRPr="00712F7A">
        <w:fldChar w:fldCharType="begin"/>
      </w:r>
      <w:r w:rsidRPr="00712F7A">
        <w:instrText xml:space="preserve"> REF _Ref476826164 \h </w:instrText>
      </w:r>
      <w:r>
        <w:instrText xml:space="preserve"> \* MERGEFORMAT </w:instrText>
      </w:r>
      <w:r w:rsidRPr="00712F7A">
        <w:fldChar w:fldCharType="separate"/>
      </w:r>
      <w:r w:rsidR="00742B49" w:rsidRPr="00EC3A1C">
        <w:t xml:space="preserve">Figure </w:t>
      </w:r>
      <w:r w:rsidR="00742B49">
        <w:rPr>
          <w:noProof/>
        </w:rPr>
        <w:t>5</w:t>
      </w:r>
      <w:r w:rsidR="00742B49" w:rsidRPr="00EC3A1C">
        <w:rPr>
          <w:noProof/>
        </w:rPr>
        <w:noBreakHyphen/>
      </w:r>
      <w:r w:rsidR="00742B49">
        <w:rPr>
          <w:noProof/>
        </w:rPr>
        <w:t>9</w:t>
      </w:r>
      <w:r w:rsidRPr="00712F7A">
        <w:fldChar w:fldCharType="end"/>
      </w:r>
      <w:r>
        <w:t>-B shows the</w:t>
      </w:r>
      <w:r w:rsidR="004A3842" w:rsidRPr="005F7454">
        <w:t xml:space="preserve"> integrator system</w:t>
      </w:r>
      <w:r w:rsidR="005F7454" w:rsidRPr="005F7454">
        <w:t xml:space="preserve"> </w:t>
      </w:r>
      <w:r>
        <w:t>that</w:t>
      </w:r>
      <w:r w:rsidR="004A3842" w:rsidRPr="005F7454">
        <w:t xml:space="preserve"> ties the </w:t>
      </w:r>
      <w:r w:rsidR="00B7513E" w:rsidRPr="005F7454">
        <w:t xml:space="preserve">POIs </w:t>
      </w:r>
      <w:r w:rsidR="004A3842" w:rsidRPr="005F7454">
        <w:t xml:space="preserve">to the </w:t>
      </w:r>
      <w:r w:rsidR="00060728" w:rsidRPr="005F7454">
        <w:t xml:space="preserve">main portion of the </w:t>
      </w:r>
      <w:r w:rsidR="004A3842" w:rsidRPr="005F7454">
        <w:t>bulk power system</w:t>
      </w:r>
      <w:r w:rsidR="00060728" w:rsidRPr="005F7454">
        <w:t xml:space="preserve">. It can </w:t>
      </w:r>
      <w:r w:rsidR="00D629D4" w:rsidRPr="005F7454">
        <w:t>be</w:t>
      </w:r>
      <w:r w:rsidR="00D629D4">
        <w:t xml:space="preserve"> </w:t>
      </w:r>
      <w:r w:rsidR="00060728">
        <w:t>thought of as a means of clustering several interconnections, which can facilitate the ability of renewable resources to interconnect to the system.</w:t>
      </w:r>
      <w:r w:rsidR="00B7513E">
        <w:rPr>
          <w:rStyle w:val="FootnoteReference"/>
        </w:rPr>
        <w:footnoteReference w:id="61"/>
      </w:r>
      <w:r w:rsidR="00060728">
        <w:t xml:space="preserve"> The integrator system may</w:t>
      </w:r>
      <w:r w:rsidR="004A3842">
        <w:t xml:space="preserve"> include new high-voltage AC </w:t>
      </w:r>
      <w:r w:rsidR="004A3842">
        <w:lastRenderedPageBreak/>
        <w:t>or DC lines and converter stations and supplemental static and dynamic reactive devices</w:t>
      </w:r>
      <w:r w:rsidR="00060728">
        <w:t xml:space="preserve">. </w:t>
      </w:r>
      <w:r w:rsidR="00ED0A73">
        <w:t xml:space="preserve">When technically possible, the benefit of </w:t>
      </w:r>
      <w:r w:rsidR="00BD0B41">
        <w:t>having an</w:t>
      </w:r>
      <w:r w:rsidR="00ED0A73">
        <w:t xml:space="preserve"> integrator system is that, by tying the new renewable resources to the</w:t>
      </w:r>
      <w:r w:rsidR="00C358A9">
        <w:t xml:space="preserve"> existing</w:t>
      </w:r>
      <w:r w:rsidR="00ED0A73">
        <w:t xml:space="preserve"> bulk power system, the new resources can make use of any marginal capability on the existing bulk power system. </w:t>
      </w:r>
      <w:r w:rsidR="00FD4AC8">
        <w:t xml:space="preserve">Consistent with the way resources are interconnected to the system under the New England minimum interconnection process, the </w:t>
      </w:r>
      <w:r w:rsidR="0097100D">
        <w:t xml:space="preserve">sizing of the </w:t>
      </w:r>
      <w:r w:rsidR="00FD4AC8">
        <w:t xml:space="preserve">integrator is based on the nameplate amount of </w:t>
      </w:r>
      <w:r w:rsidR="00B7513E">
        <w:t>megawatts</w:t>
      </w:r>
      <w:r w:rsidR="00FD4AC8">
        <w:t xml:space="preserve"> being “integrated</w:t>
      </w:r>
      <w:r w:rsidR="00B7513E">
        <w:t>.</w:t>
      </w:r>
      <w:r w:rsidR="00FD4AC8">
        <w:t>”</w:t>
      </w:r>
      <w:r w:rsidR="009E7B29">
        <w:t xml:space="preserve"> </w:t>
      </w:r>
    </w:p>
    <w:p w:rsidR="004A3842" w:rsidRDefault="00ED0A73" w:rsidP="00060728">
      <w:r w:rsidRPr="00197AB7">
        <w:t>However, under scenarios with extremely large additions of renewab</w:t>
      </w:r>
      <w:r w:rsidR="0020459D" w:rsidRPr="00197AB7">
        <w:t>le resources</w:t>
      </w:r>
      <w:r w:rsidRPr="00197AB7">
        <w:t xml:space="preserve">, an integrator system </w:t>
      </w:r>
      <w:r w:rsidR="00197AB7" w:rsidRPr="00712F7A">
        <w:t xml:space="preserve">most likely </w:t>
      </w:r>
      <w:r w:rsidR="00BD0B41" w:rsidRPr="00197AB7">
        <w:t xml:space="preserve">would be </w:t>
      </w:r>
      <w:r w:rsidR="00197AB7" w:rsidRPr="00712F7A">
        <w:t>in</w:t>
      </w:r>
      <w:r w:rsidR="00BD0B41" w:rsidRPr="00197AB7">
        <w:t xml:space="preserve">sufficient </w:t>
      </w:r>
      <w:r w:rsidR="0097100D" w:rsidRPr="00197AB7">
        <w:t>for</w:t>
      </w:r>
      <w:r w:rsidR="0020459D" w:rsidRPr="00197AB7">
        <w:t xml:space="preserve"> integrat</w:t>
      </w:r>
      <w:r w:rsidR="0097100D" w:rsidRPr="00197AB7">
        <w:t>ing</w:t>
      </w:r>
      <w:r w:rsidR="00BD0B41" w:rsidRPr="00197AB7">
        <w:t xml:space="preserve"> all the additional </w:t>
      </w:r>
      <w:r w:rsidR="0097100D" w:rsidRPr="00197AB7">
        <w:t>megawatt</w:t>
      </w:r>
      <w:r w:rsidR="0020459D" w:rsidRPr="00197AB7">
        <w:t>s</w:t>
      </w:r>
      <w:r w:rsidRPr="00197AB7">
        <w:t xml:space="preserve"> to the bulk power system</w:t>
      </w:r>
      <w:r w:rsidR="0020459D" w:rsidRPr="00197AB7">
        <w:t xml:space="preserve"> without large amounts of transmission upgrades on the existing bulk power system</w:t>
      </w:r>
      <w:r w:rsidR="00BD0B41" w:rsidRPr="00197AB7">
        <w:t xml:space="preserve">. </w:t>
      </w:r>
      <w:r w:rsidR="0020459D" w:rsidRPr="00197AB7">
        <w:t xml:space="preserve">In such cases, </w:t>
      </w:r>
      <w:r w:rsidR="00BD0B41" w:rsidRPr="00197AB7">
        <w:t>bypassing the integrator system and relying</w:t>
      </w:r>
      <w:r w:rsidR="00BD0B41">
        <w:t xml:space="preserve"> exclusively on the congestion</w:t>
      </w:r>
      <w:r w:rsidR="005E4798">
        <w:t>-</w:t>
      </w:r>
      <w:r w:rsidR="00BD0B41">
        <w:t>relief system w</w:t>
      </w:r>
      <w:r w:rsidR="00197AB7">
        <w:t xml:space="preserve">as assumed to </w:t>
      </w:r>
      <w:r w:rsidR="00BD0B41">
        <w:t>be the most cost</w:t>
      </w:r>
      <w:r w:rsidR="005E4798">
        <w:t>-</w:t>
      </w:r>
      <w:r w:rsidR="00BD0B41">
        <w:t>effective</w:t>
      </w:r>
      <w:r>
        <w:t xml:space="preserve"> </w:t>
      </w:r>
      <w:r w:rsidR="00BD0B41">
        <w:t xml:space="preserve">way </w:t>
      </w:r>
      <w:r w:rsidR="00197AB7">
        <w:t>to</w:t>
      </w:r>
      <w:r w:rsidR="00BD0B41">
        <w:t xml:space="preserve"> integrat</w:t>
      </w:r>
      <w:r w:rsidR="00197AB7">
        <w:t>e</w:t>
      </w:r>
      <w:r w:rsidR="00BD0B41">
        <w:t xml:space="preserve"> extremely large additions of r</w:t>
      </w:r>
      <w:r w:rsidR="0020459D">
        <w:t>enewable resources</w:t>
      </w:r>
      <w:r>
        <w:t>.</w:t>
      </w:r>
      <w:r w:rsidR="00142F6B">
        <w:t xml:space="preserve"> </w:t>
      </w:r>
      <w:r w:rsidR="0020459D">
        <w:t xml:space="preserve">For </w:t>
      </w:r>
      <w:r w:rsidR="00197AB7">
        <w:t xml:space="preserve">the </w:t>
      </w:r>
      <w:r w:rsidR="0020459D">
        <w:t xml:space="preserve">scenarios </w:t>
      </w:r>
      <w:r w:rsidR="00197AB7">
        <w:t xml:space="preserve">that </w:t>
      </w:r>
      <w:r w:rsidR="0020459D" w:rsidRPr="001B4057">
        <w:t>considered</w:t>
      </w:r>
      <w:r w:rsidR="00197AB7" w:rsidRPr="001B4057">
        <w:t xml:space="preserve"> an integrator system</w:t>
      </w:r>
      <w:r w:rsidR="0020459D" w:rsidRPr="001B4057">
        <w:t xml:space="preserve">, </w:t>
      </w:r>
      <w:r w:rsidR="00197AB7" w:rsidRPr="001B4057">
        <w:t xml:space="preserve">the </w:t>
      </w:r>
      <w:r w:rsidR="0020459D" w:rsidRPr="001B4057">
        <w:t>c</w:t>
      </w:r>
      <w:r w:rsidR="00C358A9" w:rsidRPr="001B4057">
        <w:t>ost estimates</w:t>
      </w:r>
      <w:r w:rsidR="0020459D" w:rsidRPr="001B4057">
        <w:t xml:space="preserve"> for the system</w:t>
      </w:r>
      <w:r w:rsidR="00C358A9" w:rsidRPr="001B4057">
        <w:t xml:space="preserve"> were based on engineering judgment</w:t>
      </w:r>
      <w:r w:rsidR="00197AB7" w:rsidRPr="001B4057">
        <w:t>,</w:t>
      </w:r>
      <w:r w:rsidR="00C358A9" w:rsidRPr="001B4057">
        <w:t xml:space="preserve"> accounting for the general locations of wind plants.</w:t>
      </w:r>
      <w:r w:rsidR="00197AB7" w:rsidRPr="001B4057">
        <w:t xml:space="preserve"> </w:t>
      </w:r>
      <w:r w:rsidR="0043788D" w:rsidRPr="001B4057">
        <w:fldChar w:fldCharType="begin"/>
      </w:r>
      <w:r w:rsidR="0043788D" w:rsidRPr="001B4057">
        <w:instrText xml:space="preserve"> REF _Ref476829600 \h  \* MERGEFORMAT </w:instrText>
      </w:r>
      <w:r w:rsidR="0043788D" w:rsidRPr="001B4057">
        <w:fldChar w:fldCharType="separate"/>
      </w:r>
      <w:r w:rsidR="00742B49">
        <w:t xml:space="preserve">Table </w:t>
      </w:r>
      <w:r w:rsidR="00742B49">
        <w:rPr>
          <w:noProof/>
        </w:rPr>
        <w:t>5</w:t>
      </w:r>
      <w:r w:rsidR="00742B49">
        <w:rPr>
          <w:noProof/>
        </w:rPr>
        <w:noBreakHyphen/>
        <w:t>18</w:t>
      </w:r>
      <w:r w:rsidR="0043788D" w:rsidRPr="001B4057">
        <w:fldChar w:fldCharType="end"/>
      </w:r>
      <w:r w:rsidR="00197AB7" w:rsidRPr="001B4057">
        <w:t xml:space="preserve"> shows the assumptions for the integrator systems</w:t>
      </w:r>
      <w:r w:rsidR="0053349B" w:rsidRPr="001B4057">
        <w:t>.</w:t>
      </w:r>
      <w:r w:rsidR="0043788D" w:rsidRPr="001B4057">
        <w:t xml:space="preserve"> </w:t>
      </w:r>
      <w:r w:rsidR="005753DB">
        <w:t xml:space="preserve">The integrator systems were assumed </w:t>
      </w:r>
      <w:r w:rsidR="000979E7">
        <w:t xml:space="preserve">to be </w:t>
      </w:r>
      <w:r w:rsidR="005753DB">
        <w:t>in</w:t>
      </w:r>
      <w:r w:rsidR="000979E7">
        <w:t xml:space="preserve"> </w:t>
      </w:r>
      <w:r w:rsidR="005753DB">
        <w:t xml:space="preserve">service by 2025 in anticipation of the assumed amounts of wind resources for 2030. </w:t>
      </w:r>
    </w:p>
    <w:p w:rsidR="00060728" w:rsidRPr="00D404E5" w:rsidRDefault="00197AB7" w:rsidP="00712F7A">
      <w:pPr>
        <w:pStyle w:val="Caption"/>
        <w:jc w:val="center"/>
        <w:rPr>
          <w:color w:val="000000" w:themeColor="text1"/>
        </w:rPr>
      </w:pPr>
      <w:bookmarkStart w:id="181" w:name="_Ref476829600"/>
      <w:bookmarkStart w:id="182" w:name="_Toc486406032"/>
      <w:r w:rsidRPr="00D404E5">
        <w:rPr>
          <w:color w:val="000000" w:themeColor="text1"/>
        </w:rPr>
        <w:t xml:space="preserve">Table </w:t>
      </w:r>
      <w:r w:rsidR="004248FE">
        <w:rPr>
          <w:color w:val="000000" w:themeColor="text1"/>
        </w:rPr>
        <w:fldChar w:fldCharType="begin"/>
      </w:r>
      <w:r w:rsidR="004248FE">
        <w:rPr>
          <w:color w:val="000000" w:themeColor="text1"/>
        </w:rPr>
        <w:instrText xml:space="preserve"> STYLEREF 1 \s </w:instrText>
      </w:r>
      <w:r w:rsidR="004248FE">
        <w:rPr>
          <w:color w:val="000000" w:themeColor="text1"/>
        </w:rPr>
        <w:fldChar w:fldCharType="separate"/>
      </w:r>
      <w:r w:rsidR="004248FE">
        <w:rPr>
          <w:noProof/>
          <w:color w:val="000000" w:themeColor="text1"/>
        </w:rPr>
        <w:t>5</w:t>
      </w:r>
      <w:r w:rsidR="004248FE">
        <w:rPr>
          <w:color w:val="000000" w:themeColor="text1"/>
        </w:rPr>
        <w:fldChar w:fldCharType="end"/>
      </w:r>
      <w:r w:rsidR="004248FE">
        <w:rPr>
          <w:color w:val="000000" w:themeColor="text1"/>
        </w:rPr>
        <w:noBreakHyphen/>
      </w:r>
      <w:r w:rsidR="00F52EC3">
        <w:rPr>
          <w:color w:val="000000" w:themeColor="text1"/>
        </w:rPr>
        <w:t>18</w:t>
      </w:r>
      <w:bookmarkEnd w:id="181"/>
      <w:r w:rsidRPr="00D404E5">
        <w:rPr>
          <w:color w:val="000000" w:themeColor="text1"/>
        </w:rPr>
        <w:br/>
        <w:t>Integrator System Assumptions</w:t>
      </w:r>
      <w:bookmarkEnd w:id="182"/>
    </w:p>
    <w:tbl>
      <w:tblPr>
        <w:tblW w:w="964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20" w:firstRow="1" w:lastRow="0" w:firstColumn="0" w:lastColumn="0" w:noHBand="0" w:noVBand="1"/>
      </w:tblPr>
      <w:tblGrid>
        <w:gridCol w:w="1982"/>
        <w:gridCol w:w="1277"/>
        <w:gridCol w:w="1278"/>
        <w:gridCol w:w="1278"/>
        <w:gridCol w:w="1277"/>
        <w:gridCol w:w="1278"/>
        <w:gridCol w:w="1278"/>
      </w:tblGrid>
      <w:tr w:rsidR="005A1BBB" w:rsidRPr="00197AB7" w:rsidTr="00197AB7">
        <w:trPr>
          <w:trHeight w:val="421"/>
          <w:jc w:val="center"/>
        </w:trPr>
        <w:tc>
          <w:tcPr>
            <w:tcW w:w="1982" w:type="dxa"/>
            <w:shd w:val="clear" w:color="auto" w:fill="4F81BD" w:themeFill="accent1"/>
            <w:tcMar>
              <w:top w:w="72" w:type="dxa"/>
              <w:left w:w="144" w:type="dxa"/>
              <w:bottom w:w="72" w:type="dxa"/>
              <w:right w:w="144" w:type="dxa"/>
            </w:tcMar>
            <w:vAlign w:val="center"/>
            <w:hideMark/>
          </w:tcPr>
          <w:p w:rsidR="005A1BBB" w:rsidRPr="005A1BBB" w:rsidRDefault="005A1BBB" w:rsidP="005A1BBB">
            <w:pPr>
              <w:adjustRightInd/>
              <w:spacing w:after="0" w:line="240" w:lineRule="auto"/>
              <w:jc w:val="center"/>
              <w:textAlignment w:val="auto"/>
              <w:rPr>
                <w:rFonts w:ascii="Arial" w:hAnsi="Arial" w:cs="Arial"/>
                <w:color w:val="FFFFFF" w:themeColor="background1"/>
                <w:sz w:val="18"/>
                <w:szCs w:val="18"/>
              </w:rPr>
            </w:pPr>
          </w:p>
        </w:tc>
        <w:tc>
          <w:tcPr>
            <w:tcW w:w="1277" w:type="dxa"/>
            <w:shd w:val="clear" w:color="auto" w:fill="4F81BD" w:themeFill="accent1"/>
            <w:tcMar>
              <w:top w:w="72" w:type="dxa"/>
              <w:left w:w="144" w:type="dxa"/>
              <w:bottom w:w="72" w:type="dxa"/>
              <w:right w:w="144" w:type="dxa"/>
            </w:tcMar>
            <w:vAlign w:val="center"/>
            <w:hideMark/>
          </w:tcPr>
          <w:p w:rsidR="005A1BBB" w:rsidRPr="005A1BBB" w:rsidRDefault="005A1BBB" w:rsidP="00197AB7">
            <w:pPr>
              <w:adjustRightInd/>
              <w:spacing w:after="0" w:line="240" w:lineRule="auto"/>
              <w:jc w:val="center"/>
              <w:textAlignment w:val="auto"/>
              <w:rPr>
                <w:rFonts w:ascii="Arial" w:hAnsi="Arial" w:cs="Arial"/>
                <w:color w:val="FFFFFF" w:themeColor="background1"/>
                <w:sz w:val="18"/>
                <w:szCs w:val="18"/>
                <w:highlight w:val="green"/>
              </w:rPr>
            </w:pPr>
            <w:r>
              <w:rPr>
                <w:rFonts w:asciiTheme="minorHAnsi" w:hAnsiTheme="minorHAnsi"/>
                <w:b/>
                <w:color w:val="FFFFFF" w:themeColor="background1"/>
                <w:sz w:val="18"/>
                <w:szCs w:val="18"/>
              </w:rPr>
              <w:t xml:space="preserve"> Scenario </w:t>
            </w:r>
            <w:r w:rsidRPr="00C8724B">
              <w:rPr>
                <w:rFonts w:asciiTheme="minorHAnsi" w:hAnsiTheme="minorHAnsi"/>
                <w:b/>
                <w:color w:val="FFFFFF" w:themeColor="background1"/>
                <w:sz w:val="18"/>
                <w:szCs w:val="18"/>
              </w:rPr>
              <w:t>1</w:t>
            </w:r>
            <w:r>
              <w:rPr>
                <w:rFonts w:asciiTheme="minorHAnsi" w:hAnsiTheme="minorHAnsi"/>
                <w:b/>
                <w:color w:val="FFFFFF" w:themeColor="background1"/>
                <w:sz w:val="18"/>
                <w:szCs w:val="18"/>
              </w:rPr>
              <w:br/>
            </w:r>
            <w:r w:rsidRPr="00C8724B">
              <w:rPr>
                <w:rFonts w:asciiTheme="minorHAnsi" w:hAnsiTheme="minorHAnsi"/>
                <w:b/>
                <w:color w:val="FFFFFF" w:themeColor="background1"/>
                <w:sz w:val="18"/>
                <w:szCs w:val="18"/>
              </w:rPr>
              <w:t>RPSs + Gas</w:t>
            </w:r>
          </w:p>
        </w:tc>
        <w:tc>
          <w:tcPr>
            <w:tcW w:w="1278" w:type="dxa"/>
            <w:shd w:val="clear" w:color="auto" w:fill="4F81BD" w:themeFill="accent1"/>
            <w:tcMar>
              <w:top w:w="72" w:type="dxa"/>
              <w:left w:w="144" w:type="dxa"/>
              <w:bottom w:w="72" w:type="dxa"/>
              <w:right w:w="144" w:type="dxa"/>
            </w:tcMar>
            <w:vAlign w:val="center"/>
            <w:hideMark/>
          </w:tcPr>
          <w:p w:rsidR="005A1BBB" w:rsidRPr="005A1BBB" w:rsidRDefault="005A1BBB" w:rsidP="00197AB7">
            <w:pPr>
              <w:adjustRightInd/>
              <w:spacing w:after="0" w:line="240" w:lineRule="auto"/>
              <w:jc w:val="center"/>
              <w:textAlignment w:val="auto"/>
              <w:rPr>
                <w:rFonts w:ascii="Arial" w:hAnsi="Arial" w:cs="Arial"/>
                <w:color w:val="FFFFFF" w:themeColor="background1"/>
                <w:sz w:val="18"/>
                <w:szCs w:val="18"/>
                <w:highlight w:val="green"/>
              </w:rPr>
            </w:pPr>
            <w:r>
              <w:rPr>
                <w:rFonts w:asciiTheme="minorHAnsi" w:hAnsiTheme="minorHAnsi"/>
                <w:b/>
                <w:color w:val="FFFFFF" w:themeColor="background1"/>
                <w:sz w:val="18"/>
                <w:szCs w:val="18"/>
              </w:rPr>
              <w:t xml:space="preserve">Scenario </w:t>
            </w:r>
            <w:r w:rsidRPr="00C8724B">
              <w:rPr>
                <w:rFonts w:asciiTheme="minorHAnsi" w:hAnsiTheme="minorHAnsi"/>
                <w:b/>
                <w:color w:val="FFFFFF" w:themeColor="background1"/>
                <w:sz w:val="18"/>
                <w:szCs w:val="18"/>
              </w:rPr>
              <w:t>2</w:t>
            </w:r>
            <w:r>
              <w:rPr>
                <w:rFonts w:asciiTheme="minorHAnsi" w:hAnsiTheme="minorHAnsi"/>
                <w:b/>
                <w:color w:val="FFFFFF" w:themeColor="background1"/>
                <w:sz w:val="18"/>
                <w:szCs w:val="18"/>
              </w:rPr>
              <w:br/>
            </w:r>
            <w:r w:rsidRPr="00C8724B">
              <w:rPr>
                <w:rFonts w:asciiTheme="minorHAnsi" w:hAnsiTheme="minorHAnsi"/>
                <w:b/>
                <w:color w:val="FFFFFF" w:themeColor="background1"/>
                <w:sz w:val="18"/>
                <w:szCs w:val="18"/>
              </w:rPr>
              <w:t>ISO Queue</w:t>
            </w:r>
          </w:p>
        </w:tc>
        <w:tc>
          <w:tcPr>
            <w:tcW w:w="1278" w:type="dxa"/>
            <w:shd w:val="clear" w:color="auto" w:fill="4F81BD" w:themeFill="accent1"/>
            <w:tcMar>
              <w:top w:w="72" w:type="dxa"/>
              <w:left w:w="144" w:type="dxa"/>
              <w:bottom w:w="72" w:type="dxa"/>
              <w:right w:w="144" w:type="dxa"/>
            </w:tcMar>
            <w:vAlign w:val="center"/>
            <w:hideMark/>
          </w:tcPr>
          <w:p w:rsidR="005A1BBB" w:rsidRPr="005A1BBB" w:rsidRDefault="005A1BBB" w:rsidP="00197AB7">
            <w:pPr>
              <w:adjustRightInd/>
              <w:spacing w:after="0" w:line="240" w:lineRule="auto"/>
              <w:jc w:val="center"/>
              <w:textAlignment w:val="auto"/>
              <w:rPr>
                <w:rFonts w:ascii="Arial" w:hAnsi="Arial" w:cs="Arial"/>
                <w:color w:val="FFFFFF" w:themeColor="background1"/>
                <w:sz w:val="18"/>
                <w:szCs w:val="18"/>
                <w:highlight w:val="green"/>
              </w:rPr>
            </w:pPr>
            <w:r>
              <w:rPr>
                <w:rFonts w:asciiTheme="minorHAnsi" w:hAnsiTheme="minorHAnsi"/>
                <w:b/>
                <w:color w:val="FFFFFF" w:themeColor="background1"/>
                <w:sz w:val="18"/>
                <w:szCs w:val="18"/>
              </w:rPr>
              <w:t xml:space="preserve">Scenario </w:t>
            </w:r>
            <w:r w:rsidRPr="00C8724B">
              <w:rPr>
                <w:rFonts w:asciiTheme="minorHAnsi" w:hAnsiTheme="minorHAnsi"/>
                <w:b/>
                <w:color w:val="FFFFFF" w:themeColor="background1"/>
                <w:sz w:val="18"/>
                <w:szCs w:val="18"/>
              </w:rPr>
              <w:t>3</w:t>
            </w:r>
            <w:r>
              <w:rPr>
                <w:rFonts w:asciiTheme="minorHAnsi" w:hAnsiTheme="minorHAnsi"/>
                <w:b/>
                <w:color w:val="FFFFFF" w:themeColor="background1"/>
                <w:sz w:val="18"/>
                <w:szCs w:val="18"/>
              </w:rPr>
              <w:br/>
            </w:r>
            <w:r w:rsidRPr="00C8724B">
              <w:rPr>
                <w:rFonts w:asciiTheme="minorHAnsi" w:hAnsiTheme="minorHAnsi"/>
                <w:b/>
                <w:color w:val="FFFFFF" w:themeColor="background1"/>
                <w:sz w:val="18"/>
                <w:szCs w:val="18"/>
              </w:rPr>
              <w:t>Renewables Plus</w:t>
            </w:r>
          </w:p>
        </w:tc>
        <w:tc>
          <w:tcPr>
            <w:tcW w:w="1277" w:type="dxa"/>
            <w:shd w:val="clear" w:color="auto" w:fill="4F81BD" w:themeFill="accent1"/>
            <w:vAlign w:val="center"/>
          </w:tcPr>
          <w:p w:rsidR="005A1BBB" w:rsidRPr="005A1BBB" w:rsidRDefault="005A1BBB" w:rsidP="00197AB7">
            <w:pPr>
              <w:adjustRightInd/>
              <w:spacing w:after="0" w:line="240" w:lineRule="auto"/>
              <w:jc w:val="center"/>
              <w:textAlignment w:val="auto"/>
              <w:rPr>
                <w:rFonts w:ascii="Calibri" w:hAnsi="Calibri" w:cs="Arial"/>
                <w:b/>
                <w:bCs/>
                <w:color w:val="FFFFFF" w:themeColor="background1"/>
                <w:kern w:val="24"/>
                <w:sz w:val="18"/>
                <w:szCs w:val="18"/>
                <w:highlight w:val="green"/>
              </w:rPr>
            </w:pPr>
            <w:r>
              <w:rPr>
                <w:rFonts w:asciiTheme="minorHAnsi" w:hAnsiTheme="minorHAnsi"/>
                <w:b/>
                <w:color w:val="FFFFFF" w:themeColor="background1"/>
                <w:sz w:val="18"/>
                <w:szCs w:val="18"/>
              </w:rPr>
              <w:t>Scenario 4</w:t>
            </w:r>
            <w:r>
              <w:rPr>
                <w:rFonts w:asciiTheme="minorHAnsi" w:hAnsiTheme="minorHAnsi"/>
                <w:b/>
                <w:color w:val="FFFFFF" w:themeColor="background1"/>
                <w:sz w:val="18"/>
                <w:szCs w:val="18"/>
              </w:rPr>
              <w:br/>
            </w:r>
            <w:r w:rsidRPr="00C8724B">
              <w:rPr>
                <w:rFonts w:asciiTheme="minorHAnsi" w:hAnsiTheme="minorHAnsi"/>
                <w:b/>
                <w:color w:val="FFFFFF" w:themeColor="background1"/>
                <w:sz w:val="18"/>
                <w:szCs w:val="18"/>
              </w:rPr>
              <w:t>No Retirements</w:t>
            </w:r>
            <w:r>
              <w:rPr>
                <w:rFonts w:asciiTheme="minorHAnsi" w:hAnsiTheme="minorHAnsi"/>
                <w:b/>
                <w:color w:val="FFFFFF" w:themeColor="background1"/>
                <w:sz w:val="18"/>
                <w:szCs w:val="18"/>
              </w:rPr>
              <w:t xml:space="preserve"> beyond FCA #10</w:t>
            </w:r>
          </w:p>
        </w:tc>
        <w:tc>
          <w:tcPr>
            <w:tcW w:w="1278" w:type="dxa"/>
            <w:shd w:val="clear" w:color="auto" w:fill="4F81BD" w:themeFill="accent1"/>
            <w:vAlign w:val="center"/>
          </w:tcPr>
          <w:p w:rsidR="005A1BBB" w:rsidRPr="005A1BBB" w:rsidRDefault="005A1BBB" w:rsidP="00197AB7">
            <w:pPr>
              <w:adjustRightInd/>
              <w:spacing w:after="0" w:line="240" w:lineRule="auto"/>
              <w:jc w:val="center"/>
              <w:textAlignment w:val="auto"/>
              <w:rPr>
                <w:rFonts w:ascii="Calibri" w:hAnsi="Calibri" w:cs="Arial"/>
                <w:b/>
                <w:bCs/>
                <w:color w:val="FFFFFF" w:themeColor="background1"/>
                <w:kern w:val="24"/>
                <w:sz w:val="18"/>
                <w:szCs w:val="18"/>
                <w:highlight w:val="green"/>
              </w:rPr>
            </w:pPr>
            <w:r>
              <w:rPr>
                <w:rFonts w:asciiTheme="minorHAnsi" w:hAnsiTheme="minorHAnsi"/>
                <w:b/>
                <w:color w:val="FFFFFF" w:themeColor="background1"/>
                <w:sz w:val="18"/>
                <w:szCs w:val="18"/>
              </w:rPr>
              <w:t xml:space="preserve">Scenario </w:t>
            </w:r>
            <w:r w:rsidRPr="00C8724B">
              <w:rPr>
                <w:rFonts w:asciiTheme="minorHAnsi" w:hAnsiTheme="minorHAnsi"/>
                <w:b/>
                <w:color w:val="FFFFFF" w:themeColor="background1"/>
                <w:sz w:val="18"/>
                <w:szCs w:val="18"/>
              </w:rPr>
              <w:t>5</w:t>
            </w:r>
            <w:r>
              <w:rPr>
                <w:rFonts w:asciiTheme="minorHAnsi" w:hAnsiTheme="minorHAnsi"/>
                <w:b/>
                <w:color w:val="FFFFFF" w:themeColor="background1"/>
                <w:sz w:val="18"/>
                <w:szCs w:val="18"/>
              </w:rPr>
              <w:br/>
            </w:r>
            <w:r w:rsidRPr="00C8724B">
              <w:rPr>
                <w:rFonts w:asciiTheme="minorHAnsi" w:hAnsiTheme="minorHAnsi"/>
                <w:b/>
                <w:color w:val="FFFFFF" w:themeColor="background1"/>
                <w:sz w:val="18"/>
                <w:szCs w:val="18"/>
              </w:rPr>
              <w:t>ACPs + Gas</w:t>
            </w:r>
          </w:p>
        </w:tc>
        <w:tc>
          <w:tcPr>
            <w:tcW w:w="1278" w:type="dxa"/>
            <w:shd w:val="clear" w:color="auto" w:fill="4F81BD" w:themeFill="accent1"/>
            <w:tcMar>
              <w:top w:w="72" w:type="dxa"/>
              <w:left w:w="144" w:type="dxa"/>
              <w:bottom w:w="72" w:type="dxa"/>
              <w:right w:w="144" w:type="dxa"/>
            </w:tcMar>
            <w:vAlign w:val="center"/>
            <w:hideMark/>
          </w:tcPr>
          <w:p w:rsidR="005A1BBB" w:rsidRPr="005A1BBB" w:rsidRDefault="005A1BBB" w:rsidP="00197AB7">
            <w:pPr>
              <w:adjustRightInd/>
              <w:spacing w:after="0" w:line="240" w:lineRule="auto"/>
              <w:jc w:val="center"/>
              <w:textAlignment w:val="auto"/>
              <w:rPr>
                <w:rFonts w:ascii="Arial" w:hAnsi="Arial" w:cs="Arial"/>
                <w:color w:val="FFFFFF" w:themeColor="background1"/>
                <w:sz w:val="18"/>
                <w:szCs w:val="18"/>
                <w:highlight w:val="green"/>
              </w:rPr>
            </w:pPr>
            <w:r>
              <w:rPr>
                <w:rFonts w:asciiTheme="minorHAnsi" w:hAnsiTheme="minorHAnsi"/>
                <w:b/>
                <w:color w:val="FFFFFF" w:themeColor="background1"/>
                <w:sz w:val="18"/>
                <w:szCs w:val="18"/>
              </w:rPr>
              <w:t xml:space="preserve">Scenario </w:t>
            </w:r>
            <w:r w:rsidRPr="00C8724B">
              <w:rPr>
                <w:rFonts w:asciiTheme="minorHAnsi" w:hAnsiTheme="minorHAnsi"/>
                <w:b/>
                <w:color w:val="FFFFFF" w:themeColor="background1"/>
                <w:sz w:val="18"/>
                <w:szCs w:val="18"/>
              </w:rPr>
              <w:t>6</w:t>
            </w:r>
            <w:r>
              <w:rPr>
                <w:rFonts w:asciiTheme="minorHAnsi" w:hAnsiTheme="minorHAnsi"/>
                <w:b/>
                <w:color w:val="FFFFFF" w:themeColor="background1"/>
                <w:sz w:val="18"/>
                <w:szCs w:val="18"/>
              </w:rPr>
              <w:br/>
            </w:r>
            <w:r w:rsidRPr="00C8724B">
              <w:rPr>
                <w:rFonts w:asciiTheme="minorHAnsi" w:hAnsiTheme="minorHAnsi"/>
                <w:b/>
                <w:color w:val="FFFFFF" w:themeColor="background1"/>
                <w:sz w:val="18"/>
                <w:szCs w:val="18"/>
              </w:rPr>
              <w:t>RPSs + Geodiverse Renewables</w:t>
            </w:r>
          </w:p>
        </w:tc>
      </w:tr>
      <w:tr w:rsidR="00D404E5" w:rsidRPr="00197AB7" w:rsidTr="001B4057">
        <w:trPr>
          <w:trHeight w:val="448"/>
          <w:jc w:val="center"/>
        </w:trPr>
        <w:tc>
          <w:tcPr>
            <w:tcW w:w="1982" w:type="dxa"/>
            <w:shd w:val="clear" w:color="auto" w:fill="auto"/>
            <w:tcMar>
              <w:top w:w="72" w:type="dxa"/>
              <w:left w:w="144" w:type="dxa"/>
              <w:bottom w:w="72" w:type="dxa"/>
              <w:right w:w="144" w:type="dxa"/>
            </w:tcMar>
            <w:vAlign w:val="center"/>
            <w:hideMark/>
          </w:tcPr>
          <w:p w:rsidR="00D404E5" w:rsidRPr="001B4057" w:rsidRDefault="00D404E5" w:rsidP="00197AB7">
            <w:pPr>
              <w:adjustRightInd/>
              <w:spacing w:after="0" w:line="240" w:lineRule="auto"/>
              <w:textAlignment w:val="auto"/>
              <w:rPr>
                <w:rFonts w:ascii="Arial" w:hAnsi="Arial" w:cs="Arial"/>
                <w:sz w:val="18"/>
                <w:szCs w:val="18"/>
              </w:rPr>
            </w:pPr>
            <w:r w:rsidRPr="001B4057">
              <w:rPr>
                <w:rFonts w:asciiTheme="minorHAnsi" w:eastAsiaTheme="minorEastAsia" w:hAnsi="Calibri" w:cstheme="minorBidi"/>
                <w:b/>
                <w:bCs/>
                <w:color w:val="000000" w:themeColor="text1"/>
                <w:kern w:val="24"/>
                <w:sz w:val="18"/>
                <w:szCs w:val="18"/>
              </w:rPr>
              <w:t xml:space="preserve">2030 Maine </w:t>
            </w:r>
            <w:r>
              <w:rPr>
                <w:rFonts w:asciiTheme="minorHAnsi" w:eastAsiaTheme="minorEastAsia" w:hAnsi="Calibri" w:cstheme="minorBidi"/>
                <w:b/>
                <w:bCs/>
                <w:color w:val="000000" w:themeColor="text1"/>
                <w:kern w:val="24"/>
                <w:sz w:val="18"/>
                <w:szCs w:val="18"/>
              </w:rPr>
              <w:t>n</w:t>
            </w:r>
            <w:r w:rsidRPr="001B4057">
              <w:rPr>
                <w:rFonts w:asciiTheme="minorHAnsi" w:eastAsiaTheme="minorEastAsia" w:hAnsi="Calibri" w:cstheme="minorBidi"/>
                <w:b/>
                <w:bCs/>
                <w:color w:val="000000" w:themeColor="text1"/>
                <w:kern w:val="24"/>
                <w:sz w:val="18"/>
                <w:szCs w:val="18"/>
              </w:rPr>
              <w:t xml:space="preserve">ameplate </w:t>
            </w:r>
            <w:r>
              <w:rPr>
                <w:rFonts w:asciiTheme="minorHAnsi" w:eastAsiaTheme="minorEastAsia" w:hAnsi="Calibri" w:cstheme="minorBidi"/>
                <w:b/>
                <w:bCs/>
                <w:color w:val="000000" w:themeColor="text1"/>
                <w:kern w:val="24"/>
                <w:sz w:val="18"/>
                <w:szCs w:val="18"/>
              </w:rPr>
              <w:t>w</w:t>
            </w:r>
            <w:r w:rsidRPr="001B4057">
              <w:rPr>
                <w:rFonts w:asciiTheme="minorHAnsi" w:eastAsiaTheme="minorEastAsia" w:hAnsi="Calibri" w:cstheme="minorBidi"/>
                <w:b/>
                <w:bCs/>
                <w:color w:val="000000" w:themeColor="text1"/>
                <w:kern w:val="24"/>
                <w:sz w:val="18"/>
                <w:szCs w:val="18"/>
              </w:rPr>
              <w:t xml:space="preserve">ind </w:t>
            </w:r>
            <w:r>
              <w:rPr>
                <w:rFonts w:asciiTheme="minorHAnsi" w:eastAsiaTheme="minorEastAsia" w:hAnsi="Calibri" w:cstheme="minorBidi"/>
                <w:b/>
                <w:bCs/>
                <w:color w:val="000000" w:themeColor="text1"/>
                <w:kern w:val="24"/>
                <w:sz w:val="18"/>
                <w:szCs w:val="18"/>
              </w:rPr>
              <w:t>i</w:t>
            </w:r>
            <w:r w:rsidRPr="001B4057">
              <w:rPr>
                <w:rFonts w:asciiTheme="minorHAnsi" w:eastAsiaTheme="minorEastAsia" w:hAnsi="Calibri" w:cstheme="minorBidi"/>
                <w:b/>
                <w:bCs/>
                <w:color w:val="000000" w:themeColor="text1"/>
                <w:kern w:val="24"/>
                <w:sz w:val="18"/>
                <w:szCs w:val="18"/>
              </w:rPr>
              <w:t>njection (MW)</w:t>
            </w:r>
          </w:p>
        </w:tc>
        <w:tc>
          <w:tcPr>
            <w:tcW w:w="1277" w:type="dxa"/>
            <w:shd w:val="clear" w:color="auto" w:fill="auto"/>
            <w:tcMar>
              <w:top w:w="15" w:type="dxa"/>
              <w:left w:w="15" w:type="dxa"/>
              <w:bottom w:w="0" w:type="dxa"/>
              <w:right w:w="15" w:type="dxa"/>
            </w:tcMar>
            <w:vAlign w:val="center"/>
            <w:hideMark/>
          </w:tcPr>
          <w:p w:rsidR="00D404E5" w:rsidRPr="001B4057" w:rsidRDefault="00D404E5" w:rsidP="00197AB7">
            <w:pPr>
              <w:adjustRightInd/>
              <w:spacing w:after="0" w:line="240" w:lineRule="auto"/>
              <w:jc w:val="center"/>
              <w:textAlignment w:val="bottom"/>
              <w:rPr>
                <w:rFonts w:ascii="Arial" w:hAnsi="Arial" w:cs="Arial"/>
                <w:sz w:val="18"/>
                <w:szCs w:val="18"/>
              </w:rPr>
            </w:pPr>
            <w:r w:rsidRPr="00D404E5">
              <w:rPr>
                <w:rFonts w:ascii="Calibri" w:hAnsi="Calibri"/>
                <w:bCs/>
                <w:kern w:val="24"/>
                <w:sz w:val="18"/>
                <w:szCs w:val="18"/>
              </w:rPr>
              <w:t>2,955 MW</w:t>
            </w:r>
          </w:p>
        </w:tc>
        <w:tc>
          <w:tcPr>
            <w:tcW w:w="1278" w:type="dxa"/>
            <w:shd w:val="clear" w:color="auto" w:fill="auto"/>
            <w:tcMar>
              <w:top w:w="15" w:type="dxa"/>
              <w:left w:w="15" w:type="dxa"/>
              <w:bottom w:w="0" w:type="dxa"/>
              <w:right w:w="15" w:type="dxa"/>
            </w:tcMar>
            <w:vAlign w:val="center"/>
            <w:hideMark/>
          </w:tcPr>
          <w:p w:rsidR="00D404E5" w:rsidRPr="001B4057" w:rsidRDefault="00D404E5" w:rsidP="00197AB7">
            <w:pPr>
              <w:adjustRightInd/>
              <w:spacing w:after="0" w:line="240" w:lineRule="auto"/>
              <w:jc w:val="center"/>
              <w:textAlignment w:val="bottom"/>
              <w:rPr>
                <w:rFonts w:ascii="Arial" w:hAnsi="Arial" w:cs="Arial"/>
                <w:sz w:val="18"/>
                <w:szCs w:val="18"/>
              </w:rPr>
            </w:pPr>
            <w:r w:rsidRPr="00D404E5">
              <w:rPr>
                <w:rFonts w:ascii="Calibri" w:hAnsi="Calibri"/>
                <w:bCs/>
                <w:kern w:val="24"/>
                <w:sz w:val="18"/>
                <w:szCs w:val="18"/>
              </w:rPr>
              <w:t>12,872 MW</w:t>
            </w:r>
          </w:p>
        </w:tc>
        <w:tc>
          <w:tcPr>
            <w:tcW w:w="1278" w:type="dxa"/>
            <w:shd w:val="clear" w:color="auto" w:fill="auto"/>
            <w:tcMar>
              <w:top w:w="15" w:type="dxa"/>
              <w:left w:w="15" w:type="dxa"/>
              <w:bottom w:w="0" w:type="dxa"/>
              <w:right w:w="15" w:type="dxa"/>
            </w:tcMar>
            <w:vAlign w:val="center"/>
            <w:hideMark/>
          </w:tcPr>
          <w:p w:rsidR="00D404E5" w:rsidRPr="001B4057" w:rsidRDefault="00D404E5" w:rsidP="00197AB7">
            <w:pPr>
              <w:adjustRightInd/>
              <w:spacing w:after="0" w:line="240" w:lineRule="auto"/>
              <w:jc w:val="center"/>
              <w:textAlignment w:val="bottom"/>
              <w:rPr>
                <w:rFonts w:ascii="Arial" w:hAnsi="Arial" w:cs="Arial"/>
                <w:sz w:val="18"/>
                <w:szCs w:val="18"/>
              </w:rPr>
            </w:pPr>
            <w:r w:rsidRPr="00D404E5">
              <w:rPr>
                <w:rFonts w:ascii="Calibri" w:hAnsi="Calibri"/>
                <w:bCs/>
                <w:kern w:val="24"/>
                <w:sz w:val="18"/>
                <w:szCs w:val="18"/>
              </w:rPr>
              <w:t>3,652 MW</w:t>
            </w:r>
          </w:p>
        </w:tc>
        <w:tc>
          <w:tcPr>
            <w:tcW w:w="1277" w:type="dxa"/>
            <w:vAlign w:val="center"/>
          </w:tcPr>
          <w:p w:rsidR="00D404E5" w:rsidRPr="001B4057" w:rsidRDefault="00D404E5" w:rsidP="00197AB7">
            <w:pPr>
              <w:adjustRightInd/>
              <w:spacing w:after="0" w:line="240" w:lineRule="auto"/>
              <w:jc w:val="center"/>
              <w:textAlignment w:val="auto"/>
              <w:rPr>
                <w:rFonts w:ascii="Calibri" w:hAnsi="Calibri" w:cs="Arial"/>
                <w:bCs/>
                <w:color w:val="000000" w:themeColor="text1"/>
                <w:kern w:val="24"/>
                <w:sz w:val="18"/>
                <w:szCs w:val="18"/>
              </w:rPr>
            </w:pPr>
            <w:r w:rsidRPr="00D404E5">
              <w:rPr>
                <w:rFonts w:ascii="Calibri" w:eastAsia="Calibri" w:hAnsi="Calibri" w:cs="Arial"/>
                <w:bCs/>
                <w:kern w:val="24"/>
                <w:sz w:val="18"/>
                <w:szCs w:val="18"/>
              </w:rPr>
              <w:t>308 MW</w:t>
            </w:r>
          </w:p>
        </w:tc>
        <w:tc>
          <w:tcPr>
            <w:tcW w:w="1278" w:type="dxa"/>
            <w:vAlign w:val="center"/>
          </w:tcPr>
          <w:p w:rsidR="00D404E5" w:rsidRPr="001B4057" w:rsidRDefault="00D404E5" w:rsidP="00197AB7">
            <w:pPr>
              <w:adjustRightInd/>
              <w:spacing w:after="0" w:line="240" w:lineRule="auto"/>
              <w:jc w:val="center"/>
              <w:textAlignment w:val="auto"/>
              <w:rPr>
                <w:rFonts w:ascii="Calibri" w:hAnsi="Calibri" w:cs="Arial"/>
                <w:bCs/>
                <w:color w:val="000000" w:themeColor="text1"/>
                <w:kern w:val="24"/>
                <w:sz w:val="18"/>
                <w:szCs w:val="18"/>
              </w:rPr>
            </w:pPr>
            <w:r w:rsidRPr="00D404E5">
              <w:rPr>
                <w:rFonts w:ascii="Calibri" w:eastAsia="Calibri" w:hAnsi="Calibri" w:cs="Arial"/>
                <w:bCs/>
                <w:kern w:val="24"/>
                <w:sz w:val="18"/>
                <w:szCs w:val="18"/>
              </w:rPr>
              <w:t>308 MW</w:t>
            </w:r>
          </w:p>
        </w:tc>
        <w:tc>
          <w:tcPr>
            <w:tcW w:w="1278" w:type="dxa"/>
            <w:shd w:val="clear" w:color="auto" w:fill="auto"/>
            <w:tcMar>
              <w:top w:w="15" w:type="dxa"/>
              <w:left w:w="15" w:type="dxa"/>
              <w:bottom w:w="0" w:type="dxa"/>
              <w:right w:w="15" w:type="dxa"/>
            </w:tcMar>
            <w:vAlign w:val="center"/>
            <w:hideMark/>
          </w:tcPr>
          <w:p w:rsidR="00D404E5" w:rsidRPr="001B4057" w:rsidRDefault="00D404E5" w:rsidP="00197AB7">
            <w:pPr>
              <w:adjustRightInd/>
              <w:spacing w:after="0" w:line="240" w:lineRule="auto"/>
              <w:jc w:val="center"/>
              <w:textAlignment w:val="bottom"/>
              <w:rPr>
                <w:rFonts w:ascii="Arial" w:hAnsi="Arial" w:cs="Arial"/>
                <w:sz w:val="18"/>
                <w:szCs w:val="18"/>
              </w:rPr>
            </w:pPr>
            <w:r w:rsidRPr="00D404E5">
              <w:rPr>
                <w:rFonts w:ascii="Calibri" w:hAnsi="Calibri"/>
                <w:bCs/>
                <w:kern w:val="24"/>
                <w:sz w:val="18"/>
                <w:szCs w:val="18"/>
              </w:rPr>
              <w:t>5,959 MW</w:t>
            </w:r>
          </w:p>
        </w:tc>
      </w:tr>
      <w:tr w:rsidR="00D404E5" w:rsidRPr="00197AB7" w:rsidTr="001B4057">
        <w:trPr>
          <w:trHeight w:val="322"/>
          <w:jc w:val="center"/>
        </w:trPr>
        <w:tc>
          <w:tcPr>
            <w:tcW w:w="1982" w:type="dxa"/>
            <w:shd w:val="clear" w:color="auto" w:fill="DBE5F1" w:themeFill="accent1" w:themeFillTint="33"/>
            <w:tcMar>
              <w:top w:w="72" w:type="dxa"/>
              <w:left w:w="144" w:type="dxa"/>
              <w:bottom w:w="72" w:type="dxa"/>
              <w:right w:w="144" w:type="dxa"/>
            </w:tcMar>
            <w:vAlign w:val="center"/>
            <w:hideMark/>
          </w:tcPr>
          <w:p w:rsidR="00D404E5" w:rsidRPr="001B4057" w:rsidRDefault="00D404E5" w:rsidP="003369B6">
            <w:pPr>
              <w:adjustRightInd/>
              <w:spacing w:after="0" w:line="240" w:lineRule="auto"/>
              <w:textAlignment w:val="auto"/>
              <w:rPr>
                <w:rFonts w:ascii="Arial" w:hAnsi="Arial" w:cs="Arial"/>
                <w:sz w:val="18"/>
                <w:szCs w:val="18"/>
              </w:rPr>
            </w:pPr>
            <w:r w:rsidRPr="001B4057">
              <w:rPr>
                <w:rFonts w:ascii="Calibri" w:hAnsi="Calibri" w:cs="Arial"/>
                <w:b/>
                <w:bCs/>
                <w:color w:val="000000" w:themeColor="text1"/>
                <w:kern w:val="24"/>
                <w:sz w:val="18"/>
                <w:szCs w:val="18"/>
              </w:rPr>
              <w:t xml:space="preserve">Integrator </w:t>
            </w:r>
            <w:r>
              <w:rPr>
                <w:rFonts w:ascii="Calibri" w:hAnsi="Calibri" w:cs="Arial"/>
                <w:b/>
                <w:bCs/>
                <w:color w:val="000000" w:themeColor="text1"/>
                <w:kern w:val="24"/>
                <w:sz w:val="18"/>
                <w:szCs w:val="18"/>
              </w:rPr>
              <w:t>s</w:t>
            </w:r>
            <w:r w:rsidRPr="001B4057">
              <w:rPr>
                <w:rFonts w:ascii="Calibri" w:hAnsi="Calibri" w:cs="Arial"/>
                <w:b/>
                <w:bCs/>
                <w:color w:val="000000" w:themeColor="text1"/>
                <w:kern w:val="24"/>
                <w:sz w:val="18"/>
                <w:szCs w:val="18"/>
              </w:rPr>
              <w:t>ystem (</w:t>
            </w:r>
            <w:r w:rsidR="003369B6">
              <w:rPr>
                <w:rFonts w:ascii="Calibri" w:hAnsi="Calibri" w:cs="Arial"/>
                <w:b/>
                <w:bCs/>
                <w:color w:val="000000" w:themeColor="text1"/>
                <w:kern w:val="24"/>
                <w:sz w:val="18"/>
                <w:szCs w:val="18"/>
              </w:rPr>
              <w:t>d</w:t>
            </w:r>
            <w:r w:rsidRPr="001B4057">
              <w:rPr>
                <w:rFonts w:ascii="Calibri" w:hAnsi="Calibri" w:cs="Arial"/>
                <w:b/>
                <w:bCs/>
                <w:color w:val="000000" w:themeColor="text1"/>
                <w:kern w:val="24"/>
                <w:sz w:val="18"/>
                <w:szCs w:val="18"/>
              </w:rPr>
              <w:t>escription)</w:t>
            </w:r>
          </w:p>
        </w:tc>
        <w:tc>
          <w:tcPr>
            <w:tcW w:w="1277" w:type="dxa"/>
            <w:shd w:val="clear" w:color="auto" w:fill="DBE5F1" w:themeFill="accent1" w:themeFillTint="33"/>
            <w:tcMar>
              <w:top w:w="72" w:type="dxa"/>
              <w:left w:w="144" w:type="dxa"/>
              <w:bottom w:w="72" w:type="dxa"/>
              <w:right w:w="144" w:type="dxa"/>
            </w:tcMar>
            <w:vAlign w:val="center"/>
            <w:hideMark/>
          </w:tcPr>
          <w:p w:rsidR="00D404E5" w:rsidRPr="001B4057" w:rsidRDefault="00D404E5" w:rsidP="00197AB7">
            <w:pPr>
              <w:adjustRightInd/>
              <w:spacing w:after="0" w:line="240" w:lineRule="auto"/>
              <w:jc w:val="center"/>
              <w:textAlignment w:val="auto"/>
              <w:rPr>
                <w:rFonts w:ascii="Arial" w:hAnsi="Arial" w:cs="Arial"/>
                <w:sz w:val="18"/>
                <w:szCs w:val="18"/>
              </w:rPr>
            </w:pPr>
            <w:r w:rsidRPr="00D404E5">
              <w:rPr>
                <w:rFonts w:ascii="Calibri" w:eastAsia="Calibri" w:hAnsi="Calibri" w:cs="Arial"/>
                <w:bCs/>
                <w:kern w:val="24"/>
                <w:sz w:val="18"/>
                <w:szCs w:val="18"/>
              </w:rPr>
              <w:t xml:space="preserve">1 AC parallel or 2 AC parallel 345 </w:t>
            </w:r>
            <w:r w:rsidR="002C0C8F">
              <w:rPr>
                <w:rFonts w:ascii="Calibri" w:eastAsia="Calibri" w:hAnsi="Calibri" w:cs="Arial"/>
                <w:bCs/>
                <w:kern w:val="24"/>
                <w:sz w:val="18"/>
                <w:szCs w:val="18"/>
              </w:rPr>
              <w:t>kilovolt (</w:t>
            </w:r>
            <w:r w:rsidRPr="00D404E5">
              <w:rPr>
                <w:rFonts w:ascii="Calibri" w:eastAsia="Calibri" w:hAnsi="Calibri" w:cs="Arial"/>
                <w:bCs/>
                <w:kern w:val="24"/>
                <w:sz w:val="18"/>
                <w:szCs w:val="18"/>
              </w:rPr>
              <w:t>kV</w:t>
            </w:r>
            <w:r w:rsidR="002C0C8F">
              <w:rPr>
                <w:rFonts w:ascii="Calibri" w:eastAsia="Calibri" w:hAnsi="Calibri" w:cs="Arial"/>
                <w:bCs/>
                <w:kern w:val="24"/>
                <w:sz w:val="18"/>
                <w:szCs w:val="18"/>
              </w:rPr>
              <w:t>)</w:t>
            </w:r>
            <w:r w:rsidRPr="00D404E5">
              <w:rPr>
                <w:rFonts w:ascii="Calibri" w:eastAsia="Calibri" w:hAnsi="Calibri" w:cs="Arial"/>
                <w:bCs/>
                <w:kern w:val="24"/>
                <w:sz w:val="18"/>
                <w:szCs w:val="18"/>
              </w:rPr>
              <w:t xml:space="preserve"> paths</w:t>
            </w:r>
          </w:p>
        </w:tc>
        <w:tc>
          <w:tcPr>
            <w:tcW w:w="1278" w:type="dxa"/>
            <w:shd w:val="clear" w:color="auto" w:fill="DBE5F1" w:themeFill="accent1" w:themeFillTint="33"/>
            <w:tcMar>
              <w:top w:w="72" w:type="dxa"/>
              <w:left w:w="144" w:type="dxa"/>
              <w:bottom w:w="72" w:type="dxa"/>
              <w:right w:w="144" w:type="dxa"/>
            </w:tcMar>
            <w:vAlign w:val="center"/>
            <w:hideMark/>
          </w:tcPr>
          <w:p w:rsidR="00D404E5" w:rsidRPr="001B4057" w:rsidRDefault="00D404E5" w:rsidP="001B4057">
            <w:pPr>
              <w:adjustRightInd/>
              <w:spacing w:after="0" w:line="240" w:lineRule="auto"/>
              <w:textAlignment w:val="auto"/>
              <w:rPr>
                <w:rFonts w:ascii="Arial" w:hAnsi="Arial" w:cs="Arial"/>
                <w:sz w:val="18"/>
                <w:szCs w:val="18"/>
              </w:rPr>
            </w:pPr>
            <w:r w:rsidRPr="00D404E5">
              <w:rPr>
                <w:rFonts w:ascii="Calibri" w:eastAsia="Calibri" w:hAnsi="Calibri" w:cs="Arial"/>
                <w:bCs/>
                <w:kern w:val="24"/>
                <w:sz w:val="18"/>
                <w:szCs w:val="18"/>
              </w:rPr>
              <w:t>Bypassed—assumed exclusive reliance on congestion relief system</w:t>
            </w:r>
          </w:p>
        </w:tc>
        <w:tc>
          <w:tcPr>
            <w:tcW w:w="1278" w:type="dxa"/>
            <w:shd w:val="clear" w:color="auto" w:fill="DBE5F1" w:themeFill="accent1" w:themeFillTint="33"/>
            <w:tcMar>
              <w:top w:w="72" w:type="dxa"/>
              <w:left w:w="144" w:type="dxa"/>
              <w:bottom w:w="72" w:type="dxa"/>
              <w:right w:w="144" w:type="dxa"/>
            </w:tcMar>
            <w:vAlign w:val="center"/>
            <w:hideMark/>
          </w:tcPr>
          <w:p w:rsidR="00D404E5" w:rsidRPr="001B4057" w:rsidRDefault="00D404E5" w:rsidP="002C0C8F">
            <w:pPr>
              <w:adjustRightInd/>
              <w:spacing w:after="0" w:line="240" w:lineRule="auto"/>
              <w:jc w:val="center"/>
              <w:textAlignment w:val="auto"/>
              <w:rPr>
                <w:rFonts w:ascii="Arial" w:hAnsi="Arial" w:cs="Arial"/>
                <w:sz w:val="18"/>
                <w:szCs w:val="18"/>
              </w:rPr>
            </w:pPr>
            <w:r w:rsidRPr="00D404E5">
              <w:rPr>
                <w:rFonts w:ascii="Calibri" w:eastAsia="Calibri" w:hAnsi="Calibri" w:cs="Arial"/>
                <w:bCs/>
                <w:kern w:val="24"/>
                <w:sz w:val="18"/>
                <w:szCs w:val="18"/>
              </w:rPr>
              <w:t>1 AC parallel or</w:t>
            </w:r>
            <w:r w:rsidRPr="00D404E5">
              <w:rPr>
                <w:rFonts w:ascii="Calibri" w:hAnsi="Calibri"/>
                <w:bCs/>
                <w:kern w:val="24"/>
                <w:sz w:val="18"/>
                <w:szCs w:val="18"/>
              </w:rPr>
              <w:t xml:space="preserve"> 2 AC parallel </w:t>
            </w:r>
            <w:r w:rsidR="002C0C8F" w:rsidRPr="00D404E5">
              <w:rPr>
                <w:rFonts w:ascii="Calibri" w:hAnsi="Calibri"/>
                <w:bCs/>
                <w:kern w:val="24"/>
                <w:sz w:val="18"/>
                <w:szCs w:val="18"/>
              </w:rPr>
              <w:t>345</w:t>
            </w:r>
            <w:r w:rsidR="002C0C8F">
              <w:rPr>
                <w:rFonts w:ascii="Calibri" w:hAnsi="Calibri"/>
                <w:bCs/>
                <w:kern w:val="24"/>
                <w:sz w:val="18"/>
                <w:szCs w:val="18"/>
              </w:rPr>
              <w:t> </w:t>
            </w:r>
            <w:r w:rsidRPr="00D404E5">
              <w:rPr>
                <w:rFonts w:ascii="Calibri" w:hAnsi="Calibri"/>
                <w:bCs/>
                <w:kern w:val="24"/>
                <w:sz w:val="18"/>
                <w:szCs w:val="18"/>
              </w:rPr>
              <w:t>kV paths</w:t>
            </w:r>
          </w:p>
        </w:tc>
        <w:tc>
          <w:tcPr>
            <w:tcW w:w="1277" w:type="dxa"/>
            <w:shd w:val="clear" w:color="auto" w:fill="DBE5F1" w:themeFill="accent1" w:themeFillTint="33"/>
            <w:vAlign w:val="center"/>
          </w:tcPr>
          <w:p w:rsidR="00D404E5" w:rsidRPr="001B4057" w:rsidRDefault="00D404E5" w:rsidP="00197AB7">
            <w:pPr>
              <w:adjustRightInd/>
              <w:spacing w:after="0" w:line="240" w:lineRule="auto"/>
              <w:jc w:val="center"/>
              <w:textAlignment w:val="auto"/>
              <w:rPr>
                <w:rFonts w:ascii="Calibri" w:hAnsi="Calibri" w:cs="Arial"/>
                <w:bCs/>
                <w:color w:val="000000" w:themeColor="text1"/>
                <w:kern w:val="24"/>
                <w:sz w:val="18"/>
                <w:szCs w:val="18"/>
              </w:rPr>
            </w:pPr>
            <w:r w:rsidRPr="00D404E5">
              <w:rPr>
                <w:rFonts w:ascii="Calibri" w:eastAsia="Calibri" w:hAnsi="Calibri" w:cs="Arial"/>
                <w:bCs/>
                <w:kern w:val="24"/>
                <w:sz w:val="18"/>
                <w:szCs w:val="18"/>
              </w:rPr>
              <w:t>Not needed</w:t>
            </w:r>
          </w:p>
        </w:tc>
        <w:tc>
          <w:tcPr>
            <w:tcW w:w="1278" w:type="dxa"/>
            <w:shd w:val="clear" w:color="auto" w:fill="DBE5F1" w:themeFill="accent1" w:themeFillTint="33"/>
            <w:vAlign w:val="center"/>
          </w:tcPr>
          <w:p w:rsidR="00D404E5" w:rsidRPr="001B4057" w:rsidRDefault="00D404E5" w:rsidP="00197AB7">
            <w:pPr>
              <w:adjustRightInd/>
              <w:spacing w:after="0" w:line="240" w:lineRule="auto"/>
              <w:jc w:val="center"/>
              <w:textAlignment w:val="auto"/>
              <w:rPr>
                <w:rFonts w:ascii="Calibri" w:hAnsi="Calibri" w:cs="Arial"/>
                <w:bCs/>
                <w:color w:val="000000" w:themeColor="text1"/>
                <w:kern w:val="24"/>
                <w:sz w:val="18"/>
                <w:szCs w:val="18"/>
              </w:rPr>
            </w:pPr>
            <w:r w:rsidRPr="00D404E5">
              <w:rPr>
                <w:rFonts w:ascii="Calibri" w:eastAsia="Calibri" w:hAnsi="Calibri" w:cs="Arial"/>
                <w:bCs/>
                <w:kern w:val="24"/>
                <w:sz w:val="18"/>
                <w:szCs w:val="18"/>
              </w:rPr>
              <w:t>Not needed</w:t>
            </w:r>
          </w:p>
        </w:tc>
        <w:tc>
          <w:tcPr>
            <w:tcW w:w="1278" w:type="dxa"/>
            <w:shd w:val="clear" w:color="auto" w:fill="DBE5F1" w:themeFill="accent1" w:themeFillTint="33"/>
            <w:tcMar>
              <w:top w:w="72" w:type="dxa"/>
              <w:left w:w="144" w:type="dxa"/>
              <w:bottom w:w="72" w:type="dxa"/>
              <w:right w:w="144" w:type="dxa"/>
            </w:tcMar>
            <w:vAlign w:val="center"/>
            <w:hideMark/>
          </w:tcPr>
          <w:p w:rsidR="00D404E5" w:rsidRPr="001B4057" w:rsidRDefault="00D404E5" w:rsidP="001B4057">
            <w:pPr>
              <w:adjustRightInd/>
              <w:spacing w:after="0" w:line="240" w:lineRule="auto"/>
              <w:textAlignment w:val="auto"/>
              <w:rPr>
                <w:rFonts w:ascii="Arial" w:hAnsi="Arial" w:cs="Arial"/>
                <w:sz w:val="18"/>
                <w:szCs w:val="18"/>
              </w:rPr>
            </w:pPr>
            <w:r w:rsidRPr="00D404E5">
              <w:rPr>
                <w:rFonts w:ascii="Calibri" w:eastAsia="Calibri" w:hAnsi="Calibri" w:cs="Arial"/>
                <w:bCs/>
                <w:kern w:val="24"/>
                <w:sz w:val="18"/>
                <w:szCs w:val="18"/>
              </w:rPr>
              <w:t>Bypassed—assumed exclusive reliance on congestion relief system</w:t>
            </w:r>
          </w:p>
        </w:tc>
      </w:tr>
      <w:tr w:rsidR="00D404E5" w:rsidRPr="00197AB7" w:rsidTr="001B4057">
        <w:trPr>
          <w:trHeight w:val="367"/>
          <w:jc w:val="center"/>
        </w:trPr>
        <w:tc>
          <w:tcPr>
            <w:tcW w:w="1982" w:type="dxa"/>
            <w:shd w:val="clear" w:color="auto" w:fill="auto"/>
            <w:tcMar>
              <w:top w:w="72" w:type="dxa"/>
              <w:left w:w="144" w:type="dxa"/>
              <w:bottom w:w="72" w:type="dxa"/>
              <w:right w:w="144" w:type="dxa"/>
            </w:tcMar>
            <w:vAlign w:val="center"/>
            <w:hideMark/>
          </w:tcPr>
          <w:p w:rsidR="00D404E5" w:rsidRPr="001B4057" w:rsidRDefault="00D404E5" w:rsidP="008A12AF">
            <w:pPr>
              <w:adjustRightInd/>
              <w:spacing w:after="0" w:line="240" w:lineRule="auto"/>
              <w:textAlignment w:val="auto"/>
              <w:rPr>
                <w:rFonts w:ascii="Arial" w:hAnsi="Arial" w:cs="Arial"/>
                <w:sz w:val="18"/>
                <w:szCs w:val="18"/>
              </w:rPr>
            </w:pPr>
            <w:r w:rsidRPr="001B4057">
              <w:rPr>
                <w:rFonts w:ascii="Calibri" w:hAnsi="Calibri" w:cs="Arial"/>
                <w:b/>
                <w:bCs/>
                <w:color w:val="000000" w:themeColor="text1"/>
                <w:kern w:val="24"/>
                <w:sz w:val="18"/>
                <w:szCs w:val="18"/>
              </w:rPr>
              <w:t xml:space="preserve">Integrator </w:t>
            </w:r>
            <w:r>
              <w:rPr>
                <w:rFonts w:ascii="Calibri" w:hAnsi="Calibri" w:cs="Arial"/>
                <w:b/>
                <w:bCs/>
                <w:color w:val="000000" w:themeColor="text1"/>
                <w:kern w:val="24"/>
                <w:sz w:val="18"/>
                <w:szCs w:val="18"/>
              </w:rPr>
              <w:t>s</w:t>
            </w:r>
            <w:r w:rsidRPr="001B4057">
              <w:rPr>
                <w:rFonts w:ascii="Calibri" w:hAnsi="Calibri" w:cs="Arial"/>
                <w:b/>
                <w:bCs/>
                <w:color w:val="000000" w:themeColor="text1"/>
                <w:kern w:val="24"/>
                <w:sz w:val="18"/>
                <w:szCs w:val="18"/>
              </w:rPr>
              <w:t xml:space="preserve">ystem </w:t>
            </w:r>
            <w:r w:rsidR="003369B6">
              <w:rPr>
                <w:rFonts w:ascii="Calibri" w:hAnsi="Calibri" w:cs="Arial"/>
                <w:b/>
                <w:bCs/>
                <w:color w:val="000000" w:themeColor="text1"/>
                <w:kern w:val="24"/>
                <w:sz w:val="18"/>
                <w:szCs w:val="18"/>
              </w:rPr>
              <w:t>c</w:t>
            </w:r>
            <w:r w:rsidRPr="001B4057">
              <w:rPr>
                <w:rFonts w:ascii="Calibri" w:hAnsi="Calibri" w:cs="Arial"/>
                <w:b/>
                <w:bCs/>
                <w:color w:val="000000" w:themeColor="text1"/>
                <w:kern w:val="24"/>
                <w:sz w:val="18"/>
                <w:szCs w:val="18"/>
              </w:rPr>
              <w:t xml:space="preserve">ost </w:t>
            </w:r>
            <w:r w:rsidR="008A12AF">
              <w:rPr>
                <w:rFonts w:ascii="Calibri" w:hAnsi="Calibri" w:cs="Arial"/>
                <w:b/>
                <w:bCs/>
                <w:color w:val="000000" w:themeColor="text1"/>
                <w:kern w:val="24"/>
                <w:sz w:val="18"/>
                <w:szCs w:val="18"/>
              </w:rPr>
              <w:t>(</w:t>
            </w:r>
            <w:r w:rsidRPr="001B4057">
              <w:rPr>
                <w:rFonts w:ascii="Calibri" w:hAnsi="Calibri" w:cs="Arial"/>
                <w:b/>
                <w:bCs/>
                <w:color w:val="000000" w:themeColor="text1"/>
                <w:kern w:val="24"/>
                <w:sz w:val="18"/>
                <w:szCs w:val="18"/>
              </w:rPr>
              <w:t xml:space="preserve">$ </w:t>
            </w:r>
            <w:r>
              <w:rPr>
                <w:rFonts w:ascii="Calibri" w:hAnsi="Calibri" w:cs="Arial"/>
                <w:b/>
                <w:bCs/>
                <w:color w:val="000000" w:themeColor="text1"/>
                <w:kern w:val="24"/>
                <w:sz w:val="18"/>
                <w:szCs w:val="18"/>
              </w:rPr>
              <w:t>billion</w:t>
            </w:r>
            <w:r w:rsidRPr="001B4057">
              <w:rPr>
                <w:rFonts w:ascii="Calibri" w:hAnsi="Calibri" w:cs="Arial"/>
                <w:b/>
                <w:bCs/>
                <w:color w:val="000000" w:themeColor="text1"/>
                <w:kern w:val="24"/>
                <w:sz w:val="18"/>
                <w:szCs w:val="18"/>
              </w:rPr>
              <w:t>)</w:t>
            </w:r>
          </w:p>
        </w:tc>
        <w:tc>
          <w:tcPr>
            <w:tcW w:w="1277" w:type="dxa"/>
            <w:shd w:val="clear" w:color="auto" w:fill="auto"/>
            <w:tcMar>
              <w:top w:w="72" w:type="dxa"/>
              <w:left w:w="144" w:type="dxa"/>
              <w:bottom w:w="72" w:type="dxa"/>
              <w:right w:w="144" w:type="dxa"/>
            </w:tcMar>
            <w:vAlign w:val="center"/>
            <w:hideMark/>
          </w:tcPr>
          <w:p w:rsidR="00D404E5" w:rsidRPr="001B4057" w:rsidRDefault="00D404E5" w:rsidP="00197AB7">
            <w:pPr>
              <w:adjustRightInd/>
              <w:spacing w:after="0" w:line="240" w:lineRule="auto"/>
              <w:jc w:val="center"/>
              <w:textAlignment w:val="auto"/>
              <w:rPr>
                <w:rFonts w:ascii="Arial" w:hAnsi="Arial" w:cs="Arial"/>
                <w:sz w:val="18"/>
                <w:szCs w:val="18"/>
              </w:rPr>
            </w:pPr>
            <w:r w:rsidRPr="00D404E5">
              <w:rPr>
                <w:rFonts w:ascii="Calibri" w:eastAsia="Calibri" w:hAnsi="Calibri" w:cs="Arial"/>
                <w:bCs/>
                <w:kern w:val="24"/>
                <w:sz w:val="18"/>
                <w:szCs w:val="18"/>
              </w:rPr>
              <w:t>$1.5 to $3.0</w:t>
            </w:r>
          </w:p>
        </w:tc>
        <w:tc>
          <w:tcPr>
            <w:tcW w:w="1278" w:type="dxa"/>
            <w:shd w:val="clear" w:color="auto" w:fill="auto"/>
            <w:tcMar>
              <w:top w:w="72" w:type="dxa"/>
              <w:left w:w="144" w:type="dxa"/>
              <w:bottom w:w="72" w:type="dxa"/>
              <w:right w:w="144" w:type="dxa"/>
            </w:tcMar>
            <w:vAlign w:val="center"/>
            <w:hideMark/>
          </w:tcPr>
          <w:p w:rsidR="00D404E5" w:rsidRPr="001B4057" w:rsidRDefault="00D404E5" w:rsidP="00197AB7">
            <w:pPr>
              <w:adjustRightInd/>
              <w:spacing w:after="0" w:line="240" w:lineRule="auto"/>
              <w:jc w:val="center"/>
              <w:textAlignment w:val="auto"/>
              <w:rPr>
                <w:rFonts w:ascii="Arial" w:hAnsi="Arial" w:cs="Arial"/>
                <w:sz w:val="18"/>
                <w:szCs w:val="18"/>
              </w:rPr>
            </w:pPr>
            <w:r w:rsidRPr="00D404E5">
              <w:rPr>
                <w:rFonts w:ascii="Calibri" w:eastAsia="Calibri" w:hAnsi="Calibri" w:cs="Arial"/>
                <w:bCs/>
                <w:kern w:val="24"/>
                <w:sz w:val="18"/>
                <w:szCs w:val="18"/>
              </w:rPr>
              <w:t>---</w:t>
            </w:r>
          </w:p>
        </w:tc>
        <w:tc>
          <w:tcPr>
            <w:tcW w:w="1278" w:type="dxa"/>
            <w:shd w:val="clear" w:color="auto" w:fill="auto"/>
            <w:tcMar>
              <w:top w:w="72" w:type="dxa"/>
              <w:left w:w="144" w:type="dxa"/>
              <w:bottom w:w="72" w:type="dxa"/>
              <w:right w:w="144" w:type="dxa"/>
            </w:tcMar>
            <w:vAlign w:val="center"/>
            <w:hideMark/>
          </w:tcPr>
          <w:p w:rsidR="00D404E5" w:rsidRPr="001B4057" w:rsidRDefault="00D404E5" w:rsidP="00197AB7">
            <w:pPr>
              <w:adjustRightInd/>
              <w:spacing w:after="0" w:line="240" w:lineRule="auto"/>
              <w:jc w:val="center"/>
              <w:textAlignment w:val="auto"/>
              <w:rPr>
                <w:rFonts w:ascii="Arial" w:hAnsi="Arial" w:cs="Arial"/>
                <w:sz w:val="18"/>
                <w:szCs w:val="18"/>
              </w:rPr>
            </w:pPr>
            <w:r w:rsidRPr="00D404E5">
              <w:rPr>
                <w:rFonts w:ascii="Calibri" w:eastAsia="Calibri" w:hAnsi="Calibri" w:cs="Arial"/>
                <w:bCs/>
                <w:kern w:val="24"/>
                <w:sz w:val="18"/>
                <w:szCs w:val="18"/>
              </w:rPr>
              <w:t>$1.5 to $3.0</w:t>
            </w:r>
          </w:p>
        </w:tc>
        <w:tc>
          <w:tcPr>
            <w:tcW w:w="1277" w:type="dxa"/>
            <w:vAlign w:val="center"/>
          </w:tcPr>
          <w:p w:rsidR="00D404E5" w:rsidRPr="001B4057" w:rsidRDefault="00D404E5" w:rsidP="00197AB7">
            <w:pPr>
              <w:adjustRightInd/>
              <w:spacing w:after="0" w:line="240" w:lineRule="auto"/>
              <w:jc w:val="center"/>
              <w:textAlignment w:val="auto"/>
              <w:rPr>
                <w:rFonts w:ascii="Calibri" w:hAnsi="Calibri" w:cs="Arial"/>
                <w:bCs/>
                <w:color w:val="000000" w:themeColor="text1"/>
                <w:kern w:val="24"/>
                <w:sz w:val="18"/>
                <w:szCs w:val="18"/>
              </w:rPr>
            </w:pPr>
            <w:r w:rsidRPr="00D404E5">
              <w:rPr>
                <w:rFonts w:ascii="Calibri" w:eastAsia="Calibri" w:hAnsi="Calibri" w:cs="Arial"/>
                <w:bCs/>
                <w:kern w:val="24"/>
                <w:sz w:val="18"/>
                <w:szCs w:val="18"/>
              </w:rPr>
              <w:t>---</w:t>
            </w:r>
          </w:p>
        </w:tc>
        <w:tc>
          <w:tcPr>
            <w:tcW w:w="1278" w:type="dxa"/>
            <w:vAlign w:val="center"/>
          </w:tcPr>
          <w:p w:rsidR="00D404E5" w:rsidRPr="001B4057" w:rsidRDefault="00D404E5" w:rsidP="00197AB7">
            <w:pPr>
              <w:adjustRightInd/>
              <w:spacing w:after="0" w:line="240" w:lineRule="auto"/>
              <w:jc w:val="center"/>
              <w:textAlignment w:val="auto"/>
              <w:rPr>
                <w:rFonts w:ascii="Calibri" w:hAnsi="Calibri" w:cs="Arial"/>
                <w:bCs/>
                <w:color w:val="000000" w:themeColor="text1"/>
                <w:kern w:val="24"/>
                <w:sz w:val="18"/>
                <w:szCs w:val="18"/>
              </w:rPr>
            </w:pPr>
            <w:r w:rsidRPr="00D404E5">
              <w:rPr>
                <w:rFonts w:ascii="Calibri" w:eastAsia="Calibri" w:hAnsi="Calibri" w:cs="Arial"/>
                <w:bCs/>
                <w:kern w:val="24"/>
                <w:sz w:val="18"/>
                <w:szCs w:val="18"/>
              </w:rPr>
              <w:t>---</w:t>
            </w:r>
          </w:p>
        </w:tc>
        <w:tc>
          <w:tcPr>
            <w:tcW w:w="1278" w:type="dxa"/>
            <w:shd w:val="clear" w:color="auto" w:fill="auto"/>
            <w:tcMar>
              <w:top w:w="72" w:type="dxa"/>
              <w:left w:w="144" w:type="dxa"/>
              <w:bottom w:w="72" w:type="dxa"/>
              <w:right w:w="144" w:type="dxa"/>
            </w:tcMar>
            <w:vAlign w:val="center"/>
            <w:hideMark/>
          </w:tcPr>
          <w:p w:rsidR="00D404E5" w:rsidRPr="001B4057" w:rsidRDefault="00D404E5" w:rsidP="00197AB7">
            <w:pPr>
              <w:adjustRightInd/>
              <w:spacing w:after="0" w:line="240" w:lineRule="auto"/>
              <w:jc w:val="center"/>
              <w:textAlignment w:val="auto"/>
              <w:rPr>
                <w:rFonts w:ascii="Arial" w:hAnsi="Arial" w:cs="Arial"/>
                <w:sz w:val="18"/>
                <w:szCs w:val="18"/>
              </w:rPr>
            </w:pPr>
            <w:r w:rsidRPr="00D404E5">
              <w:rPr>
                <w:rFonts w:ascii="Calibri" w:eastAsia="Calibri" w:hAnsi="Calibri" w:cs="Arial"/>
                <w:bCs/>
                <w:kern w:val="24"/>
                <w:sz w:val="18"/>
                <w:szCs w:val="18"/>
              </w:rPr>
              <w:t>---</w:t>
            </w:r>
          </w:p>
        </w:tc>
      </w:tr>
      <w:tr w:rsidR="00D404E5" w:rsidRPr="00197AB7" w:rsidTr="001B4057">
        <w:trPr>
          <w:trHeight w:val="367"/>
          <w:jc w:val="center"/>
        </w:trPr>
        <w:tc>
          <w:tcPr>
            <w:tcW w:w="1982" w:type="dxa"/>
            <w:shd w:val="clear" w:color="auto" w:fill="DBE5F1" w:themeFill="accent1" w:themeFillTint="33"/>
            <w:tcMar>
              <w:top w:w="72" w:type="dxa"/>
              <w:left w:w="144" w:type="dxa"/>
              <w:bottom w:w="72" w:type="dxa"/>
              <w:right w:w="144" w:type="dxa"/>
            </w:tcMar>
            <w:vAlign w:val="center"/>
          </w:tcPr>
          <w:p w:rsidR="00D404E5" w:rsidRPr="001B4057" w:rsidRDefault="00D404E5" w:rsidP="002C0C8F">
            <w:pPr>
              <w:adjustRightInd/>
              <w:spacing w:after="0" w:line="240" w:lineRule="auto"/>
              <w:textAlignment w:val="auto"/>
              <w:rPr>
                <w:rFonts w:ascii="Calibri" w:hAnsi="Calibri" w:cs="Arial"/>
                <w:b/>
                <w:bCs/>
                <w:color w:val="000000" w:themeColor="text1"/>
                <w:kern w:val="24"/>
                <w:sz w:val="18"/>
                <w:szCs w:val="18"/>
              </w:rPr>
            </w:pPr>
            <w:r w:rsidRPr="001B4057">
              <w:rPr>
                <w:rFonts w:ascii="Calibri" w:hAnsi="Calibri" w:cs="Arial"/>
                <w:b/>
                <w:bCs/>
                <w:color w:val="000000" w:themeColor="text1"/>
                <w:kern w:val="24"/>
                <w:sz w:val="18"/>
                <w:szCs w:val="18"/>
              </w:rPr>
              <w:t xml:space="preserve">Integrator </w:t>
            </w:r>
            <w:r>
              <w:rPr>
                <w:rFonts w:ascii="Calibri" w:hAnsi="Calibri" w:cs="Arial"/>
                <w:b/>
                <w:bCs/>
                <w:color w:val="000000" w:themeColor="text1"/>
                <w:kern w:val="24"/>
                <w:sz w:val="18"/>
                <w:szCs w:val="18"/>
              </w:rPr>
              <w:t>s</w:t>
            </w:r>
            <w:r w:rsidRPr="001B4057">
              <w:rPr>
                <w:rFonts w:ascii="Calibri" w:hAnsi="Calibri" w:cs="Arial"/>
                <w:b/>
                <w:bCs/>
                <w:color w:val="000000" w:themeColor="text1"/>
                <w:kern w:val="24"/>
                <w:sz w:val="18"/>
                <w:szCs w:val="18"/>
              </w:rPr>
              <w:t xml:space="preserve">ystem </w:t>
            </w:r>
            <w:r w:rsidR="008A12AF">
              <w:rPr>
                <w:rFonts w:ascii="Calibri" w:hAnsi="Calibri" w:cs="Arial"/>
                <w:b/>
                <w:bCs/>
                <w:color w:val="000000" w:themeColor="text1"/>
                <w:kern w:val="24"/>
                <w:sz w:val="18"/>
                <w:szCs w:val="18"/>
              </w:rPr>
              <w:t>c</w:t>
            </w:r>
            <w:r w:rsidRPr="001B4057">
              <w:rPr>
                <w:rFonts w:ascii="Calibri" w:hAnsi="Calibri" w:cs="Arial"/>
                <w:b/>
                <w:bCs/>
                <w:color w:val="000000" w:themeColor="text1"/>
                <w:kern w:val="24"/>
                <w:sz w:val="18"/>
                <w:szCs w:val="18"/>
              </w:rPr>
              <w:t xml:space="preserve">ost + 50% </w:t>
            </w:r>
            <w:r>
              <w:rPr>
                <w:rFonts w:ascii="Calibri" w:hAnsi="Calibri" w:cs="Arial"/>
                <w:b/>
                <w:bCs/>
                <w:color w:val="000000" w:themeColor="text1"/>
                <w:kern w:val="24"/>
                <w:sz w:val="18"/>
                <w:szCs w:val="18"/>
              </w:rPr>
              <w:t>m</w:t>
            </w:r>
            <w:r w:rsidRPr="001B4057">
              <w:rPr>
                <w:rFonts w:ascii="Calibri" w:hAnsi="Calibri" w:cs="Arial"/>
                <w:b/>
                <w:bCs/>
                <w:color w:val="000000" w:themeColor="text1"/>
                <w:kern w:val="24"/>
                <w:sz w:val="18"/>
                <w:szCs w:val="18"/>
              </w:rPr>
              <w:t>argin</w:t>
            </w:r>
            <w:r w:rsidR="002C0C8F">
              <w:rPr>
                <w:rFonts w:ascii="Calibri" w:hAnsi="Calibri" w:cs="Arial"/>
                <w:b/>
                <w:bCs/>
                <w:color w:val="000000" w:themeColor="text1"/>
                <w:kern w:val="24"/>
                <w:sz w:val="18"/>
                <w:szCs w:val="18"/>
              </w:rPr>
              <w:br/>
            </w:r>
            <w:r w:rsidR="008A12AF">
              <w:rPr>
                <w:rFonts w:ascii="Calibri" w:hAnsi="Calibri" w:cs="Arial"/>
                <w:b/>
                <w:bCs/>
                <w:color w:val="000000" w:themeColor="text1"/>
                <w:kern w:val="24"/>
                <w:sz w:val="18"/>
                <w:szCs w:val="18"/>
              </w:rPr>
              <w:t>($ billion)</w:t>
            </w:r>
          </w:p>
        </w:tc>
        <w:tc>
          <w:tcPr>
            <w:tcW w:w="1277" w:type="dxa"/>
            <w:shd w:val="clear" w:color="auto" w:fill="DBE5F1" w:themeFill="accent1" w:themeFillTint="33"/>
            <w:tcMar>
              <w:top w:w="72" w:type="dxa"/>
              <w:left w:w="144" w:type="dxa"/>
              <w:bottom w:w="72" w:type="dxa"/>
              <w:right w:w="144" w:type="dxa"/>
            </w:tcMar>
            <w:vAlign w:val="center"/>
          </w:tcPr>
          <w:p w:rsidR="00D404E5" w:rsidRPr="001B4057" w:rsidRDefault="00D404E5" w:rsidP="00197AB7">
            <w:pPr>
              <w:adjustRightInd/>
              <w:spacing w:after="0" w:line="240" w:lineRule="auto"/>
              <w:jc w:val="center"/>
              <w:textAlignment w:val="auto"/>
              <w:rPr>
                <w:rFonts w:ascii="Calibri" w:hAnsi="Calibri" w:cs="Arial"/>
                <w:bCs/>
                <w:color w:val="000000" w:themeColor="text1"/>
                <w:kern w:val="24"/>
                <w:sz w:val="18"/>
                <w:szCs w:val="18"/>
              </w:rPr>
            </w:pPr>
            <w:r w:rsidRPr="00D404E5">
              <w:rPr>
                <w:rFonts w:ascii="Calibri" w:eastAsia="Calibri" w:hAnsi="Calibri" w:cs="Arial"/>
                <w:bCs/>
                <w:kern w:val="24"/>
                <w:sz w:val="18"/>
                <w:szCs w:val="18"/>
              </w:rPr>
              <w:t>$2.25 to $4.5</w:t>
            </w:r>
          </w:p>
        </w:tc>
        <w:tc>
          <w:tcPr>
            <w:tcW w:w="1278" w:type="dxa"/>
            <w:shd w:val="clear" w:color="auto" w:fill="DBE5F1" w:themeFill="accent1" w:themeFillTint="33"/>
            <w:tcMar>
              <w:top w:w="72" w:type="dxa"/>
              <w:left w:w="144" w:type="dxa"/>
              <w:bottom w:w="72" w:type="dxa"/>
              <w:right w:w="144" w:type="dxa"/>
            </w:tcMar>
            <w:vAlign w:val="center"/>
          </w:tcPr>
          <w:p w:rsidR="00D404E5" w:rsidRPr="001B4057" w:rsidRDefault="00D404E5" w:rsidP="00197AB7">
            <w:pPr>
              <w:adjustRightInd/>
              <w:spacing w:after="0" w:line="240" w:lineRule="auto"/>
              <w:jc w:val="center"/>
              <w:textAlignment w:val="auto"/>
              <w:rPr>
                <w:rFonts w:ascii="Calibri" w:hAnsi="Calibri" w:cs="Arial"/>
                <w:bCs/>
                <w:color w:val="000000" w:themeColor="text1"/>
                <w:kern w:val="24"/>
                <w:sz w:val="18"/>
                <w:szCs w:val="18"/>
              </w:rPr>
            </w:pPr>
            <w:r w:rsidRPr="00D404E5">
              <w:rPr>
                <w:rFonts w:ascii="Calibri" w:eastAsia="Calibri" w:hAnsi="Calibri" w:cs="Arial"/>
                <w:bCs/>
                <w:kern w:val="24"/>
                <w:sz w:val="18"/>
                <w:szCs w:val="18"/>
              </w:rPr>
              <w:t>---</w:t>
            </w:r>
          </w:p>
        </w:tc>
        <w:tc>
          <w:tcPr>
            <w:tcW w:w="1278" w:type="dxa"/>
            <w:shd w:val="clear" w:color="auto" w:fill="DBE5F1" w:themeFill="accent1" w:themeFillTint="33"/>
            <w:tcMar>
              <w:top w:w="72" w:type="dxa"/>
              <w:left w:w="144" w:type="dxa"/>
              <w:bottom w:w="72" w:type="dxa"/>
              <w:right w:w="144" w:type="dxa"/>
            </w:tcMar>
            <w:vAlign w:val="center"/>
          </w:tcPr>
          <w:p w:rsidR="00D404E5" w:rsidRPr="001B4057" w:rsidRDefault="00D404E5" w:rsidP="00197AB7">
            <w:pPr>
              <w:adjustRightInd/>
              <w:spacing w:after="0" w:line="240" w:lineRule="auto"/>
              <w:jc w:val="center"/>
              <w:textAlignment w:val="auto"/>
              <w:rPr>
                <w:rFonts w:ascii="Calibri" w:hAnsi="Calibri" w:cs="Arial"/>
                <w:bCs/>
                <w:color w:val="000000" w:themeColor="text1"/>
                <w:kern w:val="24"/>
                <w:sz w:val="18"/>
                <w:szCs w:val="18"/>
              </w:rPr>
            </w:pPr>
            <w:r w:rsidRPr="00D404E5">
              <w:rPr>
                <w:rFonts w:ascii="Calibri" w:eastAsia="Calibri" w:hAnsi="Calibri" w:cs="Arial"/>
                <w:bCs/>
                <w:kern w:val="24"/>
                <w:sz w:val="18"/>
                <w:szCs w:val="18"/>
              </w:rPr>
              <w:t>$2.25 to $4.5</w:t>
            </w:r>
          </w:p>
        </w:tc>
        <w:tc>
          <w:tcPr>
            <w:tcW w:w="1277" w:type="dxa"/>
            <w:shd w:val="clear" w:color="auto" w:fill="DBE5F1" w:themeFill="accent1" w:themeFillTint="33"/>
            <w:vAlign w:val="center"/>
          </w:tcPr>
          <w:p w:rsidR="00D404E5" w:rsidRPr="001B4057" w:rsidRDefault="00D404E5" w:rsidP="00197AB7">
            <w:pPr>
              <w:adjustRightInd/>
              <w:spacing w:after="0" w:line="240" w:lineRule="auto"/>
              <w:jc w:val="center"/>
              <w:textAlignment w:val="auto"/>
              <w:rPr>
                <w:rFonts w:ascii="Calibri" w:hAnsi="Calibri" w:cs="Arial"/>
                <w:bCs/>
                <w:color w:val="000000" w:themeColor="text1"/>
                <w:kern w:val="24"/>
                <w:sz w:val="18"/>
                <w:szCs w:val="18"/>
              </w:rPr>
            </w:pPr>
            <w:r w:rsidRPr="00D404E5">
              <w:rPr>
                <w:rFonts w:ascii="Calibri" w:eastAsia="Calibri" w:hAnsi="Calibri" w:cs="Arial"/>
                <w:bCs/>
                <w:kern w:val="24"/>
                <w:sz w:val="18"/>
                <w:szCs w:val="18"/>
              </w:rPr>
              <w:t>---</w:t>
            </w:r>
          </w:p>
        </w:tc>
        <w:tc>
          <w:tcPr>
            <w:tcW w:w="1278" w:type="dxa"/>
            <w:shd w:val="clear" w:color="auto" w:fill="DBE5F1" w:themeFill="accent1" w:themeFillTint="33"/>
            <w:vAlign w:val="center"/>
          </w:tcPr>
          <w:p w:rsidR="00D404E5" w:rsidRPr="001B4057" w:rsidRDefault="00D404E5" w:rsidP="00197AB7">
            <w:pPr>
              <w:adjustRightInd/>
              <w:spacing w:after="0" w:line="240" w:lineRule="auto"/>
              <w:jc w:val="center"/>
              <w:textAlignment w:val="auto"/>
              <w:rPr>
                <w:rFonts w:ascii="Calibri" w:hAnsi="Calibri" w:cs="Arial"/>
                <w:bCs/>
                <w:color w:val="000000" w:themeColor="text1"/>
                <w:kern w:val="24"/>
                <w:sz w:val="18"/>
                <w:szCs w:val="18"/>
              </w:rPr>
            </w:pPr>
            <w:r w:rsidRPr="00D404E5">
              <w:rPr>
                <w:rFonts w:ascii="Calibri" w:eastAsia="Calibri" w:hAnsi="Calibri" w:cs="Arial"/>
                <w:bCs/>
                <w:kern w:val="24"/>
                <w:sz w:val="18"/>
                <w:szCs w:val="18"/>
              </w:rPr>
              <w:t>---</w:t>
            </w:r>
          </w:p>
        </w:tc>
        <w:tc>
          <w:tcPr>
            <w:tcW w:w="1278" w:type="dxa"/>
            <w:shd w:val="clear" w:color="auto" w:fill="DBE5F1" w:themeFill="accent1" w:themeFillTint="33"/>
            <w:tcMar>
              <w:top w:w="72" w:type="dxa"/>
              <w:left w:w="144" w:type="dxa"/>
              <w:bottom w:w="72" w:type="dxa"/>
              <w:right w:w="144" w:type="dxa"/>
            </w:tcMar>
            <w:vAlign w:val="center"/>
          </w:tcPr>
          <w:p w:rsidR="00D404E5" w:rsidRPr="001B4057" w:rsidRDefault="00D404E5" w:rsidP="00197AB7">
            <w:pPr>
              <w:adjustRightInd/>
              <w:spacing w:after="0" w:line="240" w:lineRule="auto"/>
              <w:jc w:val="center"/>
              <w:textAlignment w:val="auto"/>
              <w:rPr>
                <w:rFonts w:ascii="Calibri" w:hAnsi="Calibri" w:cs="Arial"/>
                <w:bCs/>
                <w:color w:val="000000" w:themeColor="text1"/>
                <w:kern w:val="24"/>
                <w:sz w:val="18"/>
                <w:szCs w:val="18"/>
              </w:rPr>
            </w:pPr>
            <w:r w:rsidRPr="00D404E5">
              <w:rPr>
                <w:rFonts w:ascii="Calibri" w:eastAsia="Calibri" w:hAnsi="Calibri" w:cs="Arial"/>
                <w:bCs/>
                <w:kern w:val="24"/>
                <w:sz w:val="18"/>
                <w:szCs w:val="18"/>
              </w:rPr>
              <w:t>---</w:t>
            </w:r>
          </w:p>
        </w:tc>
      </w:tr>
    </w:tbl>
    <w:p w:rsidR="00060728" w:rsidRPr="003A2CA8" w:rsidRDefault="004D4153" w:rsidP="00460F16">
      <w:pPr>
        <w:spacing w:before="120" w:line="240" w:lineRule="auto"/>
        <w:ind w:left="-86" w:right="-187"/>
        <w:rPr>
          <w:rFonts w:asciiTheme="minorHAnsi" w:hAnsiTheme="minorHAnsi"/>
          <w:sz w:val="16"/>
          <w:szCs w:val="16"/>
        </w:rPr>
      </w:pPr>
      <w:r w:rsidRPr="003A2CA8">
        <w:rPr>
          <w:rFonts w:asciiTheme="minorHAnsi" w:hAnsiTheme="minorHAnsi"/>
          <w:b/>
          <w:sz w:val="16"/>
          <w:szCs w:val="16"/>
        </w:rPr>
        <w:t>Note</w:t>
      </w:r>
      <w:r w:rsidR="00EE2870">
        <w:rPr>
          <w:rFonts w:asciiTheme="minorHAnsi" w:hAnsiTheme="minorHAnsi"/>
          <w:b/>
          <w:sz w:val="16"/>
          <w:szCs w:val="16"/>
        </w:rPr>
        <w:t>s</w:t>
      </w:r>
      <w:r w:rsidRPr="003A2CA8">
        <w:rPr>
          <w:rFonts w:asciiTheme="minorHAnsi" w:hAnsiTheme="minorHAnsi"/>
          <w:b/>
          <w:sz w:val="16"/>
          <w:szCs w:val="16"/>
        </w:rPr>
        <w:t>:</w:t>
      </w:r>
      <w:r w:rsidRPr="003A2CA8">
        <w:rPr>
          <w:rFonts w:asciiTheme="minorHAnsi" w:hAnsiTheme="minorHAnsi"/>
          <w:sz w:val="16"/>
          <w:szCs w:val="16"/>
        </w:rPr>
        <w:t xml:space="preserve"> Differences in the integrator system </w:t>
      </w:r>
      <w:r w:rsidR="0053349B" w:rsidRPr="003A2CA8">
        <w:rPr>
          <w:rFonts w:asciiTheme="minorHAnsi" w:hAnsiTheme="minorHAnsi"/>
          <w:sz w:val="16"/>
          <w:szCs w:val="16"/>
        </w:rPr>
        <w:t>high</w:t>
      </w:r>
      <w:r w:rsidR="00512719" w:rsidRPr="003A2CA8">
        <w:rPr>
          <w:rFonts w:asciiTheme="minorHAnsi" w:hAnsiTheme="minorHAnsi"/>
          <w:sz w:val="16"/>
          <w:szCs w:val="16"/>
        </w:rPr>
        <w:t>-</w:t>
      </w:r>
      <w:r w:rsidR="0053349B" w:rsidRPr="003A2CA8">
        <w:rPr>
          <w:rFonts w:asciiTheme="minorHAnsi" w:hAnsiTheme="minorHAnsi"/>
          <w:sz w:val="16"/>
          <w:szCs w:val="16"/>
        </w:rPr>
        <w:t>order</w:t>
      </w:r>
      <w:r w:rsidR="00D83AE7" w:rsidRPr="003A2CA8">
        <w:rPr>
          <w:rFonts w:asciiTheme="minorHAnsi" w:hAnsiTheme="minorHAnsi"/>
          <w:sz w:val="16"/>
          <w:szCs w:val="16"/>
        </w:rPr>
        <w:t>-</w:t>
      </w:r>
      <w:r w:rsidR="0053349B" w:rsidRPr="003A2CA8">
        <w:rPr>
          <w:rFonts w:asciiTheme="minorHAnsi" w:hAnsiTheme="minorHAnsi"/>
          <w:sz w:val="16"/>
          <w:szCs w:val="16"/>
        </w:rPr>
        <w:t>of</w:t>
      </w:r>
      <w:r w:rsidR="00D83AE7" w:rsidRPr="003A2CA8">
        <w:rPr>
          <w:rFonts w:asciiTheme="minorHAnsi" w:hAnsiTheme="minorHAnsi"/>
          <w:sz w:val="16"/>
          <w:szCs w:val="16"/>
        </w:rPr>
        <w:t>-</w:t>
      </w:r>
      <w:r w:rsidR="0053349B" w:rsidRPr="003A2CA8">
        <w:rPr>
          <w:rFonts w:asciiTheme="minorHAnsi" w:hAnsiTheme="minorHAnsi"/>
          <w:sz w:val="16"/>
          <w:szCs w:val="16"/>
        </w:rPr>
        <w:t xml:space="preserve">magnitude </w:t>
      </w:r>
      <w:r w:rsidRPr="003A2CA8">
        <w:rPr>
          <w:rFonts w:asciiTheme="minorHAnsi" w:hAnsiTheme="minorHAnsi"/>
          <w:sz w:val="16"/>
          <w:szCs w:val="16"/>
        </w:rPr>
        <w:t xml:space="preserve">costs between </w:t>
      </w:r>
      <w:r w:rsidR="00D83AE7" w:rsidRPr="003A2CA8">
        <w:rPr>
          <w:rFonts w:asciiTheme="minorHAnsi" w:hAnsiTheme="minorHAnsi"/>
          <w:sz w:val="16"/>
          <w:szCs w:val="16"/>
        </w:rPr>
        <w:t>S</w:t>
      </w:r>
      <w:r w:rsidRPr="003A2CA8">
        <w:rPr>
          <w:rFonts w:asciiTheme="minorHAnsi" w:hAnsiTheme="minorHAnsi"/>
          <w:sz w:val="16"/>
          <w:szCs w:val="16"/>
        </w:rPr>
        <w:t xml:space="preserve">cenarios 1 and 3 may be </w:t>
      </w:r>
      <w:r w:rsidR="0053349B" w:rsidRPr="003A2CA8">
        <w:rPr>
          <w:rFonts w:asciiTheme="minorHAnsi" w:hAnsiTheme="minorHAnsi"/>
          <w:sz w:val="16"/>
          <w:szCs w:val="16"/>
        </w:rPr>
        <w:t>nonexistent because the physical injections of wind resources are approximately the same</w:t>
      </w:r>
      <w:r w:rsidR="00460F16" w:rsidRPr="003A2CA8">
        <w:rPr>
          <w:rFonts w:asciiTheme="minorHAnsi" w:hAnsiTheme="minorHAnsi"/>
          <w:sz w:val="16"/>
          <w:szCs w:val="16"/>
        </w:rPr>
        <w:t xml:space="preserve"> in both scenarios</w:t>
      </w:r>
      <w:r w:rsidR="0053349B" w:rsidRPr="003A2CA8">
        <w:rPr>
          <w:rFonts w:asciiTheme="minorHAnsi" w:hAnsiTheme="minorHAnsi"/>
          <w:sz w:val="16"/>
          <w:szCs w:val="16"/>
        </w:rPr>
        <w:t>. More detailed transmission planning and design studies would be required to further refine these cost estimates.</w:t>
      </w:r>
    </w:p>
    <w:p w:rsidR="00BE4824" w:rsidRDefault="000F2557" w:rsidP="001C4B4C">
      <w:pPr>
        <w:rPr>
          <w:highlight w:val="yellow"/>
        </w:rPr>
      </w:pPr>
      <w:r>
        <w:fldChar w:fldCharType="begin"/>
      </w:r>
      <w:r>
        <w:instrText xml:space="preserve"> REF _Ref485891390 \h </w:instrText>
      </w:r>
      <w:r>
        <w:fldChar w:fldCharType="separate"/>
      </w:r>
      <w:r w:rsidR="00742B49" w:rsidRPr="00EC3A1C">
        <w:t xml:space="preserve">Figure </w:t>
      </w:r>
      <w:r w:rsidR="00742B49">
        <w:rPr>
          <w:noProof/>
        </w:rPr>
        <w:t>5</w:t>
      </w:r>
      <w:r w:rsidR="00742B49" w:rsidRPr="00EC3A1C">
        <w:noBreakHyphen/>
      </w:r>
      <w:r w:rsidR="00742B49">
        <w:rPr>
          <w:noProof/>
        </w:rPr>
        <w:t>10</w:t>
      </w:r>
      <w:r>
        <w:fldChar w:fldCharType="end"/>
      </w:r>
      <w:r>
        <w:t xml:space="preserve"> </w:t>
      </w:r>
      <w:r w:rsidR="00F66E4B" w:rsidRPr="00F66E4B">
        <w:t xml:space="preserve">shows the </w:t>
      </w:r>
      <w:r w:rsidR="00C90CC0">
        <w:t>c</w:t>
      </w:r>
      <w:r w:rsidR="00D44E21">
        <w:t>ongestion</w:t>
      </w:r>
      <w:r w:rsidR="00ED2944">
        <w:t>-</w:t>
      </w:r>
      <w:r w:rsidR="00D44E21">
        <w:t>relief system</w:t>
      </w:r>
      <w:r w:rsidR="00F66E4B">
        <w:t>s</w:t>
      </w:r>
      <w:r w:rsidR="00C90CC0">
        <w:t xml:space="preserve"> </w:t>
      </w:r>
      <w:r w:rsidR="00072923">
        <w:t>for wind development in M</w:t>
      </w:r>
      <w:r w:rsidR="00517118">
        <w:t>aine</w:t>
      </w:r>
      <w:r w:rsidR="00F66E4B">
        <w:t xml:space="preserve">. The congestion relief systems </w:t>
      </w:r>
      <w:r w:rsidR="00D44E21">
        <w:t>remov</w:t>
      </w:r>
      <w:r w:rsidR="00C90CC0">
        <w:t xml:space="preserve">e </w:t>
      </w:r>
      <w:r w:rsidR="00D44E21">
        <w:t>100%</w:t>
      </w:r>
      <w:r w:rsidR="00C90CC0">
        <w:t xml:space="preserve"> of the transmission congestion</w:t>
      </w:r>
      <w:r w:rsidR="00D44E21">
        <w:t xml:space="preserve"> that </w:t>
      </w:r>
      <w:r w:rsidR="00C90CC0">
        <w:t xml:space="preserve">otherwise would </w:t>
      </w:r>
      <w:r w:rsidR="00D44E21">
        <w:t>prevent full energy production from the renewable resources</w:t>
      </w:r>
      <w:r w:rsidR="002B059C">
        <w:t xml:space="preserve"> during the summer and the winter peak</w:t>
      </w:r>
      <w:r w:rsidR="00F97A89">
        <w:t xml:space="preserve"> hours</w:t>
      </w:r>
      <w:r w:rsidR="00C90CC0">
        <w:t xml:space="preserve">. </w:t>
      </w:r>
      <w:r w:rsidR="002B059C">
        <w:t xml:space="preserve">It also removes </w:t>
      </w:r>
      <w:r w:rsidR="00ED2944">
        <w:t xml:space="preserve">most </w:t>
      </w:r>
      <w:r w:rsidR="00F97A89">
        <w:t xml:space="preserve">of the congestion at all hours of </w:t>
      </w:r>
      <w:r w:rsidR="00C13314">
        <w:t>the year</w:t>
      </w:r>
      <w:r w:rsidR="00F97A89">
        <w:t xml:space="preserve">. </w:t>
      </w:r>
      <w:r w:rsidR="00C90CC0">
        <w:t xml:space="preserve">The basis for developing </w:t>
      </w:r>
      <w:r w:rsidR="00ED2944" w:rsidRPr="00712F7A">
        <w:t>high</w:t>
      </w:r>
      <w:r w:rsidR="00512719">
        <w:t>-</w:t>
      </w:r>
      <w:r w:rsidR="00C90CC0" w:rsidRPr="00712F7A">
        <w:t>order</w:t>
      </w:r>
      <w:r w:rsidR="00ED2944" w:rsidRPr="00712F7A">
        <w:t>-</w:t>
      </w:r>
      <w:r w:rsidR="00C90CC0" w:rsidRPr="00712F7A">
        <w:t>of</w:t>
      </w:r>
      <w:r w:rsidR="00ED2944" w:rsidRPr="00712F7A">
        <w:t>-</w:t>
      </w:r>
      <w:r w:rsidR="00C90CC0" w:rsidRPr="00712F7A">
        <w:t>magnitude costs assumes</w:t>
      </w:r>
      <w:r w:rsidR="00840448" w:rsidRPr="00712F7A">
        <w:t xml:space="preserve"> </w:t>
      </w:r>
      <w:r w:rsidR="00ED2944" w:rsidRPr="00712F7A">
        <w:t>high-voltage direct-current (</w:t>
      </w:r>
      <w:r w:rsidR="00840448" w:rsidRPr="00712F7A">
        <w:t>HVDC</w:t>
      </w:r>
      <w:r w:rsidR="00ED2944" w:rsidRPr="00712F7A">
        <w:t>)</w:t>
      </w:r>
      <w:r w:rsidR="00840448" w:rsidRPr="00712F7A">
        <w:t xml:space="preserve"> facilities </w:t>
      </w:r>
      <w:r w:rsidR="00D44E21" w:rsidRPr="00712F7A">
        <w:t>tying the integrator</w:t>
      </w:r>
      <w:r w:rsidR="00D44E21">
        <w:t xml:space="preserve"> </w:t>
      </w:r>
      <w:r w:rsidR="00D44E21" w:rsidRPr="001C4B4C">
        <w:t xml:space="preserve">system to </w:t>
      </w:r>
      <w:r w:rsidR="00BE4824" w:rsidRPr="001C4B4C">
        <w:t>Milbury, MA</w:t>
      </w:r>
      <w:r w:rsidR="00BF6BF5" w:rsidRPr="001C4B4C">
        <w:t>. This is</w:t>
      </w:r>
      <w:r w:rsidR="00BF6BF5">
        <w:t xml:space="preserve"> equivalent to connecting</w:t>
      </w:r>
      <w:r w:rsidR="00272FB5">
        <w:t xml:space="preserve"> </w:t>
      </w:r>
      <w:r w:rsidR="00C13314">
        <w:t xml:space="preserve">renewable plants directly to the </w:t>
      </w:r>
      <w:r w:rsidR="001127B8">
        <w:t>H</w:t>
      </w:r>
      <w:r w:rsidR="00C13314">
        <w:t>ub for scenarios with extremely large additions of renewable resources</w:t>
      </w:r>
      <w:r w:rsidR="00C90CC0">
        <w:t xml:space="preserve">. </w:t>
      </w:r>
    </w:p>
    <w:p w:rsidR="00BE4824" w:rsidRDefault="00BE4824" w:rsidP="00BE4824">
      <w:pPr>
        <w:spacing w:after="0" w:line="240" w:lineRule="auto"/>
        <w:rPr>
          <w:highlight w:val="yellow"/>
        </w:rPr>
      </w:pPr>
      <w:r>
        <w:rPr>
          <w:noProof/>
        </w:rPr>
        <w:lastRenderedPageBreak/>
        <w:drawing>
          <wp:inline distT="0" distB="0" distL="0" distR="0" wp14:anchorId="3BA33B93" wp14:editId="0031374B">
            <wp:extent cx="2752344" cy="3739896"/>
            <wp:effectExtent l="19050" t="19050" r="10160" b="133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52344" cy="3739896"/>
                    </a:xfrm>
                    <a:prstGeom prst="rect">
                      <a:avLst/>
                    </a:prstGeom>
                    <a:noFill/>
                    <a:ln w="3175">
                      <a:solidFill>
                        <a:sysClr val="windowText" lastClr="000000"/>
                      </a:solidFill>
                    </a:ln>
                  </pic:spPr>
                </pic:pic>
              </a:graphicData>
            </a:graphic>
          </wp:inline>
        </w:drawing>
      </w:r>
      <w:r w:rsidRPr="0099141F">
        <w:rPr>
          <w:noProof/>
        </w:rPr>
        <w:drawing>
          <wp:inline distT="0" distB="0" distL="0" distR="0" wp14:anchorId="7B22F742" wp14:editId="077495F8">
            <wp:extent cx="3125461" cy="3743051"/>
            <wp:effectExtent l="19050" t="19050" r="18415"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22275" cy="3739236"/>
                    </a:xfrm>
                    <a:prstGeom prst="rect">
                      <a:avLst/>
                    </a:prstGeom>
                    <a:noFill/>
                    <a:ln w="3175">
                      <a:solidFill>
                        <a:sysClr val="windowText" lastClr="000000"/>
                      </a:solidFill>
                    </a:ln>
                  </pic:spPr>
                </pic:pic>
              </a:graphicData>
            </a:graphic>
          </wp:inline>
        </w:drawing>
      </w:r>
    </w:p>
    <w:p w:rsidR="00BE4824" w:rsidRDefault="00BE4824" w:rsidP="00BE4824">
      <w:pPr>
        <w:pStyle w:val="Caption"/>
        <w:spacing w:before="120" w:after="240"/>
      </w:pPr>
      <w:bookmarkStart w:id="183" w:name="_Ref485891390"/>
      <w:bookmarkStart w:id="184" w:name="_Toc486406070"/>
      <w:r w:rsidRPr="00EC3A1C">
        <w:t xml:space="preserve">Figure </w:t>
      </w:r>
      <w:fldSimple w:instr=" STYLEREF 1 \s ">
        <w:r w:rsidR="00742B49">
          <w:rPr>
            <w:noProof/>
          </w:rPr>
          <w:t>5</w:t>
        </w:r>
      </w:fldSimple>
      <w:r w:rsidRPr="00EC3A1C">
        <w:noBreakHyphen/>
      </w:r>
      <w:fldSimple w:instr=" SEQ Figure \* ARABIC \s 1 ">
        <w:r w:rsidR="00742B49">
          <w:rPr>
            <w:noProof/>
          </w:rPr>
          <w:t>10</w:t>
        </w:r>
      </w:fldSimple>
      <w:bookmarkEnd w:id="183"/>
      <w:r w:rsidRPr="00EC3A1C">
        <w:t>: The congestion-relief system.</w:t>
      </w:r>
      <w:bookmarkEnd w:id="184"/>
      <w:r w:rsidRPr="0099141F">
        <w:t xml:space="preserve"> </w:t>
      </w:r>
    </w:p>
    <w:p w:rsidR="002B059C" w:rsidRDefault="004C1096" w:rsidP="00995AFE">
      <w:r w:rsidRPr="001C4B4C">
        <w:t>In each scenario, t</w:t>
      </w:r>
      <w:r w:rsidR="00C72ECA" w:rsidRPr="001C4B4C">
        <w:t>he congestion</w:t>
      </w:r>
      <w:r w:rsidR="00ED2944" w:rsidRPr="001C4B4C">
        <w:t>-</w:t>
      </w:r>
      <w:r w:rsidR="00C72ECA" w:rsidRPr="001C4B4C">
        <w:t>relief need</w:t>
      </w:r>
      <w:r w:rsidR="00517118" w:rsidRPr="001C4B4C">
        <w:t>ed</w:t>
      </w:r>
      <w:r w:rsidR="00C72ECA" w:rsidRPr="001C4B4C">
        <w:t xml:space="preserve"> </w:t>
      </w:r>
      <w:r w:rsidR="00072923" w:rsidRPr="001C4B4C">
        <w:t>for wind development in M</w:t>
      </w:r>
      <w:r w:rsidR="00517118" w:rsidRPr="001C4B4C">
        <w:t>aine</w:t>
      </w:r>
      <w:r w:rsidR="00072923" w:rsidRPr="001C4B4C">
        <w:t xml:space="preserve"> </w:t>
      </w:r>
      <w:r w:rsidR="00D325C0" w:rsidRPr="001C4B4C">
        <w:t xml:space="preserve">was </w:t>
      </w:r>
      <w:r w:rsidR="000465A9" w:rsidRPr="001C4B4C">
        <w:t xml:space="preserve">first </w:t>
      </w:r>
      <w:r w:rsidR="00D325C0" w:rsidRPr="001C4B4C">
        <w:t>based on</w:t>
      </w:r>
      <w:r w:rsidR="002B059C" w:rsidRPr="001C4B4C">
        <w:t xml:space="preserve"> the difference in simultaneous interface flows between the constrained and unconstrained scenarios</w:t>
      </w:r>
      <w:r w:rsidR="000465A9" w:rsidRPr="001C4B4C">
        <w:t xml:space="preserve"> during the </w:t>
      </w:r>
      <w:r w:rsidR="002B059C" w:rsidRPr="001C4B4C">
        <w:t>summer and winter peak hours</w:t>
      </w:r>
      <w:r w:rsidR="000465A9" w:rsidRPr="001C4B4C">
        <w:t>.</w:t>
      </w:r>
      <w:r w:rsidR="00F52EC3">
        <w:t xml:space="preserve"> </w:t>
      </w:r>
      <w:r w:rsidR="000465A9" w:rsidRPr="001C4B4C">
        <w:t>The ISO then examined t</w:t>
      </w:r>
      <w:r w:rsidR="002B059C" w:rsidRPr="001C4B4C">
        <w:t>he highest simultaneous</w:t>
      </w:r>
      <w:r w:rsidR="00C72ECA" w:rsidRPr="001C4B4C">
        <w:t xml:space="preserve"> congestion</w:t>
      </w:r>
      <w:r w:rsidR="00ED2944" w:rsidRPr="001C4B4C">
        <w:t>-</w:t>
      </w:r>
      <w:r w:rsidR="00C72ECA" w:rsidRPr="001C4B4C">
        <w:t>relief</w:t>
      </w:r>
      <w:r w:rsidR="002B059C" w:rsidRPr="001C4B4C">
        <w:t xml:space="preserve"> need across all northern interface</w:t>
      </w:r>
      <w:r w:rsidR="00C72ECA" w:rsidRPr="001C4B4C">
        <w:t>s</w:t>
      </w:r>
      <w:r w:rsidR="002B059C" w:rsidRPr="001C4B4C">
        <w:t xml:space="preserve"> </w:t>
      </w:r>
      <w:r w:rsidR="000465A9" w:rsidRPr="001C4B4C">
        <w:t xml:space="preserve">and </w:t>
      </w:r>
      <w:r w:rsidR="002B059C" w:rsidRPr="001C4B4C">
        <w:t xml:space="preserve">used </w:t>
      </w:r>
      <w:r w:rsidR="000465A9" w:rsidRPr="001C4B4C">
        <w:t xml:space="preserve">it </w:t>
      </w:r>
      <w:r w:rsidR="002B059C" w:rsidRPr="001C4B4C">
        <w:t xml:space="preserve">to </w:t>
      </w:r>
      <w:r w:rsidR="00C72ECA" w:rsidRPr="001C4B4C">
        <w:t>size</w:t>
      </w:r>
      <w:r w:rsidR="002B059C" w:rsidRPr="001C4B4C">
        <w:t xml:space="preserve"> the congestion</w:t>
      </w:r>
      <w:r w:rsidR="00ED2944" w:rsidRPr="001C4B4C">
        <w:t>-</w:t>
      </w:r>
      <w:r w:rsidR="002B059C" w:rsidRPr="001C4B4C">
        <w:t>relief system.</w:t>
      </w:r>
      <w:r w:rsidR="002B059C">
        <w:t xml:space="preserve"> </w:t>
      </w:r>
      <w:r w:rsidR="000465A9">
        <w:t>Finally,</w:t>
      </w:r>
      <w:r w:rsidR="002B059C">
        <w:t xml:space="preserve"> </w:t>
      </w:r>
      <w:r w:rsidR="000465A9">
        <w:t xml:space="preserve">the </w:t>
      </w:r>
      <w:r>
        <w:t>congestion</w:t>
      </w:r>
      <w:r w:rsidR="00ED2944">
        <w:t>-</w:t>
      </w:r>
      <w:r>
        <w:t xml:space="preserve">relief need </w:t>
      </w:r>
      <w:r w:rsidR="002B059C">
        <w:t xml:space="preserve">was </w:t>
      </w:r>
      <w:r>
        <w:t xml:space="preserve">compared </w:t>
      </w:r>
      <w:r w:rsidR="00ED2944">
        <w:t>with</w:t>
      </w:r>
      <w:r>
        <w:t xml:space="preserve"> the highest flow</w:t>
      </w:r>
      <w:r w:rsidR="002B059C">
        <w:t xml:space="preserve"> on each </w:t>
      </w:r>
      <w:r>
        <w:t xml:space="preserve">individual </w:t>
      </w:r>
      <w:r w:rsidR="002B059C">
        <w:t>interface</w:t>
      </w:r>
      <w:r>
        <w:t xml:space="preserve"> (non</w:t>
      </w:r>
      <w:r w:rsidR="00F52EC3">
        <w:t>-</w:t>
      </w:r>
      <w:r>
        <w:t>simultaneous flow)</w:t>
      </w:r>
      <w:r w:rsidR="002B059C">
        <w:t xml:space="preserve"> </w:t>
      </w:r>
      <w:r>
        <w:t>over all hours of the year</w:t>
      </w:r>
      <w:r w:rsidR="002B059C">
        <w:t xml:space="preserve"> to ensure that the congestion</w:t>
      </w:r>
      <w:r w:rsidR="00ED2944">
        <w:t>-</w:t>
      </w:r>
      <w:r w:rsidR="002B059C">
        <w:t xml:space="preserve">relief system would be adequate over most hours of the </w:t>
      </w:r>
      <w:r w:rsidR="002B059C" w:rsidRPr="00517118">
        <w:t>year.</w:t>
      </w:r>
      <w:r w:rsidR="00ED2944" w:rsidRPr="00517118">
        <w:t xml:space="preserve"> </w:t>
      </w:r>
      <w:r w:rsidR="00ED2944" w:rsidRPr="00460F16">
        <w:fldChar w:fldCharType="begin"/>
      </w:r>
      <w:r w:rsidR="00ED2944" w:rsidRPr="00460F16">
        <w:instrText xml:space="preserve"> REF _Ref476831138 \h </w:instrText>
      </w:r>
      <w:r w:rsidR="00832706" w:rsidRPr="00460F16">
        <w:instrText xml:space="preserve"> \* MERGEFORMAT </w:instrText>
      </w:r>
      <w:r w:rsidR="00ED2944" w:rsidRPr="00460F16">
        <w:fldChar w:fldCharType="separate"/>
      </w:r>
      <w:r w:rsidR="00742B49">
        <w:t xml:space="preserve">Table </w:t>
      </w:r>
      <w:r w:rsidR="00742B49">
        <w:rPr>
          <w:noProof/>
        </w:rPr>
        <w:t>5</w:t>
      </w:r>
      <w:r w:rsidR="00742B49">
        <w:rPr>
          <w:noProof/>
        </w:rPr>
        <w:noBreakHyphen/>
        <w:t>19</w:t>
      </w:r>
      <w:r w:rsidR="00ED2944" w:rsidRPr="00460F16">
        <w:fldChar w:fldCharType="end"/>
      </w:r>
      <w:r w:rsidR="00ED2944" w:rsidRPr="00460F16">
        <w:t xml:space="preserve"> shows the congestion relief assumed for the scenarios.</w:t>
      </w:r>
      <w:r w:rsidR="00832706" w:rsidRPr="00460F16">
        <w:t xml:space="preserve"> </w:t>
      </w:r>
      <w:r w:rsidR="005753DB">
        <w:t>For the unconstrained cases</w:t>
      </w:r>
      <w:r w:rsidR="00F87FCA">
        <w:t>,</w:t>
      </w:r>
      <w:r w:rsidR="005753DB">
        <w:t xml:space="preserve"> the congestion-relief</w:t>
      </w:r>
      <w:r w:rsidR="005753DB" w:rsidRPr="005753DB">
        <w:t xml:space="preserve"> systems were assumed in</w:t>
      </w:r>
      <w:r w:rsidR="00F87FCA">
        <w:t xml:space="preserve"> </w:t>
      </w:r>
      <w:r w:rsidR="005753DB" w:rsidRPr="005753DB">
        <w:t>service by 2025 in anticipation of the assumed amounts of wind resources for 2030.</w:t>
      </w:r>
    </w:p>
    <w:p w:rsidR="002B059C" w:rsidRPr="008B3883" w:rsidRDefault="00ED2944" w:rsidP="00517118">
      <w:pPr>
        <w:pStyle w:val="Caption"/>
        <w:jc w:val="center"/>
        <w:rPr>
          <w:color w:val="000000" w:themeColor="text1"/>
        </w:rPr>
      </w:pPr>
      <w:bookmarkStart w:id="185" w:name="_Ref476831138"/>
      <w:bookmarkStart w:id="186" w:name="_Toc486406033"/>
      <w:r w:rsidRPr="008B3883">
        <w:rPr>
          <w:color w:val="000000" w:themeColor="text1"/>
        </w:rPr>
        <w:t xml:space="preserve">Table </w:t>
      </w:r>
      <w:r w:rsidR="004248FE" w:rsidRPr="008B3883">
        <w:rPr>
          <w:color w:val="000000" w:themeColor="text1"/>
        </w:rPr>
        <w:fldChar w:fldCharType="begin"/>
      </w:r>
      <w:r w:rsidR="004248FE" w:rsidRPr="008B3883">
        <w:rPr>
          <w:color w:val="000000" w:themeColor="text1"/>
        </w:rPr>
        <w:instrText xml:space="preserve"> STYLEREF 1 \s </w:instrText>
      </w:r>
      <w:r w:rsidR="004248FE" w:rsidRPr="008B3883">
        <w:rPr>
          <w:color w:val="000000" w:themeColor="text1"/>
        </w:rPr>
        <w:fldChar w:fldCharType="separate"/>
      </w:r>
      <w:r w:rsidR="004248FE" w:rsidRPr="008B3883">
        <w:rPr>
          <w:noProof/>
          <w:color w:val="000000" w:themeColor="text1"/>
        </w:rPr>
        <w:t>5</w:t>
      </w:r>
      <w:r w:rsidR="004248FE" w:rsidRPr="008B3883">
        <w:rPr>
          <w:color w:val="000000" w:themeColor="text1"/>
        </w:rPr>
        <w:fldChar w:fldCharType="end"/>
      </w:r>
      <w:r w:rsidR="004248FE" w:rsidRPr="008B3883">
        <w:rPr>
          <w:color w:val="000000" w:themeColor="text1"/>
        </w:rPr>
        <w:noBreakHyphen/>
      </w:r>
      <w:r w:rsidR="00F52EC3" w:rsidRPr="008B3883">
        <w:rPr>
          <w:color w:val="000000" w:themeColor="text1"/>
        </w:rPr>
        <w:t>19</w:t>
      </w:r>
      <w:bookmarkEnd w:id="185"/>
      <w:r w:rsidRPr="008B3883">
        <w:rPr>
          <w:color w:val="000000" w:themeColor="text1"/>
        </w:rPr>
        <w:br/>
        <w:t>C</w:t>
      </w:r>
      <w:r w:rsidR="002B059C" w:rsidRPr="008B3883">
        <w:rPr>
          <w:color w:val="000000" w:themeColor="text1"/>
        </w:rPr>
        <w:t xml:space="preserve">ongestion </w:t>
      </w:r>
      <w:r w:rsidRPr="008B3883">
        <w:rPr>
          <w:color w:val="000000" w:themeColor="text1"/>
        </w:rPr>
        <w:t>R</w:t>
      </w:r>
      <w:r w:rsidR="002B059C" w:rsidRPr="008B3883">
        <w:rPr>
          <w:color w:val="000000" w:themeColor="text1"/>
        </w:rPr>
        <w:t xml:space="preserve">elief </w:t>
      </w:r>
      <w:r w:rsidRPr="008B3883">
        <w:rPr>
          <w:color w:val="000000" w:themeColor="text1"/>
        </w:rPr>
        <w:t>Assumed for the Scenarios (MW)</w:t>
      </w:r>
      <w:r w:rsidR="00E318ED" w:rsidRPr="008B3883">
        <w:rPr>
          <w:color w:val="000000" w:themeColor="text1"/>
        </w:rPr>
        <w:t xml:space="preserve"> </w:t>
      </w:r>
      <w:bookmarkEnd w:id="186"/>
    </w:p>
    <w:tbl>
      <w:tblPr>
        <w:tblW w:w="964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20" w:firstRow="1" w:lastRow="0" w:firstColumn="0" w:lastColumn="0" w:noHBand="0" w:noVBand="1"/>
      </w:tblPr>
      <w:tblGrid>
        <w:gridCol w:w="1982"/>
        <w:gridCol w:w="1277"/>
        <w:gridCol w:w="1278"/>
        <w:gridCol w:w="1278"/>
        <w:gridCol w:w="1277"/>
        <w:gridCol w:w="1278"/>
        <w:gridCol w:w="1278"/>
      </w:tblGrid>
      <w:tr w:rsidR="005A1BBB" w:rsidRPr="00ED2944" w:rsidTr="00517118">
        <w:trPr>
          <w:trHeight w:val="421"/>
          <w:jc w:val="center"/>
        </w:trPr>
        <w:tc>
          <w:tcPr>
            <w:tcW w:w="1982" w:type="dxa"/>
            <w:shd w:val="clear" w:color="auto" w:fill="4F81BD" w:themeFill="accent1"/>
            <w:tcMar>
              <w:top w:w="72" w:type="dxa"/>
              <w:left w:w="144" w:type="dxa"/>
              <w:bottom w:w="72" w:type="dxa"/>
              <w:right w:w="144" w:type="dxa"/>
            </w:tcMar>
            <w:vAlign w:val="center"/>
            <w:hideMark/>
          </w:tcPr>
          <w:p w:rsidR="005A1BBB" w:rsidRPr="00517118" w:rsidRDefault="005A1BBB" w:rsidP="00517118">
            <w:pPr>
              <w:keepNext/>
              <w:keepLines/>
              <w:adjustRightInd/>
              <w:spacing w:before="40" w:after="40" w:line="240" w:lineRule="auto"/>
              <w:textAlignment w:val="auto"/>
              <w:rPr>
                <w:rFonts w:ascii="Arial" w:hAnsi="Arial" w:cs="Arial"/>
                <w:b/>
                <w:color w:val="FFFFFF" w:themeColor="background1"/>
                <w:sz w:val="18"/>
                <w:szCs w:val="18"/>
              </w:rPr>
            </w:pPr>
          </w:p>
        </w:tc>
        <w:tc>
          <w:tcPr>
            <w:tcW w:w="1277" w:type="dxa"/>
            <w:shd w:val="clear" w:color="auto" w:fill="4F81BD" w:themeFill="accent1"/>
            <w:tcMar>
              <w:top w:w="72" w:type="dxa"/>
              <w:left w:w="144" w:type="dxa"/>
              <w:bottom w:w="72" w:type="dxa"/>
              <w:right w:w="144" w:type="dxa"/>
            </w:tcMar>
            <w:vAlign w:val="center"/>
            <w:hideMark/>
          </w:tcPr>
          <w:p w:rsidR="005A1BBB" w:rsidRPr="005A1BBB" w:rsidRDefault="005A1BBB" w:rsidP="00517118">
            <w:pPr>
              <w:keepNext/>
              <w:keepLines/>
              <w:adjustRightInd/>
              <w:spacing w:before="40" w:after="40" w:line="240" w:lineRule="auto"/>
              <w:jc w:val="center"/>
              <w:textAlignment w:val="auto"/>
              <w:rPr>
                <w:rFonts w:ascii="Arial" w:hAnsi="Arial" w:cs="Arial"/>
                <w:b/>
                <w:color w:val="FFFFFF" w:themeColor="background1"/>
                <w:sz w:val="18"/>
                <w:szCs w:val="18"/>
                <w:highlight w:val="green"/>
              </w:rPr>
            </w:pPr>
            <w:r>
              <w:rPr>
                <w:rFonts w:asciiTheme="minorHAnsi" w:hAnsiTheme="minorHAnsi"/>
                <w:b/>
                <w:color w:val="FFFFFF" w:themeColor="background1"/>
                <w:sz w:val="18"/>
                <w:szCs w:val="18"/>
              </w:rPr>
              <w:t xml:space="preserve"> Scenario </w:t>
            </w:r>
            <w:r w:rsidRPr="00C8724B">
              <w:rPr>
                <w:rFonts w:asciiTheme="minorHAnsi" w:hAnsiTheme="minorHAnsi"/>
                <w:b/>
                <w:color w:val="FFFFFF" w:themeColor="background1"/>
                <w:sz w:val="18"/>
                <w:szCs w:val="18"/>
              </w:rPr>
              <w:t>1</w:t>
            </w:r>
            <w:r>
              <w:rPr>
                <w:rFonts w:asciiTheme="minorHAnsi" w:hAnsiTheme="minorHAnsi"/>
                <w:b/>
                <w:color w:val="FFFFFF" w:themeColor="background1"/>
                <w:sz w:val="18"/>
                <w:szCs w:val="18"/>
              </w:rPr>
              <w:br/>
            </w:r>
            <w:r w:rsidRPr="00C8724B">
              <w:rPr>
                <w:rFonts w:asciiTheme="minorHAnsi" w:hAnsiTheme="minorHAnsi"/>
                <w:b/>
                <w:color w:val="FFFFFF" w:themeColor="background1"/>
                <w:sz w:val="18"/>
                <w:szCs w:val="18"/>
              </w:rPr>
              <w:t>RPSs + Gas</w:t>
            </w:r>
          </w:p>
        </w:tc>
        <w:tc>
          <w:tcPr>
            <w:tcW w:w="1278" w:type="dxa"/>
            <w:shd w:val="clear" w:color="auto" w:fill="4F81BD" w:themeFill="accent1"/>
            <w:tcMar>
              <w:top w:w="72" w:type="dxa"/>
              <w:left w:w="144" w:type="dxa"/>
              <w:bottom w:w="72" w:type="dxa"/>
              <w:right w:w="144" w:type="dxa"/>
            </w:tcMar>
            <w:vAlign w:val="center"/>
            <w:hideMark/>
          </w:tcPr>
          <w:p w:rsidR="005A1BBB" w:rsidRPr="005A1BBB" w:rsidRDefault="005A1BBB" w:rsidP="00517118">
            <w:pPr>
              <w:keepNext/>
              <w:keepLines/>
              <w:adjustRightInd/>
              <w:spacing w:before="40" w:after="40" w:line="240" w:lineRule="auto"/>
              <w:jc w:val="center"/>
              <w:textAlignment w:val="auto"/>
              <w:rPr>
                <w:rFonts w:ascii="Arial" w:hAnsi="Arial" w:cs="Arial"/>
                <w:b/>
                <w:color w:val="FFFFFF" w:themeColor="background1"/>
                <w:sz w:val="18"/>
                <w:szCs w:val="18"/>
                <w:highlight w:val="green"/>
              </w:rPr>
            </w:pPr>
            <w:r>
              <w:rPr>
                <w:rFonts w:asciiTheme="minorHAnsi" w:hAnsiTheme="minorHAnsi"/>
                <w:b/>
                <w:color w:val="FFFFFF" w:themeColor="background1"/>
                <w:sz w:val="18"/>
                <w:szCs w:val="18"/>
              </w:rPr>
              <w:t xml:space="preserve">Scenario </w:t>
            </w:r>
            <w:r w:rsidRPr="00C8724B">
              <w:rPr>
                <w:rFonts w:asciiTheme="minorHAnsi" w:hAnsiTheme="minorHAnsi"/>
                <w:b/>
                <w:color w:val="FFFFFF" w:themeColor="background1"/>
                <w:sz w:val="18"/>
                <w:szCs w:val="18"/>
              </w:rPr>
              <w:t>2</w:t>
            </w:r>
            <w:r>
              <w:rPr>
                <w:rFonts w:asciiTheme="minorHAnsi" w:hAnsiTheme="minorHAnsi"/>
                <w:b/>
                <w:color w:val="FFFFFF" w:themeColor="background1"/>
                <w:sz w:val="18"/>
                <w:szCs w:val="18"/>
              </w:rPr>
              <w:br/>
            </w:r>
            <w:r w:rsidRPr="00C8724B">
              <w:rPr>
                <w:rFonts w:asciiTheme="minorHAnsi" w:hAnsiTheme="minorHAnsi"/>
                <w:b/>
                <w:color w:val="FFFFFF" w:themeColor="background1"/>
                <w:sz w:val="18"/>
                <w:szCs w:val="18"/>
              </w:rPr>
              <w:t>ISO Queue</w:t>
            </w:r>
          </w:p>
        </w:tc>
        <w:tc>
          <w:tcPr>
            <w:tcW w:w="1278" w:type="dxa"/>
            <w:shd w:val="clear" w:color="auto" w:fill="4F81BD" w:themeFill="accent1"/>
            <w:tcMar>
              <w:top w:w="72" w:type="dxa"/>
              <w:left w:w="144" w:type="dxa"/>
              <w:bottom w:w="72" w:type="dxa"/>
              <w:right w:w="144" w:type="dxa"/>
            </w:tcMar>
            <w:vAlign w:val="center"/>
            <w:hideMark/>
          </w:tcPr>
          <w:p w:rsidR="005A1BBB" w:rsidRPr="005A1BBB" w:rsidRDefault="005A1BBB" w:rsidP="00517118">
            <w:pPr>
              <w:keepNext/>
              <w:keepLines/>
              <w:adjustRightInd/>
              <w:spacing w:before="40" w:after="40" w:line="240" w:lineRule="auto"/>
              <w:jc w:val="center"/>
              <w:textAlignment w:val="auto"/>
              <w:rPr>
                <w:rFonts w:ascii="Arial" w:hAnsi="Arial" w:cs="Arial"/>
                <w:b/>
                <w:color w:val="FFFFFF" w:themeColor="background1"/>
                <w:sz w:val="18"/>
                <w:szCs w:val="18"/>
                <w:highlight w:val="green"/>
              </w:rPr>
            </w:pPr>
            <w:r>
              <w:rPr>
                <w:rFonts w:asciiTheme="minorHAnsi" w:hAnsiTheme="minorHAnsi"/>
                <w:b/>
                <w:color w:val="FFFFFF" w:themeColor="background1"/>
                <w:sz w:val="18"/>
                <w:szCs w:val="18"/>
              </w:rPr>
              <w:t xml:space="preserve">Scenario </w:t>
            </w:r>
            <w:r w:rsidRPr="00C8724B">
              <w:rPr>
                <w:rFonts w:asciiTheme="minorHAnsi" w:hAnsiTheme="minorHAnsi"/>
                <w:b/>
                <w:color w:val="FFFFFF" w:themeColor="background1"/>
                <w:sz w:val="18"/>
                <w:szCs w:val="18"/>
              </w:rPr>
              <w:t>3</w:t>
            </w:r>
            <w:r>
              <w:rPr>
                <w:rFonts w:asciiTheme="minorHAnsi" w:hAnsiTheme="minorHAnsi"/>
                <w:b/>
                <w:color w:val="FFFFFF" w:themeColor="background1"/>
                <w:sz w:val="18"/>
                <w:szCs w:val="18"/>
              </w:rPr>
              <w:br/>
            </w:r>
            <w:r w:rsidRPr="00C8724B">
              <w:rPr>
                <w:rFonts w:asciiTheme="minorHAnsi" w:hAnsiTheme="minorHAnsi"/>
                <w:b/>
                <w:color w:val="FFFFFF" w:themeColor="background1"/>
                <w:sz w:val="18"/>
                <w:szCs w:val="18"/>
              </w:rPr>
              <w:t>Renewables Plus</w:t>
            </w:r>
          </w:p>
        </w:tc>
        <w:tc>
          <w:tcPr>
            <w:tcW w:w="1277" w:type="dxa"/>
            <w:shd w:val="clear" w:color="auto" w:fill="4F81BD" w:themeFill="accent1"/>
            <w:vAlign w:val="center"/>
          </w:tcPr>
          <w:p w:rsidR="005A1BBB" w:rsidRPr="005A1BBB" w:rsidRDefault="005A1BBB" w:rsidP="00517118">
            <w:pPr>
              <w:keepNext/>
              <w:keepLines/>
              <w:adjustRightInd/>
              <w:spacing w:before="40" w:after="40" w:line="240" w:lineRule="auto"/>
              <w:jc w:val="center"/>
              <w:textAlignment w:val="auto"/>
              <w:rPr>
                <w:rFonts w:ascii="Calibri" w:hAnsi="Calibri" w:cs="Arial"/>
                <w:b/>
                <w:bCs/>
                <w:color w:val="FFFFFF" w:themeColor="background1"/>
                <w:kern w:val="24"/>
                <w:sz w:val="18"/>
                <w:szCs w:val="18"/>
                <w:highlight w:val="green"/>
              </w:rPr>
            </w:pPr>
            <w:r>
              <w:rPr>
                <w:rFonts w:asciiTheme="minorHAnsi" w:hAnsiTheme="minorHAnsi"/>
                <w:b/>
                <w:color w:val="FFFFFF" w:themeColor="background1"/>
                <w:sz w:val="18"/>
                <w:szCs w:val="18"/>
              </w:rPr>
              <w:t>Scenario 4</w:t>
            </w:r>
            <w:r>
              <w:rPr>
                <w:rFonts w:asciiTheme="minorHAnsi" w:hAnsiTheme="minorHAnsi"/>
                <w:b/>
                <w:color w:val="FFFFFF" w:themeColor="background1"/>
                <w:sz w:val="18"/>
                <w:szCs w:val="18"/>
              </w:rPr>
              <w:br/>
            </w:r>
            <w:r w:rsidRPr="00C8724B">
              <w:rPr>
                <w:rFonts w:asciiTheme="minorHAnsi" w:hAnsiTheme="minorHAnsi"/>
                <w:b/>
                <w:color w:val="FFFFFF" w:themeColor="background1"/>
                <w:sz w:val="18"/>
                <w:szCs w:val="18"/>
              </w:rPr>
              <w:t>No Retirements</w:t>
            </w:r>
            <w:r>
              <w:rPr>
                <w:rFonts w:asciiTheme="minorHAnsi" w:hAnsiTheme="minorHAnsi"/>
                <w:b/>
                <w:color w:val="FFFFFF" w:themeColor="background1"/>
                <w:sz w:val="18"/>
                <w:szCs w:val="18"/>
              </w:rPr>
              <w:t xml:space="preserve"> beyond FCA #10</w:t>
            </w:r>
          </w:p>
        </w:tc>
        <w:tc>
          <w:tcPr>
            <w:tcW w:w="1278" w:type="dxa"/>
            <w:shd w:val="clear" w:color="auto" w:fill="4F81BD" w:themeFill="accent1"/>
            <w:vAlign w:val="center"/>
          </w:tcPr>
          <w:p w:rsidR="005A1BBB" w:rsidRPr="005A1BBB" w:rsidRDefault="005A1BBB" w:rsidP="00517118">
            <w:pPr>
              <w:keepNext/>
              <w:keepLines/>
              <w:adjustRightInd/>
              <w:spacing w:before="40" w:after="40" w:line="240" w:lineRule="auto"/>
              <w:jc w:val="center"/>
              <w:textAlignment w:val="auto"/>
              <w:rPr>
                <w:rFonts w:ascii="Calibri" w:hAnsi="Calibri" w:cs="Arial"/>
                <w:b/>
                <w:bCs/>
                <w:color w:val="FFFFFF" w:themeColor="background1"/>
                <w:kern w:val="24"/>
                <w:sz w:val="18"/>
                <w:szCs w:val="18"/>
                <w:highlight w:val="green"/>
              </w:rPr>
            </w:pPr>
            <w:r>
              <w:rPr>
                <w:rFonts w:asciiTheme="minorHAnsi" w:hAnsiTheme="minorHAnsi"/>
                <w:b/>
                <w:color w:val="FFFFFF" w:themeColor="background1"/>
                <w:sz w:val="18"/>
                <w:szCs w:val="18"/>
              </w:rPr>
              <w:t xml:space="preserve">Scenario </w:t>
            </w:r>
            <w:r w:rsidRPr="00C8724B">
              <w:rPr>
                <w:rFonts w:asciiTheme="minorHAnsi" w:hAnsiTheme="minorHAnsi"/>
                <w:b/>
                <w:color w:val="FFFFFF" w:themeColor="background1"/>
                <w:sz w:val="18"/>
                <w:szCs w:val="18"/>
              </w:rPr>
              <w:t>5</w:t>
            </w:r>
            <w:r>
              <w:rPr>
                <w:rFonts w:asciiTheme="minorHAnsi" w:hAnsiTheme="minorHAnsi"/>
                <w:b/>
                <w:color w:val="FFFFFF" w:themeColor="background1"/>
                <w:sz w:val="18"/>
                <w:szCs w:val="18"/>
              </w:rPr>
              <w:br/>
            </w:r>
            <w:r w:rsidRPr="00C8724B">
              <w:rPr>
                <w:rFonts w:asciiTheme="minorHAnsi" w:hAnsiTheme="minorHAnsi"/>
                <w:b/>
                <w:color w:val="FFFFFF" w:themeColor="background1"/>
                <w:sz w:val="18"/>
                <w:szCs w:val="18"/>
              </w:rPr>
              <w:t>ACPs + Gas</w:t>
            </w:r>
          </w:p>
        </w:tc>
        <w:tc>
          <w:tcPr>
            <w:tcW w:w="1278" w:type="dxa"/>
            <w:shd w:val="clear" w:color="auto" w:fill="4F81BD" w:themeFill="accent1"/>
            <w:tcMar>
              <w:top w:w="72" w:type="dxa"/>
              <w:left w:w="144" w:type="dxa"/>
              <w:bottom w:w="72" w:type="dxa"/>
              <w:right w:w="144" w:type="dxa"/>
            </w:tcMar>
            <w:vAlign w:val="center"/>
            <w:hideMark/>
          </w:tcPr>
          <w:p w:rsidR="005A1BBB" w:rsidRPr="005A1BBB" w:rsidRDefault="005A1BBB" w:rsidP="00517118">
            <w:pPr>
              <w:keepNext/>
              <w:keepLines/>
              <w:adjustRightInd/>
              <w:spacing w:before="40" w:after="40" w:line="240" w:lineRule="auto"/>
              <w:jc w:val="center"/>
              <w:textAlignment w:val="auto"/>
              <w:rPr>
                <w:rFonts w:ascii="Arial" w:hAnsi="Arial" w:cs="Arial"/>
                <w:b/>
                <w:color w:val="FFFFFF" w:themeColor="background1"/>
                <w:sz w:val="18"/>
                <w:szCs w:val="18"/>
                <w:highlight w:val="green"/>
              </w:rPr>
            </w:pPr>
            <w:r>
              <w:rPr>
                <w:rFonts w:asciiTheme="minorHAnsi" w:hAnsiTheme="minorHAnsi"/>
                <w:b/>
                <w:color w:val="FFFFFF" w:themeColor="background1"/>
                <w:sz w:val="18"/>
                <w:szCs w:val="18"/>
              </w:rPr>
              <w:t xml:space="preserve">Scenario </w:t>
            </w:r>
            <w:r w:rsidRPr="00C8724B">
              <w:rPr>
                <w:rFonts w:asciiTheme="minorHAnsi" w:hAnsiTheme="minorHAnsi"/>
                <w:b/>
                <w:color w:val="FFFFFF" w:themeColor="background1"/>
                <w:sz w:val="18"/>
                <w:szCs w:val="18"/>
              </w:rPr>
              <w:t>6</w:t>
            </w:r>
            <w:r>
              <w:rPr>
                <w:rFonts w:asciiTheme="minorHAnsi" w:hAnsiTheme="minorHAnsi"/>
                <w:b/>
                <w:color w:val="FFFFFF" w:themeColor="background1"/>
                <w:sz w:val="18"/>
                <w:szCs w:val="18"/>
              </w:rPr>
              <w:br/>
            </w:r>
            <w:r w:rsidRPr="00C8724B">
              <w:rPr>
                <w:rFonts w:asciiTheme="minorHAnsi" w:hAnsiTheme="minorHAnsi"/>
                <w:b/>
                <w:color w:val="FFFFFF" w:themeColor="background1"/>
                <w:sz w:val="18"/>
                <w:szCs w:val="18"/>
              </w:rPr>
              <w:t>RPSs + Geodiverse Renewables</w:t>
            </w:r>
          </w:p>
        </w:tc>
      </w:tr>
      <w:tr w:rsidR="002B059C" w:rsidRPr="00864B90" w:rsidTr="00517118">
        <w:trPr>
          <w:trHeight w:val="448"/>
          <w:jc w:val="center"/>
        </w:trPr>
        <w:tc>
          <w:tcPr>
            <w:tcW w:w="1982" w:type="dxa"/>
            <w:shd w:val="clear" w:color="auto" w:fill="auto"/>
            <w:tcMar>
              <w:top w:w="72" w:type="dxa"/>
              <w:left w:w="144" w:type="dxa"/>
              <w:bottom w:w="72" w:type="dxa"/>
              <w:right w:w="144" w:type="dxa"/>
            </w:tcMar>
            <w:vAlign w:val="center"/>
            <w:hideMark/>
          </w:tcPr>
          <w:p w:rsidR="00215E1C" w:rsidRPr="00517118" w:rsidRDefault="002B059C" w:rsidP="00517118">
            <w:pPr>
              <w:keepNext/>
              <w:keepLines/>
              <w:adjustRightInd/>
              <w:spacing w:before="40" w:after="40" w:line="240" w:lineRule="auto"/>
              <w:textAlignment w:val="auto"/>
              <w:rPr>
                <w:rFonts w:ascii="Arial" w:hAnsi="Arial" w:cs="Arial"/>
                <w:b/>
                <w:sz w:val="18"/>
                <w:szCs w:val="18"/>
              </w:rPr>
            </w:pPr>
            <w:r w:rsidRPr="00517118">
              <w:rPr>
                <w:rFonts w:asciiTheme="minorHAnsi" w:eastAsiaTheme="minorEastAsia" w:hAnsi="Calibri" w:cstheme="minorBidi"/>
                <w:b/>
                <w:bCs/>
                <w:color w:val="000000" w:themeColor="text1"/>
                <w:kern w:val="24"/>
                <w:sz w:val="18"/>
                <w:szCs w:val="18"/>
              </w:rPr>
              <w:t xml:space="preserve">2030 Maine </w:t>
            </w:r>
            <w:r w:rsidR="00832706">
              <w:rPr>
                <w:rFonts w:asciiTheme="minorHAnsi" w:eastAsiaTheme="minorEastAsia" w:hAnsi="Calibri" w:cstheme="minorBidi"/>
                <w:b/>
                <w:bCs/>
                <w:color w:val="000000" w:themeColor="text1"/>
                <w:kern w:val="24"/>
                <w:sz w:val="18"/>
                <w:szCs w:val="18"/>
              </w:rPr>
              <w:t>n</w:t>
            </w:r>
            <w:r w:rsidRPr="00517118">
              <w:rPr>
                <w:rFonts w:asciiTheme="minorHAnsi" w:eastAsiaTheme="minorEastAsia" w:hAnsi="Calibri" w:cstheme="minorBidi"/>
                <w:b/>
                <w:bCs/>
                <w:color w:val="000000" w:themeColor="text1"/>
                <w:kern w:val="24"/>
                <w:sz w:val="18"/>
                <w:szCs w:val="18"/>
              </w:rPr>
              <w:t xml:space="preserve">ameplate </w:t>
            </w:r>
            <w:r w:rsidR="00832706">
              <w:rPr>
                <w:rFonts w:asciiTheme="minorHAnsi" w:eastAsiaTheme="minorEastAsia" w:hAnsi="Calibri" w:cstheme="minorBidi"/>
                <w:b/>
                <w:bCs/>
                <w:color w:val="000000" w:themeColor="text1"/>
                <w:kern w:val="24"/>
                <w:sz w:val="18"/>
                <w:szCs w:val="18"/>
              </w:rPr>
              <w:t>w</w:t>
            </w:r>
            <w:r w:rsidRPr="00517118">
              <w:rPr>
                <w:rFonts w:asciiTheme="minorHAnsi" w:eastAsiaTheme="minorEastAsia" w:hAnsi="Calibri" w:cstheme="minorBidi"/>
                <w:b/>
                <w:bCs/>
                <w:color w:val="000000" w:themeColor="text1"/>
                <w:kern w:val="24"/>
                <w:sz w:val="18"/>
                <w:szCs w:val="18"/>
              </w:rPr>
              <w:t xml:space="preserve">ind </w:t>
            </w:r>
            <w:r w:rsidR="00832706">
              <w:rPr>
                <w:rFonts w:asciiTheme="minorHAnsi" w:eastAsiaTheme="minorEastAsia" w:hAnsi="Calibri" w:cstheme="minorBidi"/>
                <w:b/>
                <w:bCs/>
                <w:color w:val="000000" w:themeColor="text1"/>
                <w:kern w:val="24"/>
                <w:sz w:val="18"/>
                <w:szCs w:val="18"/>
              </w:rPr>
              <w:t>i</w:t>
            </w:r>
            <w:r w:rsidRPr="00517118">
              <w:rPr>
                <w:rFonts w:asciiTheme="minorHAnsi" w:eastAsiaTheme="minorEastAsia" w:hAnsi="Calibri" w:cstheme="minorBidi"/>
                <w:b/>
                <w:bCs/>
                <w:color w:val="000000" w:themeColor="text1"/>
                <w:kern w:val="24"/>
                <w:sz w:val="18"/>
                <w:szCs w:val="18"/>
              </w:rPr>
              <w:t>njection (MW)</w:t>
            </w:r>
          </w:p>
        </w:tc>
        <w:tc>
          <w:tcPr>
            <w:tcW w:w="1277" w:type="dxa"/>
            <w:shd w:val="clear" w:color="auto" w:fill="auto"/>
            <w:tcMar>
              <w:top w:w="15" w:type="dxa"/>
              <w:left w:w="15" w:type="dxa"/>
              <w:bottom w:w="0" w:type="dxa"/>
              <w:right w:w="15" w:type="dxa"/>
            </w:tcMar>
            <w:vAlign w:val="center"/>
            <w:hideMark/>
          </w:tcPr>
          <w:p w:rsidR="00215E1C" w:rsidRPr="00517118" w:rsidRDefault="002B059C" w:rsidP="00517118">
            <w:pPr>
              <w:keepNext/>
              <w:keepLines/>
              <w:adjustRightInd/>
              <w:spacing w:before="40" w:after="40" w:line="240" w:lineRule="auto"/>
              <w:jc w:val="center"/>
              <w:textAlignment w:val="bottom"/>
              <w:rPr>
                <w:rFonts w:ascii="Arial" w:hAnsi="Arial" w:cs="Arial"/>
                <w:sz w:val="18"/>
                <w:szCs w:val="18"/>
              </w:rPr>
            </w:pPr>
            <w:r w:rsidRPr="00517118">
              <w:rPr>
                <w:rFonts w:asciiTheme="minorHAnsi" w:eastAsiaTheme="minorEastAsia" w:hAnsi="Calibri" w:cstheme="minorBidi"/>
                <w:bCs/>
                <w:color w:val="000000" w:themeColor="text1"/>
                <w:kern w:val="24"/>
                <w:sz w:val="18"/>
                <w:szCs w:val="18"/>
              </w:rPr>
              <w:t>2,955</w:t>
            </w:r>
          </w:p>
        </w:tc>
        <w:tc>
          <w:tcPr>
            <w:tcW w:w="1278" w:type="dxa"/>
            <w:shd w:val="clear" w:color="auto" w:fill="auto"/>
            <w:tcMar>
              <w:top w:w="15" w:type="dxa"/>
              <w:left w:w="15" w:type="dxa"/>
              <w:bottom w:w="0" w:type="dxa"/>
              <w:right w:w="15" w:type="dxa"/>
            </w:tcMar>
            <w:vAlign w:val="center"/>
            <w:hideMark/>
          </w:tcPr>
          <w:p w:rsidR="00215E1C" w:rsidRPr="00517118" w:rsidRDefault="002B059C" w:rsidP="00517118">
            <w:pPr>
              <w:keepNext/>
              <w:keepLines/>
              <w:adjustRightInd/>
              <w:spacing w:before="40" w:after="40" w:line="240" w:lineRule="auto"/>
              <w:jc w:val="center"/>
              <w:textAlignment w:val="bottom"/>
              <w:rPr>
                <w:rFonts w:ascii="Arial" w:hAnsi="Arial" w:cs="Arial"/>
                <w:sz w:val="18"/>
                <w:szCs w:val="18"/>
              </w:rPr>
            </w:pPr>
            <w:r w:rsidRPr="00517118">
              <w:rPr>
                <w:rFonts w:asciiTheme="minorHAnsi" w:eastAsiaTheme="minorEastAsia" w:hAnsi="Calibri" w:cstheme="minorBidi"/>
                <w:bCs/>
                <w:color w:val="000000" w:themeColor="text1"/>
                <w:kern w:val="24"/>
                <w:sz w:val="18"/>
                <w:szCs w:val="18"/>
              </w:rPr>
              <w:t>12,872</w:t>
            </w:r>
          </w:p>
        </w:tc>
        <w:tc>
          <w:tcPr>
            <w:tcW w:w="1278" w:type="dxa"/>
            <w:shd w:val="clear" w:color="auto" w:fill="auto"/>
            <w:tcMar>
              <w:top w:w="15" w:type="dxa"/>
              <w:left w:w="15" w:type="dxa"/>
              <w:bottom w:w="0" w:type="dxa"/>
              <w:right w:w="15" w:type="dxa"/>
            </w:tcMar>
            <w:vAlign w:val="center"/>
            <w:hideMark/>
          </w:tcPr>
          <w:p w:rsidR="00215E1C" w:rsidRPr="00517118" w:rsidRDefault="002B059C" w:rsidP="00517118">
            <w:pPr>
              <w:keepNext/>
              <w:keepLines/>
              <w:adjustRightInd/>
              <w:spacing w:before="40" w:after="40" w:line="240" w:lineRule="auto"/>
              <w:jc w:val="center"/>
              <w:textAlignment w:val="bottom"/>
              <w:rPr>
                <w:rFonts w:ascii="Arial" w:hAnsi="Arial" w:cs="Arial"/>
                <w:sz w:val="18"/>
                <w:szCs w:val="18"/>
              </w:rPr>
            </w:pPr>
            <w:r w:rsidRPr="00517118">
              <w:rPr>
                <w:rFonts w:asciiTheme="minorHAnsi" w:eastAsiaTheme="minorEastAsia" w:hAnsi="Calibri" w:cstheme="minorBidi"/>
                <w:bCs/>
                <w:color w:val="000000" w:themeColor="text1"/>
                <w:kern w:val="24"/>
                <w:sz w:val="18"/>
                <w:szCs w:val="18"/>
              </w:rPr>
              <w:t>3,652</w:t>
            </w:r>
          </w:p>
        </w:tc>
        <w:tc>
          <w:tcPr>
            <w:tcW w:w="1277" w:type="dxa"/>
            <w:vAlign w:val="center"/>
          </w:tcPr>
          <w:p w:rsidR="002B059C" w:rsidRPr="00517118" w:rsidRDefault="002B059C" w:rsidP="00517118">
            <w:pPr>
              <w:keepNext/>
              <w:keepLines/>
              <w:adjustRightInd/>
              <w:spacing w:before="40" w:after="40" w:line="240" w:lineRule="auto"/>
              <w:jc w:val="center"/>
              <w:textAlignment w:val="auto"/>
              <w:rPr>
                <w:rFonts w:ascii="Calibri" w:hAnsi="Calibri" w:cs="Arial"/>
                <w:bCs/>
                <w:color w:val="000000" w:themeColor="text1"/>
                <w:kern w:val="24"/>
                <w:sz w:val="18"/>
                <w:szCs w:val="18"/>
              </w:rPr>
            </w:pPr>
            <w:r w:rsidRPr="00517118">
              <w:rPr>
                <w:rFonts w:ascii="Calibri" w:hAnsi="Calibri" w:cs="Arial"/>
                <w:bCs/>
                <w:color w:val="000000" w:themeColor="text1"/>
                <w:kern w:val="24"/>
                <w:sz w:val="18"/>
                <w:szCs w:val="18"/>
              </w:rPr>
              <w:t>308</w:t>
            </w:r>
          </w:p>
        </w:tc>
        <w:tc>
          <w:tcPr>
            <w:tcW w:w="1278" w:type="dxa"/>
            <w:vAlign w:val="center"/>
          </w:tcPr>
          <w:p w:rsidR="002B059C" w:rsidRPr="00517118" w:rsidRDefault="002B059C" w:rsidP="00517118">
            <w:pPr>
              <w:keepNext/>
              <w:keepLines/>
              <w:adjustRightInd/>
              <w:spacing w:before="40" w:after="40" w:line="240" w:lineRule="auto"/>
              <w:jc w:val="center"/>
              <w:textAlignment w:val="auto"/>
              <w:rPr>
                <w:rFonts w:ascii="Calibri" w:hAnsi="Calibri" w:cs="Arial"/>
                <w:bCs/>
                <w:color w:val="000000" w:themeColor="text1"/>
                <w:kern w:val="24"/>
                <w:sz w:val="18"/>
                <w:szCs w:val="18"/>
              </w:rPr>
            </w:pPr>
            <w:r w:rsidRPr="00517118">
              <w:rPr>
                <w:rFonts w:ascii="Calibri" w:hAnsi="Calibri" w:cs="Arial"/>
                <w:bCs/>
                <w:color w:val="000000" w:themeColor="text1"/>
                <w:kern w:val="24"/>
                <w:sz w:val="18"/>
                <w:szCs w:val="18"/>
              </w:rPr>
              <w:t>308</w:t>
            </w:r>
          </w:p>
        </w:tc>
        <w:tc>
          <w:tcPr>
            <w:tcW w:w="1278" w:type="dxa"/>
            <w:shd w:val="clear" w:color="auto" w:fill="auto"/>
            <w:tcMar>
              <w:top w:w="15" w:type="dxa"/>
              <w:left w:w="15" w:type="dxa"/>
              <w:bottom w:w="0" w:type="dxa"/>
              <w:right w:w="15" w:type="dxa"/>
            </w:tcMar>
            <w:vAlign w:val="center"/>
            <w:hideMark/>
          </w:tcPr>
          <w:p w:rsidR="00215E1C" w:rsidRPr="00517118" w:rsidRDefault="002B059C" w:rsidP="00517118">
            <w:pPr>
              <w:keepNext/>
              <w:keepLines/>
              <w:adjustRightInd/>
              <w:spacing w:before="40" w:after="40" w:line="240" w:lineRule="auto"/>
              <w:jc w:val="center"/>
              <w:textAlignment w:val="bottom"/>
              <w:rPr>
                <w:rFonts w:ascii="Arial" w:hAnsi="Arial" w:cs="Arial"/>
                <w:sz w:val="18"/>
                <w:szCs w:val="18"/>
              </w:rPr>
            </w:pPr>
            <w:r w:rsidRPr="00517118">
              <w:rPr>
                <w:rFonts w:asciiTheme="minorHAnsi" w:eastAsiaTheme="minorEastAsia" w:hAnsi="Calibri" w:cstheme="minorBidi"/>
                <w:bCs/>
                <w:color w:val="000000" w:themeColor="text1"/>
                <w:kern w:val="24"/>
                <w:sz w:val="18"/>
                <w:szCs w:val="18"/>
              </w:rPr>
              <w:t>5,959</w:t>
            </w:r>
          </w:p>
        </w:tc>
      </w:tr>
      <w:tr w:rsidR="002B059C" w:rsidRPr="00864B90" w:rsidTr="00517118">
        <w:trPr>
          <w:trHeight w:val="304"/>
          <w:jc w:val="center"/>
        </w:trPr>
        <w:tc>
          <w:tcPr>
            <w:tcW w:w="1982" w:type="dxa"/>
            <w:shd w:val="clear" w:color="auto" w:fill="DBE5F1" w:themeFill="accent1" w:themeFillTint="33"/>
            <w:tcMar>
              <w:top w:w="72" w:type="dxa"/>
              <w:left w:w="144" w:type="dxa"/>
              <w:bottom w:w="72" w:type="dxa"/>
              <w:right w:w="144" w:type="dxa"/>
            </w:tcMar>
            <w:vAlign w:val="center"/>
            <w:hideMark/>
          </w:tcPr>
          <w:p w:rsidR="00215E1C" w:rsidRPr="00517118" w:rsidRDefault="002B059C" w:rsidP="00517118">
            <w:pPr>
              <w:keepNext/>
              <w:keepLines/>
              <w:adjustRightInd/>
              <w:spacing w:before="40" w:after="40" w:line="240" w:lineRule="auto"/>
              <w:textAlignment w:val="auto"/>
              <w:rPr>
                <w:rFonts w:ascii="Arial" w:hAnsi="Arial" w:cs="Arial"/>
                <w:b/>
                <w:sz w:val="18"/>
                <w:szCs w:val="18"/>
              </w:rPr>
            </w:pPr>
            <w:r w:rsidRPr="00517118">
              <w:rPr>
                <w:rFonts w:ascii="Calibri" w:hAnsi="Calibri" w:cs="Arial"/>
                <w:b/>
                <w:bCs/>
                <w:color w:val="000000" w:themeColor="text1"/>
                <w:kern w:val="24"/>
                <w:sz w:val="18"/>
                <w:szCs w:val="18"/>
              </w:rPr>
              <w:t xml:space="preserve">Needed </w:t>
            </w:r>
            <w:r w:rsidR="00832706">
              <w:rPr>
                <w:rFonts w:ascii="Calibri" w:hAnsi="Calibri" w:cs="Arial"/>
                <w:b/>
                <w:bCs/>
                <w:color w:val="000000" w:themeColor="text1"/>
                <w:kern w:val="24"/>
                <w:sz w:val="18"/>
                <w:szCs w:val="18"/>
              </w:rPr>
              <w:t>c</w:t>
            </w:r>
            <w:r w:rsidRPr="00517118">
              <w:rPr>
                <w:rFonts w:ascii="Calibri" w:hAnsi="Calibri" w:cs="Arial"/>
                <w:b/>
                <w:bCs/>
                <w:color w:val="000000" w:themeColor="text1"/>
                <w:kern w:val="24"/>
                <w:sz w:val="18"/>
                <w:szCs w:val="18"/>
              </w:rPr>
              <w:t>ongestion</w:t>
            </w:r>
            <w:r w:rsidR="00832706">
              <w:rPr>
                <w:rFonts w:ascii="Calibri" w:hAnsi="Calibri" w:cs="Arial"/>
                <w:b/>
                <w:bCs/>
                <w:color w:val="000000" w:themeColor="text1"/>
                <w:kern w:val="24"/>
                <w:sz w:val="18"/>
                <w:szCs w:val="18"/>
              </w:rPr>
              <w:t>-</w:t>
            </w:r>
            <w:r w:rsidRPr="00517118">
              <w:rPr>
                <w:rFonts w:ascii="Calibri" w:hAnsi="Calibri" w:cs="Arial"/>
                <w:b/>
                <w:bCs/>
                <w:color w:val="000000" w:themeColor="text1"/>
                <w:kern w:val="24"/>
                <w:sz w:val="18"/>
                <w:szCs w:val="18"/>
              </w:rPr>
              <w:t xml:space="preserve"> </w:t>
            </w:r>
            <w:r w:rsidR="00832706">
              <w:rPr>
                <w:rFonts w:ascii="Calibri" w:hAnsi="Calibri" w:cs="Arial"/>
                <w:b/>
                <w:bCs/>
                <w:color w:val="000000" w:themeColor="text1"/>
                <w:kern w:val="24"/>
                <w:sz w:val="18"/>
                <w:szCs w:val="18"/>
              </w:rPr>
              <w:t>r</w:t>
            </w:r>
            <w:r w:rsidRPr="00517118">
              <w:rPr>
                <w:rFonts w:ascii="Calibri" w:hAnsi="Calibri" w:cs="Arial"/>
                <w:b/>
                <w:bCs/>
                <w:color w:val="000000" w:themeColor="text1"/>
                <w:kern w:val="24"/>
                <w:sz w:val="18"/>
                <w:szCs w:val="18"/>
              </w:rPr>
              <w:t xml:space="preserve">elief </w:t>
            </w:r>
            <w:r w:rsidR="00832706">
              <w:rPr>
                <w:rFonts w:ascii="Calibri" w:hAnsi="Calibri" w:cs="Arial"/>
                <w:b/>
                <w:bCs/>
                <w:color w:val="000000" w:themeColor="text1"/>
                <w:kern w:val="24"/>
                <w:sz w:val="18"/>
                <w:szCs w:val="18"/>
              </w:rPr>
              <w:t>c</w:t>
            </w:r>
            <w:r w:rsidRPr="00517118">
              <w:rPr>
                <w:rFonts w:ascii="Calibri" w:hAnsi="Calibri" w:cs="Arial"/>
                <w:b/>
                <w:bCs/>
                <w:color w:val="000000" w:themeColor="text1"/>
                <w:kern w:val="24"/>
                <w:sz w:val="18"/>
                <w:szCs w:val="18"/>
              </w:rPr>
              <w:t>apacity (MW)</w:t>
            </w:r>
          </w:p>
        </w:tc>
        <w:tc>
          <w:tcPr>
            <w:tcW w:w="1277" w:type="dxa"/>
            <w:shd w:val="clear" w:color="auto" w:fill="DBE5F1" w:themeFill="accent1" w:themeFillTint="33"/>
            <w:tcMar>
              <w:top w:w="72" w:type="dxa"/>
              <w:left w:w="144" w:type="dxa"/>
              <w:bottom w:w="72" w:type="dxa"/>
              <w:right w:w="144" w:type="dxa"/>
            </w:tcMar>
            <w:vAlign w:val="center"/>
            <w:hideMark/>
          </w:tcPr>
          <w:p w:rsidR="00215E1C" w:rsidRPr="00517118" w:rsidRDefault="002B059C" w:rsidP="00517118">
            <w:pPr>
              <w:keepNext/>
              <w:keepLines/>
              <w:adjustRightInd/>
              <w:spacing w:before="40" w:after="40" w:line="240" w:lineRule="auto"/>
              <w:jc w:val="center"/>
              <w:textAlignment w:val="auto"/>
              <w:rPr>
                <w:rFonts w:ascii="Arial" w:hAnsi="Arial" w:cs="Arial"/>
                <w:sz w:val="18"/>
                <w:szCs w:val="18"/>
              </w:rPr>
            </w:pPr>
            <w:r w:rsidRPr="00517118">
              <w:rPr>
                <w:rFonts w:ascii="Calibri" w:hAnsi="Calibri" w:cs="Arial"/>
                <w:bCs/>
                <w:color w:val="000000" w:themeColor="text1"/>
                <w:kern w:val="24"/>
                <w:sz w:val="18"/>
                <w:szCs w:val="18"/>
              </w:rPr>
              <w:t>1,471</w:t>
            </w:r>
          </w:p>
        </w:tc>
        <w:tc>
          <w:tcPr>
            <w:tcW w:w="1278" w:type="dxa"/>
            <w:shd w:val="clear" w:color="auto" w:fill="DBE5F1" w:themeFill="accent1" w:themeFillTint="33"/>
            <w:tcMar>
              <w:top w:w="72" w:type="dxa"/>
              <w:left w:w="144" w:type="dxa"/>
              <w:bottom w:w="72" w:type="dxa"/>
              <w:right w:w="144" w:type="dxa"/>
            </w:tcMar>
            <w:vAlign w:val="center"/>
            <w:hideMark/>
          </w:tcPr>
          <w:p w:rsidR="00215E1C" w:rsidRPr="00517118" w:rsidRDefault="002B059C" w:rsidP="00517118">
            <w:pPr>
              <w:keepNext/>
              <w:keepLines/>
              <w:adjustRightInd/>
              <w:spacing w:before="40" w:after="40" w:line="240" w:lineRule="auto"/>
              <w:jc w:val="center"/>
              <w:textAlignment w:val="auto"/>
              <w:rPr>
                <w:rFonts w:ascii="Arial" w:hAnsi="Arial" w:cs="Arial"/>
                <w:sz w:val="18"/>
                <w:szCs w:val="18"/>
              </w:rPr>
            </w:pPr>
            <w:r w:rsidRPr="00517118">
              <w:rPr>
                <w:rFonts w:ascii="Calibri" w:hAnsi="Calibri" w:cs="Arial"/>
                <w:bCs/>
                <w:color w:val="000000" w:themeColor="text1"/>
                <w:kern w:val="24"/>
                <w:sz w:val="18"/>
                <w:szCs w:val="18"/>
              </w:rPr>
              <w:t>9,043</w:t>
            </w:r>
          </w:p>
        </w:tc>
        <w:tc>
          <w:tcPr>
            <w:tcW w:w="1278" w:type="dxa"/>
            <w:shd w:val="clear" w:color="auto" w:fill="DBE5F1" w:themeFill="accent1" w:themeFillTint="33"/>
            <w:tcMar>
              <w:top w:w="72" w:type="dxa"/>
              <w:left w:w="144" w:type="dxa"/>
              <w:bottom w:w="72" w:type="dxa"/>
              <w:right w:w="144" w:type="dxa"/>
            </w:tcMar>
            <w:vAlign w:val="center"/>
            <w:hideMark/>
          </w:tcPr>
          <w:p w:rsidR="00215E1C" w:rsidRPr="00517118" w:rsidRDefault="002B059C" w:rsidP="00517118">
            <w:pPr>
              <w:keepNext/>
              <w:keepLines/>
              <w:adjustRightInd/>
              <w:spacing w:before="40" w:after="40" w:line="240" w:lineRule="auto"/>
              <w:jc w:val="center"/>
              <w:textAlignment w:val="auto"/>
              <w:rPr>
                <w:rFonts w:ascii="Arial" w:hAnsi="Arial" w:cs="Arial"/>
                <w:sz w:val="18"/>
                <w:szCs w:val="18"/>
              </w:rPr>
            </w:pPr>
            <w:r w:rsidRPr="00517118">
              <w:rPr>
                <w:rFonts w:ascii="Calibri" w:hAnsi="Calibri" w:cs="Arial"/>
                <w:bCs/>
                <w:color w:val="000000" w:themeColor="text1"/>
                <w:kern w:val="24"/>
                <w:sz w:val="18"/>
                <w:szCs w:val="18"/>
              </w:rPr>
              <w:t>1,839</w:t>
            </w:r>
          </w:p>
        </w:tc>
        <w:tc>
          <w:tcPr>
            <w:tcW w:w="1277" w:type="dxa"/>
            <w:shd w:val="clear" w:color="auto" w:fill="DBE5F1" w:themeFill="accent1" w:themeFillTint="33"/>
            <w:vAlign w:val="center"/>
          </w:tcPr>
          <w:p w:rsidR="002B059C" w:rsidRPr="00517118" w:rsidRDefault="00344320" w:rsidP="00517118">
            <w:pPr>
              <w:keepNext/>
              <w:keepLines/>
              <w:adjustRightInd/>
              <w:spacing w:before="40" w:after="40" w:line="240" w:lineRule="auto"/>
              <w:jc w:val="center"/>
              <w:textAlignment w:val="auto"/>
              <w:rPr>
                <w:rFonts w:ascii="Calibri" w:hAnsi="Calibri" w:cs="Arial"/>
                <w:bCs/>
                <w:color w:val="000000" w:themeColor="text1"/>
                <w:kern w:val="24"/>
                <w:sz w:val="18"/>
                <w:szCs w:val="18"/>
              </w:rPr>
            </w:pPr>
            <w:r w:rsidRPr="00517118">
              <w:rPr>
                <w:rFonts w:ascii="Calibri" w:hAnsi="Calibri" w:cs="Arial"/>
                <w:bCs/>
                <w:color w:val="000000" w:themeColor="text1"/>
                <w:kern w:val="24"/>
                <w:sz w:val="18"/>
                <w:szCs w:val="18"/>
              </w:rPr>
              <w:t>None</w:t>
            </w:r>
          </w:p>
        </w:tc>
        <w:tc>
          <w:tcPr>
            <w:tcW w:w="1278" w:type="dxa"/>
            <w:shd w:val="clear" w:color="auto" w:fill="DBE5F1" w:themeFill="accent1" w:themeFillTint="33"/>
            <w:vAlign w:val="center"/>
          </w:tcPr>
          <w:p w:rsidR="002B059C" w:rsidRPr="00517118" w:rsidRDefault="00344320" w:rsidP="00517118">
            <w:pPr>
              <w:keepNext/>
              <w:keepLines/>
              <w:adjustRightInd/>
              <w:spacing w:before="40" w:after="40" w:line="240" w:lineRule="auto"/>
              <w:jc w:val="center"/>
              <w:textAlignment w:val="auto"/>
              <w:rPr>
                <w:rFonts w:ascii="Calibri" w:hAnsi="Calibri" w:cs="Arial"/>
                <w:bCs/>
                <w:color w:val="000000" w:themeColor="text1"/>
                <w:kern w:val="24"/>
                <w:sz w:val="18"/>
                <w:szCs w:val="18"/>
              </w:rPr>
            </w:pPr>
            <w:r w:rsidRPr="00517118">
              <w:rPr>
                <w:rFonts w:ascii="Calibri" w:hAnsi="Calibri" w:cs="Arial"/>
                <w:bCs/>
                <w:color w:val="000000" w:themeColor="text1"/>
                <w:kern w:val="24"/>
                <w:sz w:val="18"/>
                <w:szCs w:val="18"/>
              </w:rPr>
              <w:t>None</w:t>
            </w:r>
          </w:p>
        </w:tc>
        <w:tc>
          <w:tcPr>
            <w:tcW w:w="1278" w:type="dxa"/>
            <w:shd w:val="clear" w:color="auto" w:fill="DBE5F1" w:themeFill="accent1" w:themeFillTint="33"/>
            <w:tcMar>
              <w:top w:w="72" w:type="dxa"/>
              <w:left w:w="144" w:type="dxa"/>
              <w:bottom w:w="72" w:type="dxa"/>
              <w:right w:w="144" w:type="dxa"/>
            </w:tcMar>
            <w:vAlign w:val="center"/>
            <w:hideMark/>
          </w:tcPr>
          <w:p w:rsidR="00215E1C" w:rsidRPr="00517118" w:rsidRDefault="002B059C" w:rsidP="00517118">
            <w:pPr>
              <w:keepNext/>
              <w:keepLines/>
              <w:adjustRightInd/>
              <w:spacing w:before="40" w:after="40" w:line="240" w:lineRule="auto"/>
              <w:jc w:val="center"/>
              <w:textAlignment w:val="auto"/>
              <w:rPr>
                <w:rFonts w:ascii="Arial" w:hAnsi="Arial" w:cs="Arial"/>
                <w:sz w:val="18"/>
                <w:szCs w:val="18"/>
              </w:rPr>
            </w:pPr>
            <w:r w:rsidRPr="00517118">
              <w:rPr>
                <w:rFonts w:ascii="Calibri" w:hAnsi="Calibri" w:cs="Arial"/>
                <w:bCs/>
                <w:color w:val="000000" w:themeColor="text1"/>
                <w:kern w:val="24"/>
                <w:sz w:val="18"/>
                <w:szCs w:val="18"/>
              </w:rPr>
              <w:t>3,596</w:t>
            </w:r>
          </w:p>
        </w:tc>
      </w:tr>
    </w:tbl>
    <w:p w:rsidR="00832706" w:rsidRDefault="00832706" w:rsidP="00517118">
      <w:pPr>
        <w:spacing w:after="0" w:line="240" w:lineRule="auto"/>
      </w:pPr>
    </w:p>
    <w:p w:rsidR="008C70BA" w:rsidRDefault="000D1CBE" w:rsidP="00995AFE">
      <w:r>
        <w:lastRenderedPageBreak/>
        <w:t>A number of</w:t>
      </w:r>
      <w:r w:rsidR="004C1096">
        <w:t xml:space="preserve"> high-level </w:t>
      </w:r>
      <w:r>
        <w:t>assumptions were made with regard to the design and cost of the congestion</w:t>
      </w:r>
      <w:r w:rsidR="00832706">
        <w:t>-</w:t>
      </w:r>
      <w:r>
        <w:t>relief system.</w:t>
      </w:r>
      <w:r w:rsidR="00867C2D">
        <w:t xml:space="preserve"> </w:t>
      </w:r>
      <w:r w:rsidR="00832706">
        <w:t>T</w:t>
      </w:r>
      <w:r w:rsidR="00867C2D">
        <w:t>he system w</w:t>
      </w:r>
      <w:r w:rsidR="00832706">
        <w:t xml:space="preserve">as assumed to </w:t>
      </w:r>
      <w:r w:rsidR="00867C2D">
        <w:t>be</w:t>
      </w:r>
      <w:r w:rsidR="00832706">
        <w:t xml:space="preserve"> </w:t>
      </w:r>
      <w:r w:rsidR="00867C2D">
        <w:t xml:space="preserve">composed </w:t>
      </w:r>
      <w:r w:rsidR="004C0361">
        <w:t xml:space="preserve">primarily </w:t>
      </w:r>
      <w:r w:rsidR="00867C2D">
        <w:t>of a</w:t>
      </w:r>
      <w:r w:rsidR="004C0361">
        <w:t>n HV</w:t>
      </w:r>
      <w:r w:rsidR="00867C2D">
        <w:t xml:space="preserve">DC portion (parallel HVDC ties) and </w:t>
      </w:r>
      <w:r w:rsidR="004C0361">
        <w:t>also include</w:t>
      </w:r>
      <w:r w:rsidR="00867C2D">
        <w:t xml:space="preserve"> AC ancillary upgrades. </w:t>
      </w:r>
      <w:r w:rsidR="002F2390">
        <w:fldChar w:fldCharType="begin"/>
      </w:r>
      <w:r w:rsidR="002F2390">
        <w:instrText xml:space="preserve"> REF _Ref480807975 \h </w:instrText>
      </w:r>
      <w:r w:rsidR="002F2390">
        <w:fldChar w:fldCharType="separate"/>
      </w:r>
      <w:r w:rsidR="00742B49">
        <w:t xml:space="preserve">Table </w:t>
      </w:r>
      <w:r w:rsidR="00742B49">
        <w:rPr>
          <w:noProof/>
        </w:rPr>
        <w:t>5</w:t>
      </w:r>
      <w:r w:rsidR="00742B49">
        <w:noBreakHyphen/>
      </w:r>
      <w:r w:rsidR="00742B49">
        <w:rPr>
          <w:noProof/>
        </w:rPr>
        <w:t>20</w:t>
      </w:r>
      <w:r w:rsidR="002F2390">
        <w:fldChar w:fldCharType="end"/>
      </w:r>
      <w:r w:rsidR="002F2390">
        <w:t xml:space="preserve"> shows t</w:t>
      </w:r>
      <w:r w:rsidR="003A1309">
        <w:t>he detailed components of the main DC portion and AC anci</w:t>
      </w:r>
      <w:r w:rsidR="004C1096">
        <w:t>llary upgrades</w:t>
      </w:r>
      <w:r w:rsidR="002F2390">
        <w:t>,</w:t>
      </w:r>
      <w:r w:rsidR="004C1096">
        <w:t xml:space="preserve"> </w:t>
      </w:r>
      <w:r w:rsidR="004D4E9C">
        <w:t>the</w:t>
      </w:r>
      <w:r w:rsidR="004C1096">
        <w:t xml:space="preserve"> assumed cost of each component</w:t>
      </w:r>
      <w:r w:rsidR="002F2390">
        <w:t xml:space="preserve">, </w:t>
      </w:r>
      <w:r w:rsidR="004C1096">
        <w:t>and the aggregated totals in each scenario.</w:t>
      </w:r>
    </w:p>
    <w:p w:rsidR="008C70BA" w:rsidRDefault="008C70BA" w:rsidP="00995AFE">
      <w:pPr>
        <w:sectPr w:rsidR="008C70BA" w:rsidSect="00C40A1D">
          <w:footerReference w:type="default" r:id="rId47"/>
          <w:pgSz w:w="12240" w:h="15840" w:code="1"/>
          <w:pgMar w:top="1440" w:right="1440" w:bottom="1440" w:left="1440" w:header="720" w:footer="720" w:gutter="0"/>
          <w:cols w:space="720"/>
          <w:docGrid w:linePitch="360"/>
        </w:sectPr>
      </w:pPr>
    </w:p>
    <w:p w:rsidR="00E165F3" w:rsidRPr="009D20B2" w:rsidRDefault="00832706" w:rsidP="00517118">
      <w:pPr>
        <w:pStyle w:val="Caption"/>
        <w:jc w:val="center"/>
        <w:rPr>
          <w:color w:val="000000" w:themeColor="text1"/>
        </w:rPr>
      </w:pPr>
      <w:bookmarkStart w:id="187" w:name="_Ref480807975"/>
      <w:bookmarkStart w:id="188" w:name="_Toc486406034"/>
      <w:r w:rsidRPr="009D20B2">
        <w:rPr>
          <w:color w:val="000000" w:themeColor="text1"/>
        </w:rPr>
        <w:lastRenderedPageBreak/>
        <w:t xml:space="preserve">Table </w:t>
      </w:r>
      <w:r w:rsidR="004248FE">
        <w:rPr>
          <w:color w:val="000000" w:themeColor="text1"/>
        </w:rPr>
        <w:fldChar w:fldCharType="begin"/>
      </w:r>
      <w:r w:rsidR="004248FE">
        <w:rPr>
          <w:color w:val="000000" w:themeColor="text1"/>
        </w:rPr>
        <w:instrText xml:space="preserve"> STYLEREF 1 \s </w:instrText>
      </w:r>
      <w:r w:rsidR="004248FE">
        <w:rPr>
          <w:color w:val="000000" w:themeColor="text1"/>
        </w:rPr>
        <w:fldChar w:fldCharType="separate"/>
      </w:r>
      <w:r w:rsidR="004248FE">
        <w:rPr>
          <w:noProof/>
          <w:color w:val="000000" w:themeColor="text1"/>
        </w:rPr>
        <w:t>5</w:t>
      </w:r>
      <w:r w:rsidR="004248FE">
        <w:rPr>
          <w:color w:val="000000" w:themeColor="text1"/>
        </w:rPr>
        <w:fldChar w:fldCharType="end"/>
      </w:r>
      <w:r w:rsidR="004248FE">
        <w:rPr>
          <w:color w:val="000000" w:themeColor="text1"/>
        </w:rPr>
        <w:noBreakHyphen/>
      </w:r>
      <w:r w:rsidR="00F52EC3">
        <w:rPr>
          <w:color w:val="000000" w:themeColor="text1"/>
        </w:rPr>
        <w:t>20</w:t>
      </w:r>
      <w:bookmarkEnd w:id="187"/>
      <w:r w:rsidRPr="009D20B2">
        <w:rPr>
          <w:color w:val="000000" w:themeColor="text1"/>
        </w:rPr>
        <w:br/>
        <w:t>D</w:t>
      </w:r>
      <w:r w:rsidR="004D4E9C" w:rsidRPr="009D20B2">
        <w:rPr>
          <w:color w:val="000000" w:themeColor="text1"/>
        </w:rPr>
        <w:t xml:space="preserve">etailed </w:t>
      </w:r>
      <w:r w:rsidRPr="009D20B2">
        <w:rPr>
          <w:color w:val="000000" w:themeColor="text1"/>
        </w:rPr>
        <w:t>C</w:t>
      </w:r>
      <w:r w:rsidR="004D4E9C" w:rsidRPr="009D20B2">
        <w:rPr>
          <w:color w:val="000000" w:themeColor="text1"/>
        </w:rPr>
        <w:t>ongestion</w:t>
      </w:r>
      <w:r w:rsidRPr="009D20B2">
        <w:rPr>
          <w:color w:val="000000" w:themeColor="text1"/>
        </w:rPr>
        <w:t>-R</w:t>
      </w:r>
      <w:r w:rsidR="004D4E9C" w:rsidRPr="009D20B2">
        <w:rPr>
          <w:color w:val="000000" w:themeColor="text1"/>
        </w:rPr>
        <w:t xml:space="preserve">elief </w:t>
      </w:r>
      <w:r w:rsidR="004B7348" w:rsidRPr="009D20B2">
        <w:rPr>
          <w:color w:val="000000" w:themeColor="text1"/>
        </w:rPr>
        <w:t xml:space="preserve">System </w:t>
      </w:r>
      <w:r w:rsidRPr="009D20B2">
        <w:rPr>
          <w:color w:val="000000" w:themeColor="text1"/>
        </w:rPr>
        <w:t>C</w:t>
      </w:r>
      <w:r w:rsidR="004D4E9C" w:rsidRPr="009D20B2">
        <w:rPr>
          <w:color w:val="000000" w:themeColor="text1"/>
        </w:rPr>
        <w:t xml:space="preserve">omponents and </w:t>
      </w:r>
      <w:r w:rsidRPr="009D20B2">
        <w:rPr>
          <w:color w:val="000000" w:themeColor="text1"/>
        </w:rPr>
        <w:t>T</w:t>
      </w:r>
      <w:r w:rsidR="004D4E9C" w:rsidRPr="009D20B2">
        <w:rPr>
          <w:color w:val="000000" w:themeColor="text1"/>
        </w:rPr>
        <w:t xml:space="preserve">heir </w:t>
      </w:r>
      <w:r w:rsidRPr="009D20B2">
        <w:rPr>
          <w:color w:val="000000" w:themeColor="text1"/>
        </w:rPr>
        <w:t>A</w:t>
      </w:r>
      <w:r w:rsidR="004D4E9C" w:rsidRPr="009D20B2">
        <w:rPr>
          <w:color w:val="000000" w:themeColor="text1"/>
        </w:rPr>
        <w:t xml:space="preserve">ssumed </w:t>
      </w:r>
      <w:r w:rsidRPr="009D20B2">
        <w:rPr>
          <w:color w:val="000000" w:themeColor="text1"/>
        </w:rPr>
        <w:t>C</w:t>
      </w:r>
      <w:r w:rsidR="004D4E9C" w:rsidRPr="009D20B2">
        <w:rPr>
          <w:color w:val="000000" w:themeColor="text1"/>
        </w:rPr>
        <w:t>osts</w:t>
      </w:r>
      <w:r w:rsidR="00DB64CB" w:rsidRPr="009D20B2">
        <w:rPr>
          <w:color w:val="000000" w:themeColor="text1"/>
        </w:rPr>
        <w:t xml:space="preserve"> for </w:t>
      </w:r>
      <w:r w:rsidRPr="009D20B2">
        <w:rPr>
          <w:color w:val="000000" w:themeColor="text1"/>
        </w:rPr>
        <w:t>S</w:t>
      </w:r>
      <w:r w:rsidR="00DB64CB" w:rsidRPr="009D20B2">
        <w:rPr>
          <w:color w:val="000000" w:themeColor="text1"/>
        </w:rPr>
        <w:t>cenarios</w:t>
      </w:r>
      <w:r w:rsidR="004B7348" w:rsidRPr="009D20B2">
        <w:rPr>
          <w:color w:val="000000" w:themeColor="text1"/>
        </w:rPr>
        <w:t xml:space="preserve"> 1, 2, 3, and 6</w:t>
      </w:r>
      <w:bookmarkEnd w:id="188"/>
    </w:p>
    <w:tbl>
      <w:tblPr>
        <w:tblW w:w="1269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20" w:firstRow="1" w:lastRow="0" w:firstColumn="0" w:lastColumn="0" w:noHBand="0" w:noVBand="1"/>
      </w:tblPr>
      <w:tblGrid>
        <w:gridCol w:w="2162"/>
        <w:gridCol w:w="1477"/>
        <w:gridCol w:w="1130"/>
        <w:gridCol w:w="1072"/>
        <w:gridCol w:w="1191"/>
        <w:gridCol w:w="1059"/>
        <w:gridCol w:w="1203"/>
        <w:gridCol w:w="1137"/>
        <w:gridCol w:w="1131"/>
        <w:gridCol w:w="1132"/>
      </w:tblGrid>
      <w:tr w:rsidR="00BC15D1" w:rsidRPr="00BC15D1" w:rsidTr="002F02F1">
        <w:trPr>
          <w:cantSplit/>
          <w:tblHeader/>
          <w:jc w:val="center"/>
        </w:trPr>
        <w:tc>
          <w:tcPr>
            <w:tcW w:w="3639" w:type="dxa"/>
            <w:gridSpan w:val="2"/>
            <w:vMerge w:val="restart"/>
            <w:shd w:val="clear" w:color="auto" w:fill="4F81BD" w:themeFill="accent1"/>
            <w:tcMar>
              <w:top w:w="72" w:type="dxa"/>
              <w:left w:w="144" w:type="dxa"/>
              <w:bottom w:w="72" w:type="dxa"/>
              <w:right w:w="144" w:type="dxa"/>
            </w:tcMar>
            <w:vAlign w:val="center"/>
            <w:hideMark/>
          </w:tcPr>
          <w:p w:rsidR="00BC15D1" w:rsidRPr="00BC15D1" w:rsidRDefault="00BC15D1" w:rsidP="00BC15D1">
            <w:pPr>
              <w:adjustRightInd/>
              <w:spacing w:before="20" w:after="20" w:line="240" w:lineRule="auto"/>
              <w:jc w:val="center"/>
              <w:textAlignment w:val="auto"/>
              <w:rPr>
                <w:rFonts w:ascii="Calibri" w:eastAsia="Calibri" w:hAnsi="Calibri" w:cs="Arial"/>
                <w:color w:val="FFFFFF"/>
                <w:sz w:val="18"/>
                <w:szCs w:val="18"/>
              </w:rPr>
            </w:pPr>
            <w:r w:rsidRPr="00BC15D1">
              <w:rPr>
                <w:rFonts w:ascii="Calibri" w:eastAsia="Calibri" w:hAnsi="Calibri" w:cs="Arial"/>
                <w:b/>
                <w:bCs/>
                <w:color w:val="FFFFFF"/>
                <w:kern w:val="24"/>
                <w:sz w:val="18"/>
                <w:szCs w:val="18"/>
              </w:rPr>
              <w:t>Congestion-Relief System</w:t>
            </w:r>
          </w:p>
        </w:tc>
        <w:tc>
          <w:tcPr>
            <w:tcW w:w="2202" w:type="dxa"/>
            <w:gridSpan w:val="2"/>
            <w:shd w:val="clear" w:color="auto" w:fill="4F81BD" w:themeFill="accent1"/>
            <w:tcMar>
              <w:top w:w="72" w:type="dxa"/>
              <w:left w:w="144" w:type="dxa"/>
              <w:bottom w:w="72" w:type="dxa"/>
              <w:right w:w="144" w:type="dxa"/>
            </w:tcMar>
            <w:vAlign w:val="center"/>
            <w:hideMark/>
          </w:tcPr>
          <w:p w:rsidR="00BC15D1" w:rsidRPr="00BC15D1" w:rsidRDefault="00BC15D1" w:rsidP="00BC15D1">
            <w:pPr>
              <w:adjustRightInd/>
              <w:spacing w:before="20" w:after="20" w:line="240" w:lineRule="auto"/>
              <w:jc w:val="center"/>
              <w:textAlignment w:val="auto"/>
              <w:rPr>
                <w:rFonts w:ascii="Calibri" w:eastAsia="Calibri" w:hAnsi="Calibri" w:cs="Arial"/>
                <w:b/>
                <w:bCs/>
                <w:color w:val="FFFFFF"/>
                <w:kern w:val="24"/>
                <w:sz w:val="18"/>
                <w:szCs w:val="18"/>
              </w:rPr>
            </w:pPr>
            <w:r w:rsidRPr="00BC15D1">
              <w:rPr>
                <w:rFonts w:ascii="Calibri" w:eastAsia="Calibri" w:hAnsi="Calibri" w:cs="Arial"/>
                <w:b/>
                <w:bCs/>
                <w:color w:val="FFFFFF"/>
                <w:kern w:val="24"/>
                <w:sz w:val="18"/>
                <w:szCs w:val="18"/>
              </w:rPr>
              <w:t>Scenario 1</w:t>
            </w:r>
          </w:p>
          <w:p w:rsidR="00BC15D1" w:rsidRPr="00BC15D1" w:rsidRDefault="00BC15D1" w:rsidP="00BC15D1">
            <w:pPr>
              <w:adjustRightInd/>
              <w:spacing w:before="20" w:after="20" w:line="240" w:lineRule="auto"/>
              <w:jc w:val="center"/>
              <w:textAlignment w:val="auto"/>
              <w:rPr>
                <w:rFonts w:ascii="Calibri" w:eastAsia="Calibri" w:hAnsi="Calibri" w:cs="Arial"/>
                <w:color w:val="FFFFFF"/>
                <w:sz w:val="18"/>
                <w:szCs w:val="18"/>
              </w:rPr>
            </w:pPr>
            <w:r w:rsidRPr="00BC15D1">
              <w:rPr>
                <w:rFonts w:ascii="Calibri" w:eastAsia="Calibri" w:hAnsi="Calibri" w:cs="Arial"/>
                <w:b/>
                <w:bCs/>
                <w:color w:val="FFFFFF"/>
                <w:kern w:val="24"/>
                <w:sz w:val="18"/>
                <w:szCs w:val="18"/>
              </w:rPr>
              <w:t>RPSs + Gas</w:t>
            </w:r>
          </w:p>
        </w:tc>
        <w:tc>
          <w:tcPr>
            <w:tcW w:w="2250" w:type="dxa"/>
            <w:gridSpan w:val="2"/>
            <w:shd w:val="clear" w:color="auto" w:fill="4F81BD" w:themeFill="accent1"/>
            <w:tcMar>
              <w:top w:w="72" w:type="dxa"/>
              <w:left w:w="144" w:type="dxa"/>
              <w:bottom w:w="72" w:type="dxa"/>
              <w:right w:w="144" w:type="dxa"/>
            </w:tcMar>
            <w:vAlign w:val="center"/>
            <w:hideMark/>
          </w:tcPr>
          <w:p w:rsidR="00BC15D1" w:rsidRPr="00BC15D1" w:rsidRDefault="00BC15D1" w:rsidP="00BC15D1">
            <w:pPr>
              <w:adjustRightInd/>
              <w:spacing w:before="20" w:after="20" w:line="240" w:lineRule="auto"/>
              <w:jc w:val="center"/>
              <w:textAlignment w:val="auto"/>
              <w:rPr>
                <w:rFonts w:ascii="Calibri" w:eastAsia="Calibri" w:hAnsi="Calibri" w:cs="Arial"/>
                <w:b/>
                <w:bCs/>
                <w:color w:val="FFFFFF"/>
                <w:kern w:val="24"/>
                <w:sz w:val="18"/>
                <w:szCs w:val="18"/>
              </w:rPr>
            </w:pPr>
            <w:r w:rsidRPr="00BC15D1">
              <w:rPr>
                <w:rFonts w:ascii="Calibri" w:eastAsia="Calibri" w:hAnsi="Calibri" w:cs="Arial"/>
                <w:b/>
                <w:bCs/>
                <w:color w:val="FFFFFF"/>
                <w:kern w:val="24"/>
                <w:sz w:val="18"/>
                <w:szCs w:val="18"/>
              </w:rPr>
              <w:t>Scenario 2</w:t>
            </w:r>
          </w:p>
          <w:p w:rsidR="00BC15D1" w:rsidRPr="00BC15D1" w:rsidRDefault="00BC15D1" w:rsidP="00BC15D1">
            <w:pPr>
              <w:adjustRightInd/>
              <w:spacing w:before="20" w:after="20" w:line="240" w:lineRule="auto"/>
              <w:jc w:val="center"/>
              <w:textAlignment w:val="auto"/>
              <w:rPr>
                <w:rFonts w:ascii="Calibri" w:eastAsia="Calibri" w:hAnsi="Calibri" w:cs="Arial"/>
                <w:color w:val="FFFFFF"/>
                <w:sz w:val="18"/>
                <w:szCs w:val="18"/>
              </w:rPr>
            </w:pPr>
            <w:r w:rsidRPr="00BC15D1">
              <w:rPr>
                <w:rFonts w:ascii="Calibri" w:eastAsia="Calibri" w:hAnsi="Calibri" w:cs="Arial"/>
                <w:b/>
                <w:bCs/>
                <w:color w:val="FFFFFF"/>
                <w:kern w:val="24"/>
                <w:sz w:val="18"/>
                <w:szCs w:val="18"/>
              </w:rPr>
              <w:t>ISO Queue</w:t>
            </w:r>
          </w:p>
        </w:tc>
        <w:tc>
          <w:tcPr>
            <w:tcW w:w="2340" w:type="dxa"/>
            <w:gridSpan w:val="2"/>
            <w:shd w:val="clear" w:color="auto" w:fill="4F81BD" w:themeFill="accent1"/>
            <w:tcMar>
              <w:top w:w="72" w:type="dxa"/>
              <w:left w:w="144" w:type="dxa"/>
              <w:bottom w:w="72" w:type="dxa"/>
              <w:right w:w="144" w:type="dxa"/>
            </w:tcMar>
            <w:vAlign w:val="center"/>
            <w:hideMark/>
          </w:tcPr>
          <w:p w:rsidR="00BC15D1" w:rsidRPr="00BC15D1" w:rsidRDefault="00BC15D1" w:rsidP="00BC15D1">
            <w:pPr>
              <w:adjustRightInd/>
              <w:spacing w:before="20" w:after="20" w:line="240" w:lineRule="auto"/>
              <w:jc w:val="center"/>
              <w:textAlignment w:val="auto"/>
              <w:rPr>
                <w:rFonts w:ascii="Calibri" w:eastAsia="Calibri" w:hAnsi="Calibri" w:cs="Arial"/>
                <w:b/>
                <w:bCs/>
                <w:color w:val="FFFFFF"/>
                <w:kern w:val="24"/>
                <w:sz w:val="18"/>
                <w:szCs w:val="18"/>
              </w:rPr>
            </w:pPr>
            <w:r w:rsidRPr="00BC15D1">
              <w:rPr>
                <w:rFonts w:ascii="Calibri" w:eastAsia="Calibri" w:hAnsi="Calibri" w:cs="Arial"/>
                <w:b/>
                <w:bCs/>
                <w:color w:val="FFFFFF"/>
                <w:kern w:val="24"/>
                <w:sz w:val="18"/>
                <w:szCs w:val="18"/>
              </w:rPr>
              <w:t>Scenario 3</w:t>
            </w:r>
          </w:p>
          <w:p w:rsidR="00BC15D1" w:rsidRPr="00BC15D1" w:rsidRDefault="00BC15D1" w:rsidP="00BC15D1">
            <w:pPr>
              <w:adjustRightInd/>
              <w:spacing w:before="20" w:after="20" w:line="240" w:lineRule="auto"/>
              <w:jc w:val="center"/>
              <w:textAlignment w:val="auto"/>
              <w:rPr>
                <w:rFonts w:ascii="Calibri" w:eastAsia="Calibri" w:hAnsi="Calibri" w:cs="Arial"/>
                <w:color w:val="FFFFFF"/>
                <w:sz w:val="18"/>
                <w:szCs w:val="18"/>
              </w:rPr>
            </w:pPr>
            <w:r w:rsidRPr="00BC15D1">
              <w:rPr>
                <w:rFonts w:ascii="Calibri" w:eastAsia="Calibri" w:hAnsi="Calibri" w:cs="Arial"/>
                <w:b/>
                <w:bCs/>
                <w:color w:val="FFFFFF"/>
                <w:kern w:val="24"/>
                <w:sz w:val="18"/>
                <w:szCs w:val="18"/>
              </w:rPr>
              <w:t>Renewables Plus</w:t>
            </w:r>
          </w:p>
        </w:tc>
        <w:tc>
          <w:tcPr>
            <w:tcW w:w="2263" w:type="dxa"/>
            <w:gridSpan w:val="2"/>
            <w:shd w:val="clear" w:color="auto" w:fill="4F81BD" w:themeFill="accent1"/>
            <w:tcMar>
              <w:top w:w="72" w:type="dxa"/>
              <w:left w:w="144" w:type="dxa"/>
              <w:bottom w:w="72" w:type="dxa"/>
              <w:right w:w="144" w:type="dxa"/>
            </w:tcMar>
            <w:vAlign w:val="center"/>
            <w:hideMark/>
          </w:tcPr>
          <w:p w:rsidR="00BC15D1" w:rsidRPr="00BC15D1" w:rsidRDefault="00BC15D1" w:rsidP="00BC15D1">
            <w:pPr>
              <w:adjustRightInd/>
              <w:spacing w:before="20" w:after="20" w:line="240" w:lineRule="auto"/>
              <w:jc w:val="center"/>
              <w:textAlignment w:val="auto"/>
              <w:rPr>
                <w:rFonts w:ascii="Calibri" w:eastAsia="Calibri" w:hAnsi="Calibri" w:cs="Arial"/>
                <w:b/>
                <w:bCs/>
                <w:color w:val="FFFFFF"/>
                <w:kern w:val="24"/>
                <w:sz w:val="18"/>
                <w:szCs w:val="18"/>
              </w:rPr>
            </w:pPr>
            <w:r w:rsidRPr="00BC15D1">
              <w:rPr>
                <w:rFonts w:ascii="Calibri" w:eastAsia="Calibri" w:hAnsi="Calibri" w:cs="Arial"/>
                <w:b/>
                <w:bCs/>
                <w:color w:val="FFFFFF"/>
                <w:kern w:val="24"/>
                <w:sz w:val="18"/>
                <w:szCs w:val="18"/>
              </w:rPr>
              <w:t>Scenario 6</w:t>
            </w:r>
          </w:p>
          <w:p w:rsidR="00BC15D1" w:rsidRPr="00BC15D1" w:rsidRDefault="00BC15D1" w:rsidP="00BC15D1">
            <w:pPr>
              <w:adjustRightInd/>
              <w:spacing w:before="20" w:after="20" w:line="240" w:lineRule="auto"/>
              <w:jc w:val="center"/>
              <w:textAlignment w:val="auto"/>
              <w:rPr>
                <w:rFonts w:ascii="Calibri" w:eastAsia="Calibri" w:hAnsi="Calibri" w:cs="Arial"/>
                <w:color w:val="FFFFFF"/>
                <w:sz w:val="18"/>
                <w:szCs w:val="18"/>
              </w:rPr>
            </w:pPr>
            <w:r w:rsidRPr="00BC15D1">
              <w:rPr>
                <w:rFonts w:ascii="Calibri" w:eastAsia="Calibri" w:hAnsi="Calibri" w:cs="Arial"/>
                <w:b/>
                <w:bCs/>
                <w:color w:val="FFFFFF"/>
                <w:kern w:val="24"/>
                <w:sz w:val="18"/>
                <w:szCs w:val="18"/>
              </w:rPr>
              <w:t>RPSs + Geodiverse Renewables</w:t>
            </w:r>
          </w:p>
        </w:tc>
      </w:tr>
      <w:tr w:rsidR="00BC15D1" w:rsidRPr="00BC15D1" w:rsidTr="002F02F1">
        <w:trPr>
          <w:cantSplit/>
          <w:tblHeader/>
          <w:jc w:val="center"/>
        </w:trPr>
        <w:tc>
          <w:tcPr>
            <w:tcW w:w="3639" w:type="dxa"/>
            <w:gridSpan w:val="2"/>
            <w:vMerge/>
            <w:shd w:val="clear" w:color="auto" w:fill="4F81BD" w:themeFill="accent1"/>
            <w:vAlign w:val="center"/>
            <w:hideMark/>
          </w:tcPr>
          <w:p w:rsidR="00BC15D1" w:rsidRPr="00BC15D1" w:rsidRDefault="00BC15D1" w:rsidP="00BC15D1">
            <w:pPr>
              <w:adjustRightInd/>
              <w:spacing w:before="20" w:after="20" w:line="240" w:lineRule="auto"/>
              <w:jc w:val="center"/>
              <w:textAlignment w:val="auto"/>
              <w:rPr>
                <w:rFonts w:ascii="Calibri" w:eastAsia="Calibri" w:hAnsi="Calibri" w:cs="Arial"/>
                <w:color w:val="FFFFFF"/>
                <w:sz w:val="18"/>
                <w:szCs w:val="18"/>
              </w:rPr>
            </w:pPr>
          </w:p>
        </w:tc>
        <w:tc>
          <w:tcPr>
            <w:tcW w:w="2202" w:type="dxa"/>
            <w:gridSpan w:val="2"/>
            <w:shd w:val="clear" w:color="auto" w:fill="4F81BD" w:themeFill="accent1"/>
            <w:tcMar>
              <w:top w:w="72" w:type="dxa"/>
              <w:left w:w="144" w:type="dxa"/>
              <w:bottom w:w="72" w:type="dxa"/>
              <w:right w:w="144" w:type="dxa"/>
            </w:tcMar>
            <w:vAlign w:val="center"/>
            <w:hideMark/>
          </w:tcPr>
          <w:p w:rsidR="00BC15D1" w:rsidRPr="00BC15D1" w:rsidRDefault="00BC15D1" w:rsidP="00BC15D1">
            <w:pPr>
              <w:adjustRightInd/>
              <w:spacing w:before="20" w:after="20" w:line="240" w:lineRule="auto"/>
              <w:jc w:val="center"/>
              <w:textAlignment w:val="auto"/>
              <w:rPr>
                <w:rFonts w:ascii="Calibri" w:eastAsia="Calibri" w:hAnsi="Calibri" w:cs="Arial"/>
                <w:color w:val="FFFFFF"/>
                <w:sz w:val="18"/>
                <w:szCs w:val="18"/>
              </w:rPr>
            </w:pPr>
            <w:r w:rsidRPr="00BC15D1">
              <w:rPr>
                <w:rFonts w:ascii="Calibri" w:eastAsia="Calibri" w:hAnsi="Calibri" w:cs="Arial"/>
                <w:b/>
                <w:bCs/>
                <w:color w:val="FFFFFF"/>
                <w:kern w:val="24"/>
                <w:sz w:val="18"/>
                <w:szCs w:val="18"/>
              </w:rPr>
              <w:t>1,471 MW</w:t>
            </w:r>
            <w:r w:rsidRPr="00BC15D1">
              <w:rPr>
                <w:rFonts w:ascii="Calibri" w:eastAsia="Calibri" w:hAnsi="Calibri" w:cs="Arial"/>
                <w:b/>
                <w:bCs/>
                <w:color w:val="FFFFFF"/>
                <w:kern w:val="24"/>
                <w:sz w:val="18"/>
                <w:szCs w:val="18"/>
              </w:rPr>
              <w:br/>
              <w:t>(2 HVDC Ties)</w:t>
            </w:r>
          </w:p>
        </w:tc>
        <w:tc>
          <w:tcPr>
            <w:tcW w:w="2250" w:type="dxa"/>
            <w:gridSpan w:val="2"/>
            <w:shd w:val="clear" w:color="auto" w:fill="4F81BD" w:themeFill="accent1"/>
            <w:tcMar>
              <w:top w:w="72" w:type="dxa"/>
              <w:left w:w="144" w:type="dxa"/>
              <w:bottom w:w="72" w:type="dxa"/>
              <w:right w:w="144" w:type="dxa"/>
            </w:tcMar>
            <w:vAlign w:val="center"/>
            <w:hideMark/>
          </w:tcPr>
          <w:p w:rsidR="00BC15D1" w:rsidRPr="00BC15D1" w:rsidRDefault="00BC15D1" w:rsidP="00BC15D1">
            <w:pPr>
              <w:adjustRightInd/>
              <w:spacing w:before="20" w:after="20" w:line="240" w:lineRule="auto"/>
              <w:jc w:val="center"/>
              <w:textAlignment w:val="auto"/>
              <w:rPr>
                <w:rFonts w:ascii="Calibri" w:eastAsia="Calibri" w:hAnsi="Calibri" w:cs="Arial"/>
                <w:color w:val="FFFFFF"/>
                <w:sz w:val="18"/>
                <w:szCs w:val="18"/>
              </w:rPr>
            </w:pPr>
            <w:r w:rsidRPr="00BC15D1">
              <w:rPr>
                <w:rFonts w:ascii="Calibri" w:eastAsia="Calibri" w:hAnsi="Calibri" w:cs="Arial"/>
                <w:b/>
                <w:bCs/>
                <w:color w:val="FFFFFF"/>
                <w:kern w:val="24"/>
                <w:sz w:val="18"/>
                <w:szCs w:val="18"/>
              </w:rPr>
              <w:t>9,043 MW</w:t>
            </w:r>
            <w:r w:rsidRPr="00BC15D1">
              <w:rPr>
                <w:rFonts w:ascii="Calibri" w:eastAsia="Calibri" w:hAnsi="Calibri" w:cs="Arial"/>
                <w:b/>
                <w:bCs/>
                <w:color w:val="FFFFFF"/>
                <w:kern w:val="24"/>
                <w:sz w:val="18"/>
                <w:szCs w:val="18"/>
              </w:rPr>
              <w:br/>
              <w:t>(8 HVDC Ties)</w:t>
            </w:r>
          </w:p>
        </w:tc>
        <w:tc>
          <w:tcPr>
            <w:tcW w:w="2340" w:type="dxa"/>
            <w:gridSpan w:val="2"/>
            <w:shd w:val="clear" w:color="auto" w:fill="4F81BD" w:themeFill="accent1"/>
            <w:tcMar>
              <w:top w:w="72" w:type="dxa"/>
              <w:left w:w="144" w:type="dxa"/>
              <w:bottom w:w="72" w:type="dxa"/>
              <w:right w:w="144" w:type="dxa"/>
            </w:tcMar>
            <w:vAlign w:val="center"/>
            <w:hideMark/>
          </w:tcPr>
          <w:p w:rsidR="00BC15D1" w:rsidRPr="00BC15D1" w:rsidRDefault="00BC15D1" w:rsidP="00BC15D1">
            <w:pPr>
              <w:adjustRightInd/>
              <w:spacing w:before="20" w:after="20" w:line="240" w:lineRule="auto"/>
              <w:jc w:val="center"/>
              <w:textAlignment w:val="auto"/>
              <w:rPr>
                <w:rFonts w:ascii="Calibri" w:eastAsia="Calibri" w:hAnsi="Calibri" w:cs="Arial"/>
                <w:color w:val="FFFFFF"/>
                <w:sz w:val="18"/>
                <w:szCs w:val="18"/>
              </w:rPr>
            </w:pPr>
            <w:r w:rsidRPr="00BC15D1">
              <w:rPr>
                <w:rFonts w:ascii="Calibri" w:eastAsia="Calibri" w:hAnsi="Calibri" w:cs="Arial"/>
                <w:b/>
                <w:bCs/>
                <w:color w:val="FFFFFF"/>
                <w:kern w:val="24"/>
                <w:sz w:val="18"/>
                <w:szCs w:val="18"/>
              </w:rPr>
              <w:t>1,839 MW</w:t>
            </w:r>
            <w:r w:rsidRPr="00BC15D1">
              <w:rPr>
                <w:rFonts w:ascii="Calibri" w:eastAsia="Calibri" w:hAnsi="Calibri" w:cs="Arial"/>
                <w:b/>
                <w:bCs/>
                <w:color w:val="FFFFFF"/>
                <w:kern w:val="24"/>
                <w:sz w:val="18"/>
                <w:szCs w:val="18"/>
              </w:rPr>
              <w:br/>
              <w:t>(2 HVDC Ties)</w:t>
            </w:r>
          </w:p>
        </w:tc>
        <w:tc>
          <w:tcPr>
            <w:tcW w:w="2263" w:type="dxa"/>
            <w:gridSpan w:val="2"/>
            <w:shd w:val="clear" w:color="auto" w:fill="4F81BD" w:themeFill="accent1"/>
            <w:tcMar>
              <w:top w:w="72" w:type="dxa"/>
              <w:left w:w="144" w:type="dxa"/>
              <w:bottom w:w="72" w:type="dxa"/>
              <w:right w:w="144" w:type="dxa"/>
            </w:tcMar>
            <w:vAlign w:val="center"/>
            <w:hideMark/>
          </w:tcPr>
          <w:p w:rsidR="00BC15D1" w:rsidRPr="00BC15D1" w:rsidRDefault="00BC15D1" w:rsidP="00BC15D1">
            <w:pPr>
              <w:adjustRightInd/>
              <w:spacing w:before="20" w:after="20" w:line="240" w:lineRule="auto"/>
              <w:jc w:val="center"/>
              <w:textAlignment w:val="auto"/>
              <w:rPr>
                <w:rFonts w:ascii="Calibri" w:eastAsia="Calibri" w:hAnsi="Calibri" w:cs="Arial"/>
                <w:color w:val="FFFFFF"/>
                <w:sz w:val="18"/>
                <w:szCs w:val="18"/>
              </w:rPr>
            </w:pPr>
            <w:r w:rsidRPr="00BC15D1">
              <w:rPr>
                <w:rFonts w:ascii="Calibri" w:hAnsi="Calibri"/>
                <w:b/>
                <w:bCs/>
                <w:color w:val="FFFFFF"/>
                <w:kern w:val="24"/>
                <w:sz w:val="18"/>
                <w:szCs w:val="18"/>
              </w:rPr>
              <w:t>3,596 MW</w:t>
            </w:r>
            <w:r w:rsidRPr="00BC15D1">
              <w:rPr>
                <w:rFonts w:ascii="Calibri" w:hAnsi="Calibri"/>
                <w:b/>
                <w:bCs/>
                <w:color w:val="FFFFFF"/>
                <w:kern w:val="24"/>
                <w:sz w:val="18"/>
                <w:szCs w:val="18"/>
              </w:rPr>
              <w:br/>
              <w:t>(3 HVDC Ties)</w:t>
            </w:r>
          </w:p>
        </w:tc>
      </w:tr>
      <w:tr w:rsidR="00BC15D1" w:rsidRPr="00BC15D1" w:rsidTr="002F02F1">
        <w:trPr>
          <w:cantSplit/>
          <w:tblHeader/>
          <w:jc w:val="center"/>
        </w:trPr>
        <w:tc>
          <w:tcPr>
            <w:tcW w:w="2162" w:type="dxa"/>
            <w:shd w:val="clear" w:color="auto" w:fill="4F81BD" w:themeFill="accent1"/>
            <w:tcMar>
              <w:top w:w="72" w:type="dxa"/>
              <w:left w:w="144" w:type="dxa"/>
              <w:bottom w:w="72" w:type="dxa"/>
              <w:right w:w="144" w:type="dxa"/>
            </w:tcMar>
            <w:vAlign w:val="center"/>
            <w:hideMark/>
          </w:tcPr>
          <w:p w:rsidR="00BC15D1" w:rsidRPr="00BC15D1" w:rsidRDefault="00BC15D1" w:rsidP="00BC15D1">
            <w:pPr>
              <w:adjustRightInd/>
              <w:spacing w:before="20" w:after="20" w:line="240" w:lineRule="auto"/>
              <w:jc w:val="center"/>
              <w:textAlignment w:val="auto"/>
              <w:rPr>
                <w:rFonts w:ascii="Calibri" w:eastAsia="Calibri" w:hAnsi="Calibri" w:cs="Arial"/>
                <w:b/>
                <w:color w:val="FFFFFF"/>
                <w:sz w:val="18"/>
                <w:szCs w:val="18"/>
              </w:rPr>
            </w:pPr>
            <w:r w:rsidRPr="00BC15D1">
              <w:rPr>
                <w:rFonts w:ascii="Calibri" w:eastAsia="Calibri" w:hAnsi="Calibri" w:cs="Arial"/>
                <w:b/>
                <w:color w:val="FFFFFF"/>
                <w:kern w:val="24"/>
                <w:sz w:val="18"/>
                <w:szCs w:val="18"/>
              </w:rPr>
              <w:t>Equipment</w:t>
            </w:r>
          </w:p>
        </w:tc>
        <w:tc>
          <w:tcPr>
            <w:tcW w:w="1477" w:type="dxa"/>
            <w:shd w:val="clear" w:color="auto" w:fill="4F81BD" w:themeFill="accent1"/>
            <w:tcMar>
              <w:top w:w="72" w:type="dxa"/>
              <w:left w:w="144" w:type="dxa"/>
              <w:bottom w:w="72" w:type="dxa"/>
              <w:right w:w="144" w:type="dxa"/>
            </w:tcMar>
            <w:vAlign w:val="center"/>
            <w:hideMark/>
          </w:tcPr>
          <w:p w:rsidR="00BC15D1" w:rsidRPr="00BC15D1" w:rsidRDefault="00BC15D1" w:rsidP="00BC15D1">
            <w:pPr>
              <w:adjustRightInd/>
              <w:spacing w:before="20" w:after="20" w:line="240" w:lineRule="auto"/>
              <w:jc w:val="center"/>
              <w:textAlignment w:val="auto"/>
              <w:rPr>
                <w:rFonts w:ascii="Calibri" w:eastAsia="Calibri" w:hAnsi="Calibri" w:cs="Arial"/>
                <w:b/>
                <w:color w:val="FFFFFF"/>
                <w:sz w:val="18"/>
                <w:szCs w:val="18"/>
              </w:rPr>
            </w:pPr>
            <w:r w:rsidRPr="00BC15D1">
              <w:rPr>
                <w:rFonts w:ascii="Calibri" w:eastAsia="Calibri" w:hAnsi="Calibri" w:cs="Arial"/>
                <w:b/>
                <w:color w:val="FFFFFF"/>
                <w:kern w:val="24"/>
                <w:sz w:val="18"/>
                <w:szCs w:val="18"/>
              </w:rPr>
              <w:t>$ per unit</w:t>
            </w:r>
          </w:p>
        </w:tc>
        <w:tc>
          <w:tcPr>
            <w:tcW w:w="1130" w:type="dxa"/>
            <w:shd w:val="clear" w:color="auto" w:fill="4F81BD" w:themeFill="accent1"/>
            <w:tcMar>
              <w:top w:w="72" w:type="dxa"/>
              <w:left w:w="144" w:type="dxa"/>
              <w:bottom w:w="72" w:type="dxa"/>
              <w:right w:w="144" w:type="dxa"/>
            </w:tcMar>
            <w:vAlign w:val="center"/>
            <w:hideMark/>
          </w:tcPr>
          <w:p w:rsidR="00BC15D1" w:rsidRPr="00BC15D1" w:rsidRDefault="00BC15D1" w:rsidP="00BC15D1">
            <w:pPr>
              <w:adjustRightInd/>
              <w:spacing w:before="20" w:after="20" w:line="240" w:lineRule="auto"/>
              <w:jc w:val="center"/>
              <w:textAlignment w:val="auto"/>
              <w:rPr>
                <w:rFonts w:ascii="Calibri" w:eastAsia="Calibri" w:hAnsi="Calibri" w:cs="Arial"/>
                <w:b/>
                <w:color w:val="FFFFFF"/>
                <w:sz w:val="18"/>
                <w:szCs w:val="18"/>
              </w:rPr>
            </w:pPr>
            <w:r w:rsidRPr="00BC15D1">
              <w:rPr>
                <w:rFonts w:ascii="Calibri" w:eastAsia="Calibri" w:hAnsi="Calibri" w:cs="Arial"/>
                <w:b/>
                <w:color w:val="FFFFFF"/>
                <w:kern w:val="24"/>
                <w:sz w:val="18"/>
                <w:szCs w:val="18"/>
              </w:rPr>
              <w:t>Quantities</w:t>
            </w:r>
          </w:p>
        </w:tc>
        <w:tc>
          <w:tcPr>
            <w:tcW w:w="1072" w:type="dxa"/>
            <w:shd w:val="clear" w:color="auto" w:fill="4F81BD" w:themeFill="accent1"/>
            <w:tcMar>
              <w:top w:w="72" w:type="dxa"/>
              <w:left w:w="144" w:type="dxa"/>
              <w:bottom w:w="72" w:type="dxa"/>
              <w:right w:w="144" w:type="dxa"/>
            </w:tcMar>
            <w:vAlign w:val="center"/>
            <w:hideMark/>
          </w:tcPr>
          <w:p w:rsidR="00BC15D1" w:rsidRPr="00BC15D1" w:rsidRDefault="00BC15D1" w:rsidP="00BC15D1">
            <w:pPr>
              <w:adjustRightInd/>
              <w:spacing w:before="20" w:after="20" w:line="240" w:lineRule="auto"/>
              <w:jc w:val="center"/>
              <w:textAlignment w:val="auto"/>
              <w:rPr>
                <w:rFonts w:ascii="Calibri" w:eastAsia="Calibri" w:hAnsi="Calibri" w:cs="Arial"/>
                <w:b/>
                <w:color w:val="FFFFFF"/>
                <w:sz w:val="18"/>
                <w:szCs w:val="18"/>
              </w:rPr>
            </w:pPr>
            <w:r w:rsidRPr="00BC15D1">
              <w:rPr>
                <w:rFonts w:ascii="Calibri" w:eastAsia="Calibri" w:hAnsi="Calibri" w:cs="Arial"/>
                <w:b/>
                <w:color w:val="FFFFFF"/>
                <w:kern w:val="24"/>
                <w:sz w:val="18"/>
                <w:szCs w:val="18"/>
              </w:rPr>
              <w:t>Total $</w:t>
            </w:r>
            <w:r w:rsidRPr="00BC15D1">
              <w:rPr>
                <w:rFonts w:ascii="Calibri" w:eastAsia="Calibri" w:hAnsi="Calibri" w:cs="Arial"/>
                <w:b/>
                <w:color w:val="FFFFFF"/>
                <w:kern w:val="24"/>
                <w:sz w:val="18"/>
                <w:szCs w:val="18"/>
              </w:rPr>
              <w:br/>
              <w:t>(Billions)</w:t>
            </w:r>
          </w:p>
        </w:tc>
        <w:tc>
          <w:tcPr>
            <w:tcW w:w="1191" w:type="dxa"/>
            <w:shd w:val="clear" w:color="auto" w:fill="4F81BD" w:themeFill="accent1"/>
            <w:tcMar>
              <w:top w:w="72" w:type="dxa"/>
              <w:left w:w="144" w:type="dxa"/>
              <w:bottom w:w="72" w:type="dxa"/>
              <w:right w:w="144" w:type="dxa"/>
            </w:tcMar>
            <w:vAlign w:val="center"/>
            <w:hideMark/>
          </w:tcPr>
          <w:p w:rsidR="00BC15D1" w:rsidRPr="00BC15D1" w:rsidRDefault="00BC15D1" w:rsidP="00BC15D1">
            <w:pPr>
              <w:adjustRightInd/>
              <w:spacing w:before="20" w:after="20" w:line="240" w:lineRule="auto"/>
              <w:jc w:val="center"/>
              <w:textAlignment w:val="auto"/>
              <w:rPr>
                <w:rFonts w:ascii="Calibri" w:eastAsia="Calibri" w:hAnsi="Calibri" w:cs="Arial"/>
                <w:b/>
                <w:color w:val="FFFFFF"/>
                <w:sz w:val="18"/>
                <w:szCs w:val="18"/>
              </w:rPr>
            </w:pPr>
            <w:r w:rsidRPr="00BC15D1">
              <w:rPr>
                <w:rFonts w:ascii="Calibri" w:eastAsia="Calibri" w:hAnsi="Calibri" w:cs="Arial"/>
                <w:b/>
                <w:color w:val="FFFFFF"/>
                <w:kern w:val="24"/>
                <w:sz w:val="18"/>
                <w:szCs w:val="18"/>
              </w:rPr>
              <w:t>Quantities</w:t>
            </w:r>
          </w:p>
        </w:tc>
        <w:tc>
          <w:tcPr>
            <w:tcW w:w="1059" w:type="dxa"/>
            <w:shd w:val="clear" w:color="auto" w:fill="4F81BD" w:themeFill="accent1"/>
            <w:tcMar>
              <w:top w:w="72" w:type="dxa"/>
              <w:left w:w="144" w:type="dxa"/>
              <w:bottom w:w="72" w:type="dxa"/>
              <w:right w:w="144" w:type="dxa"/>
            </w:tcMar>
            <w:vAlign w:val="center"/>
            <w:hideMark/>
          </w:tcPr>
          <w:p w:rsidR="00BC15D1" w:rsidRPr="00BC15D1" w:rsidRDefault="00BC15D1" w:rsidP="00BC15D1">
            <w:pPr>
              <w:adjustRightInd/>
              <w:spacing w:before="20" w:after="20" w:line="240" w:lineRule="auto"/>
              <w:jc w:val="center"/>
              <w:textAlignment w:val="auto"/>
              <w:rPr>
                <w:rFonts w:ascii="Calibri" w:eastAsia="Calibri" w:hAnsi="Calibri" w:cs="Arial"/>
                <w:b/>
                <w:color w:val="FFFFFF"/>
                <w:sz w:val="18"/>
                <w:szCs w:val="18"/>
              </w:rPr>
            </w:pPr>
            <w:r w:rsidRPr="00BC15D1">
              <w:rPr>
                <w:rFonts w:ascii="Calibri" w:eastAsia="Calibri" w:hAnsi="Calibri" w:cs="Arial"/>
                <w:b/>
                <w:color w:val="FFFFFF"/>
                <w:kern w:val="24"/>
                <w:sz w:val="18"/>
                <w:szCs w:val="18"/>
              </w:rPr>
              <w:t>Total $</w:t>
            </w:r>
            <w:r w:rsidRPr="00BC15D1">
              <w:rPr>
                <w:rFonts w:ascii="Calibri" w:eastAsia="Calibri" w:hAnsi="Calibri" w:cs="Arial"/>
                <w:b/>
                <w:color w:val="FFFFFF"/>
                <w:kern w:val="24"/>
                <w:sz w:val="18"/>
                <w:szCs w:val="18"/>
              </w:rPr>
              <w:br/>
              <w:t>(Billions)</w:t>
            </w:r>
          </w:p>
        </w:tc>
        <w:tc>
          <w:tcPr>
            <w:tcW w:w="1203" w:type="dxa"/>
            <w:shd w:val="clear" w:color="auto" w:fill="4F81BD" w:themeFill="accent1"/>
            <w:tcMar>
              <w:top w:w="72" w:type="dxa"/>
              <w:left w:w="144" w:type="dxa"/>
              <w:bottom w:w="72" w:type="dxa"/>
              <w:right w:w="144" w:type="dxa"/>
            </w:tcMar>
            <w:vAlign w:val="center"/>
            <w:hideMark/>
          </w:tcPr>
          <w:p w:rsidR="00BC15D1" w:rsidRPr="00BC15D1" w:rsidRDefault="00BC15D1" w:rsidP="00BC15D1">
            <w:pPr>
              <w:adjustRightInd/>
              <w:spacing w:before="20" w:after="20" w:line="240" w:lineRule="auto"/>
              <w:jc w:val="center"/>
              <w:textAlignment w:val="auto"/>
              <w:rPr>
                <w:rFonts w:ascii="Calibri" w:eastAsia="Calibri" w:hAnsi="Calibri" w:cs="Arial"/>
                <w:b/>
                <w:color w:val="FFFFFF"/>
                <w:sz w:val="18"/>
                <w:szCs w:val="18"/>
              </w:rPr>
            </w:pPr>
            <w:r w:rsidRPr="00BC15D1">
              <w:rPr>
                <w:rFonts w:ascii="Calibri" w:eastAsia="Calibri" w:hAnsi="Calibri" w:cs="Arial"/>
                <w:b/>
                <w:color w:val="FFFFFF"/>
                <w:kern w:val="24"/>
                <w:sz w:val="18"/>
                <w:szCs w:val="18"/>
              </w:rPr>
              <w:t>Quantities</w:t>
            </w:r>
          </w:p>
        </w:tc>
        <w:tc>
          <w:tcPr>
            <w:tcW w:w="1137" w:type="dxa"/>
            <w:shd w:val="clear" w:color="auto" w:fill="4F81BD" w:themeFill="accent1"/>
            <w:tcMar>
              <w:top w:w="72" w:type="dxa"/>
              <w:left w:w="144" w:type="dxa"/>
              <w:bottom w:w="72" w:type="dxa"/>
              <w:right w:w="144" w:type="dxa"/>
            </w:tcMar>
            <w:vAlign w:val="center"/>
            <w:hideMark/>
          </w:tcPr>
          <w:p w:rsidR="00BC15D1" w:rsidRPr="00BC15D1" w:rsidRDefault="00BC15D1" w:rsidP="00BC15D1">
            <w:pPr>
              <w:adjustRightInd/>
              <w:spacing w:before="20" w:after="20" w:line="240" w:lineRule="auto"/>
              <w:jc w:val="center"/>
              <w:textAlignment w:val="auto"/>
              <w:rPr>
                <w:rFonts w:ascii="Calibri" w:eastAsia="Calibri" w:hAnsi="Calibri" w:cs="Arial"/>
                <w:b/>
                <w:color w:val="FFFFFF"/>
                <w:sz w:val="18"/>
                <w:szCs w:val="18"/>
              </w:rPr>
            </w:pPr>
            <w:r w:rsidRPr="00BC15D1">
              <w:rPr>
                <w:rFonts w:ascii="Calibri" w:eastAsia="Calibri" w:hAnsi="Calibri" w:cs="Arial"/>
                <w:b/>
                <w:color w:val="FFFFFF"/>
                <w:kern w:val="24"/>
                <w:sz w:val="18"/>
                <w:szCs w:val="18"/>
              </w:rPr>
              <w:t>Total $</w:t>
            </w:r>
            <w:r w:rsidRPr="00BC15D1">
              <w:rPr>
                <w:rFonts w:ascii="Calibri" w:eastAsia="Calibri" w:hAnsi="Calibri" w:cs="Arial"/>
                <w:b/>
                <w:color w:val="FFFFFF"/>
                <w:kern w:val="24"/>
                <w:sz w:val="18"/>
                <w:szCs w:val="18"/>
              </w:rPr>
              <w:br/>
              <w:t>(billions)</w:t>
            </w:r>
          </w:p>
        </w:tc>
        <w:tc>
          <w:tcPr>
            <w:tcW w:w="1131" w:type="dxa"/>
            <w:shd w:val="clear" w:color="auto" w:fill="4F81BD" w:themeFill="accent1"/>
            <w:tcMar>
              <w:top w:w="72" w:type="dxa"/>
              <w:left w:w="144" w:type="dxa"/>
              <w:bottom w:w="72" w:type="dxa"/>
              <w:right w:w="144"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b/>
                <w:color w:val="FFFFFF"/>
                <w:sz w:val="18"/>
                <w:szCs w:val="18"/>
              </w:rPr>
            </w:pPr>
            <w:r w:rsidRPr="00BC15D1">
              <w:rPr>
                <w:rFonts w:ascii="Calibri" w:hAnsi="Calibri"/>
                <w:b/>
                <w:color w:val="FFFFFF"/>
                <w:kern w:val="24"/>
                <w:sz w:val="18"/>
                <w:szCs w:val="18"/>
              </w:rPr>
              <w:t>Quantities</w:t>
            </w:r>
          </w:p>
        </w:tc>
        <w:tc>
          <w:tcPr>
            <w:tcW w:w="1132" w:type="dxa"/>
            <w:shd w:val="clear" w:color="auto" w:fill="4F81BD" w:themeFill="accent1"/>
            <w:tcMar>
              <w:top w:w="72" w:type="dxa"/>
              <w:left w:w="144" w:type="dxa"/>
              <w:bottom w:w="72" w:type="dxa"/>
              <w:right w:w="144"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b/>
                <w:color w:val="FFFFFF"/>
                <w:sz w:val="18"/>
                <w:szCs w:val="18"/>
              </w:rPr>
            </w:pPr>
            <w:r w:rsidRPr="00BC15D1">
              <w:rPr>
                <w:rFonts w:ascii="Calibri" w:hAnsi="Calibri"/>
                <w:b/>
                <w:color w:val="FFFFFF"/>
                <w:kern w:val="24"/>
                <w:sz w:val="18"/>
                <w:szCs w:val="18"/>
              </w:rPr>
              <w:t>Total $</w:t>
            </w:r>
            <w:r w:rsidRPr="00BC15D1">
              <w:rPr>
                <w:rFonts w:ascii="Calibri" w:hAnsi="Calibri"/>
                <w:b/>
                <w:color w:val="FFFFFF"/>
                <w:kern w:val="24"/>
                <w:sz w:val="18"/>
                <w:szCs w:val="18"/>
              </w:rPr>
              <w:br/>
              <w:t>(Billions)</w:t>
            </w:r>
          </w:p>
        </w:tc>
      </w:tr>
      <w:tr w:rsidR="00BC15D1" w:rsidRPr="00BC15D1" w:rsidTr="00324D11">
        <w:trPr>
          <w:cantSplit/>
          <w:trHeight w:val="144"/>
          <w:jc w:val="center"/>
        </w:trPr>
        <w:tc>
          <w:tcPr>
            <w:tcW w:w="12694" w:type="dxa"/>
            <w:gridSpan w:val="10"/>
            <w:shd w:val="clear" w:color="auto" w:fill="B8CCE4" w:themeFill="accent1" w:themeFillTint="66"/>
            <w:tcMar>
              <w:top w:w="0" w:type="dxa"/>
              <w:left w:w="144" w:type="dxa"/>
              <w:bottom w:w="0" w:type="dxa"/>
              <w:right w:w="144" w:type="dxa"/>
            </w:tcMar>
            <w:vAlign w:val="center"/>
            <w:hideMark/>
          </w:tcPr>
          <w:p w:rsidR="00BC15D1" w:rsidRPr="00BC15D1" w:rsidRDefault="00BC15D1" w:rsidP="00BC15D1">
            <w:pPr>
              <w:adjustRightInd/>
              <w:spacing w:before="20" w:after="20" w:line="240" w:lineRule="auto"/>
              <w:textAlignment w:val="auto"/>
              <w:rPr>
                <w:rFonts w:ascii="Calibri" w:hAnsi="Calibri"/>
                <w:b/>
                <w:bCs/>
                <w:kern w:val="24"/>
                <w:sz w:val="18"/>
                <w:szCs w:val="18"/>
              </w:rPr>
            </w:pPr>
            <w:r w:rsidRPr="00BC15D1">
              <w:rPr>
                <w:rFonts w:ascii="Calibri" w:hAnsi="Calibri"/>
                <w:b/>
                <w:bCs/>
                <w:kern w:val="24"/>
                <w:sz w:val="18"/>
                <w:szCs w:val="18"/>
              </w:rPr>
              <w:t>DC portion</w:t>
            </w:r>
          </w:p>
        </w:tc>
      </w:tr>
      <w:tr w:rsidR="00BC15D1" w:rsidRPr="00BC15D1" w:rsidTr="00324D11">
        <w:trPr>
          <w:cantSplit/>
          <w:trHeight w:val="616"/>
          <w:jc w:val="center"/>
        </w:trPr>
        <w:tc>
          <w:tcPr>
            <w:tcW w:w="2162" w:type="dxa"/>
            <w:shd w:val="clear" w:color="auto" w:fill="auto"/>
            <w:tcMar>
              <w:top w:w="72" w:type="dxa"/>
              <w:left w:w="144" w:type="dxa"/>
              <w:bottom w:w="72" w:type="dxa"/>
              <w:right w:w="144" w:type="dxa"/>
            </w:tcMar>
            <w:vAlign w:val="center"/>
            <w:hideMark/>
          </w:tcPr>
          <w:p w:rsidR="00BC15D1" w:rsidRPr="00BC15D1" w:rsidRDefault="00BC15D1" w:rsidP="00BC15D1">
            <w:pPr>
              <w:adjustRightInd/>
              <w:spacing w:before="20" w:after="20" w:line="240" w:lineRule="auto"/>
              <w:textAlignment w:val="auto"/>
              <w:rPr>
                <w:rFonts w:ascii="Calibri" w:eastAsia="Calibri" w:hAnsi="Calibri" w:cs="Arial"/>
                <w:b/>
                <w:sz w:val="18"/>
                <w:szCs w:val="18"/>
              </w:rPr>
            </w:pPr>
            <w:r w:rsidRPr="00BC15D1">
              <w:rPr>
                <w:rFonts w:ascii="Calibri" w:eastAsia="Calibri" w:hAnsi="Calibri" w:cs="Arial"/>
                <w:b/>
                <w:kern w:val="24"/>
                <w:sz w:val="18"/>
                <w:szCs w:val="18"/>
              </w:rPr>
              <w:t>HVDC overhead lines</w:t>
            </w:r>
          </w:p>
        </w:tc>
        <w:tc>
          <w:tcPr>
            <w:tcW w:w="1477" w:type="dxa"/>
            <w:shd w:val="clear" w:color="auto" w:fill="auto"/>
            <w:tcMar>
              <w:top w:w="72" w:type="dxa"/>
              <w:left w:w="144" w:type="dxa"/>
              <w:bottom w:w="72" w:type="dxa"/>
              <w:right w:w="144" w:type="dxa"/>
            </w:tcMar>
            <w:vAlign w:val="center"/>
            <w:hideMark/>
          </w:tcPr>
          <w:p w:rsidR="00BC15D1" w:rsidRPr="00BC15D1" w:rsidRDefault="00BC15D1" w:rsidP="00BC15D1">
            <w:pPr>
              <w:adjustRightInd/>
              <w:spacing w:before="20" w:after="20" w:line="240" w:lineRule="auto"/>
              <w:jc w:val="center"/>
              <w:textAlignment w:val="auto"/>
              <w:rPr>
                <w:rFonts w:ascii="Calibri" w:eastAsia="Calibri" w:hAnsi="Calibri" w:cs="Arial"/>
                <w:sz w:val="18"/>
                <w:szCs w:val="18"/>
              </w:rPr>
            </w:pPr>
            <w:r w:rsidRPr="00BC15D1">
              <w:rPr>
                <w:rFonts w:ascii="Calibri" w:hAnsi="Calibri"/>
                <w:kern w:val="24"/>
                <w:sz w:val="18"/>
                <w:szCs w:val="18"/>
              </w:rPr>
              <w:t>$3.5 million/</w:t>
            </w:r>
            <w:r w:rsidRPr="00BC15D1">
              <w:rPr>
                <w:rFonts w:ascii="Calibri" w:hAnsi="Calibri"/>
                <w:kern w:val="24"/>
                <w:sz w:val="18"/>
                <w:szCs w:val="18"/>
              </w:rPr>
              <w:br/>
              <w:t>mi</w:t>
            </w:r>
          </w:p>
        </w:tc>
        <w:tc>
          <w:tcPr>
            <w:tcW w:w="1130" w:type="dxa"/>
            <w:shd w:val="clear" w:color="auto" w:fill="auto"/>
            <w:tcMar>
              <w:top w:w="72" w:type="dxa"/>
              <w:left w:w="144" w:type="dxa"/>
              <w:bottom w:w="72" w:type="dxa"/>
              <w:right w:w="144" w:type="dxa"/>
            </w:tcMar>
            <w:vAlign w:val="center"/>
            <w:hideMark/>
          </w:tcPr>
          <w:p w:rsidR="00BC15D1" w:rsidRPr="00BC15D1" w:rsidRDefault="00BC15D1" w:rsidP="00BC15D1">
            <w:pPr>
              <w:adjustRightInd/>
              <w:spacing w:before="20" w:after="20" w:line="240" w:lineRule="auto"/>
              <w:jc w:val="center"/>
              <w:textAlignment w:val="auto"/>
              <w:rPr>
                <w:rFonts w:ascii="Calibri" w:eastAsia="Calibri" w:hAnsi="Calibri" w:cs="Arial"/>
                <w:sz w:val="18"/>
                <w:szCs w:val="18"/>
              </w:rPr>
            </w:pPr>
            <w:r w:rsidRPr="00BC15D1">
              <w:rPr>
                <w:rFonts w:ascii="Calibri" w:hAnsi="Calibri"/>
                <w:kern w:val="24"/>
                <w:sz w:val="18"/>
                <w:szCs w:val="18"/>
              </w:rPr>
              <w:t>2 × 200 = 400 mi.</w:t>
            </w:r>
          </w:p>
        </w:tc>
        <w:tc>
          <w:tcPr>
            <w:tcW w:w="1072" w:type="dxa"/>
            <w:shd w:val="clear" w:color="auto" w:fill="auto"/>
            <w:tcMar>
              <w:top w:w="72" w:type="dxa"/>
              <w:left w:w="144" w:type="dxa"/>
              <w:bottom w:w="72" w:type="dxa"/>
              <w:right w:w="144" w:type="dxa"/>
            </w:tcMar>
            <w:vAlign w:val="center"/>
            <w:hideMark/>
          </w:tcPr>
          <w:p w:rsidR="00BC15D1" w:rsidRPr="00BC15D1" w:rsidRDefault="00BC15D1" w:rsidP="00BC15D1">
            <w:pPr>
              <w:adjustRightInd/>
              <w:spacing w:before="20" w:after="20" w:line="240" w:lineRule="auto"/>
              <w:jc w:val="center"/>
              <w:textAlignment w:val="auto"/>
              <w:rPr>
                <w:rFonts w:ascii="Calibri" w:eastAsia="Calibri" w:hAnsi="Calibri" w:cs="Arial"/>
                <w:sz w:val="18"/>
                <w:szCs w:val="18"/>
              </w:rPr>
            </w:pPr>
            <w:r w:rsidRPr="00BC15D1">
              <w:rPr>
                <w:rFonts w:ascii="Calibri" w:hAnsi="Calibri"/>
                <w:kern w:val="24"/>
                <w:sz w:val="18"/>
                <w:szCs w:val="18"/>
              </w:rPr>
              <w:t>$1.40</w:t>
            </w:r>
          </w:p>
        </w:tc>
        <w:tc>
          <w:tcPr>
            <w:tcW w:w="1191" w:type="dxa"/>
            <w:shd w:val="clear" w:color="auto" w:fill="auto"/>
            <w:tcMar>
              <w:top w:w="72" w:type="dxa"/>
              <w:left w:w="144" w:type="dxa"/>
              <w:bottom w:w="72" w:type="dxa"/>
              <w:right w:w="144" w:type="dxa"/>
            </w:tcMar>
            <w:vAlign w:val="center"/>
            <w:hideMark/>
          </w:tcPr>
          <w:p w:rsidR="00BC15D1" w:rsidRPr="00BC15D1" w:rsidRDefault="00BC15D1" w:rsidP="00BC15D1">
            <w:pPr>
              <w:adjustRightInd/>
              <w:spacing w:before="20" w:after="20" w:line="240" w:lineRule="auto"/>
              <w:jc w:val="center"/>
              <w:textAlignment w:val="auto"/>
              <w:rPr>
                <w:rFonts w:ascii="Calibri" w:eastAsia="Calibri" w:hAnsi="Calibri" w:cs="Arial"/>
                <w:sz w:val="18"/>
                <w:szCs w:val="18"/>
              </w:rPr>
            </w:pPr>
            <w:r w:rsidRPr="00BC15D1">
              <w:rPr>
                <w:rFonts w:ascii="Calibri" w:hAnsi="Calibri"/>
                <w:kern w:val="24"/>
                <w:sz w:val="18"/>
                <w:szCs w:val="18"/>
              </w:rPr>
              <w:t xml:space="preserve">(5 × 400) + (3 × 300) = </w:t>
            </w:r>
          </w:p>
          <w:p w:rsidR="00BC15D1" w:rsidRPr="00BC15D1" w:rsidRDefault="00BC15D1" w:rsidP="00BC15D1">
            <w:pPr>
              <w:adjustRightInd/>
              <w:spacing w:before="20" w:after="20" w:line="240" w:lineRule="auto"/>
              <w:jc w:val="center"/>
              <w:textAlignment w:val="auto"/>
              <w:rPr>
                <w:rFonts w:ascii="Calibri" w:eastAsia="Calibri" w:hAnsi="Calibri" w:cs="Arial"/>
                <w:sz w:val="18"/>
                <w:szCs w:val="18"/>
              </w:rPr>
            </w:pPr>
            <w:r w:rsidRPr="00BC15D1">
              <w:rPr>
                <w:rFonts w:ascii="Calibri" w:hAnsi="Calibri"/>
                <w:kern w:val="24"/>
                <w:sz w:val="18"/>
                <w:szCs w:val="18"/>
              </w:rPr>
              <w:t>2,900 mi.</w:t>
            </w:r>
          </w:p>
        </w:tc>
        <w:tc>
          <w:tcPr>
            <w:tcW w:w="1059" w:type="dxa"/>
            <w:shd w:val="clear" w:color="auto" w:fill="auto"/>
            <w:tcMar>
              <w:top w:w="72" w:type="dxa"/>
              <w:left w:w="144" w:type="dxa"/>
              <w:bottom w:w="72" w:type="dxa"/>
              <w:right w:w="144"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$10.15</w:t>
            </w:r>
          </w:p>
        </w:tc>
        <w:tc>
          <w:tcPr>
            <w:tcW w:w="1203" w:type="dxa"/>
            <w:shd w:val="clear" w:color="auto" w:fill="auto"/>
            <w:tcMar>
              <w:top w:w="72" w:type="dxa"/>
              <w:left w:w="144" w:type="dxa"/>
              <w:bottom w:w="72" w:type="dxa"/>
              <w:right w:w="144" w:type="dxa"/>
            </w:tcMar>
            <w:vAlign w:val="center"/>
            <w:hideMark/>
          </w:tcPr>
          <w:p w:rsidR="00BC15D1" w:rsidRPr="00BC15D1" w:rsidRDefault="00BC15D1" w:rsidP="00BC15D1">
            <w:pPr>
              <w:adjustRightInd/>
              <w:spacing w:before="20" w:after="20" w:line="240" w:lineRule="auto"/>
              <w:jc w:val="center"/>
              <w:textAlignment w:val="auto"/>
              <w:rPr>
                <w:rFonts w:ascii="Calibri" w:eastAsia="Calibri" w:hAnsi="Calibri" w:cs="Arial"/>
                <w:sz w:val="18"/>
                <w:szCs w:val="18"/>
              </w:rPr>
            </w:pPr>
            <w:r w:rsidRPr="00BC15D1">
              <w:rPr>
                <w:rFonts w:ascii="Calibri" w:hAnsi="Calibri"/>
                <w:kern w:val="24"/>
                <w:sz w:val="18"/>
                <w:szCs w:val="18"/>
              </w:rPr>
              <w:t>2 × 200 = 400 mi.</w:t>
            </w:r>
          </w:p>
        </w:tc>
        <w:tc>
          <w:tcPr>
            <w:tcW w:w="1137" w:type="dxa"/>
            <w:shd w:val="clear" w:color="auto" w:fill="auto"/>
            <w:tcMar>
              <w:top w:w="72" w:type="dxa"/>
              <w:left w:w="144" w:type="dxa"/>
              <w:bottom w:w="72" w:type="dxa"/>
              <w:right w:w="144" w:type="dxa"/>
            </w:tcMar>
            <w:vAlign w:val="center"/>
            <w:hideMark/>
          </w:tcPr>
          <w:p w:rsidR="00BC15D1" w:rsidRPr="00BC15D1" w:rsidRDefault="00BC15D1" w:rsidP="00BC15D1">
            <w:pPr>
              <w:adjustRightInd/>
              <w:spacing w:before="20" w:after="20" w:line="240" w:lineRule="auto"/>
              <w:jc w:val="center"/>
              <w:textAlignment w:val="auto"/>
              <w:rPr>
                <w:rFonts w:ascii="Calibri" w:eastAsia="Calibri" w:hAnsi="Calibri" w:cs="Arial"/>
                <w:sz w:val="18"/>
                <w:szCs w:val="18"/>
              </w:rPr>
            </w:pPr>
            <w:r w:rsidRPr="00BC15D1">
              <w:rPr>
                <w:rFonts w:ascii="Calibri" w:hAnsi="Calibri"/>
                <w:kern w:val="24"/>
                <w:sz w:val="18"/>
                <w:szCs w:val="18"/>
              </w:rPr>
              <w:t>$1.40</w:t>
            </w:r>
          </w:p>
        </w:tc>
        <w:tc>
          <w:tcPr>
            <w:tcW w:w="1131" w:type="dxa"/>
            <w:shd w:val="clear" w:color="auto" w:fill="auto"/>
            <w:tcMar>
              <w:top w:w="72" w:type="dxa"/>
              <w:left w:w="144" w:type="dxa"/>
              <w:bottom w:w="72" w:type="dxa"/>
              <w:right w:w="144"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 xml:space="preserve">(2 × 400) + ( 1 × 300) = </w:t>
            </w:r>
          </w:p>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1,100 mi.</w:t>
            </w:r>
          </w:p>
        </w:tc>
        <w:tc>
          <w:tcPr>
            <w:tcW w:w="1132" w:type="dxa"/>
            <w:shd w:val="clear" w:color="auto" w:fill="auto"/>
            <w:tcMar>
              <w:top w:w="72" w:type="dxa"/>
              <w:left w:w="144" w:type="dxa"/>
              <w:bottom w:w="72" w:type="dxa"/>
              <w:right w:w="144"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$3.85</w:t>
            </w:r>
          </w:p>
        </w:tc>
      </w:tr>
      <w:tr w:rsidR="00BC15D1" w:rsidRPr="00BC15D1" w:rsidTr="00324D11">
        <w:trPr>
          <w:cantSplit/>
          <w:jc w:val="center"/>
        </w:trPr>
        <w:tc>
          <w:tcPr>
            <w:tcW w:w="2162" w:type="dxa"/>
            <w:shd w:val="clear" w:color="auto" w:fill="auto"/>
            <w:tcMar>
              <w:top w:w="72" w:type="dxa"/>
              <w:left w:w="144" w:type="dxa"/>
              <w:bottom w:w="72" w:type="dxa"/>
              <w:right w:w="144" w:type="dxa"/>
            </w:tcMar>
            <w:vAlign w:val="center"/>
            <w:hideMark/>
          </w:tcPr>
          <w:p w:rsidR="00BC15D1" w:rsidRPr="00BC15D1" w:rsidRDefault="00BC15D1" w:rsidP="00BC15D1">
            <w:pPr>
              <w:adjustRightInd/>
              <w:spacing w:before="20" w:after="20" w:line="240" w:lineRule="auto"/>
              <w:textAlignment w:val="auto"/>
              <w:rPr>
                <w:rFonts w:ascii="Calibri" w:eastAsia="Calibri" w:hAnsi="Calibri" w:cs="Arial"/>
                <w:b/>
                <w:sz w:val="18"/>
                <w:szCs w:val="18"/>
              </w:rPr>
            </w:pPr>
            <w:r w:rsidRPr="00BC15D1">
              <w:rPr>
                <w:rFonts w:ascii="Calibri" w:eastAsia="Calibri" w:hAnsi="Calibri" w:cs="Arial"/>
                <w:b/>
                <w:kern w:val="24"/>
                <w:sz w:val="18"/>
                <w:szCs w:val="18"/>
              </w:rPr>
              <w:t>Converters</w:t>
            </w:r>
          </w:p>
        </w:tc>
        <w:tc>
          <w:tcPr>
            <w:tcW w:w="1477" w:type="dxa"/>
            <w:shd w:val="clear" w:color="auto" w:fill="auto"/>
            <w:tcMar>
              <w:top w:w="72" w:type="dxa"/>
              <w:left w:w="144" w:type="dxa"/>
              <w:bottom w:w="72" w:type="dxa"/>
              <w:right w:w="144" w:type="dxa"/>
            </w:tcMar>
            <w:vAlign w:val="center"/>
            <w:hideMark/>
          </w:tcPr>
          <w:p w:rsidR="00BC15D1" w:rsidRPr="00BC15D1" w:rsidRDefault="00BC15D1" w:rsidP="00BC15D1">
            <w:pPr>
              <w:adjustRightInd/>
              <w:spacing w:before="20" w:after="20" w:line="240" w:lineRule="auto"/>
              <w:jc w:val="center"/>
              <w:textAlignment w:val="auto"/>
              <w:rPr>
                <w:rFonts w:ascii="Calibri" w:eastAsia="Calibri" w:hAnsi="Calibri" w:cs="Arial"/>
                <w:sz w:val="18"/>
                <w:szCs w:val="18"/>
              </w:rPr>
            </w:pPr>
            <w:r w:rsidRPr="00BC15D1">
              <w:rPr>
                <w:rFonts w:ascii="Calibri" w:eastAsia="Calibri" w:hAnsi="Calibri" w:cs="Arial"/>
                <w:kern w:val="24"/>
                <w:sz w:val="18"/>
                <w:szCs w:val="18"/>
              </w:rPr>
              <w:t>$300 million/</w:t>
            </w:r>
            <w:r w:rsidRPr="00BC15D1">
              <w:rPr>
                <w:rFonts w:ascii="Calibri" w:eastAsia="Calibri" w:hAnsi="Calibri" w:cs="Arial"/>
                <w:kern w:val="24"/>
                <w:sz w:val="18"/>
                <w:szCs w:val="18"/>
              </w:rPr>
              <w:br/>
              <w:t>converter</w:t>
            </w:r>
          </w:p>
        </w:tc>
        <w:tc>
          <w:tcPr>
            <w:tcW w:w="1130" w:type="dxa"/>
            <w:shd w:val="clear" w:color="auto" w:fill="auto"/>
            <w:tcMar>
              <w:top w:w="72" w:type="dxa"/>
              <w:left w:w="144" w:type="dxa"/>
              <w:bottom w:w="72" w:type="dxa"/>
              <w:right w:w="144" w:type="dxa"/>
            </w:tcMar>
            <w:vAlign w:val="center"/>
            <w:hideMark/>
          </w:tcPr>
          <w:p w:rsidR="00BC15D1" w:rsidRPr="00BC15D1" w:rsidRDefault="00BC15D1" w:rsidP="00BC15D1">
            <w:pPr>
              <w:adjustRightInd/>
              <w:spacing w:before="20" w:after="20" w:line="240" w:lineRule="auto"/>
              <w:jc w:val="center"/>
              <w:textAlignment w:val="auto"/>
              <w:rPr>
                <w:rFonts w:ascii="Calibri" w:eastAsia="Calibri" w:hAnsi="Calibri" w:cs="Arial"/>
                <w:sz w:val="18"/>
                <w:szCs w:val="18"/>
              </w:rPr>
            </w:pPr>
            <w:r w:rsidRPr="00BC15D1">
              <w:rPr>
                <w:rFonts w:ascii="Calibri" w:eastAsia="Calibri" w:hAnsi="Calibri" w:cs="Arial"/>
                <w:kern w:val="24"/>
                <w:sz w:val="18"/>
                <w:szCs w:val="18"/>
              </w:rPr>
              <w:t>4</w:t>
            </w:r>
          </w:p>
        </w:tc>
        <w:tc>
          <w:tcPr>
            <w:tcW w:w="1072" w:type="dxa"/>
            <w:shd w:val="clear" w:color="auto" w:fill="auto"/>
            <w:tcMar>
              <w:top w:w="72" w:type="dxa"/>
              <w:left w:w="144" w:type="dxa"/>
              <w:bottom w:w="72" w:type="dxa"/>
              <w:right w:w="144" w:type="dxa"/>
            </w:tcMar>
            <w:vAlign w:val="center"/>
            <w:hideMark/>
          </w:tcPr>
          <w:p w:rsidR="00BC15D1" w:rsidRPr="00BC15D1" w:rsidRDefault="00BC15D1" w:rsidP="00BC15D1">
            <w:pPr>
              <w:adjustRightInd/>
              <w:spacing w:before="20" w:after="20" w:line="240" w:lineRule="auto"/>
              <w:jc w:val="center"/>
              <w:textAlignment w:val="auto"/>
              <w:rPr>
                <w:rFonts w:ascii="Calibri" w:eastAsia="Calibri" w:hAnsi="Calibri" w:cs="Arial"/>
                <w:sz w:val="18"/>
                <w:szCs w:val="18"/>
              </w:rPr>
            </w:pPr>
            <w:r w:rsidRPr="00BC15D1">
              <w:rPr>
                <w:rFonts w:ascii="Calibri" w:eastAsia="Calibri" w:hAnsi="Calibri" w:cs="Arial"/>
                <w:kern w:val="24"/>
                <w:sz w:val="18"/>
                <w:szCs w:val="18"/>
              </w:rPr>
              <w:t>$1.20</w:t>
            </w:r>
          </w:p>
        </w:tc>
        <w:tc>
          <w:tcPr>
            <w:tcW w:w="1191" w:type="dxa"/>
            <w:shd w:val="clear" w:color="auto" w:fill="auto"/>
            <w:tcMar>
              <w:top w:w="72" w:type="dxa"/>
              <w:left w:w="144" w:type="dxa"/>
              <w:bottom w:w="72" w:type="dxa"/>
              <w:right w:w="144" w:type="dxa"/>
            </w:tcMar>
            <w:vAlign w:val="center"/>
            <w:hideMark/>
          </w:tcPr>
          <w:p w:rsidR="00BC15D1" w:rsidRPr="00BC15D1" w:rsidRDefault="00BC15D1" w:rsidP="00BC15D1">
            <w:pPr>
              <w:adjustRightInd/>
              <w:spacing w:before="20" w:after="20" w:line="240" w:lineRule="auto"/>
              <w:jc w:val="center"/>
              <w:textAlignment w:val="auto"/>
              <w:rPr>
                <w:rFonts w:ascii="Calibri" w:eastAsia="Calibri" w:hAnsi="Calibri" w:cs="Arial"/>
                <w:sz w:val="18"/>
                <w:szCs w:val="18"/>
              </w:rPr>
            </w:pPr>
            <w:r w:rsidRPr="00BC15D1">
              <w:rPr>
                <w:rFonts w:ascii="Calibri" w:eastAsia="Calibri" w:hAnsi="Calibri" w:cs="Arial"/>
                <w:kern w:val="24"/>
                <w:sz w:val="18"/>
                <w:szCs w:val="18"/>
              </w:rPr>
              <w:t>16</w:t>
            </w:r>
          </w:p>
        </w:tc>
        <w:tc>
          <w:tcPr>
            <w:tcW w:w="1059" w:type="dxa"/>
            <w:shd w:val="clear" w:color="auto" w:fill="auto"/>
            <w:tcMar>
              <w:top w:w="72" w:type="dxa"/>
              <w:left w:w="144" w:type="dxa"/>
              <w:bottom w:w="72" w:type="dxa"/>
              <w:right w:w="144" w:type="dxa"/>
            </w:tcMar>
            <w:vAlign w:val="center"/>
            <w:hideMark/>
          </w:tcPr>
          <w:p w:rsidR="00BC15D1" w:rsidRPr="00BC15D1" w:rsidRDefault="00BC15D1" w:rsidP="00BC15D1">
            <w:pPr>
              <w:adjustRightInd/>
              <w:spacing w:before="20" w:after="20" w:line="240" w:lineRule="auto"/>
              <w:jc w:val="center"/>
              <w:textAlignment w:val="auto"/>
              <w:rPr>
                <w:rFonts w:ascii="Calibri" w:eastAsia="Calibri" w:hAnsi="Calibri" w:cs="Arial"/>
                <w:sz w:val="18"/>
                <w:szCs w:val="18"/>
              </w:rPr>
            </w:pPr>
            <w:r w:rsidRPr="00BC15D1">
              <w:rPr>
                <w:rFonts w:ascii="Calibri" w:eastAsia="Calibri" w:hAnsi="Calibri" w:cs="Arial"/>
                <w:kern w:val="24"/>
                <w:sz w:val="18"/>
                <w:szCs w:val="18"/>
              </w:rPr>
              <w:t>$4.80</w:t>
            </w:r>
          </w:p>
        </w:tc>
        <w:tc>
          <w:tcPr>
            <w:tcW w:w="1203" w:type="dxa"/>
            <w:shd w:val="clear" w:color="auto" w:fill="auto"/>
            <w:tcMar>
              <w:top w:w="72" w:type="dxa"/>
              <w:left w:w="144" w:type="dxa"/>
              <w:bottom w:w="72" w:type="dxa"/>
              <w:right w:w="144" w:type="dxa"/>
            </w:tcMar>
            <w:vAlign w:val="center"/>
            <w:hideMark/>
          </w:tcPr>
          <w:p w:rsidR="00BC15D1" w:rsidRPr="00BC15D1" w:rsidRDefault="00BC15D1" w:rsidP="00BC15D1">
            <w:pPr>
              <w:adjustRightInd/>
              <w:spacing w:before="20" w:after="20" w:line="240" w:lineRule="auto"/>
              <w:jc w:val="center"/>
              <w:textAlignment w:val="auto"/>
              <w:rPr>
                <w:rFonts w:ascii="Calibri" w:eastAsia="Calibri" w:hAnsi="Calibri" w:cs="Arial"/>
                <w:sz w:val="18"/>
                <w:szCs w:val="18"/>
              </w:rPr>
            </w:pPr>
            <w:r w:rsidRPr="00BC15D1">
              <w:rPr>
                <w:rFonts w:ascii="Calibri" w:eastAsia="Calibri" w:hAnsi="Calibri" w:cs="Arial"/>
                <w:kern w:val="24"/>
                <w:sz w:val="18"/>
                <w:szCs w:val="18"/>
              </w:rPr>
              <w:t>4</w:t>
            </w:r>
          </w:p>
        </w:tc>
        <w:tc>
          <w:tcPr>
            <w:tcW w:w="1137" w:type="dxa"/>
            <w:shd w:val="clear" w:color="auto" w:fill="auto"/>
            <w:tcMar>
              <w:top w:w="72" w:type="dxa"/>
              <w:left w:w="144" w:type="dxa"/>
              <w:bottom w:w="72" w:type="dxa"/>
              <w:right w:w="144" w:type="dxa"/>
            </w:tcMar>
            <w:vAlign w:val="center"/>
            <w:hideMark/>
          </w:tcPr>
          <w:p w:rsidR="00BC15D1" w:rsidRPr="00BC15D1" w:rsidRDefault="00BC15D1" w:rsidP="00BC15D1">
            <w:pPr>
              <w:adjustRightInd/>
              <w:spacing w:before="20" w:after="20" w:line="240" w:lineRule="auto"/>
              <w:jc w:val="center"/>
              <w:textAlignment w:val="auto"/>
              <w:rPr>
                <w:rFonts w:ascii="Calibri" w:eastAsia="Calibri" w:hAnsi="Calibri" w:cs="Arial"/>
                <w:sz w:val="18"/>
                <w:szCs w:val="18"/>
              </w:rPr>
            </w:pPr>
            <w:r w:rsidRPr="00BC15D1">
              <w:rPr>
                <w:rFonts w:ascii="Calibri" w:eastAsia="Calibri" w:hAnsi="Calibri" w:cs="Arial"/>
                <w:kern w:val="24"/>
                <w:sz w:val="18"/>
                <w:szCs w:val="18"/>
              </w:rPr>
              <w:t>$1.20</w:t>
            </w:r>
          </w:p>
        </w:tc>
        <w:tc>
          <w:tcPr>
            <w:tcW w:w="1131" w:type="dxa"/>
            <w:shd w:val="clear" w:color="auto" w:fill="auto"/>
            <w:tcMar>
              <w:top w:w="72" w:type="dxa"/>
              <w:left w:w="144" w:type="dxa"/>
              <w:bottom w:w="72" w:type="dxa"/>
              <w:right w:w="144"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6</w:t>
            </w:r>
          </w:p>
        </w:tc>
        <w:tc>
          <w:tcPr>
            <w:tcW w:w="1132" w:type="dxa"/>
            <w:shd w:val="clear" w:color="auto" w:fill="auto"/>
            <w:tcMar>
              <w:top w:w="72" w:type="dxa"/>
              <w:left w:w="144" w:type="dxa"/>
              <w:bottom w:w="72" w:type="dxa"/>
              <w:right w:w="144"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$1.80</w:t>
            </w:r>
          </w:p>
        </w:tc>
      </w:tr>
      <w:tr w:rsidR="00BC15D1" w:rsidRPr="00BC15D1" w:rsidTr="00324D11">
        <w:trPr>
          <w:cantSplit/>
          <w:jc w:val="center"/>
        </w:trPr>
        <w:tc>
          <w:tcPr>
            <w:tcW w:w="2162" w:type="dxa"/>
            <w:tcBorders>
              <w:bottom w:val="single" w:sz="2" w:space="0" w:color="auto"/>
            </w:tcBorders>
            <w:shd w:val="clear" w:color="auto" w:fill="auto"/>
            <w:tcMar>
              <w:top w:w="15" w:type="dxa"/>
              <w:left w:w="135" w:type="dxa"/>
              <w:bottom w:w="0" w:type="dxa"/>
              <w:right w:w="15" w:type="dxa"/>
            </w:tcMar>
            <w:vAlign w:val="center"/>
            <w:hideMark/>
          </w:tcPr>
          <w:p w:rsidR="00BC15D1" w:rsidRPr="00BC15D1" w:rsidRDefault="00BC15D1" w:rsidP="00BC15D1">
            <w:pPr>
              <w:adjustRightInd/>
              <w:spacing w:before="20" w:after="20" w:line="240" w:lineRule="auto"/>
              <w:textAlignment w:val="center"/>
              <w:rPr>
                <w:rFonts w:ascii="Calibri" w:eastAsia="Calibri" w:hAnsi="Calibri" w:cs="Arial"/>
                <w:b/>
                <w:sz w:val="18"/>
                <w:szCs w:val="18"/>
              </w:rPr>
            </w:pPr>
            <w:r w:rsidRPr="00BC15D1">
              <w:rPr>
                <w:rFonts w:ascii="Calibri" w:eastAsia="Calibri" w:hAnsi="Calibri" w:cs="Arial"/>
                <w:b/>
                <w:kern w:val="24"/>
                <w:sz w:val="18"/>
                <w:szCs w:val="18"/>
              </w:rPr>
              <w:t>Misc. DC additional equipment</w:t>
            </w:r>
          </w:p>
        </w:tc>
        <w:tc>
          <w:tcPr>
            <w:tcW w:w="1477" w:type="dxa"/>
            <w:tcBorders>
              <w:bottom w:val="single" w:sz="2" w:space="0" w:color="auto"/>
            </w:tcBorders>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$200 million/tie</w:t>
            </w:r>
          </w:p>
        </w:tc>
        <w:tc>
          <w:tcPr>
            <w:tcW w:w="1130" w:type="dxa"/>
            <w:tcBorders>
              <w:bottom w:val="single" w:sz="2" w:space="0" w:color="auto"/>
            </w:tcBorders>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2</w:t>
            </w:r>
          </w:p>
        </w:tc>
        <w:tc>
          <w:tcPr>
            <w:tcW w:w="1072" w:type="dxa"/>
            <w:tcBorders>
              <w:bottom w:val="single" w:sz="2" w:space="0" w:color="auto"/>
            </w:tcBorders>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$0.40</w:t>
            </w:r>
          </w:p>
        </w:tc>
        <w:tc>
          <w:tcPr>
            <w:tcW w:w="1191" w:type="dxa"/>
            <w:tcBorders>
              <w:bottom w:val="single" w:sz="2" w:space="0" w:color="auto"/>
            </w:tcBorders>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8</w:t>
            </w:r>
          </w:p>
        </w:tc>
        <w:tc>
          <w:tcPr>
            <w:tcW w:w="1059" w:type="dxa"/>
            <w:tcBorders>
              <w:bottom w:val="single" w:sz="2" w:space="0" w:color="auto"/>
            </w:tcBorders>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$1.60</w:t>
            </w:r>
          </w:p>
        </w:tc>
        <w:tc>
          <w:tcPr>
            <w:tcW w:w="1203" w:type="dxa"/>
            <w:tcBorders>
              <w:bottom w:val="single" w:sz="2" w:space="0" w:color="auto"/>
            </w:tcBorders>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2</w:t>
            </w:r>
          </w:p>
        </w:tc>
        <w:tc>
          <w:tcPr>
            <w:tcW w:w="1137" w:type="dxa"/>
            <w:tcBorders>
              <w:bottom w:val="single" w:sz="2" w:space="0" w:color="auto"/>
            </w:tcBorders>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$0.40</w:t>
            </w:r>
          </w:p>
        </w:tc>
        <w:tc>
          <w:tcPr>
            <w:tcW w:w="1131" w:type="dxa"/>
            <w:tcBorders>
              <w:bottom w:val="single" w:sz="2" w:space="0" w:color="auto"/>
            </w:tcBorders>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3</w:t>
            </w:r>
          </w:p>
        </w:tc>
        <w:tc>
          <w:tcPr>
            <w:tcW w:w="1132" w:type="dxa"/>
            <w:tcBorders>
              <w:bottom w:val="single" w:sz="2" w:space="0" w:color="auto"/>
            </w:tcBorders>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$0.60</w:t>
            </w:r>
          </w:p>
        </w:tc>
      </w:tr>
      <w:tr w:rsidR="00BC15D1" w:rsidRPr="00BC15D1" w:rsidTr="00324D11">
        <w:trPr>
          <w:cantSplit/>
          <w:jc w:val="center"/>
        </w:trPr>
        <w:tc>
          <w:tcPr>
            <w:tcW w:w="2162" w:type="dxa"/>
            <w:shd w:val="clear" w:color="auto" w:fill="DBE5F1" w:themeFill="accent1" w:themeFillTint="33"/>
            <w:tcMar>
              <w:top w:w="72" w:type="dxa"/>
              <w:left w:w="144" w:type="dxa"/>
              <w:bottom w:w="72" w:type="dxa"/>
              <w:right w:w="144" w:type="dxa"/>
            </w:tcMar>
            <w:vAlign w:val="center"/>
            <w:hideMark/>
          </w:tcPr>
          <w:p w:rsidR="00BC15D1" w:rsidRPr="00BC15D1" w:rsidRDefault="00BC15D1" w:rsidP="00BC15D1">
            <w:pPr>
              <w:adjustRightInd/>
              <w:spacing w:before="20" w:after="20" w:line="240" w:lineRule="auto"/>
              <w:textAlignment w:val="auto"/>
              <w:rPr>
                <w:rFonts w:ascii="Calibri" w:eastAsia="Calibri" w:hAnsi="Calibri" w:cs="Arial"/>
                <w:b/>
                <w:sz w:val="18"/>
                <w:szCs w:val="18"/>
              </w:rPr>
            </w:pPr>
            <w:r w:rsidRPr="00BC15D1">
              <w:rPr>
                <w:rFonts w:ascii="Calibri" w:eastAsia="Calibri" w:hAnsi="Calibri" w:cs="Arial"/>
                <w:b/>
                <w:kern w:val="24"/>
                <w:sz w:val="18"/>
                <w:szCs w:val="18"/>
              </w:rPr>
              <w:t>Total DC portion</w:t>
            </w:r>
          </w:p>
        </w:tc>
        <w:tc>
          <w:tcPr>
            <w:tcW w:w="1477" w:type="dxa"/>
            <w:shd w:val="clear" w:color="auto" w:fill="DBE5F1" w:themeFill="accent1" w:themeFillTint="33"/>
            <w:tcMar>
              <w:top w:w="15" w:type="dxa"/>
              <w:left w:w="15" w:type="dxa"/>
              <w:bottom w:w="0" w:type="dxa"/>
              <w:right w:w="15" w:type="dxa"/>
            </w:tcMar>
            <w:vAlign w:val="center"/>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p>
        </w:tc>
        <w:tc>
          <w:tcPr>
            <w:tcW w:w="1130" w:type="dxa"/>
            <w:shd w:val="clear" w:color="auto" w:fill="DBE5F1" w:themeFill="accent1" w:themeFillTint="33"/>
            <w:tcMar>
              <w:top w:w="15" w:type="dxa"/>
              <w:left w:w="15" w:type="dxa"/>
              <w:bottom w:w="0" w:type="dxa"/>
              <w:right w:w="15" w:type="dxa"/>
            </w:tcMar>
            <w:vAlign w:val="center"/>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p>
        </w:tc>
        <w:tc>
          <w:tcPr>
            <w:tcW w:w="1072" w:type="dxa"/>
            <w:shd w:val="clear" w:color="auto" w:fill="DBE5F1" w:themeFill="accent1" w:themeFillTint="33"/>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$3.00</w:t>
            </w:r>
          </w:p>
        </w:tc>
        <w:tc>
          <w:tcPr>
            <w:tcW w:w="1191" w:type="dxa"/>
            <w:shd w:val="clear" w:color="auto" w:fill="DBE5F1" w:themeFill="accent1" w:themeFillTint="33"/>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p>
        </w:tc>
        <w:tc>
          <w:tcPr>
            <w:tcW w:w="1059" w:type="dxa"/>
            <w:shd w:val="clear" w:color="auto" w:fill="DBE5F1" w:themeFill="accent1" w:themeFillTint="33"/>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$16.55</w:t>
            </w:r>
          </w:p>
        </w:tc>
        <w:tc>
          <w:tcPr>
            <w:tcW w:w="1203" w:type="dxa"/>
            <w:shd w:val="clear" w:color="auto" w:fill="DBE5F1" w:themeFill="accent1" w:themeFillTint="33"/>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p>
        </w:tc>
        <w:tc>
          <w:tcPr>
            <w:tcW w:w="1137" w:type="dxa"/>
            <w:shd w:val="clear" w:color="auto" w:fill="DBE5F1" w:themeFill="accent1" w:themeFillTint="33"/>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$3.00</w:t>
            </w:r>
          </w:p>
        </w:tc>
        <w:tc>
          <w:tcPr>
            <w:tcW w:w="1131" w:type="dxa"/>
            <w:shd w:val="clear" w:color="auto" w:fill="DBE5F1" w:themeFill="accent1" w:themeFillTint="33"/>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p>
        </w:tc>
        <w:tc>
          <w:tcPr>
            <w:tcW w:w="1132" w:type="dxa"/>
            <w:shd w:val="clear" w:color="auto" w:fill="DBE5F1" w:themeFill="accent1" w:themeFillTint="33"/>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$6.25</w:t>
            </w:r>
          </w:p>
        </w:tc>
      </w:tr>
      <w:tr w:rsidR="00BC15D1" w:rsidRPr="00BC15D1" w:rsidTr="00324D11">
        <w:trPr>
          <w:cantSplit/>
          <w:trHeight w:val="391"/>
          <w:jc w:val="center"/>
        </w:trPr>
        <w:tc>
          <w:tcPr>
            <w:tcW w:w="12694" w:type="dxa"/>
            <w:gridSpan w:val="10"/>
            <w:shd w:val="clear" w:color="auto" w:fill="B8CCE4" w:themeFill="accent1" w:themeFillTint="66"/>
            <w:tcMar>
              <w:top w:w="0" w:type="dxa"/>
              <w:left w:w="135" w:type="dxa"/>
              <w:bottom w:w="0" w:type="dxa"/>
              <w:right w:w="15" w:type="dxa"/>
            </w:tcMar>
            <w:vAlign w:val="center"/>
            <w:hideMark/>
          </w:tcPr>
          <w:p w:rsidR="00BC15D1" w:rsidRPr="00BC15D1" w:rsidRDefault="00BC15D1" w:rsidP="00BC15D1">
            <w:pPr>
              <w:adjustRightInd/>
              <w:spacing w:before="20" w:after="20" w:line="240" w:lineRule="auto"/>
              <w:textAlignment w:val="center"/>
              <w:rPr>
                <w:rFonts w:ascii="Calibri" w:eastAsia="Calibri" w:hAnsi="Calibri" w:cs="Arial"/>
                <w:sz w:val="18"/>
                <w:szCs w:val="18"/>
              </w:rPr>
            </w:pPr>
            <w:r w:rsidRPr="00BC15D1">
              <w:rPr>
                <w:rFonts w:ascii="Calibri" w:hAnsi="Calibri"/>
                <w:b/>
                <w:bCs/>
                <w:kern w:val="24"/>
                <w:sz w:val="18"/>
                <w:szCs w:val="18"/>
              </w:rPr>
              <w:t>AC portion</w:t>
            </w:r>
          </w:p>
        </w:tc>
      </w:tr>
      <w:tr w:rsidR="00BC15D1" w:rsidRPr="00BC15D1" w:rsidTr="00324D11">
        <w:trPr>
          <w:cantSplit/>
          <w:jc w:val="center"/>
        </w:trPr>
        <w:tc>
          <w:tcPr>
            <w:tcW w:w="2162" w:type="dxa"/>
            <w:shd w:val="clear" w:color="auto" w:fill="auto"/>
            <w:tcMar>
              <w:top w:w="15" w:type="dxa"/>
              <w:left w:w="135" w:type="dxa"/>
              <w:bottom w:w="0" w:type="dxa"/>
              <w:right w:w="15" w:type="dxa"/>
            </w:tcMar>
            <w:vAlign w:val="center"/>
            <w:hideMark/>
          </w:tcPr>
          <w:p w:rsidR="00BC15D1" w:rsidRPr="00BC15D1" w:rsidRDefault="00BC15D1" w:rsidP="00BC15D1">
            <w:pPr>
              <w:adjustRightInd/>
              <w:spacing w:before="20" w:after="20" w:line="240" w:lineRule="auto"/>
              <w:textAlignment w:val="center"/>
              <w:rPr>
                <w:rFonts w:ascii="Calibri" w:eastAsia="Calibri" w:hAnsi="Calibri" w:cs="Arial"/>
                <w:b/>
                <w:sz w:val="18"/>
                <w:szCs w:val="18"/>
              </w:rPr>
            </w:pPr>
            <w:r w:rsidRPr="00BC15D1">
              <w:rPr>
                <w:rFonts w:ascii="Calibri" w:hAnsi="Calibri"/>
                <w:b/>
                <w:kern w:val="24"/>
                <w:sz w:val="18"/>
                <w:szCs w:val="18"/>
              </w:rPr>
              <w:t>Sending end—</w:t>
            </w:r>
            <w:r w:rsidRPr="00BC15D1">
              <w:rPr>
                <w:rFonts w:ascii="Calibri" w:hAnsi="Calibri"/>
                <w:b/>
                <w:kern w:val="24"/>
                <w:sz w:val="18"/>
                <w:szCs w:val="18"/>
              </w:rPr>
              <w:br/>
              <w:t>reactive devices</w:t>
            </w:r>
          </w:p>
        </w:tc>
        <w:tc>
          <w:tcPr>
            <w:tcW w:w="1477" w:type="dxa"/>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$0.25 million/MVAR</w:t>
            </w:r>
          </w:p>
        </w:tc>
        <w:tc>
          <w:tcPr>
            <w:tcW w:w="1130" w:type="dxa"/>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(included in integrator system)</w:t>
            </w:r>
          </w:p>
        </w:tc>
        <w:tc>
          <w:tcPr>
            <w:tcW w:w="1072" w:type="dxa"/>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w:t>
            </w:r>
          </w:p>
        </w:tc>
        <w:tc>
          <w:tcPr>
            <w:tcW w:w="1191" w:type="dxa"/>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 xml:space="preserve">Approx. 1/3 × 9,000 = </w:t>
            </w:r>
          </w:p>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3,000 MVAR</w:t>
            </w:r>
          </w:p>
        </w:tc>
        <w:tc>
          <w:tcPr>
            <w:tcW w:w="1059" w:type="dxa"/>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$0.75</w:t>
            </w:r>
          </w:p>
        </w:tc>
        <w:tc>
          <w:tcPr>
            <w:tcW w:w="1203" w:type="dxa"/>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(included in integrator system)</w:t>
            </w:r>
          </w:p>
        </w:tc>
        <w:tc>
          <w:tcPr>
            <w:tcW w:w="1137" w:type="dxa"/>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w:t>
            </w:r>
          </w:p>
        </w:tc>
        <w:tc>
          <w:tcPr>
            <w:tcW w:w="1131" w:type="dxa"/>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 xml:space="preserve">Approx. 1/3 × 3,600 = </w:t>
            </w:r>
          </w:p>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1,200 MVAR</w:t>
            </w:r>
          </w:p>
        </w:tc>
        <w:tc>
          <w:tcPr>
            <w:tcW w:w="1132" w:type="dxa"/>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$0.30</w:t>
            </w:r>
          </w:p>
        </w:tc>
      </w:tr>
      <w:tr w:rsidR="00BC15D1" w:rsidRPr="00BC15D1" w:rsidTr="00324D11">
        <w:trPr>
          <w:cantSplit/>
          <w:jc w:val="center"/>
        </w:trPr>
        <w:tc>
          <w:tcPr>
            <w:tcW w:w="2162" w:type="dxa"/>
            <w:shd w:val="clear" w:color="auto" w:fill="auto"/>
            <w:tcMar>
              <w:top w:w="15" w:type="dxa"/>
              <w:left w:w="135" w:type="dxa"/>
              <w:bottom w:w="0" w:type="dxa"/>
              <w:right w:w="15" w:type="dxa"/>
            </w:tcMar>
            <w:vAlign w:val="center"/>
          </w:tcPr>
          <w:p w:rsidR="00BC15D1" w:rsidRPr="00BC15D1" w:rsidRDefault="00BC15D1" w:rsidP="00BC15D1">
            <w:pPr>
              <w:adjustRightInd/>
              <w:spacing w:before="20" w:after="20" w:line="240" w:lineRule="auto"/>
              <w:textAlignment w:val="center"/>
              <w:rPr>
                <w:rFonts w:ascii="Calibri" w:eastAsia="Calibri" w:hAnsi="Calibri" w:cs="Arial"/>
                <w:b/>
                <w:sz w:val="18"/>
                <w:szCs w:val="18"/>
              </w:rPr>
            </w:pPr>
            <w:r w:rsidRPr="00BC15D1">
              <w:rPr>
                <w:rFonts w:ascii="Calibri" w:hAnsi="Calibri"/>
                <w:b/>
                <w:kern w:val="24"/>
                <w:sz w:val="18"/>
                <w:szCs w:val="18"/>
              </w:rPr>
              <w:t>Sending end—</w:t>
            </w:r>
            <w:r w:rsidR="00737F69">
              <w:rPr>
                <w:rFonts w:ascii="Calibri" w:hAnsi="Calibri"/>
                <w:b/>
                <w:kern w:val="24"/>
                <w:sz w:val="18"/>
                <w:szCs w:val="18"/>
              </w:rPr>
              <w:br/>
            </w:r>
            <w:r w:rsidRPr="00BC15D1">
              <w:rPr>
                <w:rFonts w:ascii="Calibri" w:hAnsi="Calibri"/>
                <w:b/>
                <w:kern w:val="24"/>
                <w:sz w:val="18"/>
                <w:szCs w:val="18"/>
              </w:rPr>
              <w:t>AC terminations</w:t>
            </w:r>
          </w:p>
        </w:tc>
        <w:tc>
          <w:tcPr>
            <w:tcW w:w="1477" w:type="dxa"/>
            <w:shd w:val="clear" w:color="auto" w:fill="auto"/>
            <w:tcMar>
              <w:top w:w="15" w:type="dxa"/>
              <w:left w:w="15" w:type="dxa"/>
              <w:bottom w:w="0" w:type="dxa"/>
              <w:right w:w="15" w:type="dxa"/>
            </w:tcMar>
            <w:vAlign w:val="center"/>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$10 million/</w:t>
            </w:r>
            <w:r w:rsidRPr="00BC15D1">
              <w:rPr>
                <w:rFonts w:ascii="Calibri" w:eastAsia="Calibri" w:hAnsi="Calibri" w:cs="Arial"/>
                <w:kern w:val="24"/>
                <w:sz w:val="18"/>
                <w:szCs w:val="18"/>
              </w:rPr>
              <w:br/>
              <w:t>terminal expansion</w:t>
            </w:r>
          </w:p>
          <w:p w:rsidR="00BC15D1" w:rsidRPr="00BC15D1" w:rsidRDefault="00BC15D1" w:rsidP="002F02F1">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 xml:space="preserve">(assumed </w:t>
            </w:r>
            <w:r w:rsidR="002F02F1">
              <w:rPr>
                <w:rFonts w:ascii="Calibri" w:hAnsi="Calibri"/>
                <w:kern w:val="24"/>
                <w:sz w:val="18"/>
                <w:szCs w:val="18"/>
              </w:rPr>
              <w:t>two</w:t>
            </w:r>
            <w:r w:rsidRPr="00BC15D1">
              <w:rPr>
                <w:rFonts w:ascii="Calibri" w:hAnsi="Calibri"/>
                <w:kern w:val="24"/>
                <w:sz w:val="18"/>
                <w:szCs w:val="18"/>
              </w:rPr>
              <w:t xml:space="preserve"> terminal expansions per tie)</w:t>
            </w:r>
          </w:p>
        </w:tc>
        <w:tc>
          <w:tcPr>
            <w:tcW w:w="1130" w:type="dxa"/>
            <w:shd w:val="clear" w:color="auto" w:fill="auto"/>
            <w:tcMar>
              <w:top w:w="15" w:type="dxa"/>
              <w:left w:w="15" w:type="dxa"/>
              <w:bottom w:w="0" w:type="dxa"/>
              <w:right w:w="15" w:type="dxa"/>
            </w:tcMar>
            <w:vAlign w:val="center"/>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sz w:val="18"/>
                <w:szCs w:val="18"/>
              </w:rPr>
              <w:t>2 x 2 = 4</w:t>
            </w:r>
          </w:p>
        </w:tc>
        <w:tc>
          <w:tcPr>
            <w:tcW w:w="1072" w:type="dxa"/>
            <w:shd w:val="clear" w:color="auto" w:fill="auto"/>
            <w:tcMar>
              <w:top w:w="15" w:type="dxa"/>
              <w:left w:w="15" w:type="dxa"/>
              <w:bottom w:w="0" w:type="dxa"/>
              <w:right w:w="15" w:type="dxa"/>
            </w:tcMar>
            <w:vAlign w:val="center"/>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sz w:val="18"/>
                <w:szCs w:val="18"/>
              </w:rPr>
              <w:t>$0.04</w:t>
            </w:r>
          </w:p>
        </w:tc>
        <w:tc>
          <w:tcPr>
            <w:tcW w:w="1191" w:type="dxa"/>
            <w:shd w:val="clear" w:color="auto" w:fill="auto"/>
            <w:tcMar>
              <w:top w:w="15" w:type="dxa"/>
              <w:left w:w="15" w:type="dxa"/>
              <w:bottom w:w="0" w:type="dxa"/>
              <w:right w:w="15" w:type="dxa"/>
            </w:tcMar>
            <w:vAlign w:val="center"/>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sz w:val="18"/>
                <w:szCs w:val="18"/>
              </w:rPr>
              <w:t>--</w:t>
            </w:r>
          </w:p>
        </w:tc>
        <w:tc>
          <w:tcPr>
            <w:tcW w:w="1059" w:type="dxa"/>
            <w:shd w:val="clear" w:color="auto" w:fill="auto"/>
            <w:tcMar>
              <w:top w:w="15" w:type="dxa"/>
              <w:left w:w="15" w:type="dxa"/>
              <w:bottom w:w="0" w:type="dxa"/>
              <w:right w:w="15" w:type="dxa"/>
            </w:tcMar>
            <w:vAlign w:val="center"/>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sz w:val="18"/>
                <w:szCs w:val="18"/>
              </w:rPr>
              <w:t>--</w:t>
            </w:r>
          </w:p>
        </w:tc>
        <w:tc>
          <w:tcPr>
            <w:tcW w:w="1203" w:type="dxa"/>
            <w:shd w:val="clear" w:color="auto" w:fill="auto"/>
            <w:tcMar>
              <w:top w:w="15" w:type="dxa"/>
              <w:left w:w="15" w:type="dxa"/>
              <w:bottom w:w="0" w:type="dxa"/>
              <w:right w:w="15" w:type="dxa"/>
            </w:tcMar>
            <w:vAlign w:val="center"/>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sz w:val="18"/>
                <w:szCs w:val="18"/>
              </w:rPr>
              <w:t>2 x 2 = 4</w:t>
            </w:r>
          </w:p>
        </w:tc>
        <w:tc>
          <w:tcPr>
            <w:tcW w:w="1137" w:type="dxa"/>
            <w:shd w:val="clear" w:color="auto" w:fill="auto"/>
            <w:tcMar>
              <w:top w:w="15" w:type="dxa"/>
              <w:left w:w="15" w:type="dxa"/>
              <w:bottom w:w="0" w:type="dxa"/>
              <w:right w:w="15" w:type="dxa"/>
            </w:tcMar>
            <w:vAlign w:val="center"/>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sz w:val="18"/>
                <w:szCs w:val="18"/>
              </w:rPr>
              <w:t>$0.04</w:t>
            </w:r>
          </w:p>
        </w:tc>
        <w:tc>
          <w:tcPr>
            <w:tcW w:w="1131" w:type="dxa"/>
            <w:shd w:val="clear" w:color="auto" w:fill="auto"/>
            <w:tcMar>
              <w:top w:w="15" w:type="dxa"/>
              <w:left w:w="15" w:type="dxa"/>
              <w:bottom w:w="0" w:type="dxa"/>
              <w:right w:w="15" w:type="dxa"/>
            </w:tcMar>
            <w:vAlign w:val="center"/>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sz w:val="18"/>
                <w:szCs w:val="18"/>
              </w:rPr>
              <w:t>--</w:t>
            </w:r>
          </w:p>
        </w:tc>
        <w:tc>
          <w:tcPr>
            <w:tcW w:w="1132" w:type="dxa"/>
            <w:shd w:val="clear" w:color="auto" w:fill="auto"/>
            <w:tcMar>
              <w:top w:w="15" w:type="dxa"/>
              <w:left w:w="15" w:type="dxa"/>
              <w:bottom w:w="0" w:type="dxa"/>
              <w:right w:w="15" w:type="dxa"/>
            </w:tcMar>
            <w:vAlign w:val="center"/>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sz w:val="18"/>
                <w:szCs w:val="18"/>
              </w:rPr>
              <w:t>--</w:t>
            </w:r>
          </w:p>
        </w:tc>
      </w:tr>
      <w:tr w:rsidR="00BC15D1" w:rsidRPr="00BC15D1" w:rsidTr="00324D11">
        <w:trPr>
          <w:cantSplit/>
          <w:jc w:val="center"/>
        </w:trPr>
        <w:tc>
          <w:tcPr>
            <w:tcW w:w="2162" w:type="dxa"/>
            <w:shd w:val="clear" w:color="auto" w:fill="auto"/>
            <w:tcMar>
              <w:top w:w="15" w:type="dxa"/>
              <w:left w:w="135" w:type="dxa"/>
              <w:bottom w:w="0" w:type="dxa"/>
              <w:right w:w="15" w:type="dxa"/>
            </w:tcMar>
            <w:vAlign w:val="center"/>
            <w:hideMark/>
          </w:tcPr>
          <w:p w:rsidR="00BC15D1" w:rsidRPr="00BC15D1" w:rsidRDefault="00BC15D1" w:rsidP="00BC15D1">
            <w:pPr>
              <w:adjustRightInd/>
              <w:spacing w:before="20" w:after="20" w:line="240" w:lineRule="auto"/>
              <w:textAlignment w:val="center"/>
              <w:rPr>
                <w:rFonts w:ascii="Calibri" w:eastAsia="Calibri" w:hAnsi="Calibri" w:cs="Arial"/>
                <w:b/>
                <w:sz w:val="18"/>
                <w:szCs w:val="18"/>
              </w:rPr>
            </w:pPr>
            <w:r w:rsidRPr="00BC15D1">
              <w:rPr>
                <w:rFonts w:ascii="Calibri" w:hAnsi="Calibri"/>
                <w:b/>
                <w:kern w:val="24"/>
                <w:sz w:val="18"/>
                <w:szCs w:val="18"/>
              </w:rPr>
              <w:t xml:space="preserve">Sending end— </w:t>
            </w:r>
          </w:p>
          <w:p w:rsidR="00BC15D1" w:rsidRPr="00BC15D1" w:rsidRDefault="00BC15D1" w:rsidP="00BC15D1">
            <w:pPr>
              <w:adjustRightInd/>
              <w:spacing w:before="20" w:after="20" w:line="240" w:lineRule="auto"/>
              <w:textAlignment w:val="center"/>
              <w:rPr>
                <w:rFonts w:ascii="Calibri" w:eastAsia="Calibri" w:hAnsi="Calibri" w:cs="Arial"/>
                <w:b/>
                <w:sz w:val="18"/>
                <w:szCs w:val="18"/>
              </w:rPr>
            </w:pPr>
            <w:r w:rsidRPr="00BC15D1">
              <w:rPr>
                <w:rFonts w:ascii="Calibri" w:hAnsi="Calibri"/>
                <w:b/>
                <w:kern w:val="24"/>
                <w:sz w:val="18"/>
                <w:szCs w:val="18"/>
              </w:rPr>
              <w:t>New AC substations</w:t>
            </w:r>
          </w:p>
        </w:tc>
        <w:tc>
          <w:tcPr>
            <w:tcW w:w="1477" w:type="dxa"/>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$40 million/AC substation</w:t>
            </w:r>
          </w:p>
        </w:tc>
        <w:tc>
          <w:tcPr>
            <w:tcW w:w="1130" w:type="dxa"/>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(included in integrator system)</w:t>
            </w:r>
          </w:p>
        </w:tc>
        <w:tc>
          <w:tcPr>
            <w:tcW w:w="1072" w:type="dxa"/>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w:t>
            </w:r>
          </w:p>
        </w:tc>
        <w:tc>
          <w:tcPr>
            <w:tcW w:w="1191" w:type="dxa"/>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8</w:t>
            </w:r>
          </w:p>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(to connect POI to converter station at each tie)</w:t>
            </w:r>
          </w:p>
        </w:tc>
        <w:tc>
          <w:tcPr>
            <w:tcW w:w="1059" w:type="dxa"/>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$0.32</w:t>
            </w:r>
          </w:p>
        </w:tc>
        <w:tc>
          <w:tcPr>
            <w:tcW w:w="1203" w:type="dxa"/>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(included in integrator system)</w:t>
            </w:r>
          </w:p>
        </w:tc>
        <w:tc>
          <w:tcPr>
            <w:tcW w:w="1137" w:type="dxa"/>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w:t>
            </w:r>
          </w:p>
        </w:tc>
        <w:tc>
          <w:tcPr>
            <w:tcW w:w="1131" w:type="dxa"/>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3</w:t>
            </w:r>
          </w:p>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 xml:space="preserve"> (to connect POI to converter station at each tie)</w:t>
            </w:r>
          </w:p>
        </w:tc>
        <w:tc>
          <w:tcPr>
            <w:tcW w:w="1132" w:type="dxa"/>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$0.12</w:t>
            </w:r>
          </w:p>
        </w:tc>
      </w:tr>
      <w:tr w:rsidR="00BC15D1" w:rsidRPr="00BC15D1" w:rsidTr="00324D11">
        <w:trPr>
          <w:cantSplit/>
          <w:jc w:val="center"/>
        </w:trPr>
        <w:tc>
          <w:tcPr>
            <w:tcW w:w="2162" w:type="dxa"/>
            <w:shd w:val="clear" w:color="auto" w:fill="auto"/>
            <w:tcMar>
              <w:top w:w="15" w:type="dxa"/>
              <w:left w:w="135" w:type="dxa"/>
              <w:bottom w:w="0" w:type="dxa"/>
              <w:right w:w="15" w:type="dxa"/>
            </w:tcMar>
            <w:vAlign w:val="center"/>
            <w:hideMark/>
          </w:tcPr>
          <w:p w:rsidR="00BC15D1" w:rsidRPr="00BC15D1" w:rsidRDefault="00BC15D1" w:rsidP="00BC15D1">
            <w:pPr>
              <w:adjustRightInd/>
              <w:spacing w:before="20" w:after="20" w:line="240" w:lineRule="auto"/>
              <w:textAlignment w:val="center"/>
              <w:rPr>
                <w:rFonts w:ascii="Calibri" w:eastAsia="Calibri" w:hAnsi="Calibri" w:cs="Arial"/>
                <w:b/>
                <w:sz w:val="18"/>
                <w:szCs w:val="18"/>
              </w:rPr>
            </w:pPr>
            <w:r w:rsidRPr="00BC15D1">
              <w:rPr>
                <w:rFonts w:ascii="Calibri" w:hAnsi="Calibri"/>
                <w:b/>
                <w:kern w:val="24"/>
                <w:sz w:val="18"/>
                <w:szCs w:val="18"/>
              </w:rPr>
              <w:lastRenderedPageBreak/>
              <w:t>Receiving end—reactive devices</w:t>
            </w:r>
          </w:p>
        </w:tc>
        <w:tc>
          <w:tcPr>
            <w:tcW w:w="1477" w:type="dxa"/>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$0.25 million/MVAR</w:t>
            </w:r>
          </w:p>
        </w:tc>
        <w:tc>
          <w:tcPr>
            <w:tcW w:w="1130" w:type="dxa"/>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Approx. 1/3 × 1,500 = 500 MVAR</w:t>
            </w:r>
          </w:p>
        </w:tc>
        <w:tc>
          <w:tcPr>
            <w:tcW w:w="1072" w:type="dxa"/>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$0.13</w:t>
            </w:r>
          </w:p>
        </w:tc>
        <w:tc>
          <w:tcPr>
            <w:tcW w:w="1191" w:type="dxa"/>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 xml:space="preserve">Approx. 1/3 × 9,000 = </w:t>
            </w:r>
          </w:p>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3,000 MVAR</w:t>
            </w:r>
          </w:p>
        </w:tc>
        <w:tc>
          <w:tcPr>
            <w:tcW w:w="1059" w:type="dxa"/>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$0.75</w:t>
            </w:r>
          </w:p>
        </w:tc>
        <w:tc>
          <w:tcPr>
            <w:tcW w:w="1203" w:type="dxa"/>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Approx. 1/3 × 1,800 = 600 MVAR</w:t>
            </w:r>
          </w:p>
        </w:tc>
        <w:tc>
          <w:tcPr>
            <w:tcW w:w="1137" w:type="dxa"/>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$0.15</w:t>
            </w:r>
          </w:p>
        </w:tc>
        <w:tc>
          <w:tcPr>
            <w:tcW w:w="1131" w:type="dxa"/>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 xml:space="preserve">Approx. 1/3 × 3,600 = </w:t>
            </w:r>
          </w:p>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1,200 MVAR</w:t>
            </w:r>
          </w:p>
        </w:tc>
        <w:tc>
          <w:tcPr>
            <w:tcW w:w="1132" w:type="dxa"/>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$0.30</w:t>
            </w:r>
          </w:p>
        </w:tc>
      </w:tr>
      <w:tr w:rsidR="00BC15D1" w:rsidRPr="00BC15D1" w:rsidTr="00324D11">
        <w:trPr>
          <w:cantSplit/>
          <w:jc w:val="center"/>
        </w:trPr>
        <w:tc>
          <w:tcPr>
            <w:tcW w:w="2162" w:type="dxa"/>
            <w:shd w:val="clear" w:color="auto" w:fill="auto"/>
            <w:tcMar>
              <w:top w:w="15" w:type="dxa"/>
              <w:left w:w="135" w:type="dxa"/>
              <w:bottom w:w="0" w:type="dxa"/>
              <w:right w:w="15" w:type="dxa"/>
            </w:tcMar>
            <w:vAlign w:val="center"/>
            <w:hideMark/>
          </w:tcPr>
          <w:p w:rsidR="00BC15D1" w:rsidRPr="00BC15D1" w:rsidRDefault="00BC15D1" w:rsidP="00BC15D1">
            <w:pPr>
              <w:adjustRightInd/>
              <w:spacing w:before="20" w:after="20" w:line="240" w:lineRule="auto"/>
              <w:textAlignment w:val="center"/>
              <w:rPr>
                <w:rFonts w:ascii="Calibri" w:eastAsia="Calibri" w:hAnsi="Calibri" w:cs="Arial"/>
                <w:b/>
                <w:sz w:val="18"/>
                <w:szCs w:val="18"/>
              </w:rPr>
            </w:pPr>
            <w:r w:rsidRPr="00BC15D1">
              <w:rPr>
                <w:rFonts w:ascii="Calibri" w:hAnsi="Calibri"/>
                <w:b/>
                <w:kern w:val="24"/>
                <w:sz w:val="18"/>
                <w:szCs w:val="18"/>
              </w:rPr>
              <w:t>Receiving end—</w:t>
            </w:r>
            <w:r w:rsidR="00737F69">
              <w:rPr>
                <w:rFonts w:ascii="Calibri" w:hAnsi="Calibri"/>
                <w:b/>
                <w:kern w:val="24"/>
                <w:sz w:val="18"/>
                <w:szCs w:val="18"/>
              </w:rPr>
              <w:br/>
            </w:r>
            <w:r w:rsidRPr="00BC15D1">
              <w:rPr>
                <w:rFonts w:ascii="Calibri" w:hAnsi="Calibri"/>
                <w:b/>
                <w:kern w:val="24"/>
                <w:sz w:val="18"/>
                <w:szCs w:val="18"/>
              </w:rPr>
              <w:t>AC terminations</w:t>
            </w:r>
          </w:p>
        </w:tc>
        <w:tc>
          <w:tcPr>
            <w:tcW w:w="1477" w:type="dxa"/>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$10 million/</w:t>
            </w:r>
            <w:r w:rsidRPr="00BC15D1">
              <w:rPr>
                <w:rFonts w:ascii="Calibri" w:eastAsia="Calibri" w:hAnsi="Calibri" w:cs="Arial"/>
                <w:kern w:val="24"/>
                <w:sz w:val="18"/>
                <w:szCs w:val="18"/>
              </w:rPr>
              <w:br/>
              <w:t>terminal expansion</w:t>
            </w:r>
          </w:p>
          <w:p w:rsidR="00BC15D1" w:rsidRPr="00BC15D1" w:rsidRDefault="00BC15D1" w:rsidP="002F02F1">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 xml:space="preserve">(assumed </w:t>
            </w:r>
            <w:r w:rsidR="002F02F1">
              <w:rPr>
                <w:rFonts w:ascii="Calibri" w:hAnsi="Calibri"/>
                <w:kern w:val="24"/>
                <w:sz w:val="18"/>
                <w:szCs w:val="18"/>
              </w:rPr>
              <w:t>two</w:t>
            </w:r>
            <w:r w:rsidRPr="00BC15D1">
              <w:rPr>
                <w:rFonts w:ascii="Calibri" w:hAnsi="Calibri"/>
                <w:kern w:val="24"/>
                <w:sz w:val="18"/>
                <w:szCs w:val="18"/>
              </w:rPr>
              <w:t xml:space="preserve"> terminal expansions per tie)</w:t>
            </w:r>
          </w:p>
        </w:tc>
        <w:tc>
          <w:tcPr>
            <w:tcW w:w="1130" w:type="dxa"/>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2 × 2 = 4</w:t>
            </w:r>
          </w:p>
        </w:tc>
        <w:tc>
          <w:tcPr>
            <w:tcW w:w="1072" w:type="dxa"/>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$0.04</w:t>
            </w:r>
          </w:p>
        </w:tc>
        <w:tc>
          <w:tcPr>
            <w:tcW w:w="1191" w:type="dxa"/>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8 × 2 = 16</w:t>
            </w:r>
          </w:p>
        </w:tc>
        <w:tc>
          <w:tcPr>
            <w:tcW w:w="1059" w:type="dxa"/>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$0.16</w:t>
            </w:r>
          </w:p>
        </w:tc>
        <w:tc>
          <w:tcPr>
            <w:tcW w:w="1203" w:type="dxa"/>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2 × 2 = 4</w:t>
            </w:r>
          </w:p>
        </w:tc>
        <w:tc>
          <w:tcPr>
            <w:tcW w:w="1137" w:type="dxa"/>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$0.04</w:t>
            </w:r>
          </w:p>
        </w:tc>
        <w:tc>
          <w:tcPr>
            <w:tcW w:w="1131" w:type="dxa"/>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3 x 2 = 6</w:t>
            </w:r>
          </w:p>
        </w:tc>
        <w:tc>
          <w:tcPr>
            <w:tcW w:w="1132" w:type="dxa"/>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$0.06</w:t>
            </w:r>
          </w:p>
        </w:tc>
      </w:tr>
      <w:tr w:rsidR="00BC15D1" w:rsidRPr="00BC15D1" w:rsidTr="00324D11">
        <w:trPr>
          <w:cantSplit/>
          <w:jc w:val="center"/>
        </w:trPr>
        <w:tc>
          <w:tcPr>
            <w:tcW w:w="2162" w:type="dxa"/>
            <w:tcBorders>
              <w:bottom w:val="single" w:sz="2" w:space="0" w:color="auto"/>
            </w:tcBorders>
            <w:shd w:val="clear" w:color="auto" w:fill="auto"/>
            <w:tcMar>
              <w:top w:w="15" w:type="dxa"/>
              <w:left w:w="135" w:type="dxa"/>
              <w:bottom w:w="0" w:type="dxa"/>
              <w:right w:w="15" w:type="dxa"/>
            </w:tcMar>
            <w:vAlign w:val="center"/>
            <w:hideMark/>
          </w:tcPr>
          <w:p w:rsidR="00BC15D1" w:rsidRPr="00BC15D1" w:rsidRDefault="00BC15D1" w:rsidP="00BC15D1">
            <w:pPr>
              <w:adjustRightInd/>
              <w:spacing w:before="20" w:after="20" w:line="240" w:lineRule="auto"/>
              <w:textAlignment w:val="center"/>
              <w:rPr>
                <w:rFonts w:ascii="Calibri" w:eastAsia="Calibri" w:hAnsi="Calibri" w:cs="Arial"/>
                <w:b/>
                <w:sz w:val="18"/>
                <w:szCs w:val="18"/>
              </w:rPr>
            </w:pPr>
            <w:r w:rsidRPr="00BC15D1">
              <w:rPr>
                <w:rFonts w:ascii="Calibri" w:hAnsi="Calibri"/>
                <w:b/>
                <w:kern w:val="24"/>
                <w:sz w:val="18"/>
                <w:szCs w:val="18"/>
              </w:rPr>
              <w:t>Receiving end—additional upgrades on AC network</w:t>
            </w:r>
          </w:p>
        </w:tc>
        <w:tc>
          <w:tcPr>
            <w:tcW w:w="1477" w:type="dxa"/>
            <w:tcBorders>
              <w:bottom w:val="single" w:sz="2" w:space="0" w:color="auto"/>
            </w:tcBorders>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Assumed generic cost for each scenario</w:t>
            </w:r>
          </w:p>
        </w:tc>
        <w:tc>
          <w:tcPr>
            <w:tcW w:w="1130" w:type="dxa"/>
            <w:tcBorders>
              <w:bottom w:val="single" w:sz="2" w:space="0" w:color="auto"/>
            </w:tcBorders>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w:t>
            </w:r>
          </w:p>
        </w:tc>
        <w:tc>
          <w:tcPr>
            <w:tcW w:w="1072" w:type="dxa"/>
            <w:tcBorders>
              <w:bottom w:val="single" w:sz="2" w:space="0" w:color="auto"/>
            </w:tcBorders>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$0.50</w:t>
            </w:r>
          </w:p>
        </w:tc>
        <w:tc>
          <w:tcPr>
            <w:tcW w:w="1191" w:type="dxa"/>
            <w:tcBorders>
              <w:bottom w:val="single" w:sz="2" w:space="0" w:color="auto"/>
            </w:tcBorders>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w:t>
            </w:r>
          </w:p>
        </w:tc>
        <w:tc>
          <w:tcPr>
            <w:tcW w:w="1059" w:type="dxa"/>
            <w:tcBorders>
              <w:bottom w:val="single" w:sz="2" w:space="0" w:color="auto"/>
            </w:tcBorders>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$1.50</w:t>
            </w:r>
          </w:p>
        </w:tc>
        <w:tc>
          <w:tcPr>
            <w:tcW w:w="1203" w:type="dxa"/>
            <w:tcBorders>
              <w:bottom w:val="single" w:sz="2" w:space="0" w:color="auto"/>
            </w:tcBorders>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w:t>
            </w:r>
          </w:p>
        </w:tc>
        <w:tc>
          <w:tcPr>
            <w:tcW w:w="1137" w:type="dxa"/>
            <w:tcBorders>
              <w:bottom w:val="single" w:sz="2" w:space="0" w:color="auto"/>
            </w:tcBorders>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$0.50</w:t>
            </w:r>
          </w:p>
        </w:tc>
        <w:tc>
          <w:tcPr>
            <w:tcW w:w="1131" w:type="dxa"/>
            <w:tcBorders>
              <w:bottom w:val="single" w:sz="2" w:space="0" w:color="auto"/>
            </w:tcBorders>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w:t>
            </w:r>
          </w:p>
        </w:tc>
        <w:tc>
          <w:tcPr>
            <w:tcW w:w="1132" w:type="dxa"/>
            <w:tcBorders>
              <w:bottom w:val="single" w:sz="2" w:space="0" w:color="auto"/>
            </w:tcBorders>
            <w:shd w:val="clear" w:color="auto" w:fill="auto"/>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hAnsi="Calibri"/>
                <w:kern w:val="24"/>
                <w:sz w:val="18"/>
                <w:szCs w:val="18"/>
              </w:rPr>
              <w:t>$1.00</w:t>
            </w:r>
          </w:p>
        </w:tc>
      </w:tr>
      <w:tr w:rsidR="00BC15D1" w:rsidRPr="00BC15D1" w:rsidTr="00324D11">
        <w:trPr>
          <w:cantSplit/>
          <w:jc w:val="center"/>
        </w:trPr>
        <w:tc>
          <w:tcPr>
            <w:tcW w:w="2162" w:type="dxa"/>
            <w:shd w:val="clear" w:color="auto" w:fill="DBE5F1" w:themeFill="accent1" w:themeFillTint="33"/>
            <w:tcMar>
              <w:top w:w="15" w:type="dxa"/>
              <w:left w:w="135" w:type="dxa"/>
              <w:bottom w:w="0" w:type="dxa"/>
              <w:right w:w="15" w:type="dxa"/>
            </w:tcMar>
            <w:vAlign w:val="center"/>
            <w:hideMark/>
          </w:tcPr>
          <w:p w:rsidR="00BC15D1" w:rsidRPr="00BC15D1" w:rsidRDefault="00BC15D1" w:rsidP="00324D11">
            <w:pPr>
              <w:adjustRightInd/>
              <w:spacing w:before="20" w:after="20" w:line="240" w:lineRule="auto"/>
              <w:textAlignment w:val="center"/>
              <w:rPr>
                <w:rFonts w:ascii="Calibri" w:eastAsia="Calibri" w:hAnsi="Calibri" w:cs="Arial"/>
                <w:b/>
                <w:sz w:val="18"/>
                <w:szCs w:val="18"/>
              </w:rPr>
            </w:pPr>
            <w:r w:rsidRPr="00BC15D1">
              <w:rPr>
                <w:rFonts w:ascii="Calibri" w:eastAsia="Calibri" w:hAnsi="Calibri" w:cs="Arial"/>
                <w:b/>
                <w:kern w:val="24"/>
                <w:sz w:val="18"/>
                <w:szCs w:val="18"/>
              </w:rPr>
              <w:t xml:space="preserve">Total AC </w:t>
            </w:r>
            <w:r w:rsidR="00324D11">
              <w:rPr>
                <w:rFonts w:ascii="Calibri" w:eastAsia="Calibri" w:hAnsi="Calibri" w:cs="Arial"/>
                <w:b/>
                <w:kern w:val="24"/>
                <w:sz w:val="18"/>
                <w:szCs w:val="18"/>
              </w:rPr>
              <w:t>p</w:t>
            </w:r>
            <w:r w:rsidRPr="00BC15D1">
              <w:rPr>
                <w:rFonts w:ascii="Calibri" w:eastAsia="Calibri" w:hAnsi="Calibri" w:cs="Arial"/>
                <w:b/>
                <w:kern w:val="24"/>
                <w:sz w:val="18"/>
                <w:szCs w:val="18"/>
              </w:rPr>
              <w:t>ortion</w:t>
            </w:r>
          </w:p>
        </w:tc>
        <w:tc>
          <w:tcPr>
            <w:tcW w:w="1477" w:type="dxa"/>
            <w:shd w:val="clear" w:color="auto" w:fill="DBE5F1" w:themeFill="accent1" w:themeFillTint="33"/>
            <w:tcMar>
              <w:top w:w="15" w:type="dxa"/>
              <w:left w:w="15" w:type="dxa"/>
              <w:bottom w:w="0" w:type="dxa"/>
              <w:right w:w="15" w:type="dxa"/>
            </w:tcMar>
            <w:vAlign w:val="center"/>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p>
        </w:tc>
        <w:tc>
          <w:tcPr>
            <w:tcW w:w="1130" w:type="dxa"/>
            <w:shd w:val="clear" w:color="auto" w:fill="DBE5F1" w:themeFill="accent1" w:themeFillTint="33"/>
            <w:tcMar>
              <w:top w:w="15" w:type="dxa"/>
              <w:left w:w="15" w:type="dxa"/>
              <w:bottom w:w="0" w:type="dxa"/>
              <w:right w:w="15" w:type="dxa"/>
            </w:tcMar>
            <w:vAlign w:val="center"/>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p>
        </w:tc>
        <w:tc>
          <w:tcPr>
            <w:tcW w:w="1072" w:type="dxa"/>
            <w:shd w:val="clear" w:color="auto" w:fill="DBE5F1" w:themeFill="accent1" w:themeFillTint="33"/>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$0.71</w:t>
            </w:r>
          </w:p>
        </w:tc>
        <w:tc>
          <w:tcPr>
            <w:tcW w:w="1191" w:type="dxa"/>
            <w:shd w:val="clear" w:color="auto" w:fill="DBE5F1" w:themeFill="accent1" w:themeFillTint="33"/>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p>
        </w:tc>
        <w:tc>
          <w:tcPr>
            <w:tcW w:w="1059" w:type="dxa"/>
            <w:shd w:val="clear" w:color="auto" w:fill="DBE5F1" w:themeFill="accent1" w:themeFillTint="33"/>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$3.48</w:t>
            </w:r>
          </w:p>
        </w:tc>
        <w:tc>
          <w:tcPr>
            <w:tcW w:w="1203" w:type="dxa"/>
            <w:shd w:val="clear" w:color="auto" w:fill="DBE5F1" w:themeFill="accent1" w:themeFillTint="33"/>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p>
        </w:tc>
        <w:tc>
          <w:tcPr>
            <w:tcW w:w="1137" w:type="dxa"/>
            <w:shd w:val="clear" w:color="auto" w:fill="DBE5F1" w:themeFill="accent1" w:themeFillTint="33"/>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kern w:val="24"/>
                <w:sz w:val="18"/>
                <w:szCs w:val="18"/>
              </w:rPr>
              <w:t>$0.73</w:t>
            </w:r>
          </w:p>
        </w:tc>
        <w:tc>
          <w:tcPr>
            <w:tcW w:w="1131" w:type="dxa"/>
            <w:shd w:val="clear" w:color="auto" w:fill="DBE5F1" w:themeFill="accent1" w:themeFillTint="33"/>
            <w:tcMar>
              <w:top w:w="72" w:type="dxa"/>
              <w:left w:w="144" w:type="dxa"/>
              <w:bottom w:w="72" w:type="dxa"/>
              <w:right w:w="144" w:type="dxa"/>
            </w:tcMar>
            <w:vAlign w:val="center"/>
            <w:hideMark/>
          </w:tcPr>
          <w:p w:rsidR="00BC15D1" w:rsidRPr="00BC15D1" w:rsidRDefault="00BC15D1" w:rsidP="00BC15D1">
            <w:pPr>
              <w:adjustRightInd/>
              <w:spacing w:before="20" w:after="20" w:line="240" w:lineRule="auto"/>
              <w:textAlignment w:val="auto"/>
              <w:rPr>
                <w:rFonts w:ascii="Calibri" w:eastAsia="Calibri" w:hAnsi="Calibri" w:cs="Arial"/>
                <w:sz w:val="18"/>
                <w:szCs w:val="18"/>
              </w:rPr>
            </w:pPr>
          </w:p>
        </w:tc>
        <w:tc>
          <w:tcPr>
            <w:tcW w:w="1132" w:type="dxa"/>
            <w:shd w:val="clear" w:color="auto" w:fill="DBE5F1" w:themeFill="accent1" w:themeFillTint="33"/>
            <w:tcMar>
              <w:top w:w="72" w:type="dxa"/>
              <w:left w:w="144" w:type="dxa"/>
              <w:bottom w:w="72" w:type="dxa"/>
              <w:right w:w="144"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sz w:val="18"/>
                <w:szCs w:val="18"/>
              </w:rPr>
            </w:pPr>
            <w:r w:rsidRPr="00BC15D1">
              <w:rPr>
                <w:rFonts w:ascii="Calibri" w:eastAsia="Calibri" w:hAnsi="Calibri" w:cs="Arial"/>
                <w:sz w:val="18"/>
                <w:szCs w:val="18"/>
              </w:rPr>
              <w:t>$1.78</w:t>
            </w:r>
          </w:p>
        </w:tc>
      </w:tr>
      <w:tr w:rsidR="00BC15D1" w:rsidRPr="00BC15D1" w:rsidTr="00324D11">
        <w:trPr>
          <w:cantSplit/>
          <w:trHeight w:val="364"/>
          <w:jc w:val="center"/>
        </w:trPr>
        <w:tc>
          <w:tcPr>
            <w:tcW w:w="12694" w:type="dxa"/>
            <w:gridSpan w:val="10"/>
            <w:shd w:val="clear" w:color="auto" w:fill="B8CCE4" w:themeFill="accent1" w:themeFillTint="66"/>
            <w:tcMar>
              <w:top w:w="0" w:type="dxa"/>
              <w:left w:w="135" w:type="dxa"/>
              <w:bottom w:w="0" w:type="dxa"/>
              <w:right w:w="15" w:type="dxa"/>
            </w:tcMar>
            <w:vAlign w:val="center"/>
            <w:hideMark/>
          </w:tcPr>
          <w:p w:rsidR="00BC15D1" w:rsidRPr="00BC15D1" w:rsidRDefault="00BC15D1" w:rsidP="00324D11">
            <w:pPr>
              <w:adjustRightInd/>
              <w:spacing w:before="20" w:after="20" w:line="240" w:lineRule="auto"/>
              <w:textAlignment w:val="center"/>
              <w:rPr>
                <w:rFonts w:ascii="Calibri" w:eastAsia="Calibri" w:hAnsi="Calibri" w:cs="Arial"/>
                <w:sz w:val="18"/>
                <w:szCs w:val="18"/>
              </w:rPr>
            </w:pPr>
            <w:r w:rsidRPr="00BC15D1">
              <w:rPr>
                <w:rFonts w:ascii="Calibri" w:hAnsi="Calibri"/>
                <w:b/>
                <w:bCs/>
                <w:kern w:val="24"/>
                <w:sz w:val="18"/>
                <w:szCs w:val="18"/>
              </w:rPr>
              <w:t xml:space="preserve">AC and DC </w:t>
            </w:r>
            <w:r w:rsidR="00324D11">
              <w:rPr>
                <w:rFonts w:ascii="Calibri" w:hAnsi="Calibri"/>
                <w:b/>
                <w:bCs/>
                <w:kern w:val="24"/>
                <w:sz w:val="18"/>
                <w:szCs w:val="18"/>
              </w:rPr>
              <w:t>p</w:t>
            </w:r>
            <w:r w:rsidRPr="00BC15D1">
              <w:rPr>
                <w:rFonts w:ascii="Calibri" w:hAnsi="Calibri"/>
                <w:b/>
                <w:bCs/>
                <w:kern w:val="24"/>
                <w:sz w:val="18"/>
                <w:szCs w:val="18"/>
              </w:rPr>
              <w:t xml:space="preserve">ortions: </w:t>
            </w:r>
            <w:r w:rsidRPr="00BC15D1">
              <w:rPr>
                <w:rFonts w:ascii="Calibri" w:hAnsi="Calibri"/>
                <w:b/>
                <w:kern w:val="24"/>
                <w:sz w:val="18"/>
                <w:szCs w:val="18"/>
              </w:rPr>
              <w:t>$B</w:t>
            </w:r>
          </w:p>
        </w:tc>
      </w:tr>
      <w:tr w:rsidR="00BC15D1" w:rsidRPr="00BC15D1" w:rsidTr="00737F69">
        <w:trPr>
          <w:cantSplit/>
          <w:jc w:val="center"/>
        </w:trPr>
        <w:tc>
          <w:tcPr>
            <w:tcW w:w="2162" w:type="dxa"/>
            <w:shd w:val="clear" w:color="auto" w:fill="4F81BD" w:themeFill="accent1"/>
            <w:tcMar>
              <w:top w:w="15" w:type="dxa"/>
              <w:left w:w="135" w:type="dxa"/>
              <w:bottom w:w="0" w:type="dxa"/>
              <w:right w:w="15" w:type="dxa"/>
            </w:tcMar>
            <w:vAlign w:val="center"/>
            <w:hideMark/>
          </w:tcPr>
          <w:p w:rsidR="00BC15D1" w:rsidRPr="00BC15D1" w:rsidRDefault="00BC15D1" w:rsidP="00BC15D1">
            <w:pPr>
              <w:adjustRightInd/>
              <w:spacing w:before="20" w:after="20" w:line="240" w:lineRule="auto"/>
              <w:textAlignment w:val="center"/>
              <w:rPr>
                <w:rFonts w:ascii="Calibri" w:eastAsia="Calibri" w:hAnsi="Calibri" w:cs="Arial"/>
                <w:b/>
                <w:color w:val="FFFFFF"/>
                <w:sz w:val="18"/>
                <w:szCs w:val="18"/>
              </w:rPr>
            </w:pPr>
            <w:r w:rsidRPr="00BC15D1">
              <w:rPr>
                <w:rFonts w:ascii="Calibri" w:hAnsi="Calibri"/>
                <w:b/>
                <w:color w:val="FFFFFF"/>
                <w:kern w:val="24"/>
                <w:sz w:val="18"/>
                <w:szCs w:val="18"/>
              </w:rPr>
              <w:t>Total—</w:t>
            </w:r>
            <w:r w:rsidRPr="00BC15D1">
              <w:rPr>
                <w:rFonts w:ascii="Calibri" w:hAnsi="Calibri"/>
                <w:b/>
                <w:color w:val="FFFFFF"/>
                <w:kern w:val="24"/>
                <w:sz w:val="18"/>
                <w:szCs w:val="18"/>
              </w:rPr>
              <w:br/>
              <w:t>Congestion-Relief System</w:t>
            </w:r>
          </w:p>
        </w:tc>
        <w:tc>
          <w:tcPr>
            <w:tcW w:w="1477" w:type="dxa"/>
            <w:shd w:val="clear" w:color="auto" w:fill="4F81BD" w:themeFill="accent1"/>
            <w:tcMar>
              <w:top w:w="15" w:type="dxa"/>
              <w:left w:w="15" w:type="dxa"/>
              <w:bottom w:w="0" w:type="dxa"/>
              <w:right w:w="15" w:type="dxa"/>
            </w:tcMar>
            <w:vAlign w:val="center"/>
          </w:tcPr>
          <w:p w:rsidR="00BC15D1" w:rsidRPr="00BC15D1" w:rsidRDefault="00BC15D1" w:rsidP="00BC15D1">
            <w:pPr>
              <w:adjustRightInd/>
              <w:spacing w:before="20" w:after="20" w:line="240" w:lineRule="auto"/>
              <w:jc w:val="center"/>
              <w:textAlignment w:val="center"/>
              <w:rPr>
                <w:rFonts w:ascii="Calibri" w:eastAsia="Calibri" w:hAnsi="Calibri" w:cs="Arial"/>
                <w:b/>
                <w:color w:val="FFFFFF"/>
                <w:sz w:val="18"/>
                <w:szCs w:val="18"/>
              </w:rPr>
            </w:pPr>
          </w:p>
        </w:tc>
        <w:tc>
          <w:tcPr>
            <w:tcW w:w="1130" w:type="dxa"/>
            <w:shd w:val="clear" w:color="auto" w:fill="4F81BD" w:themeFill="accent1"/>
            <w:tcMar>
              <w:top w:w="15" w:type="dxa"/>
              <w:left w:w="15" w:type="dxa"/>
              <w:bottom w:w="0" w:type="dxa"/>
              <w:right w:w="15" w:type="dxa"/>
            </w:tcMar>
            <w:vAlign w:val="center"/>
          </w:tcPr>
          <w:p w:rsidR="00BC15D1" w:rsidRPr="00BC15D1" w:rsidRDefault="00BC15D1" w:rsidP="00BC15D1">
            <w:pPr>
              <w:adjustRightInd/>
              <w:spacing w:before="20" w:after="20" w:line="240" w:lineRule="auto"/>
              <w:jc w:val="center"/>
              <w:textAlignment w:val="center"/>
              <w:rPr>
                <w:rFonts w:ascii="Calibri" w:eastAsia="Calibri" w:hAnsi="Calibri" w:cs="Arial"/>
                <w:b/>
                <w:color w:val="FFFFFF"/>
                <w:sz w:val="18"/>
                <w:szCs w:val="18"/>
              </w:rPr>
            </w:pPr>
          </w:p>
        </w:tc>
        <w:tc>
          <w:tcPr>
            <w:tcW w:w="1072" w:type="dxa"/>
            <w:shd w:val="clear" w:color="auto" w:fill="4F81BD" w:themeFill="accent1"/>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b/>
                <w:color w:val="FFFFFF"/>
                <w:sz w:val="18"/>
                <w:szCs w:val="18"/>
              </w:rPr>
            </w:pPr>
            <w:r w:rsidRPr="00BC15D1">
              <w:rPr>
                <w:rFonts w:ascii="Calibri" w:eastAsia="Calibri" w:hAnsi="Calibri" w:cs="Arial"/>
                <w:b/>
                <w:color w:val="FFFFFF"/>
                <w:kern w:val="24"/>
                <w:sz w:val="18"/>
                <w:szCs w:val="18"/>
              </w:rPr>
              <w:t>$3.71</w:t>
            </w:r>
          </w:p>
        </w:tc>
        <w:tc>
          <w:tcPr>
            <w:tcW w:w="1191" w:type="dxa"/>
            <w:shd w:val="clear" w:color="auto" w:fill="4F81BD" w:themeFill="accent1"/>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b/>
                <w:color w:val="FFFFFF"/>
                <w:sz w:val="18"/>
                <w:szCs w:val="18"/>
              </w:rPr>
            </w:pPr>
          </w:p>
        </w:tc>
        <w:tc>
          <w:tcPr>
            <w:tcW w:w="1059" w:type="dxa"/>
            <w:shd w:val="clear" w:color="auto" w:fill="4F81BD" w:themeFill="accent1"/>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b/>
                <w:color w:val="FFFFFF"/>
                <w:sz w:val="18"/>
                <w:szCs w:val="18"/>
              </w:rPr>
            </w:pPr>
            <w:r w:rsidRPr="00BC15D1">
              <w:rPr>
                <w:rFonts w:ascii="Calibri" w:eastAsia="Calibri" w:hAnsi="Calibri" w:cs="Arial"/>
                <w:b/>
                <w:color w:val="FFFFFF"/>
                <w:kern w:val="24"/>
                <w:sz w:val="18"/>
                <w:szCs w:val="18"/>
              </w:rPr>
              <w:t>$20.03</w:t>
            </w:r>
          </w:p>
        </w:tc>
        <w:tc>
          <w:tcPr>
            <w:tcW w:w="1203" w:type="dxa"/>
            <w:shd w:val="clear" w:color="auto" w:fill="4F81BD" w:themeFill="accent1"/>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b/>
                <w:color w:val="FFFFFF"/>
                <w:sz w:val="18"/>
                <w:szCs w:val="18"/>
              </w:rPr>
            </w:pPr>
          </w:p>
        </w:tc>
        <w:tc>
          <w:tcPr>
            <w:tcW w:w="1137" w:type="dxa"/>
            <w:shd w:val="clear" w:color="auto" w:fill="4F81BD" w:themeFill="accent1"/>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b/>
                <w:color w:val="FFFFFF"/>
                <w:sz w:val="18"/>
                <w:szCs w:val="18"/>
              </w:rPr>
            </w:pPr>
            <w:r w:rsidRPr="00BC15D1">
              <w:rPr>
                <w:rFonts w:ascii="Calibri" w:eastAsia="Calibri" w:hAnsi="Calibri" w:cs="Arial"/>
                <w:b/>
                <w:color w:val="FFFFFF"/>
                <w:kern w:val="24"/>
                <w:sz w:val="18"/>
                <w:szCs w:val="18"/>
              </w:rPr>
              <w:t>$3.73</w:t>
            </w:r>
          </w:p>
        </w:tc>
        <w:tc>
          <w:tcPr>
            <w:tcW w:w="1131" w:type="dxa"/>
            <w:shd w:val="clear" w:color="auto" w:fill="4F81BD" w:themeFill="accent1"/>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b/>
                <w:color w:val="FFFFFF"/>
                <w:sz w:val="18"/>
                <w:szCs w:val="18"/>
              </w:rPr>
            </w:pPr>
          </w:p>
        </w:tc>
        <w:tc>
          <w:tcPr>
            <w:tcW w:w="1132" w:type="dxa"/>
            <w:shd w:val="clear" w:color="auto" w:fill="4F81BD" w:themeFill="accent1"/>
            <w:tcMar>
              <w:top w:w="15" w:type="dxa"/>
              <w:left w:w="15" w:type="dxa"/>
              <w:bottom w:w="0" w:type="dxa"/>
              <w:right w:w="15" w:type="dxa"/>
            </w:tcMar>
            <w:vAlign w:val="center"/>
            <w:hideMark/>
          </w:tcPr>
          <w:p w:rsidR="00BC15D1" w:rsidRPr="00BC15D1" w:rsidRDefault="00BC15D1" w:rsidP="00BC15D1">
            <w:pPr>
              <w:adjustRightInd/>
              <w:spacing w:before="20" w:after="20" w:line="240" w:lineRule="auto"/>
              <w:jc w:val="center"/>
              <w:textAlignment w:val="center"/>
              <w:rPr>
                <w:rFonts w:ascii="Calibri" w:eastAsia="Calibri" w:hAnsi="Calibri" w:cs="Arial"/>
                <w:b/>
                <w:color w:val="FFFFFF"/>
                <w:sz w:val="18"/>
                <w:szCs w:val="18"/>
              </w:rPr>
            </w:pPr>
            <w:r w:rsidRPr="00BC15D1">
              <w:rPr>
                <w:rFonts w:ascii="Calibri" w:hAnsi="Calibri"/>
                <w:b/>
                <w:color w:val="FFFFFF"/>
                <w:kern w:val="24"/>
                <w:sz w:val="18"/>
                <w:szCs w:val="18"/>
              </w:rPr>
              <w:t>$8.03</w:t>
            </w:r>
          </w:p>
        </w:tc>
      </w:tr>
      <w:tr w:rsidR="00BC15D1" w:rsidRPr="00BC15D1" w:rsidTr="00324D11">
        <w:trPr>
          <w:cantSplit/>
          <w:trHeight w:val="367"/>
          <w:jc w:val="center"/>
        </w:trPr>
        <w:tc>
          <w:tcPr>
            <w:tcW w:w="2162" w:type="dxa"/>
            <w:shd w:val="clear" w:color="auto" w:fill="4F81BD" w:themeFill="accent1"/>
            <w:tcMar>
              <w:top w:w="15" w:type="dxa"/>
              <w:left w:w="135" w:type="dxa"/>
              <w:bottom w:w="0" w:type="dxa"/>
              <w:right w:w="15" w:type="dxa"/>
            </w:tcMar>
            <w:vAlign w:val="center"/>
          </w:tcPr>
          <w:p w:rsidR="00BC15D1" w:rsidRPr="00BC15D1" w:rsidRDefault="00BC15D1" w:rsidP="00324D11">
            <w:pPr>
              <w:adjustRightInd/>
              <w:spacing w:before="20" w:after="20" w:line="240" w:lineRule="auto"/>
              <w:textAlignment w:val="center"/>
              <w:rPr>
                <w:rFonts w:ascii="Calibri" w:eastAsia="Calibri" w:hAnsi="Calibri" w:cs="Arial"/>
                <w:b/>
                <w:color w:val="FFFFFF"/>
                <w:sz w:val="18"/>
                <w:szCs w:val="18"/>
              </w:rPr>
            </w:pPr>
            <w:r w:rsidRPr="00BC15D1">
              <w:rPr>
                <w:rFonts w:ascii="Calibri" w:hAnsi="Calibri"/>
                <w:b/>
                <w:color w:val="FFFFFF"/>
                <w:kern w:val="24"/>
                <w:sz w:val="18"/>
                <w:szCs w:val="18"/>
              </w:rPr>
              <w:t xml:space="preserve">Total </w:t>
            </w:r>
            <w:r w:rsidR="00324D11">
              <w:rPr>
                <w:rFonts w:ascii="Calibri" w:hAnsi="Calibri"/>
                <w:b/>
                <w:color w:val="FFFFFF"/>
                <w:kern w:val="24"/>
                <w:sz w:val="18"/>
                <w:szCs w:val="18"/>
              </w:rPr>
              <w:t>c</w:t>
            </w:r>
            <w:r w:rsidRPr="00BC15D1">
              <w:rPr>
                <w:rFonts w:ascii="Calibri" w:hAnsi="Calibri"/>
                <w:b/>
                <w:color w:val="FFFFFF"/>
                <w:kern w:val="24"/>
                <w:sz w:val="18"/>
                <w:szCs w:val="18"/>
              </w:rPr>
              <w:t>ost + 50% margin</w:t>
            </w:r>
          </w:p>
        </w:tc>
        <w:tc>
          <w:tcPr>
            <w:tcW w:w="1477" w:type="dxa"/>
            <w:shd w:val="clear" w:color="auto" w:fill="4F81BD" w:themeFill="accent1"/>
            <w:tcMar>
              <w:top w:w="15" w:type="dxa"/>
              <w:left w:w="15" w:type="dxa"/>
              <w:bottom w:w="0" w:type="dxa"/>
              <w:right w:w="15" w:type="dxa"/>
            </w:tcMar>
            <w:vAlign w:val="center"/>
          </w:tcPr>
          <w:p w:rsidR="00BC15D1" w:rsidRPr="00BC15D1" w:rsidRDefault="00BC15D1" w:rsidP="00BC15D1">
            <w:pPr>
              <w:adjustRightInd/>
              <w:spacing w:before="20" w:after="20" w:line="240" w:lineRule="auto"/>
              <w:jc w:val="center"/>
              <w:textAlignment w:val="center"/>
              <w:rPr>
                <w:rFonts w:ascii="Calibri" w:eastAsia="Calibri" w:hAnsi="Calibri" w:cs="Arial"/>
                <w:b/>
                <w:color w:val="FFFFFF"/>
                <w:sz w:val="18"/>
                <w:szCs w:val="18"/>
              </w:rPr>
            </w:pPr>
          </w:p>
        </w:tc>
        <w:tc>
          <w:tcPr>
            <w:tcW w:w="1130" w:type="dxa"/>
            <w:shd w:val="clear" w:color="auto" w:fill="4F81BD" w:themeFill="accent1"/>
            <w:tcMar>
              <w:top w:w="15" w:type="dxa"/>
              <w:left w:w="15" w:type="dxa"/>
              <w:bottom w:w="0" w:type="dxa"/>
              <w:right w:w="15" w:type="dxa"/>
            </w:tcMar>
            <w:vAlign w:val="center"/>
          </w:tcPr>
          <w:p w:rsidR="00BC15D1" w:rsidRPr="00BC15D1" w:rsidRDefault="00BC15D1" w:rsidP="00BC15D1">
            <w:pPr>
              <w:adjustRightInd/>
              <w:spacing w:before="20" w:after="20" w:line="240" w:lineRule="auto"/>
              <w:jc w:val="center"/>
              <w:textAlignment w:val="center"/>
              <w:rPr>
                <w:rFonts w:ascii="Calibri" w:eastAsia="Calibri" w:hAnsi="Calibri" w:cs="Arial"/>
                <w:b/>
                <w:color w:val="FFFFFF"/>
                <w:sz w:val="18"/>
                <w:szCs w:val="18"/>
              </w:rPr>
            </w:pPr>
          </w:p>
        </w:tc>
        <w:tc>
          <w:tcPr>
            <w:tcW w:w="1072" w:type="dxa"/>
            <w:shd w:val="clear" w:color="auto" w:fill="4F81BD" w:themeFill="accent1"/>
            <w:tcMar>
              <w:top w:w="15" w:type="dxa"/>
              <w:left w:w="15" w:type="dxa"/>
              <w:bottom w:w="0" w:type="dxa"/>
              <w:right w:w="15" w:type="dxa"/>
            </w:tcMar>
            <w:vAlign w:val="center"/>
          </w:tcPr>
          <w:p w:rsidR="00BC15D1" w:rsidRPr="00BC15D1" w:rsidRDefault="00BC15D1" w:rsidP="00BC15D1">
            <w:pPr>
              <w:adjustRightInd/>
              <w:spacing w:before="20" w:after="20" w:line="240" w:lineRule="auto"/>
              <w:jc w:val="center"/>
              <w:textAlignment w:val="center"/>
              <w:rPr>
                <w:rFonts w:ascii="Calibri" w:eastAsia="Calibri" w:hAnsi="Calibri" w:cs="Arial"/>
                <w:b/>
                <w:color w:val="FFFFFF"/>
                <w:sz w:val="18"/>
                <w:szCs w:val="18"/>
              </w:rPr>
            </w:pPr>
            <w:r w:rsidRPr="00BC15D1">
              <w:rPr>
                <w:rFonts w:ascii="Calibri" w:eastAsia="Calibri" w:hAnsi="Calibri" w:cs="Arial"/>
                <w:b/>
                <w:color w:val="FFFFFF"/>
                <w:kern w:val="24"/>
                <w:sz w:val="18"/>
                <w:szCs w:val="18"/>
              </w:rPr>
              <w:t>$5.57</w:t>
            </w:r>
          </w:p>
        </w:tc>
        <w:tc>
          <w:tcPr>
            <w:tcW w:w="1191" w:type="dxa"/>
            <w:shd w:val="clear" w:color="auto" w:fill="4F81BD" w:themeFill="accent1"/>
            <w:tcMar>
              <w:top w:w="15" w:type="dxa"/>
              <w:left w:w="15" w:type="dxa"/>
              <w:bottom w:w="0" w:type="dxa"/>
              <w:right w:w="15" w:type="dxa"/>
            </w:tcMar>
            <w:vAlign w:val="center"/>
          </w:tcPr>
          <w:p w:rsidR="00BC15D1" w:rsidRPr="00BC15D1" w:rsidRDefault="00BC15D1" w:rsidP="00BC15D1">
            <w:pPr>
              <w:adjustRightInd/>
              <w:spacing w:before="20" w:after="20" w:line="240" w:lineRule="auto"/>
              <w:jc w:val="center"/>
              <w:textAlignment w:val="center"/>
              <w:rPr>
                <w:rFonts w:ascii="Calibri" w:eastAsia="Calibri" w:hAnsi="Calibri" w:cs="Arial"/>
                <w:b/>
                <w:color w:val="FFFFFF"/>
                <w:sz w:val="18"/>
                <w:szCs w:val="18"/>
              </w:rPr>
            </w:pPr>
          </w:p>
        </w:tc>
        <w:tc>
          <w:tcPr>
            <w:tcW w:w="1059" w:type="dxa"/>
            <w:shd w:val="clear" w:color="auto" w:fill="4F81BD" w:themeFill="accent1"/>
            <w:tcMar>
              <w:top w:w="15" w:type="dxa"/>
              <w:left w:w="15" w:type="dxa"/>
              <w:bottom w:w="0" w:type="dxa"/>
              <w:right w:w="15" w:type="dxa"/>
            </w:tcMar>
            <w:vAlign w:val="center"/>
          </w:tcPr>
          <w:p w:rsidR="00BC15D1" w:rsidRPr="00BC15D1" w:rsidRDefault="00BC15D1" w:rsidP="00BC15D1">
            <w:pPr>
              <w:adjustRightInd/>
              <w:spacing w:before="20" w:after="20" w:line="240" w:lineRule="auto"/>
              <w:jc w:val="center"/>
              <w:textAlignment w:val="center"/>
              <w:rPr>
                <w:rFonts w:ascii="Calibri" w:eastAsia="Calibri" w:hAnsi="Calibri" w:cs="Arial"/>
                <w:b/>
                <w:color w:val="FFFFFF"/>
                <w:sz w:val="18"/>
                <w:szCs w:val="18"/>
              </w:rPr>
            </w:pPr>
            <w:r w:rsidRPr="00BC15D1">
              <w:rPr>
                <w:rFonts w:ascii="Calibri" w:eastAsia="Calibri" w:hAnsi="Calibri" w:cs="Arial"/>
                <w:b/>
                <w:color w:val="FFFFFF"/>
                <w:kern w:val="24"/>
                <w:sz w:val="18"/>
                <w:szCs w:val="18"/>
              </w:rPr>
              <w:t>$30.05</w:t>
            </w:r>
          </w:p>
        </w:tc>
        <w:tc>
          <w:tcPr>
            <w:tcW w:w="1203" w:type="dxa"/>
            <w:shd w:val="clear" w:color="auto" w:fill="4F81BD" w:themeFill="accent1"/>
            <w:tcMar>
              <w:top w:w="15" w:type="dxa"/>
              <w:left w:w="15" w:type="dxa"/>
              <w:bottom w:w="0" w:type="dxa"/>
              <w:right w:w="15" w:type="dxa"/>
            </w:tcMar>
            <w:vAlign w:val="center"/>
          </w:tcPr>
          <w:p w:rsidR="00BC15D1" w:rsidRPr="00BC15D1" w:rsidRDefault="00BC15D1" w:rsidP="00BC15D1">
            <w:pPr>
              <w:adjustRightInd/>
              <w:spacing w:before="20" w:after="20" w:line="240" w:lineRule="auto"/>
              <w:jc w:val="center"/>
              <w:textAlignment w:val="center"/>
              <w:rPr>
                <w:rFonts w:ascii="Calibri" w:eastAsia="Calibri" w:hAnsi="Calibri" w:cs="Arial"/>
                <w:b/>
                <w:color w:val="FFFFFF"/>
                <w:sz w:val="18"/>
                <w:szCs w:val="18"/>
              </w:rPr>
            </w:pPr>
          </w:p>
        </w:tc>
        <w:tc>
          <w:tcPr>
            <w:tcW w:w="1137" w:type="dxa"/>
            <w:shd w:val="clear" w:color="auto" w:fill="4F81BD" w:themeFill="accent1"/>
            <w:tcMar>
              <w:top w:w="15" w:type="dxa"/>
              <w:left w:w="15" w:type="dxa"/>
              <w:bottom w:w="0" w:type="dxa"/>
              <w:right w:w="15" w:type="dxa"/>
            </w:tcMar>
            <w:vAlign w:val="center"/>
          </w:tcPr>
          <w:p w:rsidR="00BC15D1" w:rsidRPr="00BC15D1" w:rsidRDefault="00BC15D1" w:rsidP="00BC15D1">
            <w:pPr>
              <w:adjustRightInd/>
              <w:spacing w:before="20" w:after="20" w:line="240" w:lineRule="auto"/>
              <w:jc w:val="center"/>
              <w:textAlignment w:val="center"/>
              <w:rPr>
                <w:rFonts w:ascii="Calibri" w:eastAsia="Calibri" w:hAnsi="Calibri" w:cs="Arial"/>
                <w:b/>
                <w:color w:val="FFFFFF"/>
                <w:sz w:val="18"/>
                <w:szCs w:val="18"/>
              </w:rPr>
            </w:pPr>
            <w:r w:rsidRPr="00BC15D1">
              <w:rPr>
                <w:rFonts w:ascii="Calibri" w:eastAsia="Calibri" w:hAnsi="Calibri" w:cs="Arial"/>
                <w:b/>
                <w:color w:val="FFFFFF"/>
                <w:kern w:val="24"/>
                <w:sz w:val="18"/>
                <w:szCs w:val="18"/>
              </w:rPr>
              <w:t>$5.60</w:t>
            </w:r>
          </w:p>
        </w:tc>
        <w:tc>
          <w:tcPr>
            <w:tcW w:w="1131" w:type="dxa"/>
            <w:shd w:val="clear" w:color="auto" w:fill="4F81BD" w:themeFill="accent1"/>
            <w:tcMar>
              <w:top w:w="15" w:type="dxa"/>
              <w:left w:w="15" w:type="dxa"/>
              <w:bottom w:w="0" w:type="dxa"/>
              <w:right w:w="15" w:type="dxa"/>
            </w:tcMar>
            <w:vAlign w:val="center"/>
          </w:tcPr>
          <w:p w:rsidR="00BC15D1" w:rsidRPr="00BC15D1" w:rsidRDefault="00BC15D1" w:rsidP="00BC15D1">
            <w:pPr>
              <w:adjustRightInd/>
              <w:spacing w:before="20" w:after="20" w:line="240" w:lineRule="auto"/>
              <w:jc w:val="center"/>
              <w:textAlignment w:val="center"/>
              <w:rPr>
                <w:rFonts w:ascii="Calibri" w:eastAsia="Calibri" w:hAnsi="Calibri" w:cs="Arial"/>
                <w:b/>
                <w:color w:val="FFFFFF"/>
                <w:sz w:val="18"/>
                <w:szCs w:val="18"/>
              </w:rPr>
            </w:pPr>
          </w:p>
        </w:tc>
        <w:tc>
          <w:tcPr>
            <w:tcW w:w="1132" w:type="dxa"/>
            <w:shd w:val="clear" w:color="auto" w:fill="4F81BD" w:themeFill="accent1"/>
            <w:tcMar>
              <w:top w:w="15" w:type="dxa"/>
              <w:left w:w="15" w:type="dxa"/>
              <w:bottom w:w="0" w:type="dxa"/>
              <w:right w:w="15" w:type="dxa"/>
            </w:tcMar>
            <w:vAlign w:val="center"/>
          </w:tcPr>
          <w:p w:rsidR="00BC15D1" w:rsidRPr="00BC15D1" w:rsidRDefault="00BC15D1" w:rsidP="00BC15D1">
            <w:pPr>
              <w:adjustRightInd/>
              <w:spacing w:before="20" w:after="20" w:line="240" w:lineRule="auto"/>
              <w:jc w:val="center"/>
              <w:textAlignment w:val="center"/>
              <w:rPr>
                <w:rFonts w:ascii="Calibri" w:eastAsia="Calibri" w:hAnsi="Calibri" w:cs="Arial"/>
                <w:b/>
                <w:color w:val="FFFFFF"/>
                <w:sz w:val="18"/>
                <w:szCs w:val="18"/>
              </w:rPr>
            </w:pPr>
            <w:r w:rsidRPr="00BC15D1">
              <w:rPr>
                <w:rFonts w:ascii="Calibri" w:hAnsi="Calibri"/>
                <w:b/>
                <w:color w:val="FFFFFF"/>
                <w:kern w:val="24"/>
                <w:sz w:val="18"/>
                <w:szCs w:val="18"/>
              </w:rPr>
              <w:t>$12.05</w:t>
            </w:r>
          </w:p>
        </w:tc>
      </w:tr>
    </w:tbl>
    <w:p w:rsidR="00BC15D1" w:rsidRPr="00BC15D1" w:rsidDel="00ED695F" w:rsidRDefault="00BC15D1" w:rsidP="00474D29"/>
    <w:p w:rsidR="008C70BA" w:rsidRDefault="008C70BA" w:rsidP="00995AFE">
      <w:pPr>
        <w:sectPr w:rsidR="008C70BA" w:rsidSect="00517118">
          <w:footerReference w:type="default" r:id="rId48"/>
          <w:pgSz w:w="15840" w:h="12240" w:orient="landscape" w:code="1"/>
          <w:pgMar w:top="540" w:right="1440" w:bottom="1440" w:left="1440" w:header="720" w:footer="720" w:gutter="0"/>
          <w:cols w:space="720"/>
          <w:docGrid w:linePitch="360"/>
        </w:sectPr>
      </w:pPr>
    </w:p>
    <w:p w:rsidR="00207EA9" w:rsidRPr="00701C54" w:rsidRDefault="00207EA9" w:rsidP="00207EA9">
      <w:pPr>
        <w:pStyle w:val="Heading3"/>
      </w:pPr>
      <w:bookmarkStart w:id="189" w:name="_Ref483556968"/>
      <w:bookmarkStart w:id="190" w:name="_Ref483557546"/>
      <w:bookmarkStart w:id="191" w:name="_Toc486405993"/>
      <w:r w:rsidRPr="00701C54">
        <w:lastRenderedPageBreak/>
        <w:t>High</w:t>
      </w:r>
      <w:r w:rsidR="00363C4E" w:rsidRPr="00701C54">
        <w:t>-</w:t>
      </w:r>
      <w:r w:rsidRPr="00701C54">
        <w:t>Order-of-Magnitude Cost Estimates for Integrating Renewable Resources</w:t>
      </w:r>
      <w:bookmarkEnd w:id="189"/>
      <w:bookmarkEnd w:id="190"/>
      <w:bookmarkEnd w:id="191"/>
    </w:p>
    <w:p w:rsidR="00E72FF2" w:rsidRDefault="00207EA9" w:rsidP="00363C4E">
      <w:r>
        <w:t>H</w:t>
      </w:r>
      <w:r w:rsidR="00C67302" w:rsidRPr="00712F7A">
        <w:t>igh</w:t>
      </w:r>
      <w:r w:rsidR="00454980">
        <w:t>-</w:t>
      </w:r>
      <w:r w:rsidR="00006124" w:rsidRPr="00712F7A">
        <w:t>order</w:t>
      </w:r>
      <w:r w:rsidR="00C67302" w:rsidRPr="00712F7A">
        <w:t>-</w:t>
      </w:r>
      <w:r w:rsidR="00006124" w:rsidRPr="00712F7A">
        <w:t>of</w:t>
      </w:r>
      <w:r w:rsidR="00C67302" w:rsidRPr="00712F7A">
        <w:t>-</w:t>
      </w:r>
      <w:r w:rsidR="00006124" w:rsidRPr="00712F7A">
        <w:t>magnitude cost estimates</w:t>
      </w:r>
      <w:r w:rsidR="00454980" w:rsidRPr="00454980">
        <w:t xml:space="preserve"> </w:t>
      </w:r>
      <w:r w:rsidR="00454980">
        <w:t xml:space="preserve">for integrator and congestion-relief </w:t>
      </w:r>
      <w:r w:rsidR="00454980" w:rsidRPr="00712F7A">
        <w:t>system</w:t>
      </w:r>
      <w:r w:rsidR="00454980">
        <w:t>s</w:t>
      </w:r>
      <w:r>
        <w:t xml:space="preserve"> formed the basis of the transmission-development costs for the individual scenarios</w:t>
      </w:r>
      <w:r w:rsidR="00006124" w:rsidRPr="00712F7A">
        <w:t xml:space="preserve">. Because the costs are not transmission plans, </w:t>
      </w:r>
      <w:r w:rsidR="00C67302" w:rsidRPr="00712F7A">
        <w:t>and the</w:t>
      </w:r>
      <w:r w:rsidR="00C67302">
        <w:t xml:space="preserve"> cost estimates are rough, </w:t>
      </w:r>
      <w:r w:rsidR="00006124">
        <w:t>margins were then applied to account for additional costs</w:t>
      </w:r>
      <w:r w:rsidR="00C67302">
        <w:t xml:space="preserve">, </w:t>
      </w:r>
      <w:r w:rsidR="00006124">
        <w:t>recognizing that actual costs would likely be considerably higher</w:t>
      </w:r>
      <w:r w:rsidR="00B047B6">
        <w:t>.</w:t>
      </w:r>
      <w:r w:rsidR="00006124">
        <w:t xml:space="preserve"> </w:t>
      </w:r>
      <w:r w:rsidR="00B047B6">
        <w:t xml:space="preserve">Also, the margin represents costs of </w:t>
      </w:r>
      <w:r w:rsidR="00006124">
        <w:t xml:space="preserve">actual </w:t>
      </w:r>
      <w:r w:rsidR="00B047B6">
        <w:t xml:space="preserve">transmission </w:t>
      </w:r>
      <w:r w:rsidR="00006124">
        <w:t xml:space="preserve">plans </w:t>
      </w:r>
      <w:r w:rsidR="00B047B6">
        <w:t xml:space="preserve">that </w:t>
      </w:r>
      <w:r w:rsidR="00006124">
        <w:t>would likely require several additional transmission system improvements</w:t>
      </w:r>
      <w:r w:rsidR="009E7B29">
        <w:t xml:space="preserve">. </w:t>
      </w:r>
      <w:r w:rsidR="00990239">
        <w:t xml:space="preserve">Finally, an annual carrying </w:t>
      </w:r>
      <w:r w:rsidR="00990239" w:rsidRPr="00712F7A">
        <w:t xml:space="preserve">charge rate of 15% was applied to all </w:t>
      </w:r>
      <w:r>
        <w:t xml:space="preserve">the </w:t>
      </w:r>
      <w:r w:rsidR="00990239" w:rsidRPr="00712F7A">
        <w:t>high</w:t>
      </w:r>
      <w:r w:rsidR="004B7348" w:rsidRPr="00712F7A">
        <w:t>-</w:t>
      </w:r>
      <w:r w:rsidR="00990239" w:rsidRPr="00712F7A">
        <w:t>order</w:t>
      </w:r>
      <w:r w:rsidR="00C67302" w:rsidRPr="00712F7A">
        <w:t>-</w:t>
      </w:r>
      <w:r w:rsidR="00990239" w:rsidRPr="00712F7A">
        <w:t>of</w:t>
      </w:r>
      <w:r w:rsidR="00C67302" w:rsidRPr="00712F7A">
        <w:t>-</w:t>
      </w:r>
      <w:r w:rsidR="00990239" w:rsidRPr="00712F7A">
        <w:t>magnitude transmission</w:t>
      </w:r>
      <w:r w:rsidR="00C67302" w:rsidRPr="00712F7A">
        <w:t>-</w:t>
      </w:r>
      <w:r w:rsidR="00990239" w:rsidRPr="00712F7A">
        <w:t>development costs to</w:t>
      </w:r>
      <w:r w:rsidR="00990239" w:rsidRPr="00990239">
        <w:t xml:space="preserve"> integrate renewable resources</w:t>
      </w:r>
      <w:r w:rsidR="009E7B29">
        <w:t>.</w:t>
      </w:r>
      <w:r w:rsidR="00A4282A">
        <w:t xml:space="preserve"> </w:t>
      </w:r>
    </w:p>
    <w:p w:rsidR="00A4282A" w:rsidRDefault="00363C4E" w:rsidP="00995AFE">
      <w:r w:rsidRPr="00363C4E">
        <w:fldChar w:fldCharType="begin"/>
      </w:r>
      <w:r w:rsidRPr="00363C4E">
        <w:instrText xml:space="preserve"> REF _Ref483496696 \h </w:instrText>
      </w:r>
      <w:r>
        <w:instrText xml:space="preserve"> \* MERGEFORMAT </w:instrText>
      </w:r>
      <w:r w:rsidRPr="00363C4E">
        <w:fldChar w:fldCharType="separate"/>
      </w:r>
      <w:r w:rsidR="00742B49" w:rsidRPr="00712F7A">
        <w:t xml:space="preserve">Table </w:t>
      </w:r>
      <w:r w:rsidR="00742B49">
        <w:rPr>
          <w:noProof/>
        </w:rPr>
        <w:t>5</w:t>
      </w:r>
      <w:r w:rsidR="00742B49">
        <w:rPr>
          <w:noProof/>
        </w:rPr>
        <w:noBreakHyphen/>
        <w:t>21</w:t>
      </w:r>
      <w:r w:rsidRPr="00363C4E">
        <w:fldChar w:fldCharType="end"/>
      </w:r>
      <w:r w:rsidRPr="00363C4E">
        <w:t xml:space="preserve"> summarizes </w:t>
      </w:r>
      <w:r w:rsidR="00BC4C0D" w:rsidRPr="00363C4E">
        <w:t xml:space="preserve">the high-order-of-magnitude </w:t>
      </w:r>
      <w:r w:rsidR="00942EC3" w:rsidRPr="00363C4E">
        <w:t>transmission</w:t>
      </w:r>
      <w:r w:rsidRPr="00363C4E">
        <w:t>-</w:t>
      </w:r>
      <w:r w:rsidR="00942EC3" w:rsidRPr="00363C4E">
        <w:t xml:space="preserve">development </w:t>
      </w:r>
      <w:r w:rsidR="00BC4C0D" w:rsidRPr="00363C4E">
        <w:t>costs assumed for integrating renewable resources under all scenarios</w:t>
      </w:r>
      <w:r w:rsidR="00454980" w:rsidRPr="00363C4E">
        <w:t>.</w:t>
      </w:r>
      <w:r w:rsidR="00BC4C0D">
        <w:t xml:space="preserve"> </w:t>
      </w:r>
      <w:r w:rsidR="00E72FF2">
        <w:t xml:space="preserve">The costs summarized in </w:t>
      </w:r>
      <w:r>
        <w:t xml:space="preserve">the table </w:t>
      </w:r>
      <w:r w:rsidR="00E72FF2">
        <w:t>could be off by several billion dollars</w:t>
      </w:r>
      <w:r w:rsidR="002B05F3">
        <w:t>, but they provide a framework for stakeholder discussions</w:t>
      </w:r>
      <w:r w:rsidR="00E72FF2">
        <w:t xml:space="preserve">. </w:t>
      </w:r>
      <w:r w:rsidR="002B05F3">
        <w:t>T</w:t>
      </w:r>
      <w:r w:rsidR="00E72FF2">
        <w:t>hey show the relatively high transmission costs associated with the large</w:t>
      </w:r>
      <w:r w:rsidR="002F2390">
        <w:t>-</w:t>
      </w:r>
      <w:r w:rsidR="00E72FF2">
        <w:t>scale development of onshore wind resources in M</w:t>
      </w:r>
      <w:r w:rsidR="002F2390">
        <w:t>aine</w:t>
      </w:r>
      <w:r w:rsidR="00E72FF2">
        <w:t xml:space="preserve"> compared with other scenarios. </w:t>
      </w:r>
      <w:r w:rsidR="002B05F3">
        <w:t>The low</w:t>
      </w:r>
      <w:r>
        <w:t>-</w:t>
      </w:r>
      <w:r w:rsidR="00072923">
        <w:t>order</w:t>
      </w:r>
      <w:r w:rsidR="002F2390">
        <w:t>-</w:t>
      </w:r>
      <w:r w:rsidR="00072923">
        <w:t>of</w:t>
      </w:r>
      <w:r w:rsidR="002F2390">
        <w:t>-</w:t>
      </w:r>
      <w:r w:rsidR="00072923">
        <w:t>magnitude transmission costs for the o</w:t>
      </w:r>
      <w:r w:rsidR="00E72FF2">
        <w:t xml:space="preserve">ffshore wind development </w:t>
      </w:r>
      <w:r w:rsidR="00072923">
        <w:t>assumed</w:t>
      </w:r>
      <w:r w:rsidR="00072923" w:rsidRPr="00072923">
        <w:t xml:space="preserve"> carefully planned </w:t>
      </w:r>
      <w:r w:rsidR="00072923">
        <w:t xml:space="preserve">points of interconnection </w:t>
      </w:r>
      <w:r w:rsidR="00072923" w:rsidRPr="00072923">
        <w:t xml:space="preserve">split </w:t>
      </w:r>
      <w:r w:rsidR="00072923">
        <w:t>among</w:t>
      </w:r>
      <w:r w:rsidR="00072923" w:rsidRPr="00072923">
        <w:t xml:space="preserve"> Connecticut, Rhode Island</w:t>
      </w:r>
      <w:r w:rsidR="002F2390">
        <w:t>,</w:t>
      </w:r>
      <w:r w:rsidR="00072923" w:rsidRPr="00072923">
        <w:t xml:space="preserve"> and </w:t>
      </w:r>
      <w:r w:rsidR="002F2390">
        <w:t>s</w:t>
      </w:r>
      <w:r w:rsidR="00072923" w:rsidRPr="00072923">
        <w:t>outheast</w:t>
      </w:r>
      <w:r w:rsidR="002F2390">
        <w:t>ern</w:t>
      </w:r>
      <w:r w:rsidR="00072923" w:rsidRPr="00072923">
        <w:t xml:space="preserve"> Massachusetts </w:t>
      </w:r>
      <w:r w:rsidR="00072923">
        <w:t xml:space="preserve">that would eliminate </w:t>
      </w:r>
      <w:r w:rsidR="00072923" w:rsidRPr="00072923">
        <w:t>the need for any integrator or congestion</w:t>
      </w:r>
      <w:r w:rsidR="002F2390">
        <w:t>-</w:t>
      </w:r>
      <w:r w:rsidR="00072923" w:rsidRPr="00072923">
        <w:t>relief systems</w:t>
      </w:r>
      <w:r w:rsidR="00072923">
        <w:t>. These points of interconnection are assumed as part of the offshore wind t</w:t>
      </w:r>
      <w:r w:rsidR="00072923" w:rsidRPr="00072923">
        <w:t xml:space="preserve">otal </w:t>
      </w:r>
      <w:r w:rsidR="00072923">
        <w:t>o</w:t>
      </w:r>
      <w:r w:rsidR="00072923" w:rsidRPr="00072923">
        <w:t>vernight</w:t>
      </w:r>
      <w:r w:rsidR="00072923">
        <w:t xml:space="preserve"> g</w:t>
      </w:r>
      <w:r w:rsidR="00072923" w:rsidRPr="00072923">
        <w:t xml:space="preserve">enerator </w:t>
      </w:r>
      <w:r w:rsidR="00072923">
        <w:t>c</w:t>
      </w:r>
      <w:r w:rsidR="00072923" w:rsidRPr="00072923">
        <w:t xml:space="preserve">osts and </w:t>
      </w:r>
      <w:r w:rsidR="002F2390">
        <w:t>a</w:t>
      </w:r>
      <w:r w:rsidR="00072923" w:rsidRPr="00072923">
        <w:t xml:space="preserve">nnual </w:t>
      </w:r>
      <w:r w:rsidR="002F2390">
        <w:t>c</w:t>
      </w:r>
      <w:r w:rsidR="00072923" w:rsidRPr="00072923">
        <w:t xml:space="preserve">arrying </w:t>
      </w:r>
      <w:r w:rsidR="002F2390">
        <w:t>c</w:t>
      </w:r>
      <w:r w:rsidR="00072923" w:rsidRPr="00072923">
        <w:t>harges</w:t>
      </w:r>
      <w:r w:rsidR="00072923">
        <w:t>.</w:t>
      </w:r>
      <w:r w:rsidR="002F2390">
        <w:rPr>
          <w:rStyle w:val="FootnoteReference"/>
        </w:rPr>
        <w:footnoteReference w:id="62"/>
      </w:r>
      <w:r w:rsidR="002B05F3">
        <w:t xml:space="preserve">  </w:t>
      </w:r>
    </w:p>
    <w:p w:rsidR="006C02AF" w:rsidRPr="00CE5CA4" w:rsidRDefault="00C67302" w:rsidP="00CE5CA4">
      <w:pPr>
        <w:pStyle w:val="Caption"/>
        <w:jc w:val="center"/>
        <w:rPr>
          <w:color w:val="000000" w:themeColor="text1"/>
        </w:rPr>
      </w:pPr>
      <w:bookmarkStart w:id="192" w:name="_Ref483496696"/>
      <w:bookmarkStart w:id="193" w:name="_Toc486406035"/>
      <w:r w:rsidRPr="00CE5CA4">
        <w:rPr>
          <w:color w:val="000000" w:themeColor="text1"/>
        </w:rPr>
        <w:lastRenderedPageBreak/>
        <w:t xml:space="preserve">Table </w:t>
      </w:r>
      <w:r w:rsidR="004248FE">
        <w:rPr>
          <w:color w:val="000000" w:themeColor="text1"/>
        </w:rPr>
        <w:fldChar w:fldCharType="begin"/>
      </w:r>
      <w:r w:rsidR="004248FE">
        <w:rPr>
          <w:color w:val="000000" w:themeColor="text1"/>
        </w:rPr>
        <w:instrText xml:space="preserve"> STYLEREF 1 \s </w:instrText>
      </w:r>
      <w:r w:rsidR="004248FE">
        <w:rPr>
          <w:color w:val="000000" w:themeColor="text1"/>
        </w:rPr>
        <w:fldChar w:fldCharType="separate"/>
      </w:r>
      <w:r w:rsidR="004248FE">
        <w:rPr>
          <w:noProof/>
          <w:color w:val="000000" w:themeColor="text1"/>
        </w:rPr>
        <w:t>5</w:t>
      </w:r>
      <w:r w:rsidR="004248FE">
        <w:rPr>
          <w:color w:val="000000" w:themeColor="text1"/>
        </w:rPr>
        <w:fldChar w:fldCharType="end"/>
      </w:r>
      <w:r w:rsidR="004248FE">
        <w:rPr>
          <w:color w:val="000000" w:themeColor="text1"/>
        </w:rPr>
        <w:noBreakHyphen/>
      </w:r>
      <w:r w:rsidR="00F52EC3">
        <w:rPr>
          <w:color w:val="000000" w:themeColor="text1"/>
        </w:rPr>
        <w:t>21</w:t>
      </w:r>
      <w:bookmarkEnd w:id="192"/>
      <w:r w:rsidRPr="00CE5CA4">
        <w:rPr>
          <w:color w:val="000000" w:themeColor="text1"/>
        </w:rPr>
        <w:br/>
        <w:t>Summary of High</w:t>
      </w:r>
      <w:r w:rsidR="00B02621" w:rsidRPr="00CE5CA4">
        <w:rPr>
          <w:color w:val="000000" w:themeColor="text1"/>
        </w:rPr>
        <w:t>-</w:t>
      </w:r>
      <w:r w:rsidRPr="00CE5CA4">
        <w:rPr>
          <w:color w:val="000000" w:themeColor="text1"/>
        </w:rPr>
        <w:t xml:space="preserve">Order-of-Magnitude Costs to Integrate Renewable Resources </w:t>
      </w:r>
      <w:r w:rsidR="00D81D4A" w:rsidRPr="00CE5CA4">
        <w:rPr>
          <w:color w:val="000000" w:themeColor="text1"/>
        </w:rPr>
        <w:t>u</w:t>
      </w:r>
      <w:r w:rsidRPr="00CE5CA4">
        <w:rPr>
          <w:color w:val="000000" w:themeColor="text1"/>
        </w:rPr>
        <w:t>nder All Scenarios</w:t>
      </w:r>
      <w:bookmarkEnd w:id="193"/>
    </w:p>
    <w:tbl>
      <w:tblPr>
        <w:tblW w:w="101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20" w:firstRow="1" w:lastRow="0" w:firstColumn="0" w:lastColumn="0" w:noHBand="0" w:noVBand="1"/>
      </w:tblPr>
      <w:tblGrid>
        <w:gridCol w:w="1990"/>
        <w:gridCol w:w="1551"/>
        <w:gridCol w:w="1259"/>
        <w:gridCol w:w="1440"/>
        <w:gridCol w:w="1260"/>
        <w:gridCol w:w="1121"/>
        <w:gridCol w:w="1518"/>
      </w:tblGrid>
      <w:tr w:rsidR="006C02AF" w:rsidRPr="006C02AF" w:rsidTr="002F71DB">
        <w:trPr>
          <w:trHeight w:val="421"/>
          <w:jc w:val="center"/>
        </w:trPr>
        <w:tc>
          <w:tcPr>
            <w:tcW w:w="1990" w:type="dxa"/>
            <w:shd w:val="clear" w:color="auto" w:fill="4F81BD" w:themeFill="accent1"/>
            <w:tcMar>
              <w:top w:w="72" w:type="dxa"/>
              <w:left w:w="144" w:type="dxa"/>
              <w:bottom w:w="72" w:type="dxa"/>
              <w:right w:w="144" w:type="dxa"/>
            </w:tcMar>
            <w:vAlign w:val="center"/>
          </w:tcPr>
          <w:p w:rsidR="006C02AF" w:rsidRPr="006C02AF" w:rsidRDefault="006C02AF" w:rsidP="009D20B2">
            <w:pPr>
              <w:keepNext/>
              <w:keepLines/>
              <w:spacing w:after="0" w:line="240" w:lineRule="auto"/>
              <w:rPr>
                <w:rFonts w:asciiTheme="minorHAnsi" w:hAnsiTheme="minorHAnsi" w:cs="Arial"/>
                <w:color w:val="FFFFFF"/>
                <w:sz w:val="18"/>
                <w:szCs w:val="18"/>
              </w:rPr>
            </w:pPr>
          </w:p>
        </w:tc>
        <w:tc>
          <w:tcPr>
            <w:tcW w:w="1551" w:type="dxa"/>
            <w:shd w:val="clear" w:color="auto" w:fill="4F81BD" w:themeFill="accent1"/>
            <w:tcMar>
              <w:top w:w="72" w:type="dxa"/>
              <w:left w:w="144" w:type="dxa"/>
              <w:bottom w:w="72" w:type="dxa"/>
              <w:right w:w="144" w:type="dxa"/>
            </w:tcMar>
            <w:vAlign w:val="center"/>
          </w:tcPr>
          <w:p w:rsidR="006C02AF" w:rsidRPr="006C02AF" w:rsidRDefault="006C02AF" w:rsidP="009D20B2">
            <w:pPr>
              <w:keepNext/>
              <w:keepLines/>
              <w:spacing w:after="0" w:line="240" w:lineRule="auto"/>
              <w:jc w:val="center"/>
              <w:rPr>
                <w:rFonts w:asciiTheme="minorHAnsi" w:hAnsiTheme="minorHAnsi" w:cs="Arial"/>
                <w:b/>
                <w:bCs/>
                <w:color w:val="FFFFFF"/>
                <w:kern w:val="24"/>
                <w:sz w:val="18"/>
                <w:szCs w:val="18"/>
                <w:highlight w:val="green"/>
              </w:rPr>
            </w:pPr>
            <w:r w:rsidRPr="006C02AF">
              <w:rPr>
                <w:rFonts w:asciiTheme="minorHAnsi" w:hAnsiTheme="minorHAnsi"/>
                <w:b/>
                <w:color w:val="FFFFFF"/>
                <w:sz w:val="18"/>
                <w:szCs w:val="18"/>
              </w:rPr>
              <w:t xml:space="preserve"> Scenario 1</w:t>
            </w:r>
            <w:r w:rsidRPr="006C02AF">
              <w:rPr>
                <w:rFonts w:asciiTheme="minorHAnsi" w:hAnsiTheme="minorHAnsi"/>
                <w:b/>
                <w:color w:val="FFFFFF"/>
                <w:sz w:val="18"/>
                <w:szCs w:val="18"/>
              </w:rPr>
              <w:br/>
              <w:t>RPSs + Gas</w:t>
            </w:r>
            <w:r w:rsidRPr="006C02AF">
              <w:rPr>
                <w:rFonts w:asciiTheme="minorHAnsi" w:hAnsiTheme="minorHAnsi" w:cs="Arial"/>
                <w:b/>
                <w:bCs/>
                <w:color w:val="FFFFFF"/>
                <w:kern w:val="24"/>
                <w:sz w:val="18"/>
                <w:szCs w:val="18"/>
                <w:vertAlign w:val="superscript"/>
              </w:rPr>
              <w:t>(a, b)</w:t>
            </w:r>
          </w:p>
        </w:tc>
        <w:tc>
          <w:tcPr>
            <w:tcW w:w="1259" w:type="dxa"/>
            <w:shd w:val="clear" w:color="auto" w:fill="4F81BD" w:themeFill="accent1"/>
            <w:tcMar>
              <w:top w:w="72" w:type="dxa"/>
              <w:left w:w="144" w:type="dxa"/>
              <w:bottom w:w="72" w:type="dxa"/>
              <w:right w:w="144" w:type="dxa"/>
            </w:tcMar>
            <w:vAlign w:val="center"/>
          </w:tcPr>
          <w:p w:rsidR="006C02AF" w:rsidRPr="006C02AF" w:rsidRDefault="006C02AF" w:rsidP="009D20B2">
            <w:pPr>
              <w:keepNext/>
              <w:keepLines/>
              <w:spacing w:after="0" w:line="240" w:lineRule="auto"/>
              <w:jc w:val="center"/>
              <w:rPr>
                <w:rFonts w:asciiTheme="minorHAnsi" w:hAnsiTheme="minorHAnsi" w:cs="Arial"/>
                <w:b/>
                <w:bCs/>
                <w:color w:val="FFFFFF"/>
                <w:kern w:val="24"/>
                <w:sz w:val="18"/>
                <w:szCs w:val="18"/>
                <w:highlight w:val="green"/>
              </w:rPr>
            </w:pPr>
            <w:r w:rsidRPr="006C02AF">
              <w:rPr>
                <w:rFonts w:asciiTheme="minorHAnsi" w:hAnsiTheme="minorHAnsi"/>
                <w:b/>
                <w:color w:val="FFFFFF"/>
                <w:sz w:val="18"/>
                <w:szCs w:val="18"/>
              </w:rPr>
              <w:t>Scenario 2</w:t>
            </w:r>
            <w:r w:rsidRPr="006C02AF">
              <w:rPr>
                <w:rFonts w:asciiTheme="minorHAnsi" w:hAnsiTheme="minorHAnsi"/>
                <w:b/>
                <w:color w:val="FFFFFF"/>
                <w:sz w:val="18"/>
                <w:szCs w:val="18"/>
              </w:rPr>
              <w:br/>
              <w:t>ISO Queue</w:t>
            </w:r>
            <w:r w:rsidRPr="006C02AF">
              <w:rPr>
                <w:rFonts w:asciiTheme="minorHAnsi" w:hAnsiTheme="minorHAnsi" w:cs="Arial"/>
                <w:b/>
                <w:bCs/>
                <w:color w:val="FFFFFF"/>
                <w:kern w:val="24"/>
                <w:sz w:val="18"/>
                <w:szCs w:val="18"/>
                <w:vertAlign w:val="superscript"/>
              </w:rPr>
              <w:t xml:space="preserve">(b, c) </w:t>
            </w:r>
          </w:p>
        </w:tc>
        <w:tc>
          <w:tcPr>
            <w:tcW w:w="1440" w:type="dxa"/>
            <w:shd w:val="clear" w:color="auto" w:fill="4F81BD" w:themeFill="accent1"/>
            <w:tcMar>
              <w:top w:w="72" w:type="dxa"/>
              <w:left w:w="144" w:type="dxa"/>
              <w:bottom w:w="72" w:type="dxa"/>
              <w:right w:w="144" w:type="dxa"/>
            </w:tcMar>
            <w:vAlign w:val="center"/>
          </w:tcPr>
          <w:p w:rsidR="006C02AF" w:rsidRPr="006C02AF" w:rsidRDefault="006C02AF" w:rsidP="009D20B2">
            <w:pPr>
              <w:keepNext/>
              <w:keepLines/>
              <w:spacing w:after="0" w:line="240" w:lineRule="auto"/>
              <w:jc w:val="center"/>
              <w:rPr>
                <w:rFonts w:asciiTheme="minorHAnsi" w:hAnsiTheme="minorHAnsi" w:cs="Arial"/>
                <w:b/>
                <w:bCs/>
                <w:color w:val="FFFFFF"/>
                <w:kern w:val="24"/>
                <w:sz w:val="18"/>
                <w:szCs w:val="18"/>
                <w:highlight w:val="green"/>
              </w:rPr>
            </w:pPr>
            <w:r w:rsidRPr="006C02AF">
              <w:rPr>
                <w:rFonts w:asciiTheme="minorHAnsi" w:hAnsiTheme="minorHAnsi"/>
                <w:b/>
                <w:color w:val="FFFFFF"/>
                <w:sz w:val="18"/>
                <w:szCs w:val="18"/>
              </w:rPr>
              <w:t>Scenario 3</w:t>
            </w:r>
            <w:r w:rsidRPr="006C02AF">
              <w:rPr>
                <w:rFonts w:asciiTheme="minorHAnsi" w:hAnsiTheme="minorHAnsi"/>
                <w:b/>
                <w:color w:val="FFFFFF"/>
                <w:sz w:val="18"/>
                <w:szCs w:val="18"/>
              </w:rPr>
              <w:br/>
              <w:t>Renewables Plus</w:t>
            </w:r>
            <w:r w:rsidRPr="006C02AF">
              <w:rPr>
                <w:rFonts w:asciiTheme="minorHAnsi" w:hAnsiTheme="minorHAnsi" w:cs="Arial"/>
                <w:b/>
                <w:bCs/>
                <w:color w:val="FFFFFF"/>
                <w:kern w:val="24"/>
                <w:sz w:val="18"/>
                <w:szCs w:val="18"/>
                <w:vertAlign w:val="superscript"/>
              </w:rPr>
              <w:t>(a, b,  c)</w:t>
            </w:r>
          </w:p>
        </w:tc>
        <w:tc>
          <w:tcPr>
            <w:tcW w:w="1260" w:type="dxa"/>
            <w:shd w:val="clear" w:color="auto" w:fill="4F81BD" w:themeFill="accent1"/>
            <w:vAlign w:val="center"/>
          </w:tcPr>
          <w:p w:rsidR="006C02AF" w:rsidRPr="006C02AF" w:rsidRDefault="006C02AF" w:rsidP="009D20B2">
            <w:pPr>
              <w:keepNext/>
              <w:keepLines/>
              <w:spacing w:after="0" w:line="240" w:lineRule="auto"/>
              <w:jc w:val="center"/>
              <w:rPr>
                <w:rFonts w:asciiTheme="minorHAnsi" w:hAnsiTheme="minorHAnsi" w:cs="Arial"/>
                <w:b/>
                <w:bCs/>
                <w:color w:val="FFFFFF"/>
                <w:kern w:val="24"/>
                <w:sz w:val="18"/>
                <w:szCs w:val="18"/>
                <w:highlight w:val="green"/>
              </w:rPr>
            </w:pPr>
            <w:r w:rsidRPr="006C02AF">
              <w:rPr>
                <w:rFonts w:asciiTheme="minorHAnsi" w:hAnsiTheme="minorHAnsi"/>
                <w:b/>
                <w:color w:val="FFFFFF"/>
                <w:sz w:val="18"/>
                <w:szCs w:val="18"/>
              </w:rPr>
              <w:t>Scenario 4</w:t>
            </w:r>
            <w:r w:rsidRPr="006C02AF">
              <w:rPr>
                <w:rFonts w:asciiTheme="minorHAnsi" w:hAnsiTheme="minorHAnsi"/>
                <w:b/>
                <w:color w:val="FFFFFF"/>
                <w:sz w:val="18"/>
                <w:szCs w:val="18"/>
              </w:rPr>
              <w:br/>
              <w:t>No Retirements beyond FCA #10</w:t>
            </w:r>
          </w:p>
        </w:tc>
        <w:tc>
          <w:tcPr>
            <w:tcW w:w="1121" w:type="dxa"/>
            <w:shd w:val="clear" w:color="auto" w:fill="4F81BD" w:themeFill="accent1"/>
            <w:vAlign w:val="center"/>
          </w:tcPr>
          <w:p w:rsidR="006C02AF" w:rsidRPr="006C02AF" w:rsidRDefault="006C02AF" w:rsidP="009D20B2">
            <w:pPr>
              <w:keepNext/>
              <w:keepLines/>
              <w:spacing w:after="0" w:line="240" w:lineRule="auto"/>
              <w:jc w:val="center"/>
              <w:rPr>
                <w:rFonts w:asciiTheme="minorHAnsi" w:hAnsiTheme="minorHAnsi" w:cs="Arial"/>
                <w:b/>
                <w:bCs/>
                <w:color w:val="FFFFFF"/>
                <w:kern w:val="24"/>
                <w:sz w:val="18"/>
                <w:szCs w:val="18"/>
                <w:highlight w:val="green"/>
              </w:rPr>
            </w:pPr>
            <w:r w:rsidRPr="006C02AF">
              <w:rPr>
                <w:rFonts w:asciiTheme="minorHAnsi" w:hAnsiTheme="minorHAnsi"/>
                <w:b/>
                <w:color w:val="FFFFFF"/>
                <w:sz w:val="18"/>
                <w:szCs w:val="18"/>
              </w:rPr>
              <w:t>Scenario 5</w:t>
            </w:r>
            <w:r w:rsidRPr="006C02AF">
              <w:rPr>
                <w:rFonts w:asciiTheme="minorHAnsi" w:hAnsiTheme="minorHAnsi"/>
                <w:b/>
                <w:color w:val="FFFFFF"/>
                <w:sz w:val="18"/>
                <w:szCs w:val="18"/>
              </w:rPr>
              <w:br/>
              <w:t>ACPs + Gas</w:t>
            </w:r>
          </w:p>
        </w:tc>
        <w:tc>
          <w:tcPr>
            <w:tcW w:w="1518" w:type="dxa"/>
            <w:shd w:val="clear" w:color="auto" w:fill="4F81BD" w:themeFill="accent1"/>
            <w:tcMar>
              <w:top w:w="72" w:type="dxa"/>
              <w:left w:w="144" w:type="dxa"/>
              <w:bottom w:w="72" w:type="dxa"/>
              <w:right w:w="144" w:type="dxa"/>
            </w:tcMar>
            <w:vAlign w:val="center"/>
          </w:tcPr>
          <w:p w:rsidR="006C02AF" w:rsidRPr="006C02AF" w:rsidRDefault="006C02AF" w:rsidP="009D20B2">
            <w:pPr>
              <w:keepNext/>
              <w:keepLines/>
              <w:spacing w:after="0" w:line="240" w:lineRule="auto"/>
              <w:jc w:val="center"/>
              <w:rPr>
                <w:rFonts w:asciiTheme="minorHAnsi" w:hAnsiTheme="minorHAnsi" w:cs="Arial"/>
                <w:b/>
                <w:bCs/>
                <w:color w:val="FFFFFF"/>
                <w:kern w:val="24"/>
                <w:sz w:val="18"/>
                <w:szCs w:val="18"/>
                <w:highlight w:val="green"/>
              </w:rPr>
            </w:pPr>
            <w:r w:rsidRPr="006C02AF">
              <w:rPr>
                <w:rFonts w:asciiTheme="minorHAnsi" w:hAnsiTheme="minorHAnsi"/>
                <w:b/>
                <w:color w:val="FFFFFF"/>
                <w:sz w:val="18"/>
                <w:szCs w:val="18"/>
              </w:rPr>
              <w:t>Scenario 6</w:t>
            </w:r>
            <w:r w:rsidRPr="006C02AF">
              <w:rPr>
                <w:rFonts w:asciiTheme="minorHAnsi" w:hAnsiTheme="minorHAnsi"/>
                <w:b/>
                <w:color w:val="FFFFFF"/>
                <w:sz w:val="18"/>
                <w:szCs w:val="18"/>
              </w:rPr>
              <w:br/>
              <w:t>RPSs + Geodiverse Renewables</w:t>
            </w:r>
            <w:r w:rsidRPr="006C02AF">
              <w:rPr>
                <w:rFonts w:asciiTheme="minorHAnsi" w:hAnsiTheme="minorHAnsi" w:cs="Arial"/>
                <w:b/>
                <w:bCs/>
                <w:color w:val="FFFFFF"/>
                <w:kern w:val="24"/>
                <w:sz w:val="18"/>
                <w:szCs w:val="18"/>
                <w:vertAlign w:val="superscript"/>
              </w:rPr>
              <w:t>(b, c)</w:t>
            </w:r>
          </w:p>
        </w:tc>
      </w:tr>
      <w:tr w:rsidR="006C02AF" w:rsidRPr="006C02AF" w:rsidTr="005378E6">
        <w:trPr>
          <w:trHeight w:val="448"/>
          <w:jc w:val="center"/>
        </w:trPr>
        <w:tc>
          <w:tcPr>
            <w:tcW w:w="1990" w:type="dxa"/>
            <w:shd w:val="clear" w:color="auto" w:fill="auto"/>
            <w:tcMar>
              <w:top w:w="72" w:type="dxa"/>
              <w:left w:w="144" w:type="dxa"/>
              <w:bottom w:w="72" w:type="dxa"/>
              <w:right w:w="144" w:type="dxa"/>
            </w:tcMar>
            <w:vAlign w:val="center"/>
            <w:hideMark/>
          </w:tcPr>
          <w:p w:rsidR="006C02AF" w:rsidRPr="006C02AF" w:rsidRDefault="006C02AF" w:rsidP="009D20B2">
            <w:pPr>
              <w:keepNext/>
              <w:keepLines/>
              <w:spacing w:after="0" w:line="240" w:lineRule="auto"/>
              <w:rPr>
                <w:rFonts w:asciiTheme="minorHAnsi" w:hAnsiTheme="minorHAnsi" w:cs="Arial"/>
                <w:sz w:val="18"/>
                <w:szCs w:val="18"/>
              </w:rPr>
            </w:pPr>
            <w:r w:rsidRPr="006C02AF">
              <w:rPr>
                <w:rFonts w:asciiTheme="minorHAnsi" w:hAnsiTheme="minorHAnsi"/>
                <w:b/>
                <w:bCs/>
                <w:kern w:val="24"/>
                <w:sz w:val="18"/>
                <w:szCs w:val="18"/>
              </w:rPr>
              <w:t>2030 Maine nameplate wind injection (MW)</w:t>
            </w:r>
          </w:p>
        </w:tc>
        <w:tc>
          <w:tcPr>
            <w:tcW w:w="1551" w:type="dxa"/>
            <w:shd w:val="clear" w:color="auto" w:fill="auto"/>
            <w:tcMar>
              <w:top w:w="15" w:type="dxa"/>
              <w:left w:w="15" w:type="dxa"/>
              <w:bottom w:w="0" w:type="dxa"/>
              <w:right w:w="15" w:type="dxa"/>
            </w:tcMar>
            <w:vAlign w:val="center"/>
            <w:hideMark/>
          </w:tcPr>
          <w:p w:rsidR="006C02AF" w:rsidRPr="006C02AF" w:rsidRDefault="006C02AF" w:rsidP="009D20B2">
            <w:pPr>
              <w:keepNext/>
              <w:keepLines/>
              <w:spacing w:after="0" w:line="240" w:lineRule="auto"/>
              <w:jc w:val="center"/>
              <w:textAlignment w:val="bottom"/>
              <w:rPr>
                <w:rFonts w:asciiTheme="minorHAnsi" w:hAnsiTheme="minorHAnsi" w:cs="Arial"/>
                <w:sz w:val="18"/>
                <w:szCs w:val="18"/>
              </w:rPr>
            </w:pPr>
            <w:r w:rsidRPr="006C02AF">
              <w:rPr>
                <w:rFonts w:asciiTheme="minorHAnsi" w:hAnsiTheme="minorHAnsi"/>
                <w:bCs/>
                <w:kern w:val="24"/>
                <w:sz w:val="18"/>
                <w:szCs w:val="18"/>
              </w:rPr>
              <w:t>2,955</w:t>
            </w:r>
          </w:p>
        </w:tc>
        <w:tc>
          <w:tcPr>
            <w:tcW w:w="1259" w:type="dxa"/>
            <w:shd w:val="clear" w:color="auto" w:fill="auto"/>
            <w:tcMar>
              <w:top w:w="15" w:type="dxa"/>
              <w:left w:w="15" w:type="dxa"/>
              <w:bottom w:w="0" w:type="dxa"/>
              <w:right w:w="15" w:type="dxa"/>
            </w:tcMar>
            <w:vAlign w:val="center"/>
            <w:hideMark/>
          </w:tcPr>
          <w:p w:rsidR="006C02AF" w:rsidRPr="006C02AF" w:rsidRDefault="006C02AF" w:rsidP="009D20B2">
            <w:pPr>
              <w:keepNext/>
              <w:keepLines/>
              <w:spacing w:after="0" w:line="240" w:lineRule="auto"/>
              <w:jc w:val="center"/>
              <w:textAlignment w:val="bottom"/>
              <w:rPr>
                <w:rFonts w:asciiTheme="minorHAnsi" w:hAnsiTheme="minorHAnsi" w:cs="Arial"/>
                <w:sz w:val="18"/>
                <w:szCs w:val="18"/>
              </w:rPr>
            </w:pPr>
            <w:r w:rsidRPr="006C02AF">
              <w:rPr>
                <w:rFonts w:asciiTheme="minorHAnsi" w:hAnsiTheme="minorHAnsi"/>
                <w:bCs/>
                <w:kern w:val="24"/>
                <w:sz w:val="18"/>
                <w:szCs w:val="18"/>
              </w:rPr>
              <w:t>12,872</w:t>
            </w:r>
          </w:p>
        </w:tc>
        <w:tc>
          <w:tcPr>
            <w:tcW w:w="1440" w:type="dxa"/>
            <w:shd w:val="clear" w:color="auto" w:fill="auto"/>
            <w:tcMar>
              <w:top w:w="15" w:type="dxa"/>
              <w:left w:w="15" w:type="dxa"/>
              <w:bottom w:w="0" w:type="dxa"/>
              <w:right w:w="15" w:type="dxa"/>
            </w:tcMar>
            <w:vAlign w:val="center"/>
            <w:hideMark/>
          </w:tcPr>
          <w:p w:rsidR="006C02AF" w:rsidRPr="006C02AF" w:rsidRDefault="006C02AF" w:rsidP="009D20B2">
            <w:pPr>
              <w:keepNext/>
              <w:keepLines/>
              <w:spacing w:after="0" w:line="240" w:lineRule="auto"/>
              <w:jc w:val="center"/>
              <w:textAlignment w:val="bottom"/>
              <w:rPr>
                <w:rFonts w:asciiTheme="minorHAnsi" w:hAnsiTheme="minorHAnsi" w:cs="Arial"/>
                <w:sz w:val="18"/>
                <w:szCs w:val="18"/>
              </w:rPr>
            </w:pPr>
            <w:r w:rsidRPr="006C02AF">
              <w:rPr>
                <w:rFonts w:asciiTheme="minorHAnsi" w:hAnsiTheme="minorHAnsi"/>
                <w:bCs/>
                <w:kern w:val="24"/>
                <w:sz w:val="18"/>
                <w:szCs w:val="18"/>
              </w:rPr>
              <w:t>3,652</w:t>
            </w:r>
          </w:p>
        </w:tc>
        <w:tc>
          <w:tcPr>
            <w:tcW w:w="1260" w:type="dxa"/>
            <w:vAlign w:val="center"/>
          </w:tcPr>
          <w:p w:rsidR="006C02AF" w:rsidRPr="006C02AF" w:rsidRDefault="006C02AF" w:rsidP="009D20B2">
            <w:pPr>
              <w:keepNext/>
              <w:keepLines/>
              <w:spacing w:after="0" w:line="240" w:lineRule="auto"/>
              <w:jc w:val="center"/>
              <w:rPr>
                <w:rFonts w:asciiTheme="minorHAnsi" w:hAnsiTheme="minorHAnsi" w:cs="Arial"/>
                <w:bCs/>
                <w:kern w:val="24"/>
                <w:sz w:val="18"/>
                <w:szCs w:val="18"/>
              </w:rPr>
            </w:pPr>
            <w:r w:rsidRPr="006C02AF">
              <w:rPr>
                <w:rFonts w:asciiTheme="minorHAnsi" w:hAnsiTheme="minorHAnsi" w:cs="Arial"/>
                <w:bCs/>
                <w:kern w:val="24"/>
                <w:sz w:val="18"/>
                <w:szCs w:val="18"/>
              </w:rPr>
              <w:t>308</w:t>
            </w:r>
          </w:p>
        </w:tc>
        <w:tc>
          <w:tcPr>
            <w:tcW w:w="1121" w:type="dxa"/>
            <w:vAlign w:val="center"/>
          </w:tcPr>
          <w:p w:rsidR="006C02AF" w:rsidRPr="006C02AF" w:rsidRDefault="006C02AF" w:rsidP="009D20B2">
            <w:pPr>
              <w:keepNext/>
              <w:keepLines/>
              <w:spacing w:after="0" w:line="240" w:lineRule="auto"/>
              <w:jc w:val="center"/>
              <w:rPr>
                <w:rFonts w:asciiTheme="minorHAnsi" w:hAnsiTheme="minorHAnsi" w:cs="Arial"/>
                <w:bCs/>
                <w:kern w:val="24"/>
                <w:sz w:val="18"/>
                <w:szCs w:val="18"/>
              </w:rPr>
            </w:pPr>
            <w:r w:rsidRPr="006C02AF">
              <w:rPr>
                <w:rFonts w:asciiTheme="minorHAnsi" w:hAnsiTheme="minorHAnsi" w:cs="Arial"/>
                <w:bCs/>
                <w:kern w:val="24"/>
                <w:sz w:val="18"/>
                <w:szCs w:val="18"/>
              </w:rPr>
              <w:t>308</w:t>
            </w:r>
          </w:p>
        </w:tc>
        <w:tc>
          <w:tcPr>
            <w:tcW w:w="1518" w:type="dxa"/>
            <w:shd w:val="clear" w:color="auto" w:fill="auto"/>
            <w:tcMar>
              <w:top w:w="15" w:type="dxa"/>
              <w:left w:w="15" w:type="dxa"/>
              <w:bottom w:w="0" w:type="dxa"/>
              <w:right w:w="15" w:type="dxa"/>
            </w:tcMar>
            <w:vAlign w:val="center"/>
            <w:hideMark/>
          </w:tcPr>
          <w:p w:rsidR="006C02AF" w:rsidRPr="006C02AF" w:rsidRDefault="006C02AF" w:rsidP="009D20B2">
            <w:pPr>
              <w:keepNext/>
              <w:keepLines/>
              <w:spacing w:after="0" w:line="240" w:lineRule="auto"/>
              <w:jc w:val="center"/>
              <w:textAlignment w:val="bottom"/>
              <w:rPr>
                <w:rFonts w:asciiTheme="minorHAnsi" w:hAnsiTheme="minorHAnsi" w:cs="Arial"/>
                <w:sz w:val="18"/>
                <w:szCs w:val="18"/>
              </w:rPr>
            </w:pPr>
            <w:r w:rsidRPr="006C02AF">
              <w:rPr>
                <w:rFonts w:asciiTheme="minorHAnsi" w:hAnsiTheme="minorHAnsi"/>
                <w:bCs/>
                <w:kern w:val="24"/>
                <w:sz w:val="18"/>
                <w:szCs w:val="18"/>
              </w:rPr>
              <w:t>5,959</w:t>
            </w:r>
          </w:p>
        </w:tc>
      </w:tr>
      <w:tr w:rsidR="006C02AF" w:rsidRPr="006C02AF" w:rsidTr="005378E6">
        <w:trPr>
          <w:trHeight w:val="304"/>
          <w:jc w:val="center"/>
        </w:trPr>
        <w:tc>
          <w:tcPr>
            <w:tcW w:w="1990" w:type="dxa"/>
            <w:shd w:val="clear" w:color="auto" w:fill="auto"/>
            <w:tcMar>
              <w:top w:w="72" w:type="dxa"/>
              <w:left w:w="144" w:type="dxa"/>
              <w:bottom w:w="72" w:type="dxa"/>
              <w:right w:w="144" w:type="dxa"/>
            </w:tcMar>
            <w:vAlign w:val="center"/>
            <w:hideMark/>
          </w:tcPr>
          <w:p w:rsidR="006C02AF" w:rsidRPr="006C02AF" w:rsidRDefault="006C02AF" w:rsidP="009D20B2">
            <w:pPr>
              <w:keepNext/>
              <w:keepLines/>
              <w:spacing w:after="0" w:line="240" w:lineRule="auto"/>
              <w:rPr>
                <w:rFonts w:asciiTheme="minorHAnsi" w:hAnsiTheme="minorHAnsi" w:cs="Arial"/>
                <w:sz w:val="18"/>
                <w:szCs w:val="18"/>
              </w:rPr>
            </w:pPr>
            <w:r w:rsidRPr="006C02AF">
              <w:rPr>
                <w:rFonts w:asciiTheme="minorHAnsi" w:hAnsiTheme="minorHAnsi" w:cs="Arial"/>
                <w:b/>
                <w:bCs/>
                <w:kern w:val="24"/>
                <w:sz w:val="18"/>
                <w:szCs w:val="18"/>
              </w:rPr>
              <w:t>Needed congestion-relief capacity (MW)</w:t>
            </w:r>
          </w:p>
        </w:tc>
        <w:tc>
          <w:tcPr>
            <w:tcW w:w="1551" w:type="dxa"/>
            <w:shd w:val="clear" w:color="auto" w:fill="auto"/>
            <w:tcMar>
              <w:top w:w="72" w:type="dxa"/>
              <w:left w:w="144" w:type="dxa"/>
              <w:bottom w:w="72" w:type="dxa"/>
              <w:right w:w="144" w:type="dxa"/>
            </w:tcMar>
            <w:vAlign w:val="center"/>
            <w:hideMark/>
          </w:tcPr>
          <w:p w:rsidR="006C02AF" w:rsidRPr="006C02AF" w:rsidRDefault="006C02AF" w:rsidP="009D20B2">
            <w:pPr>
              <w:keepNext/>
              <w:keepLines/>
              <w:spacing w:after="0" w:line="240" w:lineRule="auto"/>
              <w:jc w:val="center"/>
              <w:rPr>
                <w:rFonts w:asciiTheme="minorHAnsi" w:hAnsiTheme="minorHAnsi" w:cs="Arial"/>
                <w:sz w:val="18"/>
                <w:szCs w:val="18"/>
              </w:rPr>
            </w:pPr>
            <w:r w:rsidRPr="006C02AF">
              <w:rPr>
                <w:rFonts w:asciiTheme="minorHAnsi" w:hAnsiTheme="minorHAnsi" w:cs="Arial"/>
                <w:bCs/>
                <w:kern w:val="24"/>
                <w:sz w:val="18"/>
                <w:szCs w:val="18"/>
              </w:rPr>
              <w:t>1,471</w:t>
            </w:r>
          </w:p>
        </w:tc>
        <w:tc>
          <w:tcPr>
            <w:tcW w:w="1259" w:type="dxa"/>
            <w:shd w:val="clear" w:color="auto" w:fill="auto"/>
            <w:tcMar>
              <w:top w:w="72" w:type="dxa"/>
              <w:left w:w="144" w:type="dxa"/>
              <w:bottom w:w="72" w:type="dxa"/>
              <w:right w:w="144" w:type="dxa"/>
            </w:tcMar>
            <w:vAlign w:val="center"/>
            <w:hideMark/>
          </w:tcPr>
          <w:p w:rsidR="006C02AF" w:rsidRPr="006C02AF" w:rsidRDefault="006C02AF" w:rsidP="009D20B2">
            <w:pPr>
              <w:keepNext/>
              <w:keepLines/>
              <w:spacing w:after="0" w:line="240" w:lineRule="auto"/>
              <w:jc w:val="center"/>
              <w:rPr>
                <w:rFonts w:asciiTheme="minorHAnsi" w:hAnsiTheme="minorHAnsi" w:cs="Arial"/>
                <w:sz w:val="18"/>
                <w:szCs w:val="18"/>
              </w:rPr>
            </w:pPr>
            <w:r w:rsidRPr="006C02AF">
              <w:rPr>
                <w:rFonts w:asciiTheme="minorHAnsi" w:hAnsiTheme="minorHAnsi" w:cs="Arial"/>
                <w:bCs/>
                <w:kern w:val="24"/>
                <w:sz w:val="18"/>
                <w:szCs w:val="18"/>
              </w:rPr>
              <w:t>9,043</w:t>
            </w:r>
          </w:p>
        </w:tc>
        <w:tc>
          <w:tcPr>
            <w:tcW w:w="1440" w:type="dxa"/>
            <w:shd w:val="clear" w:color="auto" w:fill="auto"/>
            <w:tcMar>
              <w:top w:w="72" w:type="dxa"/>
              <w:left w:w="144" w:type="dxa"/>
              <w:bottom w:w="72" w:type="dxa"/>
              <w:right w:w="144" w:type="dxa"/>
            </w:tcMar>
            <w:vAlign w:val="center"/>
            <w:hideMark/>
          </w:tcPr>
          <w:p w:rsidR="006C02AF" w:rsidRPr="006C02AF" w:rsidRDefault="006C02AF" w:rsidP="009D20B2">
            <w:pPr>
              <w:keepNext/>
              <w:keepLines/>
              <w:spacing w:after="0" w:line="240" w:lineRule="auto"/>
              <w:jc w:val="center"/>
              <w:rPr>
                <w:rFonts w:asciiTheme="minorHAnsi" w:hAnsiTheme="minorHAnsi" w:cs="Arial"/>
                <w:sz w:val="18"/>
                <w:szCs w:val="18"/>
              </w:rPr>
            </w:pPr>
            <w:r w:rsidRPr="006C02AF">
              <w:rPr>
                <w:rFonts w:asciiTheme="minorHAnsi" w:hAnsiTheme="minorHAnsi" w:cs="Arial"/>
                <w:bCs/>
                <w:kern w:val="24"/>
                <w:sz w:val="18"/>
                <w:szCs w:val="18"/>
              </w:rPr>
              <w:t>1,839</w:t>
            </w:r>
          </w:p>
        </w:tc>
        <w:tc>
          <w:tcPr>
            <w:tcW w:w="1260" w:type="dxa"/>
            <w:vAlign w:val="center"/>
          </w:tcPr>
          <w:p w:rsidR="006C02AF" w:rsidRPr="006C02AF" w:rsidRDefault="006C02AF" w:rsidP="009D20B2">
            <w:pPr>
              <w:keepNext/>
              <w:keepLines/>
              <w:spacing w:after="0" w:line="240" w:lineRule="auto"/>
              <w:jc w:val="center"/>
              <w:rPr>
                <w:rFonts w:asciiTheme="minorHAnsi" w:hAnsiTheme="minorHAnsi" w:cs="Arial"/>
                <w:bCs/>
                <w:kern w:val="24"/>
                <w:sz w:val="18"/>
                <w:szCs w:val="18"/>
              </w:rPr>
            </w:pPr>
            <w:r w:rsidRPr="006C02AF">
              <w:rPr>
                <w:rFonts w:asciiTheme="minorHAnsi" w:hAnsiTheme="minorHAnsi" w:cs="Arial"/>
                <w:bCs/>
                <w:kern w:val="24"/>
                <w:sz w:val="18"/>
                <w:szCs w:val="18"/>
              </w:rPr>
              <w:t>---</w:t>
            </w:r>
          </w:p>
        </w:tc>
        <w:tc>
          <w:tcPr>
            <w:tcW w:w="1121" w:type="dxa"/>
            <w:vAlign w:val="center"/>
          </w:tcPr>
          <w:p w:rsidR="006C02AF" w:rsidRPr="006C02AF" w:rsidRDefault="006C02AF" w:rsidP="009D20B2">
            <w:pPr>
              <w:keepNext/>
              <w:keepLines/>
              <w:spacing w:after="0" w:line="240" w:lineRule="auto"/>
              <w:jc w:val="center"/>
              <w:rPr>
                <w:rFonts w:asciiTheme="minorHAnsi" w:hAnsiTheme="minorHAnsi" w:cs="Arial"/>
                <w:bCs/>
                <w:kern w:val="24"/>
                <w:sz w:val="18"/>
                <w:szCs w:val="18"/>
              </w:rPr>
            </w:pPr>
            <w:r w:rsidRPr="006C02AF">
              <w:rPr>
                <w:rFonts w:asciiTheme="minorHAnsi" w:hAnsiTheme="minorHAnsi" w:cs="Arial"/>
                <w:bCs/>
                <w:kern w:val="24"/>
                <w:sz w:val="18"/>
                <w:szCs w:val="18"/>
              </w:rPr>
              <w:t>---</w:t>
            </w:r>
          </w:p>
        </w:tc>
        <w:tc>
          <w:tcPr>
            <w:tcW w:w="1518" w:type="dxa"/>
            <w:shd w:val="clear" w:color="auto" w:fill="auto"/>
            <w:tcMar>
              <w:top w:w="72" w:type="dxa"/>
              <w:left w:w="144" w:type="dxa"/>
              <w:bottom w:w="72" w:type="dxa"/>
              <w:right w:w="144" w:type="dxa"/>
            </w:tcMar>
            <w:vAlign w:val="center"/>
            <w:hideMark/>
          </w:tcPr>
          <w:p w:rsidR="006C02AF" w:rsidRPr="006C02AF" w:rsidRDefault="006C02AF" w:rsidP="009D20B2">
            <w:pPr>
              <w:keepNext/>
              <w:keepLines/>
              <w:spacing w:after="0" w:line="240" w:lineRule="auto"/>
              <w:jc w:val="center"/>
              <w:rPr>
                <w:rFonts w:asciiTheme="minorHAnsi" w:hAnsiTheme="minorHAnsi" w:cs="Arial"/>
                <w:sz w:val="18"/>
                <w:szCs w:val="18"/>
              </w:rPr>
            </w:pPr>
            <w:r w:rsidRPr="006C02AF">
              <w:rPr>
                <w:rFonts w:asciiTheme="minorHAnsi" w:hAnsiTheme="minorHAnsi" w:cs="Arial"/>
                <w:bCs/>
                <w:kern w:val="24"/>
                <w:sz w:val="18"/>
                <w:szCs w:val="18"/>
              </w:rPr>
              <w:t>3,596</w:t>
            </w:r>
          </w:p>
        </w:tc>
      </w:tr>
      <w:tr w:rsidR="006C02AF" w:rsidRPr="006C02AF" w:rsidTr="002F71DB">
        <w:trPr>
          <w:trHeight w:val="322"/>
          <w:jc w:val="center"/>
        </w:trPr>
        <w:tc>
          <w:tcPr>
            <w:tcW w:w="1990" w:type="dxa"/>
            <w:shd w:val="clear" w:color="auto" w:fill="DBE5F1" w:themeFill="accent1" w:themeFillTint="33"/>
            <w:tcMar>
              <w:top w:w="72" w:type="dxa"/>
              <w:left w:w="144" w:type="dxa"/>
              <w:bottom w:w="72" w:type="dxa"/>
              <w:right w:w="144" w:type="dxa"/>
            </w:tcMar>
            <w:vAlign w:val="center"/>
            <w:hideMark/>
          </w:tcPr>
          <w:p w:rsidR="006C02AF" w:rsidRPr="006C02AF" w:rsidRDefault="006C02AF" w:rsidP="009D20B2">
            <w:pPr>
              <w:keepNext/>
              <w:keepLines/>
              <w:spacing w:after="0" w:line="240" w:lineRule="auto"/>
              <w:rPr>
                <w:rFonts w:asciiTheme="minorHAnsi" w:hAnsiTheme="minorHAnsi" w:cs="Arial"/>
                <w:sz w:val="18"/>
                <w:szCs w:val="18"/>
              </w:rPr>
            </w:pPr>
            <w:r w:rsidRPr="006C02AF">
              <w:rPr>
                <w:rFonts w:asciiTheme="minorHAnsi" w:hAnsiTheme="minorHAnsi" w:cs="Arial"/>
                <w:b/>
                <w:bCs/>
                <w:kern w:val="24"/>
                <w:sz w:val="18"/>
                <w:szCs w:val="18"/>
              </w:rPr>
              <w:t>Integrator system (description)</w:t>
            </w:r>
          </w:p>
        </w:tc>
        <w:tc>
          <w:tcPr>
            <w:tcW w:w="1551" w:type="dxa"/>
            <w:shd w:val="clear" w:color="auto" w:fill="DBE5F1" w:themeFill="accent1" w:themeFillTint="33"/>
            <w:tcMar>
              <w:top w:w="72" w:type="dxa"/>
              <w:left w:w="144" w:type="dxa"/>
              <w:bottom w:w="72" w:type="dxa"/>
              <w:right w:w="144" w:type="dxa"/>
            </w:tcMar>
            <w:vAlign w:val="center"/>
            <w:hideMark/>
          </w:tcPr>
          <w:p w:rsidR="006C02AF" w:rsidRPr="006C02AF" w:rsidRDefault="006C02AF" w:rsidP="009D20B2">
            <w:pPr>
              <w:keepNext/>
              <w:keepLines/>
              <w:spacing w:after="0" w:line="240" w:lineRule="auto"/>
              <w:jc w:val="center"/>
              <w:rPr>
                <w:rFonts w:asciiTheme="minorHAnsi" w:hAnsiTheme="minorHAnsi" w:cs="Arial"/>
                <w:sz w:val="18"/>
                <w:szCs w:val="18"/>
              </w:rPr>
            </w:pPr>
            <w:r w:rsidRPr="006C02AF">
              <w:rPr>
                <w:rFonts w:asciiTheme="minorHAnsi" w:hAnsiTheme="minorHAnsi" w:cs="Arial"/>
                <w:bCs/>
                <w:kern w:val="24"/>
                <w:sz w:val="18"/>
                <w:szCs w:val="18"/>
              </w:rPr>
              <w:t>1 AC parallel 345 kV path</w:t>
            </w:r>
          </w:p>
        </w:tc>
        <w:tc>
          <w:tcPr>
            <w:tcW w:w="1259" w:type="dxa"/>
            <w:shd w:val="clear" w:color="auto" w:fill="DBE5F1" w:themeFill="accent1" w:themeFillTint="33"/>
            <w:tcMar>
              <w:top w:w="72" w:type="dxa"/>
              <w:left w:w="144" w:type="dxa"/>
              <w:bottom w:w="72" w:type="dxa"/>
              <w:right w:w="144" w:type="dxa"/>
            </w:tcMar>
            <w:vAlign w:val="center"/>
            <w:hideMark/>
          </w:tcPr>
          <w:p w:rsidR="006C02AF" w:rsidRPr="006C02AF" w:rsidRDefault="006C02AF" w:rsidP="009D20B2">
            <w:pPr>
              <w:keepNext/>
              <w:keepLines/>
              <w:spacing w:after="0" w:line="240" w:lineRule="auto"/>
              <w:jc w:val="center"/>
              <w:rPr>
                <w:rFonts w:asciiTheme="minorHAnsi" w:hAnsiTheme="minorHAnsi" w:cs="Arial"/>
                <w:sz w:val="18"/>
                <w:szCs w:val="18"/>
              </w:rPr>
            </w:pPr>
            <w:r w:rsidRPr="006C02AF">
              <w:rPr>
                <w:rFonts w:asciiTheme="minorHAnsi" w:hAnsiTheme="minorHAnsi" w:cs="Arial"/>
                <w:bCs/>
                <w:kern w:val="24"/>
                <w:sz w:val="18"/>
                <w:szCs w:val="18"/>
              </w:rPr>
              <w:t>---</w:t>
            </w:r>
          </w:p>
        </w:tc>
        <w:tc>
          <w:tcPr>
            <w:tcW w:w="1440" w:type="dxa"/>
            <w:shd w:val="clear" w:color="auto" w:fill="DBE5F1" w:themeFill="accent1" w:themeFillTint="33"/>
            <w:tcMar>
              <w:top w:w="72" w:type="dxa"/>
              <w:left w:w="144" w:type="dxa"/>
              <w:bottom w:w="72" w:type="dxa"/>
              <w:right w:w="144" w:type="dxa"/>
            </w:tcMar>
            <w:vAlign w:val="center"/>
            <w:hideMark/>
          </w:tcPr>
          <w:p w:rsidR="006C02AF" w:rsidRPr="006C02AF" w:rsidRDefault="006C02AF" w:rsidP="009D20B2">
            <w:pPr>
              <w:keepNext/>
              <w:keepLines/>
              <w:spacing w:after="0" w:line="240" w:lineRule="auto"/>
              <w:jc w:val="center"/>
              <w:rPr>
                <w:rFonts w:asciiTheme="minorHAnsi" w:hAnsiTheme="minorHAnsi" w:cs="Arial"/>
                <w:sz w:val="18"/>
                <w:szCs w:val="18"/>
              </w:rPr>
            </w:pPr>
            <w:r w:rsidRPr="006C02AF">
              <w:rPr>
                <w:rFonts w:asciiTheme="minorHAnsi" w:hAnsiTheme="minorHAnsi"/>
                <w:bCs/>
                <w:kern w:val="24"/>
                <w:sz w:val="18"/>
                <w:szCs w:val="18"/>
              </w:rPr>
              <w:t>2 AC parallel 345 kV paths</w:t>
            </w:r>
          </w:p>
        </w:tc>
        <w:tc>
          <w:tcPr>
            <w:tcW w:w="1260" w:type="dxa"/>
            <w:shd w:val="clear" w:color="auto" w:fill="DBE5F1" w:themeFill="accent1" w:themeFillTint="33"/>
            <w:vAlign w:val="center"/>
          </w:tcPr>
          <w:p w:rsidR="006C02AF" w:rsidRPr="006C02AF" w:rsidRDefault="006C02AF" w:rsidP="009D20B2">
            <w:pPr>
              <w:keepNext/>
              <w:keepLines/>
              <w:spacing w:after="0" w:line="240" w:lineRule="auto"/>
              <w:jc w:val="center"/>
              <w:rPr>
                <w:rFonts w:asciiTheme="minorHAnsi" w:hAnsiTheme="minorHAnsi" w:cs="Arial"/>
                <w:bCs/>
                <w:kern w:val="24"/>
                <w:sz w:val="18"/>
                <w:szCs w:val="18"/>
              </w:rPr>
            </w:pPr>
            <w:r w:rsidRPr="006C02AF">
              <w:rPr>
                <w:rFonts w:asciiTheme="minorHAnsi" w:hAnsiTheme="minorHAnsi" w:cs="Arial"/>
                <w:bCs/>
                <w:kern w:val="24"/>
                <w:sz w:val="18"/>
                <w:szCs w:val="18"/>
              </w:rPr>
              <w:t>---</w:t>
            </w:r>
          </w:p>
        </w:tc>
        <w:tc>
          <w:tcPr>
            <w:tcW w:w="1121" w:type="dxa"/>
            <w:shd w:val="clear" w:color="auto" w:fill="DBE5F1" w:themeFill="accent1" w:themeFillTint="33"/>
            <w:vAlign w:val="center"/>
          </w:tcPr>
          <w:p w:rsidR="006C02AF" w:rsidRPr="006C02AF" w:rsidRDefault="006C02AF" w:rsidP="009D20B2">
            <w:pPr>
              <w:keepNext/>
              <w:keepLines/>
              <w:spacing w:after="0" w:line="240" w:lineRule="auto"/>
              <w:jc w:val="center"/>
              <w:rPr>
                <w:rFonts w:asciiTheme="minorHAnsi" w:hAnsiTheme="minorHAnsi" w:cs="Arial"/>
                <w:bCs/>
                <w:kern w:val="24"/>
                <w:sz w:val="18"/>
                <w:szCs w:val="18"/>
              </w:rPr>
            </w:pPr>
            <w:r w:rsidRPr="006C02AF">
              <w:rPr>
                <w:rFonts w:asciiTheme="minorHAnsi" w:hAnsiTheme="minorHAnsi" w:cs="Arial"/>
                <w:bCs/>
                <w:kern w:val="24"/>
                <w:sz w:val="18"/>
                <w:szCs w:val="18"/>
              </w:rPr>
              <w:t>---</w:t>
            </w:r>
          </w:p>
        </w:tc>
        <w:tc>
          <w:tcPr>
            <w:tcW w:w="1518" w:type="dxa"/>
            <w:shd w:val="clear" w:color="auto" w:fill="DBE5F1" w:themeFill="accent1" w:themeFillTint="33"/>
            <w:tcMar>
              <w:top w:w="72" w:type="dxa"/>
              <w:left w:w="144" w:type="dxa"/>
              <w:bottom w:w="72" w:type="dxa"/>
              <w:right w:w="144" w:type="dxa"/>
            </w:tcMar>
            <w:vAlign w:val="center"/>
            <w:hideMark/>
          </w:tcPr>
          <w:p w:rsidR="006C02AF" w:rsidRPr="006C02AF" w:rsidRDefault="006C02AF" w:rsidP="009D20B2">
            <w:pPr>
              <w:keepNext/>
              <w:keepLines/>
              <w:spacing w:after="0" w:line="240" w:lineRule="auto"/>
              <w:jc w:val="center"/>
              <w:rPr>
                <w:rFonts w:asciiTheme="minorHAnsi" w:hAnsiTheme="minorHAnsi" w:cs="Arial"/>
                <w:sz w:val="18"/>
                <w:szCs w:val="18"/>
              </w:rPr>
            </w:pPr>
            <w:r w:rsidRPr="006C02AF">
              <w:rPr>
                <w:rFonts w:asciiTheme="minorHAnsi" w:hAnsiTheme="minorHAnsi" w:cs="Arial"/>
                <w:bCs/>
                <w:kern w:val="24"/>
                <w:sz w:val="18"/>
                <w:szCs w:val="18"/>
              </w:rPr>
              <w:t>---</w:t>
            </w:r>
          </w:p>
        </w:tc>
      </w:tr>
      <w:tr w:rsidR="006C02AF" w:rsidRPr="006C02AF" w:rsidTr="002F71DB">
        <w:trPr>
          <w:trHeight w:val="367"/>
          <w:jc w:val="center"/>
        </w:trPr>
        <w:tc>
          <w:tcPr>
            <w:tcW w:w="1990" w:type="dxa"/>
            <w:shd w:val="clear" w:color="auto" w:fill="DBE5F1" w:themeFill="accent1" w:themeFillTint="33"/>
            <w:tcMar>
              <w:top w:w="72" w:type="dxa"/>
              <w:left w:w="144" w:type="dxa"/>
              <w:bottom w:w="72" w:type="dxa"/>
              <w:right w:w="144" w:type="dxa"/>
            </w:tcMar>
            <w:vAlign w:val="center"/>
          </w:tcPr>
          <w:p w:rsidR="006C02AF" w:rsidRPr="006C02AF" w:rsidRDefault="006C02AF" w:rsidP="009D20B2">
            <w:pPr>
              <w:keepNext/>
              <w:keepLines/>
              <w:spacing w:after="0" w:line="240" w:lineRule="auto"/>
              <w:rPr>
                <w:rFonts w:asciiTheme="minorHAnsi" w:hAnsiTheme="minorHAnsi" w:cs="Arial"/>
                <w:sz w:val="18"/>
                <w:szCs w:val="18"/>
              </w:rPr>
            </w:pPr>
            <w:r w:rsidRPr="006C02AF">
              <w:rPr>
                <w:rFonts w:asciiTheme="minorHAnsi" w:hAnsiTheme="minorHAnsi" w:cs="Arial"/>
                <w:b/>
                <w:bCs/>
                <w:kern w:val="24"/>
                <w:sz w:val="18"/>
                <w:szCs w:val="18"/>
              </w:rPr>
              <w:t>Integrator system cost ($ billion)</w:t>
            </w:r>
          </w:p>
        </w:tc>
        <w:tc>
          <w:tcPr>
            <w:tcW w:w="1551" w:type="dxa"/>
            <w:shd w:val="clear" w:color="auto" w:fill="DBE5F1" w:themeFill="accent1" w:themeFillTint="33"/>
            <w:tcMar>
              <w:top w:w="72" w:type="dxa"/>
              <w:left w:w="144" w:type="dxa"/>
              <w:bottom w:w="72" w:type="dxa"/>
              <w:right w:w="144" w:type="dxa"/>
            </w:tcMar>
            <w:vAlign w:val="center"/>
          </w:tcPr>
          <w:p w:rsidR="006C02AF" w:rsidRPr="006C02AF" w:rsidRDefault="006C02AF" w:rsidP="009D20B2">
            <w:pPr>
              <w:keepNext/>
              <w:keepLines/>
              <w:spacing w:after="0" w:line="240" w:lineRule="auto"/>
              <w:jc w:val="center"/>
              <w:rPr>
                <w:rFonts w:asciiTheme="minorHAnsi" w:hAnsiTheme="minorHAnsi" w:cs="Arial"/>
                <w:sz w:val="18"/>
                <w:szCs w:val="18"/>
              </w:rPr>
            </w:pPr>
            <w:r w:rsidRPr="006C02AF">
              <w:rPr>
                <w:rFonts w:asciiTheme="minorHAnsi" w:hAnsiTheme="minorHAnsi" w:cs="Arial"/>
                <w:bCs/>
                <w:kern w:val="24"/>
                <w:sz w:val="18"/>
                <w:szCs w:val="18"/>
              </w:rPr>
              <w:t>$1.50 to $3.00</w:t>
            </w:r>
          </w:p>
        </w:tc>
        <w:tc>
          <w:tcPr>
            <w:tcW w:w="1259" w:type="dxa"/>
            <w:shd w:val="clear" w:color="auto" w:fill="DBE5F1" w:themeFill="accent1" w:themeFillTint="33"/>
            <w:tcMar>
              <w:top w:w="72" w:type="dxa"/>
              <w:left w:w="144" w:type="dxa"/>
              <w:bottom w:w="72" w:type="dxa"/>
              <w:right w:w="144" w:type="dxa"/>
            </w:tcMar>
            <w:vAlign w:val="center"/>
          </w:tcPr>
          <w:p w:rsidR="006C02AF" w:rsidRPr="006C02AF" w:rsidRDefault="006C02AF" w:rsidP="009D20B2">
            <w:pPr>
              <w:keepNext/>
              <w:keepLines/>
              <w:spacing w:after="0" w:line="240" w:lineRule="auto"/>
              <w:jc w:val="center"/>
              <w:rPr>
                <w:rFonts w:asciiTheme="minorHAnsi" w:hAnsiTheme="minorHAnsi" w:cs="Arial"/>
                <w:sz w:val="18"/>
                <w:szCs w:val="18"/>
              </w:rPr>
            </w:pPr>
            <w:r w:rsidRPr="006C02AF">
              <w:rPr>
                <w:rFonts w:asciiTheme="minorHAnsi" w:hAnsiTheme="minorHAnsi" w:cs="Arial"/>
                <w:bCs/>
                <w:kern w:val="24"/>
                <w:sz w:val="18"/>
                <w:szCs w:val="18"/>
              </w:rPr>
              <w:t>---</w:t>
            </w:r>
          </w:p>
        </w:tc>
        <w:tc>
          <w:tcPr>
            <w:tcW w:w="1440" w:type="dxa"/>
            <w:shd w:val="clear" w:color="auto" w:fill="DBE5F1" w:themeFill="accent1" w:themeFillTint="33"/>
            <w:tcMar>
              <w:top w:w="72" w:type="dxa"/>
              <w:left w:w="144" w:type="dxa"/>
              <w:bottom w:w="72" w:type="dxa"/>
              <w:right w:w="144" w:type="dxa"/>
            </w:tcMar>
            <w:vAlign w:val="center"/>
          </w:tcPr>
          <w:p w:rsidR="006C02AF" w:rsidRPr="006C02AF" w:rsidRDefault="006C02AF" w:rsidP="009D20B2">
            <w:pPr>
              <w:keepNext/>
              <w:keepLines/>
              <w:spacing w:after="0" w:line="240" w:lineRule="auto"/>
              <w:jc w:val="center"/>
              <w:rPr>
                <w:rFonts w:asciiTheme="minorHAnsi" w:hAnsiTheme="minorHAnsi" w:cs="Arial"/>
                <w:sz w:val="18"/>
                <w:szCs w:val="18"/>
              </w:rPr>
            </w:pPr>
            <w:r w:rsidRPr="006C02AF">
              <w:rPr>
                <w:rFonts w:asciiTheme="minorHAnsi" w:hAnsiTheme="minorHAnsi" w:cs="Arial"/>
                <w:bCs/>
                <w:kern w:val="24"/>
                <w:sz w:val="18"/>
                <w:szCs w:val="18"/>
              </w:rPr>
              <w:t>$1.50 to $3.00</w:t>
            </w:r>
          </w:p>
        </w:tc>
        <w:tc>
          <w:tcPr>
            <w:tcW w:w="1260" w:type="dxa"/>
            <w:shd w:val="clear" w:color="auto" w:fill="DBE5F1" w:themeFill="accent1" w:themeFillTint="33"/>
            <w:vAlign w:val="center"/>
          </w:tcPr>
          <w:p w:rsidR="006C02AF" w:rsidRPr="006C02AF" w:rsidRDefault="006C02AF" w:rsidP="009D20B2">
            <w:pPr>
              <w:keepNext/>
              <w:keepLines/>
              <w:spacing w:after="0" w:line="240" w:lineRule="auto"/>
              <w:jc w:val="center"/>
              <w:rPr>
                <w:rFonts w:asciiTheme="minorHAnsi" w:hAnsiTheme="minorHAnsi" w:cs="Arial"/>
                <w:bCs/>
                <w:kern w:val="24"/>
                <w:sz w:val="18"/>
                <w:szCs w:val="18"/>
              </w:rPr>
            </w:pPr>
            <w:r w:rsidRPr="006C02AF">
              <w:rPr>
                <w:rFonts w:asciiTheme="minorHAnsi" w:hAnsiTheme="minorHAnsi" w:cs="Arial"/>
                <w:bCs/>
                <w:kern w:val="24"/>
                <w:sz w:val="18"/>
                <w:szCs w:val="18"/>
              </w:rPr>
              <w:t>---</w:t>
            </w:r>
          </w:p>
        </w:tc>
        <w:tc>
          <w:tcPr>
            <w:tcW w:w="1121" w:type="dxa"/>
            <w:shd w:val="clear" w:color="auto" w:fill="DBE5F1" w:themeFill="accent1" w:themeFillTint="33"/>
            <w:vAlign w:val="center"/>
          </w:tcPr>
          <w:p w:rsidR="006C02AF" w:rsidRPr="006C02AF" w:rsidRDefault="006C02AF" w:rsidP="009D20B2">
            <w:pPr>
              <w:keepNext/>
              <w:keepLines/>
              <w:spacing w:after="0" w:line="240" w:lineRule="auto"/>
              <w:jc w:val="center"/>
              <w:rPr>
                <w:rFonts w:asciiTheme="minorHAnsi" w:hAnsiTheme="minorHAnsi" w:cs="Arial"/>
                <w:bCs/>
                <w:kern w:val="24"/>
                <w:sz w:val="18"/>
                <w:szCs w:val="18"/>
              </w:rPr>
            </w:pPr>
            <w:r w:rsidRPr="006C02AF">
              <w:rPr>
                <w:rFonts w:asciiTheme="minorHAnsi" w:hAnsiTheme="minorHAnsi" w:cs="Arial"/>
                <w:bCs/>
                <w:kern w:val="24"/>
                <w:sz w:val="18"/>
                <w:szCs w:val="18"/>
              </w:rPr>
              <w:t>---</w:t>
            </w:r>
          </w:p>
        </w:tc>
        <w:tc>
          <w:tcPr>
            <w:tcW w:w="1518" w:type="dxa"/>
            <w:shd w:val="clear" w:color="auto" w:fill="DBE5F1" w:themeFill="accent1" w:themeFillTint="33"/>
            <w:tcMar>
              <w:top w:w="72" w:type="dxa"/>
              <w:left w:w="144" w:type="dxa"/>
              <w:bottom w:w="72" w:type="dxa"/>
              <w:right w:w="144" w:type="dxa"/>
            </w:tcMar>
            <w:vAlign w:val="center"/>
          </w:tcPr>
          <w:p w:rsidR="006C02AF" w:rsidRPr="006C02AF" w:rsidRDefault="006C02AF" w:rsidP="009D20B2">
            <w:pPr>
              <w:keepNext/>
              <w:keepLines/>
              <w:spacing w:after="0" w:line="240" w:lineRule="auto"/>
              <w:jc w:val="center"/>
              <w:rPr>
                <w:rFonts w:asciiTheme="minorHAnsi" w:hAnsiTheme="minorHAnsi" w:cs="Arial"/>
                <w:sz w:val="18"/>
                <w:szCs w:val="18"/>
              </w:rPr>
            </w:pPr>
            <w:r w:rsidRPr="006C02AF">
              <w:rPr>
                <w:rFonts w:asciiTheme="minorHAnsi" w:hAnsiTheme="minorHAnsi" w:cs="Arial"/>
                <w:bCs/>
                <w:kern w:val="24"/>
                <w:sz w:val="18"/>
                <w:szCs w:val="18"/>
              </w:rPr>
              <w:t>---</w:t>
            </w:r>
          </w:p>
        </w:tc>
      </w:tr>
      <w:tr w:rsidR="006C02AF" w:rsidRPr="006C02AF" w:rsidTr="002F71DB">
        <w:trPr>
          <w:trHeight w:val="367"/>
          <w:jc w:val="center"/>
        </w:trPr>
        <w:tc>
          <w:tcPr>
            <w:tcW w:w="1990" w:type="dxa"/>
            <w:shd w:val="clear" w:color="auto" w:fill="DBE5F1" w:themeFill="accent1" w:themeFillTint="33"/>
            <w:tcMar>
              <w:top w:w="72" w:type="dxa"/>
              <w:left w:w="144" w:type="dxa"/>
              <w:bottom w:w="72" w:type="dxa"/>
              <w:right w:w="144" w:type="dxa"/>
            </w:tcMar>
            <w:vAlign w:val="center"/>
            <w:hideMark/>
          </w:tcPr>
          <w:p w:rsidR="006C02AF" w:rsidRPr="006C02AF" w:rsidRDefault="006C02AF" w:rsidP="008A12AF">
            <w:pPr>
              <w:keepNext/>
              <w:keepLines/>
              <w:spacing w:after="0" w:line="240" w:lineRule="auto"/>
              <w:rPr>
                <w:rFonts w:asciiTheme="minorHAnsi" w:hAnsiTheme="minorHAnsi" w:cs="Arial"/>
                <w:sz w:val="18"/>
                <w:szCs w:val="18"/>
              </w:rPr>
            </w:pPr>
            <w:r w:rsidRPr="006C02AF">
              <w:rPr>
                <w:rFonts w:asciiTheme="minorHAnsi" w:hAnsiTheme="minorHAnsi" w:cs="Arial"/>
                <w:b/>
                <w:bCs/>
                <w:kern w:val="24"/>
                <w:sz w:val="18"/>
                <w:szCs w:val="18"/>
              </w:rPr>
              <w:t>Integrator system cost + 50% margin</w:t>
            </w:r>
            <w:r w:rsidR="008A12AF">
              <w:rPr>
                <w:rFonts w:asciiTheme="minorHAnsi" w:hAnsiTheme="minorHAnsi" w:cs="Arial"/>
                <w:b/>
                <w:bCs/>
                <w:kern w:val="24"/>
                <w:sz w:val="18"/>
                <w:szCs w:val="18"/>
              </w:rPr>
              <w:br/>
            </w:r>
            <w:r w:rsidRPr="006C02AF">
              <w:rPr>
                <w:rFonts w:asciiTheme="minorHAnsi" w:hAnsiTheme="minorHAnsi" w:cs="Arial"/>
                <w:b/>
                <w:bCs/>
                <w:kern w:val="24"/>
                <w:sz w:val="18"/>
                <w:szCs w:val="18"/>
              </w:rPr>
              <w:t>($ billion)</w:t>
            </w:r>
          </w:p>
        </w:tc>
        <w:tc>
          <w:tcPr>
            <w:tcW w:w="1551" w:type="dxa"/>
            <w:shd w:val="clear" w:color="auto" w:fill="DBE5F1" w:themeFill="accent1" w:themeFillTint="33"/>
            <w:tcMar>
              <w:top w:w="72" w:type="dxa"/>
              <w:left w:w="144" w:type="dxa"/>
              <w:bottom w:w="72" w:type="dxa"/>
              <w:right w:w="144" w:type="dxa"/>
            </w:tcMar>
            <w:vAlign w:val="center"/>
            <w:hideMark/>
          </w:tcPr>
          <w:p w:rsidR="006C02AF" w:rsidRPr="006C02AF" w:rsidRDefault="006C02AF" w:rsidP="009D20B2">
            <w:pPr>
              <w:keepNext/>
              <w:keepLines/>
              <w:spacing w:after="0" w:line="240" w:lineRule="auto"/>
              <w:jc w:val="center"/>
              <w:rPr>
                <w:rFonts w:asciiTheme="minorHAnsi" w:hAnsiTheme="minorHAnsi" w:cs="Arial"/>
                <w:sz w:val="18"/>
                <w:szCs w:val="18"/>
              </w:rPr>
            </w:pPr>
            <w:r w:rsidRPr="006C02AF">
              <w:rPr>
                <w:rFonts w:asciiTheme="minorHAnsi" w:hAnsiTheme="minorHAnsi" w:cs="Arial"/>
                <w:bCs/>
                <w:kern w:val="24"/>
                <w:sz w:val="18"/>
                <w:szCs w:val="18"/>
              </w:rPr>
              <w:t>$2.25 to $4.50</w:t>
            </w:r>
          </w:p>
        </w:tc>
        <w:tc>
          <w:tcPr>
            <w:tcW w:w="1259" w:type="dxa"/>
            <w:shd w:val="clear" w:color="auto" w:fill="DBE5F1" w:themeFill="accent1" w:themeFillTint="33"/>
            <w:tcMar>
              <w:top w:w="72" w:type="dxa"/>
              <w:left w:w="144" w:type="dxa"/>
              <w:bottom w:w="72" w:type="dxa"/>
              <w:right w:w="144" w:type="dxa"/>
            </w:tcMar>
            <w:vAlign w:val="center"/>
            <w:hideMark/>
          </w:tcPr>
          <w:p w:rsidR="006C02AF" w:rsidRPr="006C02AF" w:rsidRDefault="006C02AF" w:rsidP="009D20B2">
            <w:pPr>
              <w:keepNext/>
              <w:keepLines/>
              <w:spacing w:after="0" w:line="240" w:lineRule="auto"/>
              <w:jc w:val="center"/>
              <w:rPr>
                <w:rFonts w:asciiTheme="minorHAnsi" w:hAnsiTheme="minorHAnsi" w:cs="Arial"/>
                <w:sz w:val="18"/>
                <w:szCs w:val="18"/>
              </w:rPr>
            </w:pPr>
            <w:r w:rsidRPr="006C02AF">
              <w:rPr>
                <w:rFonts w:asciiTheme="minorHAnsi" w:hAnsiTheme="minorHAnsi" w:cs="Arial"/>
                <w:bCs/>
                <w:kern w:val="24"/>
                <w:sz w:val="18"/>
                <w:szCs w:val="18"/>
              </w:rPr>
              <w:t>---</w:t>
            </w:r>
          </w:p>
        </w:tc>
        <w:tc>
          <w:tcPr>
            <w:tcW w:w="1440" w:type="dxa"/>
            <w:shd w:val="clear" w:color="auto" w:fill="DBE5F1" w:themeFill="accent1" w:themeFillTint="33"/>
            <w:tcMar>
              <w:top w:w="72" w:type="dxa"/>
              <w:left w:w="144" w:type="dxa"/>
              <w:bottom w:w="72" w:type="dxa"/>
              <w:right w:w="144" w:type="dxa"/>
            </w:tcMar>
            <w:vAlign w:val="center"/>
            <w:hideMark/>
          </w:tcPr>
          <w:p w:rsidR="006C02AF" w:rsidRPr="006C02AF" w:rsidRDefault="006C02AF" w:rsidP="009D20B2">
            <w:pPr>
              <w:keepNext/>
              <w:keepLines/>
              <w:spacing w:after="0" w:line="240" w:lineRule="auto"/>
              <w:jc w:val="center"/>
              <w:rPr>
                <w:rFonts w:asciiTheme="minorHAnsi" w:hAnsiTheme="minorHAnsi" w:cs="Arial"/>
                <w:sz w:val="18"/>
                <w:szCs w:val="18"/>
              </w:rPr>
            </w:pPr>
            <w:r w:rsidRPr="006C02AF">
              <w:rPr>
                <w:rFonts w:asciiTheme="minorHAnsi" w:hAnsiTheme="minorHAnsi" w:cs="Arial"/>
                <w:bCs/>
                <w:kern w:val="24"/>
                <w:sz w:val="18"/>
                <w:szCs w:val="18"/>
              </w:rPr>
              <w:t>$2.25 to $4.50</w:t>
            </w:r>
          </w:p>
        </w:tc>
        <w:tc>
          <w:tcPr>
            <w:tcW w:w="1260" w:type="dxa"/>
            <w:shd w:val="clear" w:color="auto" w:fill="DBE5F1" w:themeFill="accent1" w:themeFillTint="33"/>
            <w:vAlign w:val="center"/>
          </w:tcPr>
          <w:p w:rsidR="006C02AF" w:rsidRPr="006C02AF" w:rsidRDefault="006C02AF" w:rsidP="009D20B2">
            <w:pPr>
              <w:keepNext/>
              <w:keepLines/>
              <w:spacing w:after="0" w:line="240" w:lineRule="auto"/>
              <w:jc w:val="center"/>
              <w:rPr>
                <w:rFonts w:asciiTheme="minorHAnsi" w:hAnsiTheme="minorHAnsi" w:cs="Arial"/>
                <w:bCs/>
                <w:kern w:val="24"/>
                <w:sz w:val="18"/>
                <w:szCs w:val="18"/>
              </w:rPr>
            </w:pPr>
            <w:r w:rsidRPr="006C02AF">
              <w:rPr>
                <w:rFonts w:asciiTheme="minorHAnsi" w:hAnsiTheme="minorHAnsi" w:cs="Arial"/>
                <w:bCs/>
                <w:kern w:val="24"/>
                <w:sz w:val="18"/>
                <w:szCs w:val="18"/>
              </w:rPr>
              <w:t>---</w:t>
            </w:r>
          </w:p>
        </w:tc>
        <w:tc>
          <w:tcPr>
            <w:tcW w:w="1121" w:type="dxa"/>
            <w:shd w:val="clear" w:color="auto" w:fill="DBE5F1" w:themeFill="accent1" w:themeFillTint="33"/>
            <w:vAlign w:val="center"/>
          </w:tcPr>
          <w:p w:rsidR="006C02AF" w:rsidRPr="006C02AF" w:rsidRDefault="006C02AF" w:rsidP="009D20B2">
            <w:pPr>
              <w:keepNext/>
              <w:keepLines/>
              <w:spacing w:after="0" w:line="240" w:lineRule="auto"/>
              <w:jc w:val="center"/>
              <w:rPr>
                <w:rFonts w:asciiTheme="minorHAnsi" w:hAnsiTheme="minorHAnsi" w:cs="Arial"/>
                <w:bCs/>
                <w:kern w:val="24"/>
                <w:sz w:val="18"/>
                <w:szCs w:val="18"/>
              </w:rPr>
            </w:pPr>
            <w:r w:rsidRPr="006C02AF">
              <w:rPr>
                <w:rFonts w:asciiTheme="minorHAnsi" w:hAnsiTheme="minorHAnsi" w:cs="Arial"/>
                <w:bCs/>
                <w:kern w:val="24"/>
                <w:sz w:val="18"/>
                <w:szCs w:val="18"/>
              </w:rPr>
              <w:t>---</w:t>
            </w:r>
          </w:p>
        </w:tc>
        <w:tc>
          <w:tcPr>
            <w:tcW w:w="1518" w:type="dxa"/>
            <w:shd w:val="clear" w:color="auto" w:fill="DBE5F1" w:themeFill="accent1" w:themeFillTint="33"/>
            <w:tcMar>
              <w:top w:w="72" w:type="dxa"/>
              <w:left w:w="144" w:type="dxa"/>
              <w:bottom w:w="72" w:type="dxa"/>
              <w:right w:w="144" w:type="dxa"/>
            </w:tcMar>
            <w:vAlign w:val="center"/>
            <w:hideMark/>
          </w:tcPr>
          <w:p w:rsidR="006C02AF" w:rsidRPr="006C02AF" w:rsidRDefault="006C02AF" w:rsidP="009D20B2">
            <w:pPr>
              <w:keepNext/>
              <w:keepLines/>
              <w:spacing w:after="0" w:line="240" w:lineRule="auto"/>
              <w:jc w:val="center"/>
              <w:rPr>
                <w:rFonts w:asciiTheme="minorHAnsi" w:hAnsiTheme="minorHAnsi" w:cs="Arial"/>
                <w:sz w:val="18"/>
                <w:szCs w:val="18"/>
              </w:rPr>
            </w:pPr>
            <w:r w:rsidRPr="006C02AF">
              <w:rPr>
                <w:rFonts w:asciiTheme="minorHAnsi" w:hAnsiTheme="minorHAnsi" w:cs="Arial"/>
                <w:bCs/>
                <w:kern w:val="24"/>
                <w:sz w:val="18"/>
                <w:szCs w:val="18"/>
              </w:rPr>
              <w:t>---</w:t>
            </w:r>
          </w:p>
        </w:tc>
      </w:tr>
      <w:tr w:rsidR="006C02AF" w:rsidRPr="006C02AF" w:rsidTr="005378E6">
        <w:trPr>
          <w:trHeight w:val="385"/>
          <w:jc w:val="center"/>
        </w:trPr>
        <w:tc>
          <w:tcPr>
            <w:tcW w:w="1990" w:type="dxa"/>
            <w:shd w:val="clear" w:color="auto" w:fill="auto"/>
            <w:tcMar>
              <w:top w:w="72" w:type="dxa"/>
              <w:left w:w="144" w:type="dxa"/>
              <w:bottom w:w="72" w:type="dxa"/>
              <w:right w:w="144" w:type="dxa"/>
            </w:tcMar>
            <w:vAlign w:val="center"/>
            <w:hideMark/>
          </w:tcPr>
          <w:p w:rsidR="006C02AF" w:rsidRPr="006C02AF" w:rsidRDefault="006C02AF" w:rsidP="009D20B2">
            <w:pPr>
              <w:keepNext/>
              <w:keepLines/>
              <w:spacing w:after="0" w:line="240" w:lineRule="auto"/>
              <w:rPr>
                <w:rFonts w:asciiTheme="minorHAnsi" w:hAnsiTheme="minorHAnsi" w:cs="Arial"/>
                <w:sz w:val="18"/>
                <w:szCs w:val="18"/>
              </w:rPr>
            </w:pPr>
            <w:r w:rsidRPr="006C02AF">
              <w:rPr>
                <w:rFonts w:asciiTheme="minorHAnsi" w:hAnsiTheme="minorHAnsi" w:cs="Arial"/>
                <w:b/>
                <w:bCs/>
                <w:kern w:val="24"/>
                <w:sz w:val="18"/>
                <w:szCs w:val="18"/>
              </w:rPr>
              <w:t>Congestion-relief system (description)</w:t>
            </w:r>
          </w:p>
        </w:tc>
        <w:tc>
          <w:tcPr>
            <w:tcW w:w="1551" w:type="dxa"/>
            <w:shd w:val="clear" w:color="auto" w:fill="auto"/>
            <w:tcMar>
              <w:top w:w="72" w:type="dxa"/>
              <w:left w:w="144" w:type="dxa"/>
              <w:bottom w:w="72" w:type="dxa"/>
              <w:right w:w="144" w:type="dxa"/>
            </w:tcMar>
            <w:vAlign w:val="center"/>
            <w:hideMark/>
          </w:tcPr>
          <w:p w:rsidR="006C02AF" w:rsidRPr="006C02AF" w:rsidRDefault="006C02AF" w:rsidP="009D20B2">
            <w:pPr>
              <w:keepNext/>
              <w:keepLines/>
              <w:spacing w:after="0" w:line="240" w:lineRule="auto"/>
              <w:jc w:val="center"/>
              <w:rPr>
                <w:rFonts w:asciiTheme="minorHAnsi" w:hAnsiTheme="minorHAnsi" w:cs="Arial"/>
                <w:sz w:val="18"/>
                <w:szCs w:val="18"/>
              </w:rPr>
            </w:pPr>
            <w:r w:rsidRPr="006C02AF">
              <w:rPr>
                <w:rFonts w:asciiTheme="minorHAnsi" w:hAnsiTheme="minorHAnsi" w:cs="Arial"/>
                <w:bCs/>
                <w:kern w:val="24"/>
                <w:sz w:val="18"/>
                <w:szCs w:val="18"/>
              </w:rPr>
              <w:t>Connecting Larrabee 345 kV to the Hub</w:t>
            </w:r>
          </w:p>
        </w:tc>
        <w:tc>
          <w:tcPr>
            <w:tcW w:w="1259" w:type="dxa"/>
            <w:shd w:val="clear" w:color="auto" w:fill="auto"/>
            <w:tcMar>
              <w:top w:w="72" w:type="dxa"/>
              <w:left w:w="144" w:type="dxa"/>
              <w:bottom w:w="72" w:type="dxa"/>
              <w:right w:w="144" w:type="dxa"/>
            </w:tcMar>
            <w:vAlign w:val="center"/>
            <w:hideMark/>
          </w:tcPr>
          <w:p w:rsidR="006C02AF" w:rsidRPr="006C02AF" w:rsidRDefault="006C02AF" w:rsidP="009D20B2">
            <w:pPr>
              <w:keepNext/>
              <w:keepLines/>
              <w:spacing w:after="0" w:line="240" w:lineRule="auto"/>
              <w:jc w:val="center"/>
              <w:rPr>
                <w:rFonts w:asciiTheme="minorHAnsi" w:hAnsiTheme="minorHAnsi" w:cs="Arial"/>
                <w:sz w:val="18"/>
                <w:szCs w:val="18"/>
              </w:rPr>
            </w:pPr>
            <w:r w:rsidRPr="006C02AF">
              <w:rPr>
                <w:rFonts w:asciiTheme="minorHAnsi" w:hAnsiTheme="minorHAnsi"/>
                <w:bCs/>
                <w:kern w:val="24"/>
                <w:sz w:val="18"/>
                <w:szCs w:val="18"/>
              </w:rPr>
              <w:t>Connecting POIs directly to the Hub</w:t>
            </w:r>
          </w:p>
        </w:tc>
        <w:tc>
          <w:tcPr>
            <w:tcW w:w="1440" w:type="dxa"/>
            <w:shd w:val="clear" w:color="auto" w:fill="auto"/>
            <w:tcMar>
              <w:top w:w="72" w:type="dxa"/>
              <w:left w:w="144" w:type="dxa"/>
              <w:bottom w:w="72" w:type="dxa"/>
              <w:right w:w="144" w:type="dxa"/>
            </w:tcMar>
            <w:vAlign w:val="center"/>
            <w:hideMark/>
          </w:tcPr>
          <w:p w:rsidR="006C02AF" w:rsidRPr="006C02AF" w:rsidRDefault="006C02AF" w:rsidP="009D20B2">
            <w:pPr>
              <w:keepNext/>
              <w:keepLines/>
              <w:spacing w:after="0" w:line="240" w:lineRule="auto"/>
              <w:jc w:val="center"/>
              <w:rPr>
                <w:rFonts w:asciiTheme="minorHAnsi" w:hAnsiTheme="minorHAnsi" w:cs="Arial"/>
                <w:sz w:val="18"/>
                <w:szCs w:val="18"/>
              </w:rPr>
            </w:pPr>
            <w:r w:rsidRPr="006C02AF">
              <w:rPr>
                <w:rFonts w:asciiTheme="minorHAnsi" w:hAnsiTheme="minorHAnsi"/>
                <w:bCs/>
                <w:kern w:val="24"/>
                <w:sz w:val="18"/>
                <w:szCs w:val="18"/>
              </w:rPr>
              <w:t>Connecting Larrabee 345 kV to the Hub</w:t>
            </w:r>
          </w:p>
        </w:tc>
        <w:tc>
          <w:tcPr>
            <w:tcW w:w="1260" w:type="dxa"/>
            <w:vAlign w:val="center"/>
          </w:tcPr>
          <w:p w:rsidR="006C02AF" w:rsidRPr="006C02AF" w:rsidRDefault="006C02AF" w:rsidP="009D20B2">
            <w:pPr>
              <w:keepNext/>
              <w:keepLines/>
              <w:spacing w:after="0" w:line="240" w:lineRule="auto"/>
              <w:jc w:val="center"/>
              <w:rPr>
                <w:rFonts w:asciiTheme="minorHAnsi" w:hAnsiTheme="minorHAnsi" w:cs="Arial"/>
                <w:bCs/>
                <w:kern w:val="24"/>
                <w:sz w:val="18"/>
                <w:szCs w:val="18"/>
              </w:rPr>
            </w:pPr>
            <w:r w:rsidRPr="006C02AF">
              <w:rPr>
                <w:rFonts w:asciiTheme="minorHAnsi" w:hAnsiTheme="minorHAnsi" w:cs="Arial"/>
                <w:bCs/>
                <w:kern w:val="24"/>
                <w:sz w:val="18"/>
                <w:szCs w:val="18"/>
              </w:rPr>
              <w:t>---</w:t>
            </w:r>
          </w:p>
        </w:tc>
        <w:tc>
          <w:tcPr>
            <w:tcW w:w="1121" w:type="dxa"/>
            <w:vAlign w:val="center"/>
          </w:tcPr>
          <w:p w:rsidR="006C02AF" w:rsidRPr="006C02AF" w:rsidRDefault="006C02AF" w:rsidP="009D20B2">
            <w:pPr>
              <w:keepNext/>
              <w:keepLines/>
              <w:spacing w:after="0" w:line="240" w:lineRule="auto"/>
              <w:jc w:val="center"/>
              <w:rPr>
                <w:rFonts w:asciiTheme="minorHAnsi" w:hAnsiTheme="minorHAnsi" w:cs="Arial"/>
                <w:bCs/>
                <w:kern w:val="24"/>
                <w:sz w:val="18"/>
                <w:szCs w:val="18"/>
              </w:rPr>
            </w:pPr>
            <w:r w:rsidRPr="006C02AF">
              <w:rPr>
                <w:rFonts w:asciiTheme="minorHAnsi" w:hAnsiTheme="minorHAnsi" w:cs="Arial"/>
                <w:bCs/>
                <w:kern w:val="24"/>
                <w:sz w:val="18"/>
                <w:szCs w:val="18"/>
              </w:rPr>
              <w:t>---</w:t>
            </w:r>
          </w:p>
        </w:tc>
        <w:tc>
          <w:tcPr>
            <w:tcW w:w="1518" w:type="dxa"/>
            <w:shd w:val="clear" w:color="auto" w:fill="auto"/>
            <w:tcMar>
              <w:top w:w="72" w:type="dxa"/>
              <w:left w:w="144" w:type="dxa"/>
              <w:bottom w:w="72" w:type="dxa"/>
              <w:right w:w="144" w:type="dxa"/>
            </w:tcMar>
            <w:vAlign w:val="center"/>
            <w:hideMark/>
          </w:tcPr>
          <w:p w:rsidR="006C02AF" w:rsidRPr="006C02AF" w:rsidRDefault="006C02AF" w:rsidP="009D20B2">
            <w:pPr>
              <w:keepNext/>
              <w:keepLines/>
              <w:spacing w:after="0" w:line="240" w:lineRule="auto"/>
              <w:jc w:val="center"/>
              <w:rPr>
                <w:rFonts w:asciiTheme="minorHAnsi" w:hAnsiTheme="minorHAnsi" w:cs="Arial"/>
                <w:sz w:val="18"/>
                <w:szCs w:val="18"/>
              </w:rPr>
            </w:pPr>
            <w:r w:rsidRPr="006C02AF">
              <w:rPr>
                <w:rFonts w:asciiTheme="minorHAnsi" w:hAnsiTheme="minorHAnsi"/>
                <w:bCs/>
                <w:kern w:val="24"/>
                <w:sz w:val="18"/>
                <w:szCs w:val="18"/>
              </w:rPr>
              <w:t>Connecting POIs directly to the Hub</w:t>
            </w:r>
          </w:p>
        </w:tc>
      </w:tr>
      <w:tr w:rsidR="006C02AF" w:rsidRPr="006C02AF" w:rsidTr="005378E6">
        <w:trPr>
          <w:trHeight w:val="376"/>
          <w:jc w:val="center"/>
        </w:trPr>
        <w:tc>
          <w:tcPr>
            <w:tcW w:w="1990" w:type="dxa"/>
            <w:tcBorders>
              <w:bottom w:val="single" w:sz="2" w:space="0" w:color="auto"/>
            </w:tcBorders>
            <w:shd w:val="clear" w:color="auto" w:fill="auto"/>
            <w:tcMar>
              <w:top w:w="72" w:type="dxa"/>
              <w:left w:w="144" w:type="dxa"/>
              <w:bottom w:w="72" w:type="dxa"/>
              <w:right w:w="144" w:type="dxa"/>
            </w:tcMar>
            <w:vAlign w:val="center"/>
            <w:hideMark/>
          </w:tcPr>
          <w:p w:rsidR="006C02AF" w:rsidRPr="006C02AF" w:rsidRDefault="006C02AF" w:rsidP="009D20B2">
            <w:pPr>
              <w:keepNext/>
              <w:keepLines/>
              <w:spacing w:after="0" w:line="240" w:lineRule="auto"/>
              <w:rPr>
                <w:rFonts w:asciiTheme="minorHAnsi" w:hAnsiTheme="minorHAnsi" w:cs="Arial"/>
                <w:sz w:val="18"/>
                <w:szCs w:val="18"/>
              </w:rPr>
            </w:pPr>
            <w:r w:rsidRPr="006C02AF">
              <w:rPr>
                <w:rFonts w:asciiTheme="minorHAnsi" w:hAnsiTheme="minorHAnsi" w:cs="Arial"/>
                <w:b/>
                <w:bCs/>
                <w:kern w:val="24"/>
                <w:sz w:val="18"/>
                <w:szCs w:val="18"/>
              </w:rPr>
              <w:t>Congestion-relief system cost</w:t>
            </w:r>
          </w:p>
          <w:p w:rsidR="006C02AF" w:rsidRPr="006C02AF" w:rsidRDefault="006C02AF" w:rsidP="009D20B2">
            <w:pPr>
              <w:keepNext/>
              <w:keepLines/>
              <w:spacing w:after="0" w:line="240" w:lineRule="auto"/>
              <w:rPr>
                <w:rFonts w:asciiTheme="minorHAnsi" w:hAnsiTheme="minorHAnsi" w:cs="Arial"/>
                <w:sz w:val="18"/>
                <w:szCs w:val="18"/>
              </w:rPr>
            </w:pPr>
            <w:r w:rsidRPr="006C02AF">
              <w:rPr>
                <w:rFonts w:asciiTheme="minorHAnsi" w:hAnsiTheme="minorHAnsi" w:cs="Arial"/>
                <w:b/>
                <w:bCs/>
                <w:kern w:val="24"/>
                <w:sz w:val="18"/>
                <w:szCs w:val="18"/>
              </w:rPr>
              <w:t>($ billion)</w:t>
            </w:r>
          </w:p>
        </w:tc>
        <w:tc>
          <w:tcPr>
            <w:tcW w:w="1551" w:type="dxa"/>
            <w:tcBorders>
              <w:bottom w:val="single" w:sz="2" w:space="0" w:color="auto"/>
            </w:tcBorders>
            <w:shd w:val="clear" w:color="auto" w:fill="auto"/>
            <w:tcMar>
              <w:top w:w="15" w:type="dxa"/>
              <w:left w:w="15" w:type="dxa"/>
              <w:bottom w:w="0" w:type="dxa"/>
              <w:right w:w="15" w:type="dxa"/>
            </w:tcMar>
            <w:vAlign w:val="center"/>
            <w:hideMark/>
          </w:tcPr>
          <w:p w:rsidR="006C02AF" w:rsidRPr="006C02AF" w:rsidRDefault="006C02AF" w:rsidP="009D20B2">
            <w:pPr>
              <w:keepNext/>
              <w:keepLines/>
              <w:spacing w:after="0" w:line="240" w:lineRule="auto"/>
              <w:jc w:val="center"/>
              <w:textAlignment w:val="center"/>
              <w:rPr>
                <w:rFonts w:asciiTheme="minorHAnsi" w:hAnsiTheme="minorHAnsi" w:cs="Arial"/>
                <w:sz w:val="18"/>
                <w:szCs w:val="18"/>
              </w:rPr>
            </w:pPr>
            <w:r w:rsidRPr="006C02AF">
              <w:rPr>
                <w:rFonts w:asciiTheme="minorHAnsi" w:hAnsiTheme="minorHAnsi" w:cs="Arial"/>
                <w:bCs/>
                <w:kern w:val="24"/>
                <w:sz w:val="18"/>
                <w:szCs w:val="18"/>
              </w:rPr>
              <w:t>$3.71</w:t>
            </w:r>
          </w:p>
        </w:tc>
        <w:tc>
          <w:tcPr>
            <w:tcW w:w="1259" w:type="dxa"/>
            <w:tcBorders>
              <w:bottom w:val="single" w:sz="2" w:space="0" w:color="auto"/>
            </w:tcBorders>
            <w:shd w:val="clear" w:color="auto" w:fill="auto"/>
            <w:tcMar>
              <w:top w:w="15" w:type="dxa"/>
              <w:left w:w="15" w:type="dxa"/>
              <w:bottom w:w="0" w:type="dxa"/>
              <w:right w:w="15" w:type="dxa"/>
            </w:tcMar>
            <w:vAlign w:val="center"/>
            <w:hideMark/>
          </w:tcPr>
          <w:p w:rsidR="006C02AF" w:rsidRPr="006C02AF" w:rsidRDefault="006C02AF" w:rsidP="009D20B2">
            <w:pPr>
              <w:keepNext/>
              <w:keepLines/>
              <w:spacing w:after="0" w:line="240" w:lineRule="auto"/>
              <w:jc w:val="center"/>
              <w:textAlignment w:val="center"/>
              <w:rPr>
                <w:rFonts w:asciiTheme="minorHAnsi" w:hAnsiTheme="minorHAnsi" w:cs="Arial"/>
                <w:sz w:val="18"/>
                <w:szCs w:val="18"/>
              </w:rPr>
            </w:pPr>
            <w:r w:rsidRPr="006C02AF">
              <w:rPr>
                <w:rFonts w:asciiTheme="minorHAnsi" w:hAnsiTheme="minorHAnsi" w:cs="Arial"/>
                <w:bCs/>
                <w:kern w:val="24"/>
                <w:sz w:val="18"/>
                <w:szCs w:val="18"/>
              </w:rPr>
              <w:t>$20.03</w:t>
            </w:r>
          </w:p>
        </w:tc>
        <w:tc>
          <w:tcPr>
            <w:tcW w:w="1440" w:type="dxa"/>
            <w:tcBorders>
              <w:bottom w:val="single" w:sz="2" w:space="0" w:color="auto"/>
            </w:tcBorders>
            <w:shd w:val="clear" w:color="auto" w:fill="auto"/>
            <w:tcMar>
              <w:top w:w="15" w:type="dxa"/>
              <w:left w:w="15" w:type="dxa"/>
              <w:bottom w:w="0" w:type="dxa"/>
              <w:right w:w="15" w:type="dxa"/>
            </w:tcMar>
            <w:vAlign w:val="center"/>
            <w:hideMark/>
          </w:tcPr>
          <w:p w:rsidR="006C02AF" w:rsidRPr="006C02AF" w:rsidRDefault="006C02AF" w:rsidP="009D20B2">
            <w:pPr>
              <w:keepNext/>
              <w:keepLines/>
              <w:spacing w:after="0" w:line="240" w:lineRule="auto"/>
              <w:jc w:val="center"/>
              <w:textAlignment w:val="center"/>
              <w:rPr>
                <w:rFonts w:asciiTheme="minorHAnsi" w:hAnsiTheme="minorHAnsi" w:cs="Arial"/>
                <w:sz w:val="18"/>
                <w:szCs w:val="18"/>
              </w:rPr>
            </w:pPr>
            <w:r w:rsidRPr="006C02AF">
              <w:rPr>
                <w:rFonts w:asciiTheme="minorHAnsi" w:hAnsiTheme="minorHAnsi" w:cs="Arial"/>
                <w:bCs/>
                <w:kern w:val="24"/>
                <w:sz w:val="18"/>
                <w:szCs w:val="18"/>
              </w:rPr>
              <w:t>$3.73</w:t>
            </w:r>
          </w:p>
        </w:tc>
        <w:tc>
          <w:tcPr>
            <w:tcW w:w="1260" w:type="dxa"/>
            <w:tcBorders>
              <w:bottom w:val="single" w:sz="2" w:space="0" w:color="auto"/>
            </w:tcBorders>
            <w:vAlign w:val="center"/>
          </w:tcPr>
          <w:p w:rsidR="006C02AF" w:rsidRPr="006C02AF" w:rsidRDefault="006C02AF" w:rsidP="009D20B2">
            <w:pPr>
              <w:keepNext/>
              <w:keepLines/>
              <w:spacing w:after="0" w:line="240" w:lineRule="auto"/>
              <w:jc w:val="center"/>
              <w:rPr>
                <w:rFonts w:asciiTheme="minorHAnsi" w:hAnsiTheme="minorHAnsi" w:cs="Arial"/>
                <w:bCs/>
                <w:kern w:val="24"/>
                <w:sz w:val="18"/>
                <w:szCs w:val="18"/>
              </w:rPr>
            </w:pPr>
            <w:r w:rsidRPr="006C02AF">
              <w:rPr>
                <w:rFonts w:asciiTheme="minorHAnsi" w:hAnsiTheme="minorHAnsi" w:cs="Arial"/>
                <w:bCs/>
                <w:kern w:val="24"/>
                <w:sz w:val="18"/>
                <w:szCs w:val="18"/>
              </w:rPr>
              <w:t>---</w:t>
            </w:r>
          </w:p>
        </w:tc>
        <w:tc>
          <w:tcPr>
            <w:tcW w:w="1121" w:type="dxa"/>
            <w:tcBorders>
              <w:bottom w:val="single" w:sz="2" w:space="0" w:color="auto"/>
            </w:tcBorders>
            <w:vAlign w:val="center"/>
          </w:tcPr>
          <w:p w:rsidR="006C02AF" w:rsidRPr="006C02AF" w:rsidRDefault="006C02AF" w:rsidP="009D20B2">
            <w:pPr>
              <w:keepNext/>
              <w:keepLines/>
              <w:spacing w:after="0" w:line="240" w:lineRule="auto"/>
              <w:jc w:val="center"/>
              <w:rPr>
                <w:rFonts w:asciiTheme="minorHAnsi" w:hAnsiTheme="minorHAnsi" w:cs="Arial"/>
                <w:bCs/>
                <w:kern w:val="24"/>
                <w:sz w:val="18"/>
                <w:szCs w:val="18"/>
              </w:rPr>
            </w:pPr>
            <w:r w:rsidRPr="006C02AF">
              <w:rPr>
                <w:rFonts w:asciiTheme="minorHAnsi" w:hAnsiTheme="minorHAnsi" w:cs="Arial"/>
                <w:bCs/>
                <w:kern w:val="24"/>
                <w:sz w:val="18"/>
                <w:szCs w:val="18"/>
              </w:rPr>
              <w:t>---</w:t>
            </w:r>
          </w:p>
        </w:tc>
        <w:tc>
          <w:tcPr>
            <w:tcW w:w="1518" w:type="dxa"/>
            <w:tcBorders>
              <w:bottom w:val="single" w:sz="2" w:space="0" w:color="auto"/>
            </w:tcBorders>
            <w:shd w:val="clear" w:color="auto" w:fill="auto"/>
            <w:tcMar>
              <w:top w:w="15" w:type="dxa"/>
              <w:left w:w="15" w:type="dxa"/>
              <w:bottom w:w="0" w:type="dxa"/>
              <w:right w:w="15" w:type="dxa"/>
            </w:tcMar>
            <w:vAlign w:val="center"/>
            <w:hideMark/>
          </w:tcPr>
          <w:p w:rsidR="006C02AF" w:rsidRPr="006C02AF" w:rsidRDefault="006C02AF" w:rsidP="009D20B2">
            <w:pPr>
              <w:keepNext/>
              <w:keepLines/>
              <w:spacing w:after="0" w:line="240" w:lineRule="auto"/>
              <w:jc w:val="center"/>
              <w:textAlignment w:val="center"/>
              <w:rPr>
                <w:rFonts w:asciiTheme="minorHAnsi" w:hAnsiTheme="minorHAnsi" w:cs="Arial"/>
                <w:sz w:val="18"/>
                <w:szCs w:val="18"/>
              </w:rPr>
            </w:pPr>
            <w:r w:rsidRPr="006C02AF">
              <w:rPr>
                <w:rFonts w:asciiTheme="minorHAnsi" w:hAnsiTheme="minorHAnsi" w:cs="Arial"/>
                <w:bCs/>
                <w:kern w:val="24"/>
                <w:sz w:val="18"/>
                <w:szCs w:val="18"/>
              </w:rPr>
              <w:t>$8.03</w:t>
            </w:r>
          </w:p>
        </w:tc>
      </w:tr>
      <w:tr w:rsidR="006C02AF" w:rsidRPr="006C02AF" w:rsidTr="005378E6">
        <w:trPr>
          <w:trHeight w:val="376"/>
          <w:jc w:val="center"/>
        </w:trPr>
        <w:tc>
          <w:tcPr>
            <w:tcW w:w="1990" w:type="dxa"/>
            <w:shd w:val="clear" w:color="auto" w:fill="FFFFFF"/>
            <w:tcMar>
              <w:top w:w="72" w:type="dxa"/>
              <w:left w:w="144" w:type="dxa"/>
              <w:bottom w:w="72" w:type="dxa"/>
              <w:right w:w="144" w:type="dxa"/>
            </w:tcMar>
            <w:vAlign w:val="center"/>
            <w:hideMark/>
          </w:tcPr>
          <w:p w:rsidR="006C02AF" w:rsidRPr="006C02AF" w:rsidRDefault="006C02AF" w:rsidP="009D20B2">
            <w:pPr>
              <w:keepNext/>
              <w:keepLines/>
              <w:spacing w:after="0" w:line="240" w:lineRule="auto"/>
              <w:rPr>
                <w:rFonts w:asciiTheme="minorHAnsi" w:hAnsiTheme="minorHAnsi" w:cs="Arial"/>
                <w:sz w:val="18"/>
                <w:szCs w:val="18"/>
              </w:rPr>
            </w:pPr>
            <w:r w:rsidRPr="006C02AF">
              <w:rPr>
                <w:rFonts w:asciiTheme="minorHAnsi" w:hAnsiTheme="minorHAnsi" w:cs="Arial"/>
                <w:b/>
                <w:bCs/>
                <w:kern w:val="24"/>
                <w:sz w:val="18"/>
                <w:szCs w:val="18"/>
              </w:rPr>
              <w:t>Congestion-relief system cost + 50% margin</w:t>
            </w:r>
          </w:p>
          <w:p w:rsidR="006C02AF" w:rsidRPr="006C02AF" w:rsidRDefault="006C02AF" w:rsidP="009D20B2">
            <w:pPr>
              <w:keepNext/>
              <w:keepLines/>
              <w:spacing w:after="0" w:line="240" w:lineRule="auto"/>
              <w:rPr>
                <w:rFonts w:asciiTheme="minorHAnsi" w:hAnsiTheme="minorHAnsi" w:cs="Arial"/>
                <w:sz w:val="18"/>
                <w:szCs w:val="18"/>
              </w:rPr>
            </w:pPr>
            <w:r w:rsidRPr="006C02AF">
              <w:rPr>
                <w:rFonts w:asciiTheme="minorHAnsi" w:hAnsiTheme="minorHAnsi" w:cs="Arial"/>
                <w:b/>
                <w:bCs/>
                <w:kern w:val="24"/>
                <w:sz w:val="18"/>
                <w:szCs w:val="18"/>
              </w:rPr>
              <w:t>($ billion)</w:t>
            </w:r>
          </w:p>
        </w:tc>
        <w:tc>
          <w:tcPr>
            <w:tcW w:w="1551" w:type="dxa"/>
            <w:shd w:val="clear" w:color="auto" w:fill="FFFFFF"/>
            <w:tcMar>
              <w:top w:w="15" w:type="dxa"/>
              <w:left w:w="15" w:type="dxa"/>
              <w:bottom w:w="0" w:type="dxa"/>
              <w:right w:w="15" w:type="dxa"/>
            </w:tcMar>
            <w:vAlign w:val="center"/>
            <w:hideMark/>
          </w:tcPr>
          <w:p w:rsidR="006C02AF" w:rsidRPr="006C02AF" w:rsidRDefault="006C02AF" w:rsidP="009D20B2">
            <w:pPr>
              <w:keepNext/>
              <w:keepLines/>
              <w:spacing w:after="0" w:line="240" w:lineRule="auto"/>
              <w:jc w:val="center"/>
              <w:textAlignment w:val="center"/>
              <w:rPr>
                <w:rFonts w:asciiTheme="minorHAnsi" w:hAnsiTheme="minorHAnsi" w:cs="Arial"/>
                <w:sz w:val="18"/>
                <w:szCs w:val="18"/>
              </w:rPr>
            </w:pPr>
            <w:r w:rsidRPr="006C02AF">
              <w:rPr>
                <w:rFonts w:asciiTheme="minorHAnsi" w:hAnsiTheme="minorHAnsi" w:cs="Arial"/>
                <w:bCs/>
                <w:kern w:val="24"/>
                <w:sz w:val="18"/>
                <w:szCs w:val="18"/>
              </w:rPr>
              <w:t>$5.57</w:t>
            </w:r>
          </w:p>
        </w:tc>
        <w:tc>
          <w:tcPr>
            <w:tcW w:w="1259" w:type="dxa"/>
            <w:shd w:val="clear" w:color="auto" w:fill="FFFFFF"/>
            <w:tcMar>
              <w:top w:w="15" w:type="dxa"/>
              <w:left w:w="15" w:type="dxa"/>
              <w:bottom w:w="0" w:type="dxa"/>
              <w:right w:w="15" w:type="dxa"/>
            </w:tcMar>
            <w:vAlign w:val="center"/>
            <w:hideMark/>
          </w:tcPr>
          <w:p w:rsidR="006C02AF" w:rsidRPr="006C02AF" w:rsidRDefault="006C02AF" w:rsidP="009D20B2">
            <w:pPr>
              <w:keepNext/>
              <w:keepLines/>
              <w:spacing w:after="0" w:line="240" w:lineRule="auto"/>
              <w:jc w:val="center"/>
              <w:textAlignment w:val="center"/>
              <w:rPr>
                <w:rFonts w:asciiTheme="minorHAnsi" w:hAnsiTheme="minorHAnsi" w:cs="Arial"/>
                <w:sz w:val="18"/>
                <w:szCs w:val="18"/>
              </w:rPr>
            </w:pPr>
            <w:r w:rsidRPr="006C02AF">
              <w:rPr>
                <w:rFonts w:asciiTheme="minorHAnsi" w:hAnsiTheme="minorHAnsi" w:cs="Arial"/>
                <w:bCs/>
                <w:kern w:val="24"/>
                <w:sz w:val="18"/>
                <w:szCs w:val="18"/>
              </w:rPr>
              <w:t>$30.05</w:t>
            </w:r>
          </w:p>
        </w:tc>
        <w:tc>
          <w:tcPr>
            <w:tcW w:w="1440" w:type="dxa"/>
            <w:shd w:val="clear" w:color="auto" w:fill="FFFFFF"/>
            <w:tcMar>
              <w:top w:w="15" w:type="dxa"/>
              <w:left w:w="15" w:type="dxa"/>
              <w:bottom w:w="0" w:type="dxa"/>
              <w:right w:w="15" w:type="dxa"/>
            </w:tcMar>
            <w:vAlign w:val="center"/>
            <w:hideMark/>
          </w:tcPr>
          <w:p w:rsidR="006C02AF" w:rsidRPr="006C02AF" w:rsidRDefault="006C02AF" w:rsidP="009D20B2">
            <w:pPr>
              <w:keepNext/>
              <w:keepLines/>
              <w:spacing w:after="0" w:line="240" w:lineRule="auto"/>
              <w:jc w:val="center"/>
              <w:textAlignment w:val="center"/>
              <w:rPr>
                <w:rFonts w:asciiTheme="minorHAnsi" w:hAnsiTheme="minorHAnsi" w:cs="Arial"/>
                <w:sz w:val="18"/>
                <w:szCs w:val="18"/>
              </w:rPr>
            </w:pPr>
            <w:r w:rsidRPr="006C02AF">
              <w:rPr>
                <w:rFonts w:asciiTheme="minorHAnsi" w:hAnsiTheme="minorHAnsi" w:cs="Arial"/>
                <w:bCs/>
                <w:kern w:val="24"/>
                <w:sz w:val="18"/>
                <w:szCs w:val="18"/>
              </w:rPr>
              <w:t>$5.60</w:t>
            </w:r>
          </w:p>
        </w:tc>
        <w:tc>
          <w:tcPr>
            <w:tcW w:w="1260" w:type="dxa"/>
            <w:shd w:val="clear" w:color="auto" w:fill="FFFFFF"/>
            <w:vAlign w:val="center"/>
          </w:tcPr>
          <w:p w:rsidR="006C02AF" w:rsidRPr="006C02AF" w:rsidRDefault="006C02AF" w:rsidP="009D20B2">
            <w:pPr>
              <w:keepNext/>
              <w:keepLines/>
              <w:spacing w:after="0" w:line="240" w:lineRule="auto"/>
              <w:jc w:val="center"/>
              <w:rPr>
                <w:rFonts w:asciiTheme="minorHAnsi" w:hAnsiTheme="minorHAnsi" w:cs="Arial"/>
                <w:bCs/>
                <w:kern w:val="24"/>
                <w:sz w:val="18"/>
                <w:szCs w:val="18"/>
              </w:rPr>
            </w:pPr>
            <w:r w:rsidRPr="006C02AF">
              <w:rPr>
                <w:rFonts w:asciiTheme="minorHAnsi" w:hAnsiTheme="minorHAnsi" w:cs="Arial"/>
                <w:bCs/>
                <w:kern w:val="24"/>
                <w:sz w:val="18"/>
                <w:szCs w:val="18"/>
              </w:rPr>
              <w:t>---</w:t>
            </w:r>
          </w:p>
        </w:tc>
        <w:tc>
          <w:tcPr>
            <w:tcW w:w="1121" w:type="dxa"/>
            <w:shd w:val="clear" w:color="auto" w:fill="FFFFFF"/>
            <w:vAlign w:val="center"/>
          </w:tcPr>
          <w:p w:rsidR="006C02AF" w:rsidRPr="006C02AF" w:rsidRDefault="006C02AF" w:rsidP="009D20B2">
            <w:pPr>
              <w:keepNext/>
              <w:keepLines/>
              <w:spacing w:after="0" w:line="240" w:lineRule="auto"/>
              <w:jc w:val="center"/>
              <w:rPr>
                <w:rFonts w:asciiTheme="minorHAnsi" w:hAnsiTheme="minorHAnsi" w:cs="Arial"/>
                <w:bCs/>
                <w:kern w:val="24"/>
                <w:sz w:val="18"/>
                <w:szCs w:val="18"/>
              </w:rPr>
            </w:pPr>
            <w:r w:rsidRPr="006C02AF">
              <w:rPr>
                <w:rFonts w:asciiTheme="minorHAnsi" w:hAnsiTheme="minorHAnsi" w:cs="Arial"/>
                <w:bCs/>
                <w:kern w:val="24"/>
                <w:sz w:val="18"/>
                <w:szCs w:val="18"/>
              </w:rPr>
              <w:t>---</w:t>
            </w:r>
          </w:p>
        </w:tc>
        <w:tc>
          <w:tcPr>
            <w:tcW w:w="1518" w:type="dxa"/>
            <w:shd w:val="clear" w:color="auto" w:fill="FFFFFF"/>
            <w:tcMar>
              <w:top w:w="15" w:type="dxa"/>
              <w:left w:w="15" w:type="dxa"/>
              <w:bottom w:w="0" w:type="dxa"/>
              <w:right w:w="15" w:type="dxa"/>
            </w:tcMar>
            <w:vAlign w:val="center"/>
            <w:hideMark/>
          </w:tcPr>
          <w:p w:rsidR="006C02AF" w:rsidRPr="006C02AF" w:rsidRDefault="006C02AF" w:rsidP="009D20B2">
            <w:pPr>
              <w:keepNext/>
              <w:keepLines/>
              <w:spacing w:after="0" w:line="240" w:lineRule="auto"/>
              <w:jc w:val="center"/>
              <w:textAlignment w:val="center"/>
              <w:rPr>
                <w:rFonts w:asciiTheme="minorHAnsi" w:hAnsiTheme="minorHAnsi" w:cs="Arial"/>
                <w:sz w:val="18"/>
                <w:szCs w:val="18"/>
              </w:rPr>
            </w:pPr>
            <w:r w:rsidRPr="006C02AF">
              <w:rPr>
                <w:rFonts w:asciiTheme="minorHAnsi" w:hAnsiTheme="minorHAnsi" w:cs="Arial"/>
                <w:bCs/>
                <w:kern w:val="24"/>
                <w:sz w:val="18"/>
                <w:szCs w:val="18"/>
              </w:rPr>
              <w:t>$12.05</w:t>
            </w:r>
          </w:p>
        </w:tc>
      </w:tr>
      <w:tr w:rsidR="006C02AF" w:rsidRPr="006C02AF" w:rsidTr="002F71DB">
        <w:trPr>
          <w:trHeight w:val="277"/>
          <w:jc w:val="center"/>
        </w:trPr>
        <w:tc>
          <w:tcPr>
            <w:tcW w:w="1990" w:type="dxa"/>
            <w:shd w:val="clear" w:color="auto" w:fill="4F81BD" w:themeFill="accent1"/>
            <w:tcMar>
              <w:top w:w="72" w:type="dxa"/>
              <w:left w:w="144" w:type="dxa"/>
              <w:bottom w:w="72" w:type="dxa"/>
              <w:right w:w="144" w:type="dxa"/>
            </w:tcMar>
            <w:vAlign w:val="center"/>
            <w:hideMark/>
          </w:tcPr>
          <w:p w:rsidR="006C02AF" w:rsidRPr="002F71DB" w:rsidRDefault="006C02AF" w:rsidP="008A12AF">
            <w:pPr>
              <w:keepNext/>
              <w:keepLines/>
              <w:spacing w:after="0" w:line="240" w:lineRule="auto"/>
              <w:rPr>
                <w:rFonts w:asciiTheme="minorHAnsi" w:hAnsiTheme="minorHAnsi" w:cs="Arial"/>
                <w:b/>
                <w:color w:val="FFFFFF"/>
                <w:sz w:val="18"/>
                <w:szCs w:val="18"/>
              </w:rPr>
            </w:pPr>
            <w:r w:rsidRPr="002F71DB">
              <w:rPr>
                <w:rFonts w:asciiTheme="minorHAnsi" w:hAnsiTheme="minorHAnsi" w:cs="Arial"/>
                <w:b/>
                <w:bCs/>
                <w:color w:val="FFFFFF"/>
                <w:kern w:val="24"/>
                <w:sz w:val="18"/>
                <w:szCs w:val="18"/>
              </w:rPr>
              <w:t xml:space="preserve">Total cost </w:t>
            </w:r>
            <w:r w:rsidRPr="002F71DB">
              <w:rPr>
                <w:rFonts w:asciiTheme="minorHAnsi" w:hAnsiTheme="minorHAnsi" w:cs="Arial"/>
                <w:b/>
                <w:bCs/>
                <w:color w:val="FFFFFF"/>
                <w:kern w:val="24"/>
                <w:sz w:val="18"/>
                <w:szCs w:val="18"/>
              </w:rPr>
              <w:br/>
              <w:t xml:space="preserve">+ 50% margin </w:t>
            </w:r>
            <w:r w:rsidR="008A12AF">
              <w:rPr>
                <w:rFonts w:asciiTheme="minorHAnsi" w:hAnsiTheme="minorHAnsi" w:cs="Arial"/>
                <w:b/>
                <w:bCs/>
                <w:color w:val="FFFFFF"/>
                <w:kern w:val="24"/>
                <w:sz w:val="18"/>
                <w:szCs w:val="18"/>
              </w:rPr>
              <w:br/>
            </w:r>
            <w:r w:rsidRPr="002F71DB">
              <w:rPr>
                <w:rFonts w:asciiTheme="minorHAnsi" w:hAnsiTheme="minorHAnsi" w:cs="Arial"/>
                <w:b/>
                <w:bCs/>
                <w:color w:val="FFFFFF"/>
                <w:kern w:val="24"/>
                <w:sz w:val="18"/>
                <w:szCs w:val="18"/>
              </w:rPr>
              <w:t>($ billions)</w:t>
            </w:r>
          </w:p>
        </w:tc>
        <w:tc>
          <w:tcPr>
            <w:tcW w:w="1551" w:type="dxa"/>
            <w:shd w:val="clear" w:color="auto" w:fill="4F81BD" w:themeFill="accent1"/>
            <w:tcMar>
              <w:top w:w="72" w:type="dxa"/>
              <w:left w:w="144" w:type="dxa"/>
              <w:bottom w:w="72" w:type="dxa"/>
              <w:right w:w="144" w:type="dxa"/>
            </w:tcMar>
            <w:vAlign w:val="center"/>
            <w:hideMark/>
          </w:tcPr>
          <w:p w:rsidR="006C02AF" w:rsidRPr="002F71DB" w:rsidRDefault="006C02AF" w:rsidP="009D20B2">
            <w:pPr>
              <w:keepNext/>
              <w:keepLines/>
              <w:spacing w:after="0" w:line="240" w:lineRule="auto"/>
              <w:jc w:val="center"/>
              <w:rPr>
                <w:rFonts w:asciiTheme="minorHAnsi" w:hAnsiTheme="minorHAnsi" w:cs="Arial"/>
                <w:b/>
                <w:color w:val="FFFFFF"/>
                <w:sz w:val="18"/>
                <w:szCs w:val="18"/>
              </w:rPr>
            </w:pPr>
            <w:r w:rsidRPr="002F71DB">
              <w:rPr>
                <w:rFonts w:asciiTheme="minorHAnsi" w:hAnsiTheme="minorHAnsi" w:cs="Arial"/>
                <w:b/>
                <w:bCs/>
                <w:color w:val="FFFFFF"/>
                <w:kern w:val="24"/>
                <w:sz w:val="18"/>
                <w:szCs w:val="18"/>
              </w:rPr>
              <w:t>$7.82 to $10.07</w:t>
            </w:r>
          </w:p>
        </w:tc>
        <w:tc>
          <w:tcPr>
            <w:tcW w:w="1259" w:type="dxa"/>
            <w:shd w:val="clear" w:color="auto" w:fill="4F81BD" w:themeFill="accent1"/>
            <w:tcMar>
              <w:top w:w="72" w:type="dxa"/>
              <w:left w:w="144" w:type="dxa"/>
              <w:bottom w:w="72" w:type="dxa"/>
              <w:right w:w="144" w:type="dxa"/>
            </w:tcMar>
            <w:vAlign w:val="center"/>
            <w:hideMark/>
          </w:tcPr>
          <w:p w:rsidR="006C02AF" w:rsidRPr="002F71DB" w:rsidRDefault="006C02AF" w:rsidP="009D20B2">
            <w:pPr>
              <w:keepNext/>
              <w:keepLines/>
              <w:spacing w:after="0" w:line="240" w:lineRule="auto"/>
              <w:jc w:val="center"/>
              <w:rPr>
                <w:rFonts w:asciiTheme="minorHAnsi" w:hAnsiTheme="minorHAnsi" w:cs="Arial"/>
                <w:b/>
                <w:color w:val="FFFFFF"/>
                <w:sz w:val="18"/>
                <w:szCs w:val="18"/>
              </w:rPr>
            </w:pPr>
            <w:r w:rsidRPr="002F71DB">
              <w:rPr>
                <w:rFonts w:asciiTheme="minorHAnsi" w:hAnsiTheme="minorHAnsi" w:cs="Arial"/>
                <w:b/>
                <w:bCs/>
                <w:color w:val="FFFFFF"/>
                <w:kern w:val="24"/>
                <w:sz w:val="18"/>
                <w:szCs w:val="18"/>
              </w:rPr>
              <w:t>$30.05</w:t>
            </w:r>
          </w:p>
        </w:tc>
        <w:tc>
          <w:tcPr>
            <w:tcW w:w="1440" w:type="dxa"/>
            <w:shd w:val="clear" w:color="auto" w:fill="4F81BD" w:themeFill="accent1"/>
            <w:tcMar>
              <w:top w:w="72" w:type="dxa"/>
              <w:left w:w="144" w:type="dxa"/>
              <w:bottom w:w="72" w:type="dxa"/>
              <w:right w:w="144" w:type="dxa"/>
            </w:tcMar>
            <w:vAlign w:val="center"/>
            <w:hideMark/>
          </w:tcPr>
          <w:p w:rsidR="006C02AF" w:rsidRPr="002F71DB" w:rsidRDefault="006C02AF" w:rsidP="009D20B2">
            <w:pPr>
              <w:keepNext/>
              <w:keepLines/>
              <w:spacing w:after="0" w:line="240" w:lineRule="auto"/>
              <w:jc w:val="center"/>
              <w:rPr>
                <w:rFonts w:asciiTheme="minorHAnsi" w:hAnsiTheme="minorHAnsi" w:cs="Arial"/>
                <w:b/>
                <w:color w:val="FFFFFF"/>
                <w:sz w:val="18"/>
                <w:szCs w:val="18"/>
              </w:rPr>
            </w:pPr>
            <w:r w:rsidRPr="002F71DB">
              <w:rPr>
                <w:rFonts w:asciiTheme="minorHAnsi" w:hAnsiTheme="minorHAnsi" w:cs="Arial"/>
                <w:b/>
                <w:bCs/>
                <w:color w:val="FFFFFF"/>
                <w:kern w:val="24"/>
                <w:sz w:val="18"/>
                <w:szCs w:val="18"/>
              </w:rPr>
              <w:t>$7.85 to $10.10</w:t>
            </w:r>
          </w:p>
        </w:tc>
        <w:tc>
          <w:tcPr>
            <w:tcW w:w="1260" w:type="dxa"/>
            <w:shd w:val="clear" w:color="auto" w:fill="4F81BD" w:themeFill="accent1"/>
            <w:vAlign w:val="center"/>
          </w:tcPr>
          <w:p w:rsidR="006C02AF" w:rsidRPr="002F71DB" w:rsidRDefault="006C02AF" w:rsidP="009D20B2">
            <w:pPr>
              <w:keepNext/>
              <w:keepLines/>
              <w:spacing w:after="0" w:line="240" w:lineRule="auto"/>
              <w:jc w:val="center"/>
              <w:rPr>
                <w:rFonts w:asciiTheme="minorHAnsi" w:hAnsiTheme="minorHAnsi" w:cs="Arial"/>
                <w:b/>
                <w:bCs/>
                <w:color w:val="FFFFFF"/>
                <w:kern w:val="24"/>
                <w:sz w:val="18"/>
                <w:szCs w:val="18"/>
              </w:rPr>
            </w:pPr>
            <w:r w:rsidRPr="002F71DB">
              <w:rPr>
                <w:rFonts w:asciiTheme="minorHAnsi" w:hAnsiTheme="minorHAnsi" w:cs="Arial"/>
                <w:b/>
                <w:bCs/>
                <w:color w:val="FFFFFF"/>
                <w:kern w:val="24"/>
                <w:sz w:val="18"/>
                <w:szCs w:val="18"/>
              </w:rPr>
              <w:t>---</w:t>
            </w:r>
          </w:p>
        </w:tc>
        <w:tc>
          <w:tcPr>
            <w:tcW w:w="1121" w:type="dxa"/>
            <w:shd w:val="clear" w:color="auto" w:fill="4F81BD" w:themeFill="accent1"/>
            <w:vAlign w:val="center"/>
          </w:tcPr>
          <w:p w:rsidR="006C02AF" w:rsidRPr="002F71DB" w:rsidRDefault="006C02AF" w:rsidP="009D20B2">
            <w:pPr>
              <w:keepNext/>
              <w:keepLines/>
              <w:spacing w:after="0" w:line="240" w:lineRule="auto"/>
              <w:jc w:val="center"/>
              <w:rPr>
                <w:rFonts w:asciiTheme="minorHAnsi" w:hAnsiTheme="minorHAnsi" w:cs="Arial"/>
                <w:b/>
                <w:bCs/>
                <w:color w:val="FFFFFF"/>
                <w:kern w:val="24"/>
                <w:sz w:val="18"/>
                <w:szCs w:val="18"/>
              </w:rPr>
            </w:pPr>
            <w:r w:rsidRPr="002F71DB">
              <w:rPr>
                <w:rFonts w:asciiTheme="minorHAnsi" w:hAnsiTheme="minorHAnsi" w:cs="Arial"/>
                <w:b/>
                <w:bCs/>
                <w:color w:val="FFFFFF"/>
                <w:kern w:val="24"/>
                <w:sz w:val="18"/>
                <w:szCs w:val="18"/>
              </w:rPr>
              <w:t>---</w:t>
            </w:r>
          </w:p>
        </w:tc>
        <w:tc>
          <w:tcPr>
            <w:tcW w:w="1518" w:type="dxa"/>
            <w:shd w:val="clear" w:color="auto" w:fill="4F81BD" w:themeFill="accent1"/>
            <w:tcMar>
              <w:top w:w="72" w:type="dxa"/>
              <w:left w:w="144" w:type="dxa"/>
              <w:bottom w:w="72" w:type="dxa"/>
              <w:right w:w="144" w:type="dxa"/>
            </w:tcMar>
            <w:vAlign w:val="center"/>
            <w:hideMark/>
          </w:tcPr>
          <w:p w:rsidR="006C02AF" w:rsidRPr="002F71DB" w:rsidRDefault="006C02AF" w:rsidP="009D20B2">
            <w:pPr>
              <w:keepNext/>
              <w:keepLines/>
              <w:spacing w:after="0" w:line="240" w:lineRule="auto"/>
              <w:jc w:val="center"/>
              <w:rPr>
                <w:rFonts w:asciiTheme="minorHAnsi" w:hAnsiTheme="minorHAnsi" w:cs="Arial"/>
                <w:b/>
                <w:color w:val="FFFFFF"/>
                <w:sz w:val="18"/>
                <w:szCs w:val="18"/>
              </w:rPr>
            </w:pPr>
            <w:r w:rsidRPr="002F71DB">
              <w:rPr>
                <w:rFonts w:asciiTheme="minorHAnsi" w:hAnsiTheme="minorHAnsi" w:cs="Arial"/>
                <w:b/>
                <w:bCs/>
                <w:color w:val="FFFFFF"/>
                <w:kern w:val="24"/>
                <w:sz w:val="18"/>
                <w:szCs w:val="18"/>
              </w:rPr>
              <w:t>$12.05</w:t>
            </w:r>
          </w:p>
        </w:tc>
      </w:tr>
    </w:tbl>
    <w:p w:rsidR="000C7D66" w:rsidRPr="00B02621" w:rsidRDefault="00037407" w:rsidP="002F71DB">
      <w:pPr>
        <w:pStyle w:val="ListParagraph"/>
        <w:keepNext/>
        <w:keepLines/>
        <w:spacing w:before="120" w:after="80" w:line="240" w:lineRule="auto"/>
        <w:ind w:left="-90" w:hanging="270"/>
        <w:rPr>
          <w:rFonts w:asciiTheme="minorHAnsi" w:hAnsiTheme="minorHAnsi"/>
          <w:sz w:val="16"/>
          <w:szCs w:val="16"/>
        </w:rPr>
      </w:pPr>
      <w:r w:rsidDel="00037407">
        <w:t xml:space="preserve"> </w:t>
      </w:r>
      <w:r w:rsidRPr="00B02621">
        <w:rPr>
          <w:rFonts w:asciiTheme="minorHAnsi" w:hAnsiTheme="minorHAnsi"/>
          <w:sz w:val="16"/>
          <w:szCs w:val="16"/>
        </w:rPr>
        <w:t xml:space="preserve">(a) </w:t>
      </w:r>
      <w:r w:rsidRPr="00B02621">
        <w:rPr>
          <w:rFonts w:asciiTheme="minorHAnsi" w:hAnsiTheme="minorHAnsi"/>
          <w:sz w:val="16"/>
          <w:szCs w:val="16"/>
        </w:rPr>
        <w:tab/>
      </w:r>
      <w:r w:rsidRPr="00037407">
        <w:rPr>
          <w:rFonts w:asciiTheme="minorHAnsi" w:hAnsiTheme="minorHAnsi"/>
          <w:sz w:val="16"/>
          <w:szCs w:val="16"/>
        </w:rPr>
        <w:t>W</w:t>
      </w:r>
      <w:r w:rsidR="000C7D66" w:rsidRPr="00037407">
        <w:rPr>
          <w:rFonts w:asciiTheme="minorHAnsi" w:hAnsiTheme="minorHAnsi"/>
          <w:sz w:val="16"/>
          <w:szCs w:val="16"/>
        </w:rPr>
        <w:t>ith the assumption made</w:t>
      </w:r>
      <w:r w:rsidR="000C7D66" w:rsidRPr="00B02621">
        <w:rPr>
          <w:rFonts w:asciiTheme="minorHAnsi" w:hAnsiTheme="minorHAnsi"/>
          <w:sz w:val="16"/>
          <w:szCs w:val="16"/>
        </w:rPr>
        <w:t xml:space="preserve">, </w:t>
      </w:r>
      <w:r w:rsidRPr="00B02621">
        <w:rPr>
          <w:rFonts w:asciiTheme="minorHAnsi" w:hAnsiTheme="minorHAnsi"/>
          <w:sz w:val="16"/>
          <w:szCs w:val="16"/>
        </w:rPr>
        <w:t xml:space="preserve">the differences in the costs of the integrator systems for Scenarios 1 and 3 exclusively drive the </w:t>
      </w:r>
      <w:r w:rsidR="000C7D66" w:rsidRPr="00B02621">
        <w:rPr>
          <w:rFonts w:asciiTheme="minorHAnsi" w:hAnsiTheme="minorHAnsi"/>
          <w:sz w:val="16"/>
          <w:szCs w:val="16"/>
        </w:rPr>
        <w:t xml:space="preserve">differences in </w:t>
      </w:r>
      <w:r w:rsidRPr="00B02621">
        <w:rPr>
          <w:rFonts w:asciiTheme="minorHAnsi" w:hAnsiTheme="minorHAnsi"/>
          <w:sz w:val="16"/>
          <w:szCs w:val="16"/>
        </w:rPr>
        <w:t xml:space="preserve">the </w:t>
      </w:r>
      <w:r w:rsidR="000C7D66" w:rsidRPr="00B02621">
        <w:rPr>
          <w:rFonts w:asciiTheme="minorHAnsi" w:hAnsiTheme="minorHAnsi"/>
          <w:sz w:val="16"/>
          <w:szCs w:val="16"/>
        </w:rPr>
        <w:t>cost</w:t>
      </w:r>
      <w:r w:rsidRPr="00B02621">
        <w:rPr>
          <w:rFonts w:asciiTheme="minorHAnsi" w:hAnsiTheme="minorHAnsi"/>
          <w:sz w:val="16"/>
          <w:szCs w:val="16"/>
        </w:rPr>
        <w:t>s</w:t>
      </w:r>
      <w:r w:rsidR="000C7D66" w:rsidRPr="00B02621">
        <w:rPr>
          <w:rFonts w:asciiTheme="minorHAnsi" w:hAnsiTheme="minorHAnsi"/>
          <w:sz w:val="16"/>
          <w:szCs w:val="16"/>
        </w:rPr>
        <w:t xml:space="preserve"> between </w:t>
      </w:r>
      <w:r w:rsidRPr="00B02621">
        <w:rPr>
          <w:rFonts w:asciiTheme="minorHAnsi" w:hAnsiTheme="minorHAnsi"/>
          <w:sz w:val="16"/>
          <w:szCs w:val="16"/>
        </w:rPr>
        <w:t>these two s</w:t>
      </w:r>
      <w:r w:rsidR="000C7D66" w:rsidRPr="00B02621">
        <w:rPr>
          <w:rFonts w:asciiTheme="minorHAnsi" w:hAnsiTheme="minorHAnsi"/>
          <w:sz w:val="16"/>
          <w:szCs w:val="16"/>
        </w:rPr>
        <w:t>cenarios</w:t>
      </w:r>
      <w:r w:rsidR="00A4282A">
        <w:rPr>
          <w:rFonts w:asciiTheme="minorHAnsi" w:hAnsiTheme="minorHAnsi"/>
          <w:sz w:val="16"/>
          <w:szCs w:val="16"/>
        </w:rPr>
        <w:t xml:space="preserve">. </w:t>
      </w:r>
      <w:r w:rsidRPr="00B02621">
        <w:rPr>
          <w:rFonts w:asciiTheme="minorHAnsi" w:hAnsiTheme="minorHAnsi"/>
          <w:sz w:val="16"/>
          <w:szCs w:val="16"/>
        </w:rPr>
        <w:t xml:space="preserve">Because </w:t>
      </w:r>
      <w:r w:rsidR="000C7D66" w:rsidRPr="00B02621">
        <w:rPr>
          <w:rFonts w:asciiTheme="minorHAnsi" w:hAnsiTheme="minorHAnsi"/>
          <w:sz w:val="16"/>
          <w:szCs w:val="16"/>
        </w:rPr>
        <w:t xml:space="preserve">Scenario 1 and the Scenario 3 injections are not drastically different, </w:t>
      </w:r>
      <w:r w:rsidR="000C7D66" w:rsidRPr="00037407">
        <w:rPr>
          <w:rFonts w:asciiTheme="minorHAnsi" w:hAnsiTheme="minorHAnsi"/>
          <w:sz w:val="16"/>
          <w:szCs w:val="16"/>
        </w:rPr>
        <w:t>more</w:t>
      </w:r>
      <w:r w:rsidR="004B7348">
        <w:rPr>
          <w:rFonts w:asciiTheme="minorHAnsi" w:hAnsiTheme="minorHAnsi"/>
          <w:sz w:val="16"/>
          <w:szCs w:val="16"/>
        </w:rPr>
        <w:t>-</w:t>
      </w:r>
      <w:r w:rsidR="000C7D66" w:rsidRPr="00037407">
        <w:rPr>
          <w:rFonts w:asciiTheme="minorHAnsi" w:hAnsiTheme="minorHAnsi"/>
          <w:sz w:val="16"/>
          <w:szCs w:val="16"/>
        </w:rPr>
        <w:t>similar upgrades for both scenarios</w:t>
      </w:r>
      <w:r w:rsidRPr="00037407">
        <w:rPr>
          <w:rFonts w:asciiTheme="minorHAnsi" w:hAnsiTheme="minorHAnsi"/>
          <w:sz w:val="16"/>
          <w:szCs w:val="16"/>
        </w:rPr>
        <w:t xml:space="preserve"> </w:t>
      </w:r>
      <w:r w:rsidRPr="00B02621">
        <w:rPr>
          <w:rFonts w:asciiTheme="minorHAnsi" w:hAnsiTheme="minorHAnsi"/>
          <w:sz w:val="16"/>
          <w:szCs w:val="16"/>
        </w:rPr>
        <w:t>are possible</w:t>
      </w:r>
      <w:r w:rsidR="000C7D66" w:rsidRPr="00B02621">
        <w:rPr>
          <w:rFonts w:asciiTheme="minorHAnsi" w:hAnsiTheme="minorHAnsi"/>
          <w:sz w:val="16"/>
          <w:szCs w:val="16"/>
        </w:rPr>
        <w:t>, resulting in a similar total price. A more refined transmission design would be needed to further refine these estimates.</w:t>
      </w:r>
    </w:p>
    <w:p w:rsidR="00F36E97" w:rsidRDefault="00037407" w:rsidP="00AD76C4">
      <w:pPr>
        <w:pStyle w:val="ListParagraph"/>
        <w:keepNext/>
        <w:keepLines/>
        <w:spacing w:after="80" w:line="240" w:lineRule="auto"/>
        <w:ind w:left="-90" w:hanging="270"/>
        <w:rPr>
          <w:rFonts w:asciiTheme="minorHAnsi" w:hAnsiTheme="minorHAnsi"/>
          <w:sz w:val="16"/>
          <w:szCs w:val="16"/>
        </w:rPr>
      </w:pPr>
      <w:r w:rsidRPr="00B02621">
        <w:rPr>
          <w:rFonts w:asciiTheme="minorHAnsi" w:hAnsiTheme="minorHAnsi"/>
          <w:sz w:val="16"/>
          <w:szCs w:val="16"/>
        </w:rPr>
        <w:t xml:space="preserve">(b) </w:t>
      </w:r>
      <w:r w:rsidRPr="00B02621">
        <w:rPr>
          <w:rFonts w:asciiTheme="minorHAnsi" w:hAnsiTheme="minorHAnsi"/>
          <w:sz w:val="16"/>
          <w:szCs w:val="16"/>
        </w:rPr>
        <w:tab/>
      </w:r>
      <w:r w:rsidR="005F746C" w:rsidRPr="00037407">
        <w:rPr>
          <w:rFonts w:asciiTheme="minorHAnsi" w:hAnsiTheme="minorHAnsi"/>
          <w:sz w:val="16"/>
          <w:szCs w:val="16"/>
        </w:rPr>
        <w:t xml:space="preserve">Because of the absence of an integrator system </w:t>
      </w:r>
      <w:r w:rsidR="00F36E97">
        <w:rPr>
          <w:rFonts w:asciiTheme="minorHAnsi" w:hAnsiTheme="minorHAnsi"/>
          <w:sz w:val="16"/>
          <w:szCs w:val="16"/>
        </w:rPr>
        <w:t>for wind development in M</w:t>
      </w:r>
      <w:r w:rsidR="00B02621">
        <w:rPr>
          <w:rFonts w:asciiTheme="minorHAnsi" w:hAnsiTheme="minorHAnsi"/>
          <w:sz w:val="16"/>
          <w:szCs w:val="16"/>
        </w:rPr>
        <w:t xml:space="preserve">aine </w:t>
      </w:r>
      <w:r w:rsidR="00F36E97">
        <w:rPr>
          <w:rFonts w:asciiTheme="minorHAnsi" w:hAnsiTheme="minorHAnsi"/>
          <w:sz w:val="16"/>
          <w:szCs w:val="16"/>
        </w:rPr>
        <w:t xml:space="preserve">for </w:t>
      </w:r>
      <w:r w:rsidRPr="00037407">
        <w:rPr>
          <w:rFonts w:asciiTheme="minorHAnsi" w:hAnsiTheme="minorHAnsi"/>
          <w:sz w:val="16"/>
          <w:szCs w:val="16"/>
        </w:rPr>
        <w:t>S</w:t>
      </w:r>
      <w:r w:rsidR="005F746C" w:rsidRPr="00037407">
        <w:rPr>
          <w:rFonts w:asciiTheme="minorHAnsi" w:hAnsiTheme="minorHAnsi"/>
          <w:sz w:val="16"/>
          <w:szCs w:val="16"/>
        </w:rPr>
        <w:t>cenarios 2 and 6, the method used to size of the congestion</w:t>
      </w:r>
      <w:r w:rsidRPr="00037407">
        <w:rPr>
          <w:rFonts w:asciiTheme="minorHAnsi" w:hAnsiTheme="minorHAnsi"/>
          <w:sz w:val="16"/>
          <w:szCs w:val="16"/>
        </w:rPr>
        <w:t>-</w:t>
      </w:r>
      <w:r w:rsidR="005F746C" w:rsidRPr="00037407">
        <w:rPr>
          <w:rFonts w:asciiTheme="minorHAnsi" w:hAnsiTheme="minorHAnsi"/>
          <w:sz w:val="16"/>
          <w:szCs w:val="16"/>
        </w:rPr>
        <w:t>relief system may have resulted in a slightly undersized system (</w:t>
      </w:r>
      <w:r w:rsidR="00FF58B4">
        <w:rPr>
          <w:rFonts w:asciiTheme="minorHAnsi" w:hAnsiTheme="minorHAnsi"/>
          <w:sz w:val="16"/>
          <w:szCs w:val="16"/>
        </w:rPr>
        <w:t xml:space="preserve">i.e., </w:t>
      </w:r>
      <w:r w:rsidR="005F746C" w:rsidRPr="00037407">
        <w:rPr>
          <w:rFonts w:asciiTheme="minorHAnsi" w:hAnsiTheme="minorHAnsi"/>
          <w:sz w:val="16"/>
          <w:szCs w:val="16"/>
        </w:rPr>
        <w:t xml:space="preserve">the method </w:t>
      </w:r>
      <w:r w:rsidR="005F746C" w:rsidRPr="00B02621">
        <w:rPr>
          <w:rFonts w:asciiTheme="minorHAnsi" w:hAnsiTheme="minorHAnsi"/>
          <w:sz w:val="16"/>
          <w:szCs w:val="16"/>
        </w:rPr>
        <w:t xml:space="preserve">assumed </w:t>
      </w:r>
      <w:r w:rsidRPr="00B02621">
        <w:rPr>
          <w:rFonts w:asciiTheme="minorHAnsi" w:hAnsiTheme="minorHAnsi"/>
          <w:sz w:val="16"/>
          <w:szCs w:val="16"/>
        </w:rPr>
        <w:t xml:space="preserve">the </w:t>
      </w:r>
      <w:r w:rsidR="005F746C" w:rsidRPr="00037407">
        <w:rPr>
          <w:rFonts w:asciiTheme="minorHAnsi" w:hAnsiTheme="minorHAnsi"/>
          <w:sz w:val="16"/>
          <w:szCs w:val="16"/>
        </w:rPr>
        <w:t xml:space="preserve">full use of the existing system transmission capability, which may not be possible without an integrator system). The resulting estimates for </w:t>
      </w:r>
      <w:r w:rsidRPr="00037407">
        <w:rPr>
          <w:rFonts w:asciiTheme="minorHAnsi" w:hAnsiTheme="minorHAnsi"/>
          <w:sz w:val="16"/>
          <w:szCs w:val="16"/>
        </w:rPr>
        <w:t>S</w:t>
      </w:r>
      <w:r w:rsidR="005F746C" w:rsidRPr="00037407">
        <w:rPr>
          <w:rFonts w:asciiTheme="minorHAnsi" w:hAnsiTheme="minorHAnsi"/>
          <w:sz w:val="16"/>
          <w:szCs w:val="16"/>
        </w:rPr>
        <w:t>cenarios 2 and 6 may be slightly optimistic</w:t>
      </w:r>
      <w:r w:rsidR="005F746C" w:rsidRPr="00B02621">
        <w:rPr>
          <w:rFonts w:asciiTheme="minorHAnsi" w:hAnsiTheme="minorHAnsi"/>
          <w:sz w:val="16"/>
          <w:szCs w:val="16"/>
        </w:rPr>
        <w:t xml:space="preserve"> compared </w:t>
      </w:r>
      <w:r w:rsidRPr="00B02621">
        <w:rPr>
          <w:rFonts w:asciiTheme="minorHAnsi" w:hAnsiTheme="minorHAnsi"/>
          <w:sz w:val="16"/>
          <w:szCs w:val="16"/>
        </w:rPr>
        <w:t>with</w:t>
      </w:r>
      <w:r w:rsidR="005F746C" w:rsidRPr="00B02621">
        <w:rPr>
          <w:rFonts w:asciiTheme="minorHAnsi" w:hAnsiTheme="minorHAnsi"/>
          <w:sz w:val="16"/>
          <w:szCs w:val="16"/>
        </w:rPr>
        <w:t xml:space="preserve"> </w:t>
      </w:r>
      <w:r w:rsidR="005F746C" w:rsidRPr="00037407">
        <w:rPr>
          <w:rFonts w:asciiTheme="minorHAnsi" w:hAnsiTheme="minorHAnsi"/>
          <w:sz w:val="16"/>
          <w:szCs w:val="16"/>
        </w:rPr>
        <w:t xml:space="preserve">those for </w:t>
      </w:r>
      <w:r w:rsidRPr="00037407">
        <w:rPr>
          <w:rFonts w:asciiTheme="minorHAnsi" w:hAnsiTheme="minorHAnsi"/>
          <w:sz w:val="16"/>
          <w:szCs w:val="16"/>
        </w:rPr>
        <w:t>S</w:t>
      </w:r>
      <w:r w:rsidR="005F746C" w:rsidRPr="00037407">
        <w:rPr>
          <w:rFonts w:asciiTheme="minorHAnsi" w:hAnsiTheme="minorHAnsi"/>
          <w:sz w:val="16"/>
          <w:szCs w:val="16"/>
        </w:rPr>
        <w:t xml:space="preserve">cenarios 1 and 3. </w:t>
      </w:r>
    </w:p>
    <w:p w:rsidR="000C7D66" w:rsidRPr="00037407" w:rsidRDefault="00A4282A" w:rsidP="002F02F1">
      <w:pPr>
        <w:pStyle w:val="ListParagraph"/>
        <w:keepNext/>
        <w:keepLines/>
        <w:spacing w:after="240" w:line="240" w:lineRule="auto"/>
        <w:ind w:left="-90" w:hanging="270"/>
        <w:rPr>
          <w:rFonts w:asciiTheme="minorHAnsi" w:hAnsiTheme="minorHAnsi"/>
          <w:sz w:val="16"/>
          <w:szCs w:val="16"/>
        </w:rPr>
      </w:pPr>
      <w:r w:rsidRPr="00B02621">
        <w:rPr>
          <w:rFonts w:asciiTheme="minorHAnsi" w:hAnsiTheme="minorHAnsi"/>
          <w:sz w:val="16"/>
          <w:szCs w:val="16"/>
        </w:rPr>
        <w:t xml:space="preserve">(c) </w:t>
      </w:r>
      <w:r w:rsidR="00F36E97" w:rsidRPr="00B02621">
        <w:rPr>
          <w:rFonts w:asciiTheme="minorHAnsi" w:hAnsiTheme="minorHAnsi"/>
          <w:sz w:val="16"/>
          <w:szCs w:val="16"/>
        </w:rPr>
        <w:t xml:space="preserve"> Interconnection points for the SEMA/RI </w:t>
      </w:r>
      <w:r w:rsidR="00B02621" w:rsidRPr="00B02621">
        <w:rPr>
          <w:rFonts w:asciiTheme="minorHAnsi" w:hAnsiTheme="minorHAnsi"/>
          <w:sz w:val="16"/>
          <w:szCs w:val="16"/>
        </w:rPr>
        <w:t>o</w:t>
      </w:r>
      <w:r w:rsidR="00F36E97" w:rsidRPr="00B02621">
        <w:rPr>
          <w:rFonts w:asciiTheme="minorHAnsi" w:hAnsiTheme="minorHAnsi"/>
          <w:sz w:val="16"/>
          <w:szCs w:val="16"/>
        </w:rPr>
        <w:t>ffshore wind additions would avoid the need for associated congestion</w:t>
      </w:r>
      <w:r w:rsidR="00B02621" w:rsidRPr="00B02621">
        <w:rPr>
          <w:rFonts w:asciiTheme="minorHAnsi" w:hAnsiTheme="minorHAnsi"/>
          <w:sz w:val="16"/>
          <w:szCs w:val="16"/>
        </w:rPr>
        <w:t>-</w:t>
      </w:r>
      <w:r w:rsidR="00F36E97" w:rsidRPr="00B02621">
        <w:rPr>
          <w:rFonts w:asciiTheme="minorHAnsi" w:hAnsiTheme="minorHAnsi"/>
          <w:sz w:val="16"/>
          <w:szCs w:val="16"/>
        </w:rPr>
        <w:t xml:space="preserve">relief </w:t>
      </w:r>
      <w:r w:rsidRPr="00B02621">
        <w:rPr>
          <w:rFonts w:asciiTheme="minorHAnsi" w:hAnsiTheme="minorHAnsi"/>
          <w:sz w:val="16"/>
          <w:szCs w:val="16"/>
        </w:rPr>
        <w:t xml:space="preserve">transmission </w:t>
      </w:r>
      <w:r w:rsidR="00F36E97" w:rsidRPr="00B02621">
        <w:rPr>
          <w:rFonts w:asciiTheme="minorHAnsi" w:hAnsiTheme="minorHAnsi"/>
          <w:sz w:val="16"/>
          <w:szCs w:val="16"/>
        </w:rPr>
        <w:t xml:space="preserve">upgrades but could require the addition </w:t>
      </w:r>
      <w:r w:rsidR="002B05F3" w:rsidRPr="00B02621">
        <w:rPr>
          <w:rFonts w:asciiTheme="minorHAnsi" w:hAnsiTheme="minorHAnsi"/>
          <w:sz w:val="16"/>
          <w:szCs w:val="16"/>
        </w:rPr>
        <w:t>of long POI HVDC interconnections</w:t>
      </w:r>
      <w:r w:rsidR="00F36E97" w:rsidRPr="00B02621">
        <w:rPr>
          <w:rFonts w:asciiTheme="minorHAnsi" w:hAnsiTheme="minorHAnsi"/>
          <w:sz w:val="16"/>
          <w:szCs w:val="16"/>
        </w:rPr>
        <w:t xml:space="preserve">, the cost of which was assumed as part of the </w:t>
      </w:r>
      <w:r w:rsidRPr="00B02621">
        <w:rPr>
          <w:rFonts w:asciiTheme="minorHAnsi" w:hAnsiTheme="minorHAnsi"/>
          <w:sz w:val="16"/>
          <w:szCs w:val="16"/>
        </w:rPr>
        <w:t>offshore wind annual carrying charges.</w:t>
      </w:r>
      <w:r>
        <w:rPr>
          <w:rFonts w:asciiTheme="minorHAnsi" w:hAnsiTheme="minorHAnsi"/>
          <w:sz w:val="16"/>
          <w:szCs w:val="16"/>
        </w:rPr>
        <w:t xml:space="preserve"> </w:t>
      </w:r>
    </w:p>
    <w:p w:rsidR="00D36866" w:rsidRDefault="00D36866" w:rsidP="00990239"/>
    <w:p w:rsidR="00215E1C" w:rsidRPr="00995AFE" w:rsidRDefault="00215E1C" w:rsidP="00990239">
      <w:pPr>
        <w:sectPr w:rsidR="00215E1C" w:rsidRPr="00995AFE" w:rsidSect="00C40A1D">
          <w:footerReference w:type="default" r:id="rId49"/>
          <w:pgSz w:w="12240" w:h="15840" w:code="1"/>
          <w:pgMar w:top="1440" w:right="1440" w:bottom="1440" w:left="1440" w:header="720" w:footer="720" w:gutter="0"/>
          <w:cols w:space="720"/>
          <w:docGrid w:linePitch="360"/>
        </w:sectPr>
      </w:pPr>
    </w:p>
    <w:p w:rsidR="00F565D2" w:rsidRDefault="00F565D2" w:rsidP="002F71DB">
      <w:pPr>
        <w:pStyle w:val="Heading1"/>
      </w:pPr>
      <w:bookmarkStart w:id="194" w:name="_Toc162779961"/>
      <w:bookmarkStart w:id="195" w:name="_Toc163032830"/>
      <w:bookmarkStart w:id="196" w:name="_Toc163032957"/>
      <w:bookmarkStart w:id="197" w:name="_Toc162779963"/>
      <w:bookmarkStart w:id="198" w:name="_Toc163032832"/>
      <w:bookmarkStart w:id="199" w:name="_Toc163032959"/>
      <w:bookmarkStart w:id="200" w:name="_Toc162779965"/>
      <w:bookmarkStart w:id="201" w:name="_Toc163032834"/>
      <w:bookmarkStart w:id="202" w:name="_Toc163032961"/>
      <w:bookmarkStart w:id="203" w:name="_Toc162779967"/>
      <w:bookmarkStart w:id="204" w:name="_Toc163032836"/>
      <w:bookmarkStart w:id="205" w:name="_Toc163032963"/>
      <w:bookmarkStart w:id="206" w:name="_Toc162779969"/>
      <w:bookmarkStart w:id="207" w:name="_Toc163032838"/>
      <w:bookmarkStart w:id="208" w:name="_Toc163032965"/>
      <w:bookmarkStart w:id="209" w:name="_Toc162779970"/>
      <w:bookmarkStart w:id="210" w:name="_Toc163032839"/>
      <w:bookmarkStart w:id="211" w:name="_Toc163032966"/>
      <w:bookmarkStart w:id="212" w:name="_Toc162779971"/>
      <w:bookmarkStart w:id="213" w:name="_Toc163032840"/>
      <w:bookmarkStart w:id="214" w:name="_Toc163032967"/>
      <w:bookmarkStart w:id="215" w:name="_Toc162779975"/>
      <w:bookmarkStart w:id="216" w:name="_Toc163032844"/>
      <w:bookmarkStart w:id="217" w:name="_Toc163032971"/>
      <w:bookmarkStart w:id="218" w:name="_Toc162779976"/>
      <w:bookmarkStart w:id="219" w:name="_Toc163032845"/>
      <w:bookmarkStart w:id="220" w:name="_Toc163032972"/>
      <w:bookmarkStart w:id="221" w:name="_Toc162779977"/>
      <w:bookmarkStart w:id="222" w:name="_Toc163032846"/>
      <w:bookmarkStart w:id="223" w:name="_Toc163032973"/>
      <w:bookmarkStart w:id="224" w:name="_Toc162779978"/>
      <w:bookmarkStart w:id="225" w:name="_Toc163032847"/>
      <w:bookmarkStart w:id="226" w:name="_Toc163032974"/>
      <w:bookmarkStart w:id="227" w:name="_Toc162779979"/>
      <w:bookmarkStart w:id="228" w:name="_Toc163032848"/>
      <w:bookmarkStart w:id="229" w:name="_Toc163032975"/>
      <w:bookmarkStart w:id="230" w:name="_Toc162779980"/>
      <w:bookmarkStart w:id="231" w:name="_Toc163032849"/>
      <w:bookmarkStart w:id="232" w:name="_Toc163032976"/>
      <w:bookmarkStart w:id="233" w:name="_Toc162779981"/>
      <w:bookmarkStart w:id="234" w:name="_Toc163032850"/>
      <w:bookmarkStart w:id="235" w:name="_Toc163032977"/>
      <w:bookmarkStart w:id="236" w:name="_Toc162779982"/>
      <w:bookmarkStart w:id="237" w:name="_Toc163032851"/>
      <w:bookmarkStart w:id="238" w:name="_Toc163032978"/>
      <w:bookmarkStart w:id="239" w:name="_Toc162779983"/>
      <w:bookmarkStart w:id="240" w:name="_Toc163032852"/>
      <w:bookmarkStart w:id="241" w:name="_Toc163032979"/>
      <w:bookmarkStart w:id="242" w:name="_Toc162779984"/>
      <w:bookmarkStart w:id="243" w:name="_Toc163032853"/>
      <w:bookmarkStart w:id="244" w:name="_Toc163032980"/>
      <w:bookmarkStart w:id="245" w:name="_Toc162779985"/>
      <w:bookmarkStart w:id="246" w:name="_Toc163032854"/>
      <w:bookmarkStart w:id="247" w:name="_Toc163032981"/>
      <w:bookmarkStart w:id="248" w:name="_Toc162779986"/>
      <w:bookmarkStart w:id="249" w:name="_Toc163032855"/>
      <w:bookmarkStart w:id="250" w:name="_Toc163032982"/>
      <w:bookmarkStart w:id="251" w:name="_Toc162779987"/>
      <w:bookmarkStart w:id="252" w:name="_Toc163032856"/>
      <w:bookmarkStart w:id="253" w:name="_Toc163032983"/>
      <w:bookmarkStart w:id="254" w:name="_Toc162779989"/>
      <w:bookmarkStart w:id="255" w:name="_Toc163032858"/>
      <w:bookmarkStart w:id="256" w:name="_Toc163032985"/>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lastRenderedPageBreak/>
        <w:br/>
      </w:r>
      <w:bookmarkStart w:id="257" w:name="_Ref166224567"/>
      <w:bookmarkStart w:id="258" w:name="_Toc173682303"/>
      <w:bookmarkStart w:id="259" w:name="_Toc486405994"/>
      <w:r>
        <w:t>Results and Observations</w:t>
      </w:r>
      <w:bookmarkEnd w:id="257"/>
      <w:bookmarkEnd w:id="258"/>
      <w:bookmarkEnd w:id="259"/>
    </w:p>
    <w:p w:rsidR="00F565D2" w:rsidRDefault="00F565D2">
      <w:r w:rsidRPr="000701ED">
        <w:t xml:space="preserve">This section summarizes </w:t>
      </w:r>
      <w:r w:rsidR="003A1318" w:rsidRPr="000701ED">
        <w:t xml:space="preserve">and compares some of the key </w:t>
      </w:r>
      <w:r w:rsidRPr="000701ED">
        <w:t>results for each scenario</w:t>
      </w:r>
      <w:r w:rsidR="005C4BC2" w:rsidRPr="000701ED">
        <w:t>’s set of assumptions</w:t>
      </w:r>
      <w:r w:rsidR="003A1318" w:rsidRPr="000701ED">
        <w:t xml:space="preserve"> and year of study</w:t>
      </w:r>
      <w:r w:rsidR="00847371" w:rsidRPr="000701ED">
        <w:t xml:space="preserve"> in constrained and unconstrained conditions</w:t>
      </w:r>
      <w:r w:rsidR="003A1318" w:rsidRPr="000701ED">
        <w:t>.</w:t>
      </w:r>
      <w:r w:rsidR="000D75B3" w:rsidRPr="000701ED">
        <w:rPr>
          <w:rStyle w:val="FootnoteReference"/>
        </w:rPr>
        <w:footnoteReference w:id="63"/>
      </w:r>
      <w:r w:rsidRPr="000701ED">
        <w:t xml:space="preserve"> </w:t>
      </w:r>
      <w:r w:rsidR="00D25F57" w:rsidRPr="000701ED">
        <w:t>The</w:t>
      </w:r>
      <w:r w:rsidR="005C4BC2" w:rsidRPr="000701ED">
        <w:t xml:space="preserve"> </w:t>
      </w:r>
      <w:r w:rsidR="00D25F57" w:rsidRPr="000701ED">
        <w:t xml:space="preserve">results of the metrics studied provide information about how different public policies and subsequent mix of resources could </w:t>
      </w:r>
      <w:r w:rsidR="00D25F57" w:rsidRPr="00790407">
        <w:t xml:space="preserve">affect </w:t>
      </w:r>
      <w:r w:rsidR="003944A8" w:rsidRPr="00BB06F0">
        <w:t xml:space="preserve">overall </w:t>
      </w:r>
      <w:r w:rsidR="00D25F57" w:rsidRPr="00BB06F0">
        <w:t>system</w:t>
      </w:r>
      <w:r w:rsidR="003944A8" w:rsidRPr="00BB06F0">
        <w:t xml:space="preserve"> and consumer costs, system reliability, generator </w:t>
      </w:r>
      <w:r w:rsidR="00C251B1" w:rsidRPr="00BB06F0">
        <w:t>capacity and</w:t>
      </w:r>
      <w:r w:rsidR="003944A8" w:rsidRPr="00BB06F0">
        <w:t xml:space="preserve"> fuel use, </w:t>
      </w:r>
      <w:r w:rsidR="007A5CE5" w:rsidRPr="00BB06F0">
        <w:t xml:space="preserve">the environment, </w:t>
      </w:r>
      <w:r w:rsidR="003944A8" w:rsidRPr="00BB06F0">
        <w:t xml:space="preserve">and </w:t>
      </w:r>
      <w:r w:rsidR="00C251B1" w:rsidRPr="00BB06F0">
        <w:t>transmission expansion</w:t>
      </w:r>
      <w:r w:rsidR="00D25F57" w:rsidRPr="00BB06F0">
        <w:t xml:space="preserve">. </w:t>
      </w:r>
      <w:r w:rsidRPr="00BB06F0">
        <w:t xml:space="preserve">Detailed and summary tables and charts showing additional results and comparisons are available on the ISO’s </w:t>
      </w:r>
      <w:r w:rsidR="00790407" w:rsidRPr="00BB06F0">
        <w:t>w</w:t>
      </w:r>
      <w:r w:rsidRPr="00BB06F0">
        <w:t>ebsite</w:t>
      </w:r>
      <w:r w:rsidR="00812D3F" w:rsidRPr="00BB06F0">
        <w:t>.</w:t>
      </w:r>
      <w:r w:rsidR="00BB06F0" w:rsidRPr="00BB06F0">
        <w:rPr>
          <w:rStyle w:val="FootnoteReference"/>
        </w:rPr>
        <w:footnoteReference w:id="64"/>
      </w:r>
      <w:r w:rsidR="003A1318" w:rsidRPr="00BB06F0">
        <w:t xml:space="preserve"> </w:t>
      </w:r>
      <w:r w:rsidRPr="000701ED">
        <w:t xml:space="preserve">The ISO encourages interested parties to compare the results for the different scenarios and reach their own conclusions about the various </w:t>
      </w:r>
      <w:r w:rsidR="009B5025" w:rsidRPr="000701ED">
        <w:t>outcomes</w:t>
      </w:r>
      <w:r w:rsidRPr="000701ED">
        <w:t>.</w:t>
      </w:r>
    </w:p>
    <w:p w:rsidR="003944A8" w:rsidRPr="004766D0" w:rsidRDefault="00C251B1" w:rsidP="0053379A">
      <w:pPr>
        <w:pStyle w:val="Heading2"/>
      </w:pPr>
      <w:bookmarkStart w:id="260" w:name="_Toc486405995"/>
      <w:r>
        <w:t>E</w:t>
      </w:r>
      <w:r w:rsidR="004766D0" w:rsidRPr="004766D0">
        <w:t>conomic Results</w:t>
      </w:r>
      <w:bookmarkEnd w:id="260"/>
    </w:p>
    <w:p w:rsidR="00BD1934" w:rsidRDefault="007A5CE5" w:rsidP="00BD1934">
      <w:r>
        <w:t xml:space="preserve">This section discusses several main results from the production cost simulations, which are driven by the </w:t>
      </w:r>
      <w:r w:rsidRPr="00262BFE">
        <w:t>assumptions for resource additions and retirements</w:t>
      </w:r>
      <w:r w:rsidR="0010340C" w:rsidRPr="00262BFE">
        <w:t>, costs of fuels and emissions, the growth of net demand</w:t>
      </w:r>
      <w:r w:rsidR="00274D96" w:rsidRPr="00262BFE">
        <w:t>,</w:t>
      </w:r>
      <w:r w:rsidR="00790407" w:rsidRPr="00262BFE">
        <w:t xml:space="preserve"> and high</w:t>
      </w:r>
      <w:r w:rsidR="00454980" w:rsidRPr="00262BFE">
        <w:t>-</w:t>
      </w:r>
      <w:r w:rsidR="00790407" w:rsidRPr="00262BFE">
        <w:t>order-of-magnitude transmission</w:t>
      </w:r>
      <w:r w:rsidR="00207EA9">
        <w:t>-</w:t>
      </w:r>
      <w:r w:rsidR="00790407" w:rsidRPr="00262BFE">
        <w:t xml:space="preserve">development costs used to </w:t>
      </w:r>
      <w:r w:rsidR="00274D96" w:rsidRPr="00262BFE">
        <w:t xml:space="preserve">integrate renewable wind resources and </w:t>
      </w:r>
      <w:r w:rsidR="00790407" w:rsidRPr="00262BFE">
        <w:t xml:space="preserve">relieve system congestion. </w:t>
      </w:r>
      <w:r w:rsidR="00B803C4" w:rsidRPr="00262BFE">
        <w:t>The</w:t>
      </w:r>
      <w:r w:rsidR="00B803C4">
        <w:t xml:space="preserve"> results for 2030 are emphasized because the differences among the six scenarios are more evident</w:t>
      </w:r>
      <w:r w:rsidR="009E7B29">
        <w:t xml:space="preserve">. </w:t>
      </w:r>
    </w:p>
    <w:p w:rsidR="00B2071C" w:rsidRPr="00DD620A" w:rsidRDefault="00B2071C" w:rsidP="00AF716F">
      <w:pPr>
        <w:pStyle w:val="Heading3"/>
      </w:pPr>
      <w:bookmarkStart w:id="261" w:name="_Toc486405996"/>
      <w:r w:rsidRPr="00DD620A">
        <w:t xml:space="preserve">Total Energy Production by Resource (Fuel) Type, </w:t>
      </w:r>
      <w:r w:rsidR="0001462B" w:rsidRPr="00DD620A">
        <w:t>I</w:t>
      </w:r>
      <w:r w:rsidRPr="00DD620A">
        <w:t xml:space="preserve">ncluding </w:t>
      </w:r>
      <w:r w:rsidR="0009710E" w:rsidRPr="00DD620A">
        <w:t>I</w:t>
      </w:r>
      <w:r w:rsidRPr="00DD620A">
        <w:t>mports</w:t>
      </w:r>
      <w:bookmarkEnd w:id="261"/>
    </w:p>
    <w:p w:rsidR="00434563" w:rsidRPr="00262BFE" w:rsidRDefault="00407143" w:rsidP="00201D25">
      <w:r w:rsidRPr="00DD620A">
        <w:t xml:space="preserve">Examination of </w:t>
      </w:r>
      <w:r w:rsidR="00790407" w:rsidRPr="00DD620A">
        <w:t>t</w:t>
      </w:r>
      <w:r w:rsidRPr="00DD620A">
        <w:t xml:space="preserve">he </w:t>
      </w:r>
      <w:r w:rsidR="00790407" w:rsidRPr="00DD620A">
        <w:t>metric for t</w:t>
      </w:r>
      <w:r w:rsidRPr="00DD620A">
        <w:t xml:space="preserve">otal </w:t>
      </w:r>
      <w:r w:rsidR="0009710E" w:rsidRPr="00DD620A">
        <w:t>systemwide</w:t>
      </w:r>
      <w:r w:rsidR="00434563" w:rsidRPr="00DD620A">
        <w:t xml:space="preserve"> </w:t>
      </w:r>
      <w:r w:rsidR="00790407" w:rsidRPr="00DD620A">
        <w:t>e</w:t>
      </w:r>
      <w:r w:rsidRPr="00DD620A">
        <w:t xml:space="preserve">nergy </w:t>
      </w:r>
      <w:r w:rsidR="00790407" w:rsidRPr="00DD620A">
        <w:t>p</w:t>
      </w:r>
      <w:r w:rsidRPr="00DD620A">
        <w:t xml:space="preserve">roduction by </w:t>
      </w:r>
      <w:r w:rsidR="00790407" w:rsidRPr="00DD620A">
        <w:t>r</w:t>
      </w:r>
      <w:r w:rsidRPr="00DD620A">
        <w:t>esource (</w:t>
      </w:r>
      <w:r w:rsidR="00790407" w:rsidRPr="00DD620A">
        <w:t>f</w:t>
      </w:r>
      <w:r w:rsidRPr="00DD620A">
        <w:t xml:space="preserve">uel) </w:t>
      </w:r>
      <w:r w:rsidR="00790407" w:rsidRPr="00DD620A">
        <w:t>t</w:t>
      </w:r>
      <w:r w:rsidRPr="00DD620A">
        <w:t>ype</w:t>
      </w:r>
      <w:r w:rsidR="00790407" w:rsidRPr="00DD620A">
        <w:t xml:space="preserve"> </w:t>
      </w:r>
      <w:r w:rsidRPr="00DD620A">
        <w:t xml:space="preserve">explains many of the differences in the overall results. </w:t>
      </w:r>
      <w:r w:rsidR="00262BFE" w:rsidRPr="00DD620A">
        <w:fldChar w:fldCharType="begin"/>
      </w:r>
      <w:r w:rsidR="00262BFE" w:rsidRPr="00DD620A">
        <w:instrText xml:space="preserve"> REF _Ref480813490 \h </w:instrText>
      </w:r>
      <w:r w:rsidR="00DD620A" w:rsidRPr="00DD620A">
        <w:instrText xml:space="preserve"> \* MERGEFORMAT </w:instrText>
      </w:r>
      <w:r w:rsidR="00262BFE" w:rsidRPr="00DD620A">
        <w:fldChar w:fldCharType="separate"/>
      </w:r>
      <w:r w:rsidR="00742B49" w:rsidRPr="00DD620A">
        <w:t xml:space="preserve">Figure </w:t>
      </w:r>
      <w:r w:rsidR="00742B49" w:rsidRPr="00DD620A">
        <w:rPr>
          <w:noProof/>
        </w:rPr>
        <w:t>6</w:t>
      </w:r>
      <w:r w:rsidR="00742B49" w:rsidRPr="00DD620A">
        <w:noBreakHyphen/>
      </w:r>
      <w:r w:rsidR="00742B49" w:rsidRPr="00DD620A">
        <w:rPr>
          <w:noProof/>
        </w:rPr>
        <w:t>1</w:t>
      </w:r>
      <w:r w:rsidR="00262BFE" w:rsidRPr="00DD620A">
        <w:fldChar w:fldCharType="end"/>
      </w:r>
      <w:r w:rsidR="00262BFE" w:rsidRPr="00DD620A">
        <w:t xml:space="preserve"> </w:t>
      </w:r>
      <w:r w:rsidR="003D06B9" w:rsidRPr="00DD620A">
        <w:t>and</w:t>
      </w:r>
      <w:r w:rsidR="007C0351" w:rsidRPr="00DD620A">
        <w:t xml:space="preserve"> </w:t>
      </w:r>
      <w:r w:rsidR="00493151" w:rsidRPr="00DD620A">
        <w:fldChar w:fldCharType="begin"/>
      </w:r>
      <w:r w:rsidR="00493151" w:rsidRPr="00DD620A">
        <w:instrText xml:space="preserve"> REF _Ref485894979 \h </w:instrText>
      </w:r>
      <w:r w:rsidR="00DD620A" w:rsidRPr="00DD620A">
        <w:instrText xml:space="preserve"> \* MERGEFORMAT </w:instrText>
      </w:r>
      <w:r w:rsidR="00493151" w:rsidRPr="00DD620A">
        <w:fldChar w:fldCharType="separate"/>
      </w:r>
      <w:r w:rsidR="00742B49" w:rsidRPr="00DD620A">
        <w:t xml:space="preserve">Figure </w:t>
      </w:r>
      <w:r w:rsidR="00742B49" w:rsidRPr="00DD620A">
        <w:rPr>
          <w:noProof/>
        </w:rPr>
        <w:t>6</w:t>
      </w:r>
      <w:r w:rsidR="00742B49" w:rsidRPr="00DD620A">
        <w:noBreakHyphen/>
      </w:r>
      <w:r w:rsidR="00742B49" w:rsidRPr="00DD620A">
        <w:rPr>
          <w:noProof/>
        </w:rPr>
        <w:t>2</w:t>
      </w:r>
      <w:r w:rsidR="00493151" w:rsidRPr="00DD620A">
        <w:fldChar w:fldCharType="end"/>
      </w:r>
      <w:r w:rsidR="00493151" w:rsidRPr="00DD620A">
        <w:t xml:space="preserve"> </w:t>
      </w:r>
      <w:r w:rsidR="007C0351" w:rsidRPr="00DD620A">
        <w:t>present the results for 2025 and 2030</w:t>
      </w:r>
      <w:r w:rsidR="0068569A">
        <w:t xml:space="preserve"> (in terawatt-hours; TWh)</w:t>
      </w:r>
      <w:r w:rsidR="007C0351" w:rsidRPr="00DD620A">
        <w:t xml:space="preserve">, </w:t>
      </w:r>
      <w:r w:rsidR="003D06B9" w:rsidRPr="00DD620A">
        <w:t xml:space="preserve">showing </w:t>
      </w:r>
      <w:r w:rsidR="00A60545" w:rsidRPr="00DD620A">
        <w:t>consisten</w:t>
      </w:r>
      <w:r w:rsidR="00434563" w:rsidRPr="00DD620A">
        <w:t xml:space="preserve">cy </w:t>
      </w:r>
      <w:r w:rsidR="00A60545" w:rsidRPr="00DD620A">
        <w:t>with the study’s assumptions</w:t>
      </w:r>
      <w:r w:rsidR="003D06B9" w:rsidRPr="00DD620A">
        <w:t xml:space="preserve"> for both study years</w:t>
      </w:r>
      <w:r w:rsidR="00434563" w:rsidRPr="00DD620A">
        <w:t>.</w:t>
      </w:r>
      <w:r w:rsidR="007C0351" w:rsidRPr="00DD620A">
        <w:t xml:space="preserve"> </w:t>
      </w:r>
      <w:r w:rsidR="007C0351" w:rsidRPr="00DD620A">
        <w:fldChar w:fldCharType="begin"/>
      </w:r>
      <w:r w:rsidR="007C0351" w:rsidRPr="00DD620A">
        <w:instrText xml:space="preserve"> REF _Ref483824785 \h </w:instrText>
      </w:r>
      <w:r w:rsidR="00263B08" w:rsidRPr="00DD620A">
        <w:instrText xml:space="preserve"> \* MERGEFORMAT </w:instrText>
      </w:r>
      <w:r w:rsidR="007C0351" w:rsidRPr="00DD620A">
        <w:fldChar w:fldCharType="separate"/>
      </w:r>
      <w:r w:rsidR="00742B49" w:rsidRPr="00DD620A">
        <w:t xml:space="preserve">Table </w:t>
      </w:r>
      <w:r w:rsidR="00742B49" w:rsidRPr="00DD620A">
        <w:rPr>
          <w:noProof/>
        </w:rPr>
        <w:t>6</w:t>
      </w:r>
      <w:r w:rsidR="00742B49" w:rsidRPr="00DD620A">
        <w:rPr>
          <w:noProof/>
        </w:rPr>
        <w:noBreakHyphen/>
        <w:t>1</w:t>
      </w:r>
      <w:r w:rsidR="007C0351" w:rsidRPr="00DD620A">
        <w:fldChar w:fldCharType="end"/>
      </w:r>
      <w:r w:rsidR="007C0351" w:rsidRPr="00DD620A">
        <w:t xml:space="preserve"> shows the data behind these figures</w:t>
      </w:r>
      <w:r w:rsidR="009F4B79" w:rsidRPr="00DD620A">
        <w:t>.</w:t>
      </w:r>
    </w:p>
    <w:p w:rsidR="004A258F" w:rsidRDefault="004A258F" w:rsidP="00262BFE">
      <w:pPr>
        <w:keepNext/>
        <w:spacing w:after="0" w:line="240" w:lineRule="auto"/>
        <w:jc w:val="center"/>
      </w:pPr>
      <w:r w:rsidRPr="004A258F">
        <w:rPr>
          <w:noProof/>
        </w:rPr>
        <w:lastRenderedPageBreak/>
        <w:drawing>
          <wp:inline distT="0" distB="0" distL="0" distR="0" wp14:anchorId="09DFB0C5" wp14:editId="658D3507">
            <wp:extent cx="4534534" cy="3060192"/>
            <wp:effectExtent l="19050" t="19050" r="19050" b="26035"/>
            <wp:docPr id="7176" name="Pictur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31225" cy="3057959"/>
                    </a:xfrm>
                    <a:prstGeom prst="rect">
                      <a:avLst/>
                    </a:prstGeom>
                    <a:noFill/>
                    <a:ln w="3175">
                      <a:solidFill>
                        <a:schemeClr val="tx1"/>
                      </a:solidFill>
                    </a:ln>
                  </pic:spPr>
                </pic:pic>
              </a:graphicData>
            </a:graphic>
          </wp:inline>
        </w:drawing>
      </w:r>
    </w:p>
    <w:p w:rsidR="00434563" w:rsidRDefault="00434563" w:rsidP="007C0351">
      <w:pPr>
        <w:pStyle w:val="Caption"/>
        <w:spacing w:before="120" w:after="240"/>
        <w:ind w:left="1166"/>
      </w:pPr>
      <w:bookmarkStart w:id="262" w:name="_Ref480813490"/>
      <w:bookmarkStart w:id="263" w:name="_Toc486406071"/>
      <w:r>
        <w:t xml:space="preserve">Figure </w:t>
      </w:r>
      <w:fldSimple w:instr=" STYLEREF 1 \s ">
        <w:r w:rsidR="00742B49">
          <w:rPr>
            <w:noProof/>
          </w:rPr>
          <w:t>6</w:t>
        </w:r>
      </w:fldSimple>
      <w:r w:rsidR="00024994">
        <w:noBreakHyphen/>
      </w:r>
      <w:fldSimple w:instr=" SEQ Figure \* ARABIC \s 1 ">
        <w:r w:rsidR="00742B49">
          <w:rPr>
            <w:noProof/>
          </w:rPr>
          <w:t>1</w:t>
        </w:r>
      </w:fldSimple>
      <w:bookmarkEnd w:id="262"/>
      <w:r>
        <w:t xml:space="preserve">: Total systemwide generation by fuel type for each scenario, </w:t>
      </w:r>
      <w:r w:rsidRPr="0068569A">
        <w:t xml:space="preserve">2025 </w:t>
      </w:r>
      <w:r w:rsidRPr="009B3C6A">
        <w:t>(TWh).</w:t>
      </w:r>
      <w:bookmarkEnd w:id="263"/>
    </w:p>
    <w:p w:rsidR="007C0351" w:rsidRDefault="007C0351" w:rsidP="00263B08">
      <w:pPr>
        <w:spacing w:after="0" w:line="240" w:lineRule="auto"/>
        <w:jc w:val="center"/>
      </w:pPr>
      <w:r w:rsidRPr="004A258F">
        <w:rPr>
          <w:noProof/>
        </w:rPr>
        <w:drawing>
          <wp:inline distT="0" distB="0" distL="0" distR="0" wp14:anchorId="753847F9" wp14:editId="0B2E1405">
            <wp:extent cx="4408529" cy="3017520"/>
            <wp:effectExtent l="19050" t="19050" r="11430" b="11430"/>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08868" cy="3017752"/>
                    </a:xfrm>
                    <a:prstGeom prst="rect">
                      <a:avLst/>
                    </a:prstGeom>
                    <a:noFill/>
                    <a:ln w="3175">
                      <a:solidFill>
                        <a:sysClr val="windowText" lastClr="000000"/>
                      </a:solidFill>
                    </a:ln>
                  </pic:spPr>
                </pic:pic>
              </a:graphicData>
            </a:graphic>
          </wp:inline>
        </w:drawing>
      </w:r>
    </w:p>
    <w:p w:rsidR="007C0351" w:rsidRDefault="007C0351" w:rsidP="00263B08">
      <w:pPr>
        <w:pStyle w:val="Caption"/>
        <w:tabs>
          <w:tab w:val="clear" w:pos="1260"/>
        </w:tabs>
        <w:spacing w:before="120" w:after="240"/>
        <w:ind w:left="1170"/>
      </w:pPr>
      <w:bookmarkStart w:id="264" w:name="_Ref485894979"/>
      <w:bookmarkStart w:id="265" w:name="_Toc486406072"/>
      <w:r>
        <w:t xml:space="preserve">Figure </w:t>
      </w:r>
      <w:fldSimple w:instr=" STYLEREF 1 \s ">
        <w:r w:rsidR="00742B49">
          <w:rPr>
            <w:noProof/>
          </w:rPr>
          <w:t>6</w:t>
        </w:r>
      </w:fldSimple>
      <w:r>
        <w:noBreakHyphen/>
      </w:r>
      <w:fldSimple w:instr=" SEQ Figure \* ARABIC \s 1 ">
        <w:r w:rsidR="00742B49">
          <w:rPr>
            <w:noProof/>
          </w:rPr>
          <w:t>2</w:t>
        </w:r>
      </w:fldSimple>
      <w:bookmarkEnd w:id="264"/>
      <w:r>
        <w:t>: Total systemwide generation by fuel type for each scenario, 2030 (TWh).</w:t>
      </w:r>
      <w:bookmarkEnd w:id="265"/>
    </w:p>
    <w:p w:rsidR="007C0351" w:rsidRPr="00263B08" w:rsidRDefault="007C0351" w:rsidP="00263B08"/>
    <w:p w:rsidR="003D06B9" w:rsidRPr="003D06B9" w:rsidRDefault="003D06B9" w:rsidP="00263B08">
      <w:pPr>
        <w:pStyle w:val="Caption"/>
        <w:jc w:val="center"/>
      </w:pPr>
      <w:bookmarkStart w:id="266" w:name="_Ref483824785"/>
      <w:bookmarkStart w:id="267" w:name="_Toc486406036"/>
      <w:r w:rsidRPr="00DD620A">
        <w:lastRenderedPageBreak/>
        <w:t xml:space="preserve">Table </w:t>
      </w:r>
      <w:fldSimple w:instr=" STYLEREF 1 \s ">
        <w:r w:rsidR="004248FE">
          <w:rPr>
            <w:noProof/>
          </w:rPr>
          <w:t>6</w:t>
        </w:r>
      </w:fldSimple>
      <w:r w:rsidR="004248FE">
        <w:noBreakHyphen/>
      </w:r>
      <w:fldSimple w:instr=" SEQ Table \* ARABIC \s 1 ">
        <w:r w:rsidR="004248FE">
          <w:rPr>
            <w:noProof/>
          </w:rPr>
          <w:t>1</w:t>
        </w:r>
      </w:fldSimple>
      <w:bookmarkEnd w:id="266"/>
      <w:r w:rsidRPr="00DD620A">
        <w:br/>
        <w:t>Total Systemwide Generation by Fuel Type for Each Scenario, 2025 (TWh)</w:t>
      </w:r>
      <w:bookmarkEnd w:id="267"/>
    </w:p>
    <w:tbl>
      <w:tblPr>
        <w:tblW w:w="1016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625"/>
        <w:gridCol w:w="979"/>
        <w:gridCol w:w="630"/>
        <w:gridCol w:w="720"/>
        <w:gridCol w:w="459"/>
        <w:gridCol w:w="711"/>
        <w:gridCol w:w="560"/>
        <w:gridCol w:w="600"/>
        <w:gridCol w:w="640"/>
        <w:gridCol w:w="540"/>
        <w:gridCol w:w="630"/>
        <w:gridCol w:w="675"/>
        <w:gridCol w:w="810"/>
        <w:gridCol w:w="585"/>
      </w:tblGrid>
      <w:tr w:rsidR="004A222F" w:rsidRPr="007C0351" w:rsidTr="004A222F">
        <w:trPr>
          <w:jc w:val="center"/>
        </w:trPr>
        <w:tc>
          <w:tcPr>
            <w:tcW w:w="1625" w:type="dxa"/>
            <w:shd w:val="clear" w:color="auto" w:fill="0070C0"/>
            <w:tcMar>
              <w:top w:w="29" w:type="dxa"/>
              <w:left w:w="29" w:type="dxa"/>
              <w:bottom w:w="29" w:type="dxa"/>
              <w:right w:w="29" w:type="dxa"/>
            </w:tcMar>
            <w:vAlign w:val="center"/>
          </w:tcPr>
          <w:p w:rsidR="004A222F" w:rsidRPr="007C0351" w:rsidRDefault="004A222F" w:rsidP="00263B08">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7C0351">
              <w:rPr>
                <w:rFonts w:asciiTheme="minorHAnsi" w:eastAsia="Calibri" w:hAnsiTheme="minorHAnsi"/>
                <w:b/>
                <w:color w:val="FFFFFF" w:themeColor="background1"/>
                <w:sz w:val="18"/>
                <w:szCs w:val="18"/>
              </w:rPr>
              <w:t>Transmission</w:t>
            </w:r>
            <w:r>
              <w:rPr>
                <w:rFonts w:asciiTheme="minorHAnsi" w:eastAsia="Calibri" w:hAnsiTheme="minorHAnsi"/>
                <w:b/>
                <w:color w:val="FFFFFF" w:themeColor="background1"/>
                <w:sz w:val="18"/>
                <w:szCs w:val="18"/>
              </w:rPr>
              <w:t xml:space="preserve"> and Year</w:t>
            </w:r>
          </w:p>
        </w:tc>
        <w:tc>
          <w:tcPr>
            <w:tcW w:w="979" w:type="dxa"/>
            <w:shd w:val="clear" w:color="auto" w:fill="0070C0"/>
            <w:tcMar>
              <w:top w:w="29" w:type="dxa"/>
              <w:left w:w="29" w:type="dxa"/>
              <w:bottom w:w="29" w:type="dxa"/>
              <w:right w:w="29" w:type="dxa"/>
            </w:tcMar>
            <w:vAlign w:val="center"/>
          </w:tcPr>
          <w:p w:rsidR="004A222F" w:rsidRPr="007C0351" w:rsidRDefault="004A222F" w:rsidP="00263B08">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7C0351">
              <w:rPr>
                <w:rFonts w:asciiTheme="minorHAnsi" w:eastAsia="Calibri" w:hAnsiTheme="minorHAnsi"/>
                <w:b/>
                <w:color w:val="FFFFFF" w:themeColor="background1"/>
                <w:sz w:val="18"/>
                <w:szCs w:val="18"/>
              </w:rPr>
              <w:t>Scenario</w:t>
            </w:r>
          </w:p>
        </w:tc>
        <w:tc>
          <w:tcPr>
            <w:tcW w:w="630" w:type="dxa"/>
            <w:shd w:val="clear" w:color="auto" w:fill="0070C0"/>
            <w:tcMar>
              <w:top w:w="29" w:type="dxa"/>
              <w:left w:w="29" w:type="dxa"/>
              <w:bottom w:w="29" w:type="dxa"/>
              <w:right w:w="29" w:type="dxa"/>
            </w:tcMar>
            <w:vAlign w:val="center"/>
          </w:tcPr>
          <w:p w:rsidR="004A222F" w:rsidRPr="007C0351" w:rsidRDefault="004A222F" w:rsidP="00263B08">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7C0351">
              <w:rPr>
                <w:rFonts w:asciiTheme="minorHAnsi" w:eastAsia="Calibri" w:hAnsiTheme="minorHAnsi"/>
                <w:b/>
                <w:color w:val="FFFFFF" w:themeColor="background1"/>
                <w:sz w:val="18"/>
                <w:szCs w:val="18"/>
              </w:rPr>
              <w:t>Coal</w:t>
            </w:r>
          </w:p>
        </w:tc>
        <w:tc>
          <w:tcPr>
            <w:tcW w:w="720" w:type="dxa"/>
            <w:shd w:val="clear" w:color="auto" w:fill="0070C0"/>
            <w:tcMar>
              <w:top w:w="29" w:type="dxa"/>
              <w:left w:w="29" w:type="dxa"/>
              <w:bottom w:w="29" w:type="dxa"/>
              <w:right w:w="29" w:type="dxa"/>
            </w:tcMar>
            <w:vAlign w:val="center"/>
          </w:tcPr>
          <w:p w:rsidR="004A222F" w:rsidRPr="007C0351" w:rsidRDefault="004A222F" w:rsidP="00263B08">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7C0351">
              <w:rPr>
                <w:rFonts w:asciiTheme="minorHAnsi" w:eastAsia="Calibri" w:hAnsiTheme="minorHAnsi"/>
                <w:b/>
                <w:color w:val="FFFFFF" w:themeColor="background1"/>
                <w:sz w:val="18"/>
                <w:szCs w:val="18"/>
              </w:rPr>
              <w:t>NG</w:t>
            </w:r>
          </w:p>
        </w:tc>
        <w:tc>
          <w:tcPr>
            <w:tcW w:w="459" w:type="dxa"/>
            <w:shd w:val="clear" w:color="auto" w:fill="0070C0"/>
            <w:tcMar>
              <w:top w:w="29" w:type="dxa"/>
              <w:left w:w="29" w:type="dxa"/>
              <w:bottom w:w="29" w:type="dxa"/>
              <w:right w:w="29" w:type="dxa"/>
            </w:tcMar>
            <w:vAlign w:val="center"/>
          </w:tcPr>
          <w:p w:rsidR="004A222F" w:rsidRPr="007C0351" w:rsidRDefault="004A222F" w:rsidP="00263B08">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7C0351">
              <w:rPr>
                <w:rFonts w:asciiTheme="minorHAnsi" w:eastAsia="Calibri" w:hAnsiTheme="minorHAnsi"/>
                <w:b/>
                <w:color w:val="FFFFFF" w:themeColor="background1"/>
                <w:sz w:val="18"/>
                <w:szCs w:val="18"/>
              </w:rPr>
              <w:t>Oil</w:t>
            </w:r>
          </w:p>
        </w:tc>
        <w:tc>
          <w:tcPr>
            <w:tcW w:w="711" w:type="dxa"/>
            <w:shd w:val="clear" w:color="auto" w:fill="0070C0"/>
            <w:tcMar>
              <w:top w:w="29" w:type="dxa"/>
              <w:left w:w="29" w:type="dxa"/>
              <w:bottom w:w="29" w:type="dxa"/>
              <w:right w:w="29" w:type="dxa"/>
            </w:tcMar>
            <w:vAlign w:val="center"/>
          </w:tcPr>
          <w:p w:rsidR="004A222F" w:rsidRPr="007C0351" w:rsidRDefault="004A222F" w:rsidP="00263B08">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7C0351">
              <w:rPr>
                <w:rFonts w:asciiTheme="minorHAnsi" w:eastAsia="Calibri" w:hAnsiTheme="minorHAnsi"/>
                <w:b/>
                <w:color w:val="FFFFFF" w:themeColor="background1"/>
                <w:sz w:val="18"/>
                <w:szCs w:val="18"/>
              </w:rPr>
              <w:t>Wood</w:t>
            </w:r>
          </w:p>
        </w:tc>
        <w:tc>
          <w:tcPr>
            <w:tcW w:w="560" w:type="dxa"/>
            <w:shd w:val="clear" w:color="auto" w:fill="0070C0"/>
            <w:tcMar>
              <w:top w:w="29" w:type="dxa"/>
              <w:left w:w="29" w:type="dxa"/>
              <w:bottom w:w="29" w:type="dxa"/>
              <w:right w:w="29" w:type="dxa"/>
            </w:tcMar>
            <w:vAlign w:val="center"/>
          </w:tcPr>
          <w:p w:rsidR="004A222F" w:rsidRPr="007C0351" w:rsidRDefault="004A222F" w:rsidP="00263B08">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7C0351">
              <w:rPr>
                <w:rFonts w:asciiTheme="minorHAnsi" w:eastAsia="Calibri" w:hAnsiTheme="minorHAnsi"/>
                <w:b/>
                <w:color w:val="FFFFFF" w:themeColor="background1"/>
                <w:sz w:val="18"/>
                <w:szCs w:val="18"/>
              </w:rPr>
              <w:t>EE/DR</w:t>
            </w:r>
          </w:p>
        </w:tc>
        <w:tc>
          <w:tcPr>
            <w:tcW w:w="600" w:type="dxa"/>
            <w:shd w:val="clear" w:color="auto" w:fill="0070C0"/>
            <w:tcMar>
              <w:top w:w="29" w:type="dxa"/>
              <w:left w:w="29" w:type="dxa"/>
              <w:bottom w:w="29" w:type="dxa"/>
              <w:right w:w="29" w:type="dxa"/>
            </w:tcMar>
            <w:vAlign w:val="center"/>
          </w:tcPr>
          <w:p w:rsidR="004A222F" w:rsidRPr="007C0351" w:rsidRDefault="004A222F" w:rsidP="00263B08">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7C0351">
              <w:rPr>
                <w:rFonts w:asciiTheme="minorHAnsi" w:eastAsia="Calibri" w:hAnsiTheme="minorHAnsi"/>
                <w:b/>
                <w:color w:val="FFFFFF" w:themeColor="background1"/>
                <w:sz w:val="18"/>
                <w:szCs w:val="18"/>
              </w:rPr>
              <w:t>Nuc</w:t>
            </w:r>
          </w:p>
        </w:tc>
        <w:tc>
          <w:tcPr>
            <w:tcW w:w="640" w:type="dxa"/>
            <w:shd w:val="clear" w:color="auto" w:fill="0070C0"/>
            <w:tcMar>
              <w:top w:w="29" w:type="dxa"/>
              <w:left w:w="29" w:type="dxa"/>
              <w:bottom w:w="29" w:type="dxa"/>
              <w:right w:w="29" w:type="dxa"/>
            </w:tcMar>
            <w:vAlign w:val="center"/>
          </w:tcPr>
          <w:p w:rsidR="004A222F" w:rsidRPr="007C0351" w:rsidRDefault="004A222F" w:rsidP="00263B08">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7C0351">
              <w:rPr>
                <w:rFonts w:asciiTheme="minorHAnsi" w:eastAsia="Calibri" w:hAnsiTheme="minorHAnsi"/>
                <w:b/>
                <w:color w:val="FFFFFF" w:themeColor="background1"/>
                <w:sz w:val="18"/>
                <w:szCs w:val="18"/>
              </w:rPr>
              <w:t>PV</w:t>
            </w:r>
          </w:p>
        </w:tc>
        <w:tc>
          <w:tcPr>
            <w:tcW w:w="540" w:type="dxa"/>
            <w:shd w:val="clear" w:color="auto" w:fill="0070C0"/>
            <w:tcMar>
              <w:top w:w="29" w:type="dxa"/>
              <w:left w:w="29" w:type="dxa"/>
              <w:bottom w:w="29" w:type="dxa"/>
              <w:right w:w="29" w:type="dxa"/>
            </w:tcMar>
            <w:vAlign w:val="center"/>
          </w:tcPr>
          <w:p w:rsidR="004A222F" w:rsidRPr="007C0351" w:rsidRDefault="004A222F" w:rsidP="00263B08">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7C0351">
              <w:rPr>
                <w:rFonts w:asciiTheme="minorHAnsi" w:eastAsia="Calibri" w:hAnsiTheme="minorHAnsi"/>
                <w:b/>
                <w:color w:val="FFFFFF" w:themeColor="background1"/>
                <w:sz w:val="18"/>
                <w:szCs w:val="18"/>
              </w:rPr>
              <w:t>Misc</w:t>
            </w:r>
          </w:p>
        </w:tc>
        <w:tc>
          <w:tcPr>
            <w:tcW w:w="630" w:type="dxa"/>
            <w:shd w:val="clear" w:color="auto" w:fill="0070C0"/>
            <w:tcMar>
              <w:top w:w="29" w:type="dxa"/>
              <w:left w:w="29" w:type="dxa"/>
              <w:bottom w:w="29" w:type="dxa"/>
              <w:right w:w="29" w:type="dxa"/>
            </w:tcMar>
            <w:vAlign w:val="center"/>
          </w:tcPr>
          <w:p w:rsidR="004A222F" w:rsidRPr="007C0351" w:rsidRDefault="004A222F" w:rsidP="00263B08">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7C0351">
              <w:rPr>
                <w:rFonts w:asciiTheme="minorHAnsi" w:eastAsia="Calibri" w:hAnsiTheme="minorHAnsi"/>
                <w:b/>
                <w:color w:val="FFFFFF" w:themeColor="background1"/>
                <w:sz w:val="18"/>
                <w:szCs w:val="18"/>
              </w:rPr>
              <w:t>Wind</w:t>
            </w:r>
          </w:p>
        </w:tc>
        <w:tc>
          <w:tcPr>
            <w:tcW w:w="675" w:type="dxa"/>
            <w:shd w:val="clear" w:color="auto" w:fill="0070C0"/>
            <w:tcMar>
              <w:top w:w="29" w:type="dxa"/>
              <w:left w:w="29" w:type="dxa"/>
              <w:bottom w:w="29" w:type="dxa"/>
              <w:right w:w="29" w:type="dxa"/>
            </w:tcMar>
            <w:vAlign w:val="center"/>
          </w:tcPr>
          <w:p w:rsidR="004A222F" w:rsidRPr="007C0351" w:rsidRDefault="004A222F" w:rsidP="00263B08">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7C0351">
              <w:rPr>
                <w:rFonts w:asciiTheme="minorHAnsi" w:eastAsia="Calibri" w:hAnsiTheme="minorHAnsi"/>
                <w:b/>
                <w:color w:val="FFFFFF" w:themeColor="background1"/>
                <w:sz w:val="18"/>
                <w:szCs w:val="18"/>
              </w:rPr>
              <w:t>Hydro</w:t>
            </w:r>
          </w:p>
        </w:tc>
        <w:tc>
          <w:tcPr>
            <w:tcW w:w="810" w:type="dxa"/>
            <w:shd w:val="clear" w:color="auto" w:fill="0070C0"/>
            <w:tcMar>
              <w:top w:w="29" w:type="dxa"/>
              <w:left w:w="29" w:type="dxa"/>
              <w:bottom w:w="29" w:type="dxa"/>
              <w:right w:w="29" w:type="dxa"/>
            </w:tcMar>
            <w:vAlign w:val="center"/>
          </w:tcPr>
          <w:p w:rsidR="004A222F" w:rsidRPr="007C0351" w:rsidRDefault="004A222F" w:rsidP="00263B08">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7C0351">
              <w:rPr>
                <w:rFonts w:asciiTheme="minorHAnsi" w:eastAsia="Calibri" w:hAnsiTheme="minorHAnsi"/>
                <w:b/>
                <w:color w:val="FFFFFF" w:themeColor="background1"/>
                <w:sz w:val="18"/>
                <w:szCs w:val="18"/>
              </w:rPr>
              <w:t>Imports</w:t>
            </w:r>
          </w:p>
        </w:tc>
        <w:tc>
          <w:tcPr>
            <w:tcW w:w="585" w:type="dxa"/>
            <w:shd w:val="clear" w:color="auto" w:fill="0070C0"/>
            <w:tcMar>
              <w:top w:w="29" w:type="dxa"/>
              <w:left w:w="29" w:type="dxa"/>
              <w:bottom w:w="29" w:type="dxa"/>
              <w:right w:w="29" w:type="dxa"/>
            </w:tcMar>
            <w:vAlign w:val="center"/>
          </w:tcPr>
          <w:p w:rsidR="004A222F" w:rsidRPr="007C0351" w:rsidRDefault="004A222F" w:rsidP="00263B08">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7C0351">
              <w:rPr>
                <w:rFonts w:asciiTheme="minorHAnsi" w:eastAsia="Calibri" w:hAnsiTheme="minorHAnsi"/>
                <w:b/>
                <w:color w:val="FFFFFF" w:themeColor="background1"/>
                <w:sz w:val="18"/>
                <w:szCs w:val="18"/>
              </w:rPr>
              <w:t>EV</w:t>
            </w:r>
          </w:p>
        </w:tc>
      </w:tr>
      <w:tr w:rsidR="004A222F" w:rsidRPr="007C0351" w:rsidTr="004A222F">
        <w:trPr>
          <w:jc w:val="center"/>
        </w:trPr>
        <w:tc>
          <w:tcPr>
            <w:tcW w:w="1625" w:type="dxa"/>
            <w:vMerge w:val="restart"/>
            <w:shd w:val="clear" w:color="auto" w:fill="auto"/>
            <w:tcMar>
              <w:top w:w="29" w:type="dxa"/>
              <w:left w:w="58" w:type="dxa"/>
              <w:bottom w:w="29" w:type="dxa"/>
              <w:right w:w="0" w:type="dxa"/>
            </w:tcMar>
            <w:vAlign w:val="center"/>
          </w:tcPr>
          <w:p w:rsidR="004A222F" w:rsidRPr="007C0351" w:rsidRDefault="004A222F" w:rsidP="00263B08">
            <w:pPr>
              <w:keepNext/>
              <w:keepLines/>
              <w:adjustRightInd/>
              <w:spacing w:before="40" w:after="40" w:line="240" w:lineRule="auto"/>
              <w:textAlignment w:val="auto"/>
              <w:rPr>
                <w:rFonts w:asciiTheme="minorHAnsi" w:eastAsia="Calibri" w:hAnsiTheme="minorHAnsi"/>
                <w:b/>
                <w:sz w:val="18"/>
                <w:szCs w:val="18"/>
              </w:rPr>
            </w:pPr>
            <w:r>
              <w:rPr>
                <w:rFonts w:asciiTheme="minorHAnsi" w:eastAsia="Calibri" w:hAnsiTheme="minorHAnsi"/>
                <w:b/>
                <w:sz w:val="18"/>
                <w:szCs w:val="18"/>
              </w:rPr>
              <w:t xml:space="preserve">2025 </w:t>
            </w:r>
            <w:r w:rsidRPr="007C0351">
              <w:rPr>
                <w:rFonts w:asciiTheme="minorHAnsi" w:eastAsia="Calibri" w:hAnsiTheme="minorHAnsi"/>
                <w:b/>
                <w:sz w:val="18"/>
                <w:szCs w:val="18"/>
              </w:rPr>
              <w:t>Constrained</w:t>
            </w:r>
          </w:p>
          <w:p w:rsidR="004A222F" w:rsidRPr="007C0351" w:rsidRDefault="004A222F" w:rsidP="00263B08">
            <w:pPr>
              <w:keepNext/>
              <w:keepLines/>
              <w:spacing w:before="40" w:after="40" w:line="240" w:lineRule="auto"/>
              <w:rPr>
                <w:rFonts w:asciiTheme="minorHAnsi" w:eastAsia="Calibri" w:hAnsiTheme="minorHAnsi"/>
                <w:b/>
                <w:sz w:val="18"/>
                <w:szCs w:val="18"/>
              </w:rPr>
            </w:pPr>
          </w:p>
        </w:tc>
        <w:tc>
          <w:tcPr>
            <w:tcW w:w="979" w:type="dxa"/>
            <w:shd w:val="clear" w:color="auto" w:fill="auto"/>
            <w:tcMar>
              <w:top w:w="29" w:type="dxa"/>
              <w:left w:w="58" w:type="dxa"/>
              <w:bottom w:w="29" w:type="dxa"/>
              <w:right w:w="0" w:type="dxa"/>
            </w:tcMar>
            <w:vAlign w:val="center"/>
          </w:tcPr>
          <w:p w:rsidR="004A222F" w:rsidRPr="007C0351" w:rsidRDefault="004A222F" w:rsidP="00263B08">
            <w:pPr>
              <w:keepNext/>
              <w:keepLines/>
              <w:adjustRightInd/>
              <w:spacing w:before="40" w:after="40" w:line="240" w:lineRule="auto"/>
              <w:textAlignment w:val="auto"/>
              <w:rPr>
                <w:rFonts w:asciiTheme="minorHAnsi" w:eastAsia="Calibri" w:hAnsiTheme="minorHAnsi"/>
                <w:sz w:val="18"/>
                <w:szCs w:val="18"/>
              </w:rPr>
            </w:pPr>
            <w:r w:rsidRPr="007C0351">
              <w:rPr>
                <w:rFonts w:asciiTheme="minorHAnsi" w:eastAsia="Calibri" w:hAnsiTheme="minorHAnsi"/>
                <w:sz w:val="18"/>
                <w:szCs w:val="18"/>
              </w:rPr>
              <w:t>RPS + Gas</w:t>
            </w:r>
          </w:p>
        </w:tc>
        <w:tc>
          <w:tcPr>
            <w:tcW w:w="630" w:type="dxa"/>
            <w:shd w:val="clear" w:color="auto" w:fill="auto"/>
            <w:tcMar>
              <w:top w:w="29" w:type="dxa"/>
              <w:left w:w="14" w:type="dxa"/>
              <w:bottom w:w="29" w:type="dxa"/>
              <w:right w:w="58" w:type="dxa"/>
            </w:tcMar>
            <w:vAlign w:val="center"/>
          </w:tcPr>
          <w:p w:rsidR="004A222F" w:rsidRPr="007C0351"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7C0351">
              <w:rPr>
                <w:rFonts w:asciiTheme="minorHAnsi" w:eastAsia="Calibri" w:hAnsiTheme="minorHAnsi"/>
                <w:sz w:val="18"/>
                <w:szCs w:val="18"/>
              </w:rPr>
              <w:t>0.19</w:t>
            </w:r>
          </w:p>
        </w:tc>
        <w:tc>
          <w:tcPr>
            <w:tcW w:w="720" w:type="dxa"/>
            <w:shd w:val="clear" w:color="auto" w:fill="auto"/>
            <w:tcMar>
              <w:top w:w="29" w:type="dxa"/>
              <w:left w:w="14" w:type="dxa"/>
              <w:bottom w:w="29" w:type="dxa"/>
              <w:right w:w="58" w:type="dxa"/>
            </w:tcMar>
            <w:vAlign w:val="center"/>
          </w:tcPr>
          <w:p w:rsidR="004A222F" w:rsidRPr="007C0351"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7C0351">
              <w:rPr>
                <w:rFonts w:asciiTheme="minorHAnsi" w:eastAsia="Calibri" w:hAnsiTheme="minorHAnsi"/>
                <w:sz w:val="18"/>
                <w:szCs w:val="18"/>
              </w:rPr>
              <w:t>54.65</w:t>
            </w:r>
          </w:p>
        </w:tc>
        <w:tc>
          <w:tcPr>
            <w:tcW w:w="459" w:type="dxa"/>
            <w:shd w:val="clear" w:color="auto" w:fill="auto"/>
            <w:tcMar>
              <w:top w:w="29" w:type="dxa"/>
              <w:left w:w="14" w:type="dxa"/>
              <w:bottom w:w="29" w:type="dxa"/>
              <w:right w:w="58" w:type="dxa"/>
            </w:tcMar>
            <w:vAlign w:val="center"/>
          </w:tcPr>
          <w:p w:rsidR="004A222F" w:rsidRPr="007C0351"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7C0351">
              <w:rPr>
                <w:rFonts w:asciiTheme="minorHAnsi" w:eastAsia="Calibri" w:hAnsiTheme="minorHAnsi"/>
                <w:sz w:val="18"/>
                <w:szCs w:val="18"/>
              </w:rPr>
              <w:t>0.00</w:t>
            </w:r>
          </w:p>
        </w:tc>
        <w:tc>
          <w:tcPr>
            <w:tcW w:w="711" w:type="dxa"/>
            <w:shd w:val="clear" w:color="auto" w:fill="auto"/>
            <w:tcMar>
              <w:top w:w="29" w:type="dxa"/>
              <w:left w:w="14" w:type="dxa"/>
              <w:bottom w:w="29" w:type="dxa"/>
              <w:right w:w="58" w:type="dxa"/>
            </w:tcMar>
            <w:vAlign w:val="center"/>
          </w:tcPr>
          <w:p w:rsidR="004A222F" w:rsidRPr="007C0351"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7C0351">
              <w:rPr>
                <w:rFonts w:asciiTheme="minorHAnsi" w:eastAsia="Calibri" w:hAnsiTheme="minorHAnsi"/>
                <w:sz w:val="18"/>
                <w:szCs w:val="18"/>
              </w:rPr>
              <w:t>4.54</w:t>
            </w:r>
          </w:p>
        </w:tc>
        <w:tc>
          <w:tcPr>
            <w:tcW w:w="560" w:type="dxa"/>
            <w:shd w:val="clear" w:color="auto" w:fill="auto"/>
            <w:tcMar>
              <w:top w:w="29" w:type="dxa"/>
              <w:left w:w="14" w:type="dxa"/>
              <w:bottom w:w="29" w:type="dxa"/>
              <w:right w:w="58" w:type="dxa"/>
            </w:tcMar>
            <w:vAlign w:val="center"/>
          </w:tcPr>
          <w:p w:rsidR="004A222F" w:rsidRPr="007C0351"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7C0351">
              <w:rPr>
                <w:rFonts w:asciiTheme="minorHAnsi" w:eastAsia="Calibri" w:hAnsiTheme="minorHAnsi"/>
                <w:sz w:val="18"/>
                <w:szCs w:val="18"/>
              </w:rPr>
              <w:t>24.58</w:t>
            </w:r>
          </w:p>
        </w:tc>
        <w:tc>
          <w:tcPr>
            <w:tcW w:w="600" w:type="dxa"/>
            <w:shd w:val="clear" w:color="auto" w:fill="auto"/>
            <w:tcMar>
              <w:top w:w="29" w:type="dxa"/>
              <w:left w:w="14" w:type="dxa"/>
              <w:bottom w:w="29" w:type="dxa"/>
              <w:right w:w="58" w:type="dxa"/>
            </w:tcMar>
            <w:vAlign w:val="center"/>
          </w:tcPr>
          <w:p w:rsidR="004A222F" w:rsidRPr="007C0351"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7C0351">
              <w:rPr>
                <w:rFonts w:asciiTheme="minorHAnsi" w:eastAsia="Calibri" w:hAnsiTheme="minorHAnsi"/>
                <w:sz w:val="18"/>
                <w:szCs w:val="18"/>
              </w:rPr>
              <w:t>27.26</w:t>
            </w:r>
          </w:p>
        </w:tc>
        <w:tc>
          <w:tcPr>
            <w:tcW w:w="640" w:type="dxa"/>
            <w:shd w:val="clear" w:color="auto" w:fill="auto"/>
            <w:tcMar>
              <w:top w:w="29" w:type="dxa"/>
              <w:left w:w="14" w:type="dxa"/>
              <w:bottom w:w="29" w:type="dxa"/>
              <w:right w:w="58" w:type="dxa"/>
            </w:tcMar>
            <w:vAlign w:val="center"/>
          </w:tcPr>
          <w:p w:rsidR="004A222F" w:rsidRPr="007C0351"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7C0351">
              <w:rPr>
                <w:rFonts w:asciiTheme="minorHAnsi" w:eastAsia="Calibri" w:hAnsiTheme="minorHAnsi"/>
                <w:sz w:val="18"/>
                <w:szCs w:val="18"/>
              </w:rPr>
              <w:t>4.59</w:t>
            </w:r>
          </w:p>
        </w:tc>
        <w:tc>
          <w:tcPr>
            <w:tcW w:w="540" w:type="dxa"/>
            <w:shd w:val="clear" w:color="auto" w:fill="auto"/>
            <w:tcMar>
              <w:top w:w="29" w:type="dxa"/>
              <w:left w:w="14" w:type="dxa"/>
              <w:bottom w:w="29" w:type="dxa"/>
              <w:right w:w="58" w:type="dxa"/>
            </w:tcMar>
            <w:vAlign w:val="center"/>
          </w:tcPr>
          <w:p w:rsidR="004A222F" w:rsidRPr="007C0351"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7C0351">
              <w:rPr>
                <w:rFonts w:asciiTheme="minorHAnsi" w:eastAsia="Calibri" w:hAnsiTheme="minorHAnsi"/>
                <w:sz w:val="18"/>
                <w:szCs w:val="18"/>
              </w:rPr>
              <w:t>3.12</w:t>
            </w:r>
          </w:p>
        </w:tc>
        <w:tc>
          <w:tcPr>
            <w:tcW w:w="630" w:type="dxa"/>
            <w:shd w:val="clear" w:color="auto" w:fill="auto"/>
            <w:tcMar>
              <w:top w:w="29" w:type="dxa"/>
              <w:left w:w="14" w:type="dxa"/>
              <w:bottom w:w="29" w:type="dxa"/>
              <w:right w:w="58" w:type="dxa"/>
            </w:tcMar>
            <w:vAlign w:val="center"/>
          </w:tcPr>
          <w:p w:rsidR="004A222F" w:rsidRPr="007C0351"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7C0351">
              <w:rPr>
                <w:rFonts w:asciiTheme="minorHAnsi" w:eastAsia="Calibri" w:hAnsiTheme="minorHAnsi"/>
                <w:sz w:val="18"/>
                <w:szCs w:val="18"/>
              </w:rPr>
              <w:t>11.72</w:t>
            </w:r>
          </w:p>
        </w:tc>
        <w:tc>
          <w:tcPr>
            <w:tcW w:w="675" w:type="dxa"/>
            <w:shd w:val="clear" w:color="auto" w:fill="auto"/>
            <w:tcMar>
              <w:top w:w="29" w:type="dxa"/>
              <w:left w:w="14" w:type="dxa"/>
              <w:bottom w:w="29" w:type="dxa"/>
              <w:right w:w="58" w:type="dxa"/>
            </w:tcMar>
            <w:vAlign w:val="center"/>
          </w:tcPr>
          <w:p w:rsidR="004A222F" w:rsidRPr="007C0351"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7C0351">
              <w:rPr>
                <w:rFonts w:asciiTheme="minorHAnsi" w:eastAsia="Calibri" w:hAnsiTheme="minorHAnsi"/>
                <w:sz w:val="18"/>
                <w:szCs w:val="18"/>
              </w:rPr>
              <w:t>3.92</w:t>
            </w:r>
          </w:p>
        </w:tc>
        <w:tc>
          <w:tcPr>
            <w:tcW w:w="810" w:type="dxa"/>
            <w:shd w:val="clear" w:color="auto" w:fill="auto"/>
            <w:tcMar>
              <w:top w:w="29" w:type="dxa"/>
              <w:left w:w="14" w:type="dxa"/>
              <w:bottom w:w="29" w:type="dxa"/>
              <w:right w:w="58" w:type="dxa"/>
            </w:tcMar>
            <w:vAlign w:val="center"/>
          </w:tcPr>
          <w:p w:rsidR="004A222F" w:rsidRPr="007C0351"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7C0351">
              <w:rPr>
                <w:rFonts w:asciiTheme="minorHAnsi" w:eastAsia="Calibri" w:hAnsiTheme="minorHAnsi"/>
                <w:sz w:val="18"/>
                <w:szCs w:val="18"/>
              </w:rPr>
              <w:t>16.15</w:t>
            </w:r>
          </w:p>
        </w:tc>
        <w:tc>
          <w:tcPr>
            <w:tcW w:w="585" w:type="dxa"/>
            <w:shd w:val="clear" w:color="auto" w:fill="auto"/>
            <w:tcMar>
              <w:top w:w="29" w:type="dxa"/>
              <w:left w:w="14" w:type="dxa"/>
              <w:bottom w:w="29" w:type="dxa"/>
              <w:right w:w="58" w:type="dxa"/>
            </w:tcMar>
            <w:vAlign w:val="center"/>
          </w:tcPr>
          <w:p w:rsidR="004A222F" w:rsidRPr="007C0351"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7C0351">
              <w:rPr>
                <w:rFonts w:asciiTheme="minorHAnsi" w:eastAsia="Calibri" w:hAnsiTheme="minorHAnsi"/>
                <w:sz w:val="18"/>
                <w:szCs w:val="18"/>
              </w:rPr>
              <w:t>0.00</w:t>
            </w:r>
          </w:p>
        </w:tc>
      </w:tr>
      <w:tr w:rsidR="004A222F" w:rsidRPr="00263B08" w:rsidTr="004A222F">
        <w:trPr>
          <w:jc w:val="center"/>
        </w:trPr>
        <w:tc>
          <w:tcPr>
            <w:tcW w:w="1625" w:type="dxa"/>
            <w:vMerge/>
            <w:shd w:val="clear" w:color="auto" w:fill="auto"/>
            <w:tcMar>
              <w:top w:w="29" w:type="dxa"/>
              <w:left w:w="58" w:type="dxa"/>
              <w:bottom w:w="29" w:type="dxa"/>
              <w:right w:w="0" w:type="dxa"/>
            </w:tcMar>
            <w:vAlign w:val="center"/>
          </w:tcPr>
          <w:p w:rsidR="004A222F" w:rsidRPr="00263B08" w:rsidRDefault="004A222F" w:rsidP="00263B08">
            <w:pPr>
              <w:keepNext/>
              <w:keepLines/>
              <w:spacing w:before="40" w:after="40" w:line="240" w:lineRule="auto"/>
              <w:rPr>
                <w:rFonts w:asciiTheme="minorHAnsi" w:eastAsia="Calibri" w:hAnsiTheme="minorHAnsi"/>
                <w:b/>
                <w:sz w:val="18"/>
                <w:szCs w:val="18"/>
              </w:rPr>
            </w:pPr>
          </w:p>
        </w:tc>
        <w:tc>
          <w:tcPr>
            <w:tcW w:w="979" w:type="dxa"/>
            <w:shd w:val="clear" w:color="auto" w:fill="auto"/>
            <w:tcMar>
              <w:top w:w="29" w:type="dxa"/>
              <w:left w:w="58" w:type="dxa"/>
              <w:bottom w:w="29" w:type="dxa"/>
              <w:right w:w="0" w:type="dxa"/>
            </w:tcMar>
            <w:vAlign w:val="center"/>
          </w:tcPr>
          <w:p w:rsidR="004A222F" w:rsidRPr="00263B08" w:rsidRDefault="004A222F" w:rsidP="00263B08">
            <w:pPr>
              <w:keepNext/>
              <w:keepLines/>
              <w:adjustRightInd/>
              <w:spacing w:before="40" w:after="40" w:line="240" w:lineRule="auto"/>
              <w:textAlignment w:val="auto"/>
              <w:rPr>
                <w:rFonts w:asciiTheme="minorHAnsi" w:eastAsia="Calibri" w:hAnsiTheme="minorHAnsi"/>
                <w:sz w:val="18"/>
                <w:szCs w:val="18"/>
              </w:rPr>
            </w:pPr>
            <w:r w:rsidRPr="00263B08">
              <w:rPr>
                <w:rFonts w:asciiTheme="minorHAnsi" w:eastAsia="Calibri" w:hAnsiTheme="minorHAnsi"/>
                <w:sz w:val="18"/>
                <w:szCs w:val="18"/>
              </w:rPr>
              <w:t>ISO Queue</w:t>
            </w:r>
          </w:p>
        </w:tc>
        <w:tc>
          <w:tcPr>
            <w:tcW w:w="63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0.13</w:t>
            </w:r>
          </w:p>
        </w:tc>
        <w:tc>
          <w:tcPr>
            <w:tcW w:w="72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52.29</w:t>
            </w:r>
          </w:p>
        </w:tc>
        <w:tc>
          <w:tcPr>
            <w:tcW w:w="459"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0.01</w:t>
            </w:r>
          </w:p>
        </w:tc>
        <w:tc>
          <w:tcPr>
            <w:tcW w:w="711"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4.24</w:t>
            </w:r>
          </w:p>
        </w:tc>
        <w:tc>
          <w:tcPr>
            <w:tcW w:w="56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24.58</w:t>
            </w:r>
          </w:p>
        </w:tc>
        <w:tc>
          <w:tcPr>
            <w:tcW w:w="60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27.26</w:t>
            </w:r>
          </w:p>
        </w:tc>
        <w:tc>
          <w:tcPr>
            <w:tcW w:w="64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5.26</w:t>
            </w:r>
          </w:p>
        </w:tc>
        <w:tc>
          <w:tcPr>
            <w:tcW w:w="54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2.99</w:t>
            </w:r>
          </w:p>
        </w:tc>
        <w:tc>
          <w:tcPr>
            <w:tcW w:w="63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14.82</w:t>
            </w:r>
          </w:p>
        </w:tc>
        <w:tc>
          <w:tcPr>
            <w:tcW w:w="675"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3.68</w:t>
            </w:r>
          </w:p>
        </w:tc>
        <w:tc>
          <w:tcPr>
            <w:tcW w:w="81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15.45</w:t>
            </w:r>
          </w:p>
        </w:tc>
        <w:tc>
          <w:tcPr>
            <w:tcW w:w="585"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r>
      <w:tr w:rsidR="004A222F" w:rsidRPr="00263B08" w:rsidTr="004A222F">
        <w:trPr>
          <w:jc w:val="center"/>
        </w:trPr>
        <w:tc>
          <w:tcPr>
            <w:tcW w:w="1625" w:type="dxa"/>
            <w:vMerge/>
            <w:shd w:val="clear" w:color="auto" w:fill="auto"/>
            <w:tcMar>
              <w:top w:w="29" w:type="dxa"/>
              <w:left w:w="58" w:type="dxa"/>
              <w:bottom w:w="29" w:type="dxa"/>
              <w:right w:w="0" w:type="dxa"/>
            </w:tcMar>
            <w:vAlign w:val="center"/>
          </w:tcPr>
          <w:p w:rsidR="004A222F" w:rsidRPr="00263B08" w:rsidRDefault="004A222F" w:rsidP="00263B08">
            <w:pPr>
              <w:keepNext/>
              <w:keepLines/>
              <w:spacing w:before="40" w:after="40" w:line="240" w:lineRule="auto"/>
              <w:rPr>
                <w:rFonts w:asciiTheme="minorHAnsi" w:eastAsia="Calibri" w:hAnsiTheme="minorHAnsi"/>
                <w:b/>
                <w:sz w:val="18"/>
                <w:szCs w:val="18"/>
              </w:rPr>
            </w:pPr>
          </w:p>
        </w:tc>
        <w:tc>
          <w:tcPr>
            <w:tcW w:w="979" w:type="dxa"/>
            <w:shd w:val="clear" w:color="auto" w:fill="auto"/>
            <w:tcMar>
              <w:top w:w="29" w:type="dxa"/>
              <w:left w:w="58" w:type="dxa"/>
              <w:bottom w:w="29" w:type="dxa"/>
              <w:right w:w="0" w:type="dxa"/>
            </w:tcMar>
            <w:vAlign w:val="center"/>
          </w:tcPr>
          <w:p w:rsidR="004A222F" w:rsidRPr="00263B08" w:rsidRDefault="004A222F" w:rsidP="00263B08">
            <w:pPr>
              <w:keepNext/>
              <w:keepLines/>
              <w:adjustRightInd/>
              <w:spacing w:before="40" w:after="40" w:line="240" w:lineRule="auto"/>
              <w:textAlignment w:val="auto"/>
              <w:rPr>
                <w:rFonts w:asciiTheme="minorHAnsi" w:eastAsia="Calibri" w:hAnsiTheme="minorHAnsi"/>
                <w:sz w:val="18"/>
                <w:szCs w:val="18"/>
              </w:rPr>
            </w:pPr>
            <w:r w:rsidRPr="00263B08">
              <w:rPr>
                <w:rFonts w:asciiTheme="minorHAnsi" w:eastAsia="Calibri" w:hAnsiTheme="minorHAnsi"/>
                <w:sz w:val="18"/>
                <w:szCs w:val="18"/>
              </w:rPr>
              <w:t>Renew Plus</w:t>
            </w:r>
          </w:p>
        </w:tc>
        <w:tc>
          <w:tcPr>
            <w:tcW w:w="63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0.11</w:t>
            </w:r>
          </w:p>
        </w:tc>
        <w:tc>
          <w:tcPr>
            <w:tcW w:w="72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31.04</w:t>
            </w:r>
          </w:p>
        </w:tc>
        <w:tc>
          <w:tcPr>
            <w:tcW w:w="459"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c>
          <w:tcPr>
            <w:tcW w:w="711"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4.26</w:t>
            </w:r>
          </w:p>
        </w:tc>
        <w:tc>
          <w:tcPr>
            <w:tcW w:w="56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37.21</w:t>
            </w:r>
          </w:p>
        </w:tc>
        <w:tc>
          <w:tcPr>
            <w:tcW w:w="60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27.26</w:t>
            </w:r>
          </w:p>
        </w:tc>
        <w:tc>
          <w:tcPr>
            <w:tcW w:w="64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10.70</w:t>
            </w:r>
          </w:p>
        </w:tc>
        <w:tc>
          <w:tcPr>
            <w:tcW w:w="54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2.67</w:t>
            </w:r>
          </w:p>
        </w:tc>
        <w:tc>
          <w:tcPr>
            <w:tcW w:w="63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17.56</w:t>
            </w:r>
          </w:p>
        </w:tc>
        <w:tc>
          <w:tcPr>
            <w:tcW w:w="675"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3.87</w:t>
            </w:r>
          </w:p>
        </w:tc>
        <w:tc>
          <w:tcPr>
            <w:tcW w:w="81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23.81</w:t>
            </w:r>
          </w:p>
        </w:tc>
        <w:tc>
          <w:tcPr>
            <w:tcW w:w="585"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Pr>
                <w:rFonts w:asciiTheme="minorHAnsi" w:eastAsia="Calibri" w:hAnsiTheme="minorHAnsi"/>
                <w:sz w:val="18"/>
                <w:szCs w:val="18"/>
              </w:rPr>
              <w:t>−</w:t>
            </w:r>
            <w:r w:rsidRPr="00263B08">
              <w:rPr>
                <w:rFonts w:asciiTheme="minorHAnsi" w:eastAsia="Calibri" w:hAnsiTheme="minorHAnsi"/>
                <w:sz w:val="18"/>
                <w:szCs w:val="18"/>
              </w:rPr>
              <w:t>7.45</w:t>
            </w:r>
          </w:p>
        </w:tc>
      </w:tr>
      <w:tr w:rsidR="004A222F" w:rsidRPr="00263B08" w:rsidTr="004A222F">
        <w:trPr>
          <w:jc w:val="center"/>
        </w:trPr>
        <w:tc>
          <w:tcPr>
            <w:tcW w:w="1625" w:type="dxa"/>
            <w:vMerge/>
            <w:shd w:val="clear" w:color="auto" w:fill="auto"/>
            <w:tcMar>
              <w:top w:w="29" w:type="dxa"/>
              <w:left w:w="58" w:type="dxa"/>
              <w:bottom w:w="29" w:type="dxa"/>
              <w:right w:w="0" w:type="dxa"/>
            </w:tcMar>
            <w:vAlign w:val="center"/>
          </w:tcPr>
          <w:p w:rsidR="004A222F" w:rsidRPr="00263B08" w:rsidRDefault="004A222F" w:rsidP="00263B08">
            <w:pPr>
              <w:keepNext/>
              <w:keepLines/>
              <w:spacing w:before="40" w:after="40" w:line="240" w:lineRule="auto"/>
              <w:rPr>
                <w:rFonts w:asciiTheme="minorHAnsi" w:eastAsia="Calibri" w:hAnsiTheme="minorHAnsi"/>
                <w:b/>
                <w:sz w:val="18"/>
                <w:szCs w:val="18"/>
              </w:rPr>
            </w:pPr>
          </w:p>
        </w:tc>
        <w:tc>
          <w:tcPr>
            <w:tcW w:w="979" w:type="dxa"/>
            <w:shd w:val="clear" w:color="auto" w:fill="auto"/>
            <w:tcMar>
              <w:top w:w="29" w:type="dxa"/>
              <w:left w:w="58" w:type="dxa"/>
              <w:bottom w:w="29" w:type="dxa"/>
              <w:right w:w="0" w:type="dxa"/>
            </w:tcMar>
            <w:vAlign w:val="center"/>
          </w:tcPr>
          <w:p w:rsidR="004A222F" w:rsidRPr="00263B08" w:rsidRDefault="004A222F" w:rsidP="00263B08">
            <w:pPr>
              <w:keepNext/>
              <w:keepLines/>
              <w:adjustRightInd/>
              <w:spacing w:before="40" w:after="40" w:line="240" w:lineRule="auto"/>
              <w:textAlignment w:val="auto"/>
              <w:rPr>
                <w:rFonts w:asciiTheme="minorHAnsi" w:eastAsia="Calibri" w:hAnsiTheme="minorHAnsi"/>
                <w:sz w:val="18"/>
                <w:szCs w:val="18"/>
              </w:rPr>
            </w:pPr>
            <w:r w:rsidRPr="00263B08">
              <w:rPr>
                <w:rFonts w:asciiTheme="minorHAnsi" w:eastAsia="Calibri" w:hAnsiTheme="minorHAnsi"/>
                <w:sz w:val="18"/>
                <w:szCs w:val="18"/>
              </w:rPr>
              <w:t>No Retire</w:t>
            </w:r>
          </w:p>
        </w:tc>
        <w:tc>
          <w:tcPr>
            <w:tcW w:w="63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5.06</w:t>
            </w:r>
          </w:p>
        </w:tc>
        <w:tc>
          <w:tcPr>
            <w:tcW w:w="72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53.55</w:t>
            </w:r>
          </w:p>
        </w:tc>
        <w:tc>
          <w:tcPr>
            <w:tcW w:w="459"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0.01</w:t>
            </w:r>
          </w:p>
        </w:tc>
        <w:tc>
          <w:tcPr>
            <w:tcW w:w="711"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4.93</w:t>
            </w:r>
          </w:p>
        </w:tc>
        <w:tc>
          <w:tcPr>
            <w:tcW w:w="56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24.58</w:t>
            </w:r>
          </w:p>
        </w:tc>
        <w:tc>
          <w:tcPr>
            <w:tcW w:w="60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27.26</w:t>
            </w:r>
          </w:p>
        </w:tc>
        <w:tc>
          <w:tcPr>
            <w:tcW w:w="64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4.59</w:t>
            </w:r>
          </w:p>
        </w:tc>
        <w:tc>
          <w:tcPr>
            <w:tcW w:w="54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3.13</w:t>
            </w:r>
          </w:p>
        </w:tc>
        <w:tc>
          <w:tcPr>
            <w:tcW w:w="63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6.49</w:t>
            </w:r>
          </w:p>
        </w:tc>
        <w:tc>
          <w:tcPr>
            <w:tcW w:w="675"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3.98</w:t>
            </w:r>
          </w:p>
        </w:tc>
        <w:tc>
          <w:tcPr>
            <w:tcW w:w="81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17.16</w:t>
            </w:r>
          </w:p>
        </w:tc>
        <w:tc>
          <w:tcPr>
            <w:tcW w:w="585"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r>
      <w:tr w:rsidR="004A222F" w:rsidRPr="00263B08" w:rsidTr="004A222F">
        <w:trPr>
          <w:jc w:val="center"/>
        </w:trPr>
        <w:tc>
          <w:tcPr>
            <w:tcW w:w="1625" w:type="dxa"/>
            <w:vMerge/>
            <w:shd w:val="clear" w:color="auto" w:fill="auto"/>
            <w:tcMar>
              <w:top w:w="29" w:type="dxa"/>
              <w:left w:w="58" w:type="dxa"/>
              <w:bottom w:w="29" w:type="dxa"/>
              <w:right w:w="0" w:type="dxa"/>
            </w:tcMar>
            <w:vAlign w:val="center"/>
          </w:tcPr>
          <w:p w:rsidR="004A222F" w:rsidRPr="00263B08" w:rsidRDefault="004A222F" w:rsidP="00263B08">
            <w:pPr>
              <w:keepNext/>
              <w:keepLines/>
              <w:spacing w:before="40" w:after="40" w:line="240" w:lineRule="auto"/>
              <w:rPr>
                <w:rFonts w:asciiTheme="minorHAnsi" w:eastAsia="Calibri" w:hAnsiTheme="minorHAnsi"/>
                <w:b/>
                <w:sz w:val="18"/>
                <w:szCs w:val="18"/>
              </w:rPr>
            </w:pPr>
          </w:p>
        </w:tc>
        <w:tc>
          <w:tcPr>
            <w:tcW w:w="979" w:type="dxa"/>
            <w:shd w:val="clear" w:color="auto" w:fill="auto"/>
            <w:tcMar>
              <w:top w:w="29" w:type="dxa"/>
              <w:left w:w="58" w:type="dxa"/>
              <w:bottom w:w="29" w:type="dxa"/>
              <w:right w:w="0" w:type="dxa"/>
            </w:tcMar>
            <w:vAlign w:val="center"/>
          </w:tcPr>
          <w:p w:rsidR="004A222F" w:rsidRPr="00263B08" w:rsidRDefault="004A222F" w:rsidP="00263B08">
            <w:pPr>
              <w:keepNext/>
              <w:keepLines/>
              <w:adjustRightInd/>
              <w:spacing w:before="40" w:after="40" w:line="240" w:lineRule="auto"/>
              <w:textAlignment w:val="auto"/>
              <w:rPr>
                <w:rFonts w:asciiTheme="minorHAnsi" w:eastAsia="Calibri" w:hAnsiTheme="minorHAnsi"/>
                <w:sz w:val="18"/>
                <w:szCs w:val="18"/>
              </w:rPr>
            </w:pPr>
            <w:r w:rsidRPr="00263B08">
              <w:rPr>
                <w:rFonts w:asciiTheme="minorHAnsi" w:eastAsia="Calibri" w:hAnsiTheme="minorHAnsi"/>
                <w:sz w:val="18"/>
                <w:szCs w:val="18"/>
              </w:rPr>
              <w:t>ACP + Gas</w:t>
            </w:r>
          </w:p>
        </w:tc>
        <w:tc>
          <w:tcPr>
            <w:tcW w:w="63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0.18</w:t>
            </w:r>
          </w:p>
        </w:tc>
        <w:tc>
          <w:tcPr>
            <w:tcW w:w="72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58.33</w:t>
            </w:r>
          </w:p>
        </w:tc>
        <w:tc>
          <w:tcPr>
            <w:tcW w:w="459"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c>
          <w:tcPr>
            <w:tcW w:w="711"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4.94</w:t>
            </w:r>
          </w:p>
        </w:tc>
        <w:tc>
          <w:tcPr>
            <w:tcW w:w="56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24.58</w:t>
            </w:r>
          </w:p>
        </w:tc>
        <w:tc>
          <w:tcPr>
            <w:tcW w:w="60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27.26</w:t>
            </w:r>
          </w:p>
        </w:tc>
        <w:tc>
          <w:tcPr>
            <w:tcW w:w="64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4.59</w:t>
            </w:r>
          </w:p>
        </w:tc>
        <w:tc>
          <w:tcPr>
            <w:tcW w:w="54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3.21</w:t>
            </w:r>
          </w:p>
        </w:tc>
        <w:tc>
          <w:tcPr>
            <w:tcW w:w="63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6.49</w:t>
            </w:r>
          </w:p>
        </w:tc>
        <w:tc>
          <w:tcPr>
            <w:tcW w:w="675"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3.98</w:t>
            </w:r>
          </w:p>
        </w:tc>
        <w:tc>
          <w:tcPr>
            <w:tcW w:w="81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17.17</w:t>
            </w:r>
          </w:p>
        </w:tc>
        <w:tc>
          <w:tcPr>
            <w:tcW w:w="585"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r>
      <w:tr w:rsidR="004A222F" w:rsidRPr="00263B08" w:rsidTr="004A222F">
        <w:trPr>
          <w:jc w:val="center"/>
        </w:trPr>
        <w:tc>
          <w:tcPr>
            <w:tcW w:w="1625" w:type="dxa"/>
            <w:vMerge/>
            <w:shd w:val="clear" w:color="auto" w:fill="auto"/>
            <w:tcMar>
              <w:top w:w="29" w:type="dxa"/>
              <w:left w:w="58" w:type="dxa"/>
              <w:bottom w:w="29" w:type="dxa"/>
              <w:right w:w="0" w:type="dxa"/>
            </w:tcMar>
            <w:vAlign w:val="center"/>
          </w:tcPr>
          <w:p w:rsidR="004A222F" w:rsidRPr="00263B08" w:rsidRDefault="004A222F" w:rsidP="00263B08">
            <w:pPr>
              <w:keepNext/>
              <w:keepLines/>
              <w:spacing w:before="40" w:after="40" w:line="240" w:lineRule="auto"/>
              <w:rPr>
                <w:rFonts w:asciiTheme="minorHAnsi" w:eastAsia="Calibri" w:hAnsiTheme="minorHAnsi"/>
                <w:b/>
                <w:sz w:val="18"/>
                <w:szCs w:val="18"/>
              </w:rPr>
            </w:pPr>
          </w:p>
        </w:tc>
        <w:tc>
          <w:tcPr>
            <w:tcW w:w="979" w:type="dxa"/>
            <w:shd w:val="clear" w:color="auto" w:fill="auto"/>
            <w:tcMar>
              <w:top w:w="29" w:type="dxa"/>
              <w:left w:w="58" w:type="dxa"/>
              <w:bottom w:w="29" w:type="dxa"/>
              <w:right w:w="0" w:type="dxa"/>
            </w:tcMar>
            <w:vAlign w:val="center"/>
          </w:tcPr>
          <w:p w:rsidR="004A222F" w:rsidRPr="00263B08" w:rsidRDefault="004A222F" w:rsidP="00263B08">
            <w:pPr>
              <w:keepNext/>
              <w:keepLines/>
              <w:adjustRightInd/>
              <w:spacing w:before="40" w:after="40" w:line="240" w:lineRule="auto"/>
              <w:textAlignment w:val="auto"/>
              <w:rPr>
                <w:rFonts w:asciiTheme="minorHAnsi" w:eastAsia="Calibri" w:hAnsiTheme="minorHAnsi"/>
                <w:sz w:val="18"/>
                <w:szCs w:val="18"/>
              </w:rPr>
            </w:pPr>
            <w:r w:rsidRPr="00263B08">
              <w:rPr>
                <w:rFonts w:asciiTheme="minorHAnsi" w:eastAsia="Calibri" w:hAnsiTheme="minorHAnsi"/>
                <w:sz w:val="18"/>
                <w:szCs w:val="18"/>
              </w:rPr>
              <w:t>RPS + Geo Renew</w:t>
            </w:r>
          </w:p>
        </w:tc>
        <w:tc>
          <w:tcPr>
            <w:tcW w:w="63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0.18</w:t>
            </w:r>
          </w:p>
        </w:tc>
        <w:tc>
          <w:tcPr>
            <w:tcW w:w="72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48.68</w:t>
            </w:r>
          </w:p>
        </w:tc>
        <w:tc>
          <w:tcPr>
            <w:tcW w:w="459"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c>
          <w:tcPr>
            <w:tcW w:w="711"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4.57</w:t>
            </w:r>
          </w:p>
        </w:tc>
        <w:tc>
          <w:tcPr>
            <w:tcW w:w="56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24.58</w:t>
            </w:r>
          </w:p>
        </w:tc>
        <w:tc>
          <w:tcPr>
            <w:tcW w:w="60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27.26</w:t>
            </w:r>
          </w:p>
        </w:tc>
        <w:tc>
          <w:tcPr>
            <w:tcW w:w="64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6.54</w:t>
            </w:r>
          </w:p>
        </w:tc>
        <w:tc>
          <w:tcPr>
            <w:tcW w:w="54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2.93</w:t>
            </w:r>
          </w:p>
        </w:tc>
        <w:tc>
          <w:tcPr>
            <w:tcW w:w="63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15.52</w:t>
            </w:r>
          </w:p>
        </w:tc>
        <w:tc>
          <w:tcPr>
            <w:tcW w:w="675"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3.96</w:t>
            </w:r>
          </w:p>
        </w:tc>
        <w:tc>
          <w:tcPr>
            <w:tcW w:w="81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16.49</w:t>
            </w:r>
          </w:p>
        </w:tc>
        <w:tc>
          <w:tcPr>
            <w:tcW w:w="585"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r>
      <w:tr w:rsidR="004A222F" w:rsidRPr="00263B08" w:rsidTr="004A222F">
        <w:trPr>
          <w:jc w:val="center"/>
        </w:trPr>
        <w:tc>
          <w:tcPr>
            <w:tcW w:w="1625" w:type="dxa"/>
            <w:vMerge w:val="restart"/>
            <w:shd w:val="clear" w:color="auto" w:fill="DBE5F1" w:themeFill="accent1" w:themeFillTint="33"/>
            <w:tcMar>
              <w:top w:w="29" w:type="dxa"/>
              <w:left w:w="58" w:type="dxa"/>
              <w:bottom w:w="29" w:type="dxa"/>
              <w:right w:w="0" w:type="dxa"/>
            </w:tcMar>
            <w:vAlign w:val="center"/>
          </w:tcPr>
          <w:p w:rsidR="004A222F" w:rsidRPr="00263B08" w:rsidRDefault="004A222F" w:rsidP="00263B08">
            <w:pPr>
              <w:keepNext/>
              <w:keepLines/>
              <w:spacing w:before="40" w:after="40" w:line="240" w:lineRule="auto"/>
              <w:rPr>
                <w:rFonts w:asciiTheme="minorHAnsi" w:eastAsia="Calibri" w:hAnsiTheme="minorHAnsi"/>
                <w:b/>
                <w:sz w:val="18"/>
                <w:szCs w:val="18"/>
              </w:rPr>
            </w:pPr>
            <w:r>
              <w:rPr>
                <w:rFonts w:asciiTheme="minorHAnsi" w:eastAsia="Calibri" w:hAnsiTheme="minorHAnsi"/>
                <w:b/>
                <w:sz w:val="18"/>
                <w:szCs w:val="18"/>
              </w:rPr>
              <w:t>2030 Constrained</w:t>
            </w:r>
          </w:p>
        </w:tc>
        <w:tc>
          <w:tcPr>
            <w:tcW w:w="979" w:type="dxa"/>
            <w:shd w:val="clear" w:color="auto" w:fill="DBE5F1" w:themeFill="accent1" w:themeFillTint="33"/>
            <w:tcMar>
              <w:top w:w="29" w:type="dxa"/>
              <w:left w:w="58" w:type="dxa"/>
              <w:bottom w:w="29" w:type="dxa"/>
              <w:right w:w="0" w:type="dxa"/>
            </w:tcMar>
            <w:vAlign w:val="center"/>
          </w:tcPr>
          <w:p w:rsidR="004A222F" w:rsidRPr="00EC3A1C" w:rsidRDefault="004A222F" w:rsidP="00263B08">
            <w:pPr>
              <w:keepNext/>
              <w:keepLines/>
              <w:adjustRightInd/>
              <w:spacing w:before="40" w:after="40" w:line="240" w:lineRule="auto"/>
              <w:textAlignment w:val="auto"/>
              <w:rPr>
                <w:rFonts w:asciiTheme="minorHAnsi" w:eastAsia="Calibri" w:hAnsiTheme="minorHAnsi"/>
                <w:sz w:val="18"/>
                <w:szCs w:val="18"/>
              </w:rPr>
            </w:pPr>
            <w:r w:rsidRPr="00EC3A1C">
              <w:rPr>
                <w:rFonts w:asciiTheme="minorHAnsi" w:eastAsia="Calibri" w:hAnsiTheme="minorHAnsi"/>
                <w:sz w:val="18"/>
                <w:szCs w:val="18"/>
              </w:rPr>
              <w:t>RPS + Gas</w:t>
            </w:r>
          </w:p>
        </w:tc>
        <w:tc>
          <w:tcPr>
            <w:tcW w:w="63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0.15</w:t>
            </w:r>
          </w:p>
        </w:tc>
        <w:tc>
          <w:tcPr>
            <w:tcW w:w="72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58.73</w:t>
            </w:r>
          </w:p>
        </w:tc>
        <w:tc>
          <w:tcPr>
            <w:tcW w:w="459"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c>
          <w:tcPr>
            <w:tcW w:w="711"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4.48</w:t>
            </w:r>
          </w:p>
        </w:tc>
        <w:tc>
          <w:tcPr>
            <w:tcW w:w="56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25.86</w:t>
            </w:r>
          </w:p>
        </w:tc>
        <w:tc>
          <w:tcPr>
            <w:tcW w:w="60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27.26</w:t>
            </w:r>
          </w:p>
        </w:tc>
        <w:tc>
          <w:tcPr>
            <w:tcW w:w="64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5.49</w:t>
            </w:r>
          </w:p>
        </w:tc>
        <w:tc>
          <w:tcPr>
            <w:tcW w:w="54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3.29</w:t>
            </w:r>
          </w:p>
        </w:tc>
        <w:tc>
          <w:tcPr>
            <w:tcW w:w="63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13.19</w:t>
            </w:r>
          </w:p>
        </w:tc>
        <w:tc>
          <w:tcPr>
            <w:tcW w:w="675"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3.89</w:t>
            </w:r>
          </w:p>
        </w:tc>
        <w:tc>
          <w:tcPr>
            <w:tcW w:w="81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15.72</w:t>
            </w:r>
          </w:p>
        </w:tc>
        <w:tc>
          <w:tcPr>
            <w:tcW w:w="585"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r>
      <w:tr w:rsidR="004A222F" w:rsidRPr="00263B08" w:rsidTr="004A222F">
        <w:trPr>
          <w:jc w:val="center"/>
        </w:trPr>
        <w:tc>
          <w:tcPr>
            <w:tcW w:w="1625" w:type="dxa"/>
            <w:vMerge/>
            <w:shd w:val="clear" w:color="auto" w:fill="DBE5F1" w:themeFill="accent1" w:themeFillTint="33"/>
            <w:tcMar>
              <w:top w:w="29" w:type="dxa"/>
              <w:left w:w="58" w:type="dxa"/>
              <w:bottom w:w="29" w:type="dxa"/>
              <w:right w:w="0" w:type="dxa"/>
            </w:tcMar>
            <w:vAlign w:val="center"/>
          </w:tcPr>
          <w:p w:rsidR="004A222F" w:rsidRPr="00263B08" w:rsidRDefault="004A222F" w:rsidP="00263B08">
            <w:pPr>
              <w:keepNext/>
              <w:keepLines/>
              <w:spacing w:before="40" w:after="40" w:line="240" w:lineRule="auto"/>
              <w:rPr>
                <w:rFonts w:asciiTheme="minorHAnsi" w:eastAsia="Calibri" w:hAnsiTheme="minorHAnsi"/>
                <w:b/>
                <w:sz w:val="18"/>
                <w:szCs w:val="18"/>
              </w:rPr>
            </w:pPr>
          </w:p>
        </w:tc>
        <w:tc>
          <w:tcPr>
            <w:tcW w:w="979" w:type="dxa"/>
            <w:shd w:val="clear" w:color="auto" w:fill="DBE5F1" w:themeFill="accent1" w:themeFillTint="33"/>
            <w:tcMar>
              <w:top w:w="29" w:type="dxa"/>
              <w:left w:w="58" w:type="dxa"/>
              <w:bottom w:w="29" w:type="dxa"/>
              <w:right w:w="0" w:type="dxa"/>
            </w:tcMar>
            <w:vAlign w:val="center"/>
          </w:tcPr>
          <w:p w:rsidR="004A222F" w:rsidRPr="00EC3A1C" w:rsidRDefault="004A222F" w:rsidP="00263B08">
            <w:pPr>
              <w:keepNext/>
              <w:keepLines/>
              <w:adjustRightInd/>
              <w:spacing w:before="40" w:after="40" w:line="240" w:lineRule="auto"/>
              <w:textAlignment w:val="auto"/>
              <w:rPr>
                <w:rFonts w:asciiTheme="minorHAnsi" w:eastAsia="Calibri" w:hAnsiTheme="minorHAnsi"/>
                <w:sz w:val="18"/>
                <w:szCs w:val="18"/>
              </w:rPr>
            </w:pPr>
            <w:r w:rsidRPr="00EC3A1C">
              <w:rPr>
                <w:rFonts w:asciiTheme="minorHAnsi" w:eastAsia="Calibri" w:hAnsiTheme="minorHAnsi"/>
                <w:sz w:val="18"/>
                <w:szCs w:val="18"/>
              </w:rPr>
              <w:t>ISO Queue</w:t>
            </w:r>
          </w:p>
        </w:tc>
        <w:tc>
          <w:tcPr>
            <w:tcW w:w="63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0.04</w:t>
            </w:r>
          </w:p>
        </w:tc>
        <w:tc>
          <w:tcPr>
            <w:tcW w:w="72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46.86</w:t>
            </w:r>
          </w:p>
        </w:tc>
        <w:tc>
          <w:tcPr>
            <w:tcW w:w="459"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c>
          <w:tcPr>
            <w:tcW w:w="711"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3.64</w:t>
            </w:r>
          </w:p>
        </w:tc>
        <w:tc>
          <w:tcPr>
            <w:tcW w:w="56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25.86</w:t>
            </w:r>
          </w:p>
        </w:tc>
        <w:tc>
          <w:tcPr>
            <w:tcW w:w="60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27.26</w:t>
            </w:r>
          </w:p>
        </w:tc>
        <w:tc>
          <w:tcPr>
            <w:tcW w:w="64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8.32</w:t>
            </w:r>
          </w:p>
        </w:tc>
        <w:tc>
          <w:tcPr>
            <w:tcW w:w="54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2.95</w:t>
            </w:r>
          </w:p>
        </w:tc>
        <w:tc>
          <w:tcPr>
            <w:tcW w:w="63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25.73</w:t>
            </w:r>
          </w:p>
        </w:tc>
        <w:tc>
          <w:tcPr>
            <w:tcW w:w="675"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3.34</w:t>
            </w:r>
          </w:p>
        </w:tc>
        <w:tc>
          <w:tcPr>
            <w:tcW w:w="81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13.94</w:t>
            </w:r>
          </w:p>
        </w:tc>
        <w:tc>
          <w:tcPr>
            <w:tcW w:w="585"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r>
      <w:tr w:rsidR="004A222F" w:rsidRPr="00263B08" w:rsidTr="004A222F">
        <w:trPr>
          <w:jc w:val="center"/>
        </w:trPr>
        <w:tc>
          <w:tcPr>
            <w:tcW w:w="1625" w:type="dxa"/>
            <w:vMerge/>
            <w:shd w:val="clear" w:color="auto" w:fill="DBE5F1" w:themeFill="accent1" w:themeFillTint="33"/>
            <w:tcMar>
              <w:top w:w="29" w:type="dxa"/>
              <w:left w:w="58" w:type="dxa"/>
              <w:bottom w:w="29" w:type="dxa"/>
              <w:right w:w="0" w:type="dxa"/>
            </w:tcMar>
            <w:vAlign w:val="center"/>
          </w:tcPr>
          <w:p w:rsidR="004A222F" w:rsidRPr="00263B08" w:rsidRDefault="004A222F" w:rsidP="00263B08">
            <w:pPr>
              <w:keepNext/>
              <w:keepLines/>
              <w:spacing w:before="40" w:after="40" w:line="240" w:lineRule="auto"/>
              <w:rPr>
                <w:rFonts w:asciiTheme="minorHAnsi" w:eastAsia="Calibri" w:hAnsiTheme="minorHAnsi"/>
                <w:b/>
                <w:sz w:val="18"/>
                <w:szCs w:val="18"/>
              </w:rPr>
            </w:pPr>
          </w:p>
        </w:tc>
        <w:tc>
          <w:tcPr>
            <w:tcW w:w="979" w:type="dxa"/>
            <w:shd w:val="clear" w:color="auto" w:fill="DBE5F1" w:themeFill="accent1" w:themeFillTint="33"/>
            <w:tcMar>
              <w:top w:w="29" w:type="dxa"/>
              <w:left w:w="58" w:type="dxa"/>
              <w:bottom w:w="29" w:type="dxa"/>
              <w:right w:w="0" w:type="dxa"/>
            </w:tcMar>
            <w:vAlign w:val="center"/>
          </w:tcPr>
          <w:p w:rsidR="004A222F" w:rsidRPr="00EC3A1C" w:rsidRDefault="004A222F" w:rsidP="00263B08">
            <w:pPr>
              <w:keepNext/>
              <w:keepLines/>
              <w:adjustRightInd/>
              <w:spacing w:before="40" w:after="40" w:line="240" w:lineRule="auto"/>
              <w:textAlignment w:val="auto"/>
              <w:rPr>
                <w:rFonts w:asciiTheme="minorHAnsi" w:eastAsia="Calibri" w:hAnsiTheme="minorHAnsi"/>
                <w:sz w:val="18"/>
                <w:szCs w:val="18"/>
              </w:rPr>
            </w:pPr>
            <w:r w:rsidRPr="00EC3A1C">
              <w:rPr>
                <w:rFonts w:asciiTheme="minorHAnsi" w:eastAsia="Calibri" w:hAnsiTheme="minorHAnsi"/>
                <w:sz w:val="18"/>
                <w:szCs w:val="18"/>
              </w:rPr>
              <w:t>Renew Plus</w:t>
            </w:r>
          </w:p>
        </w:tc>
        <w:tc>
          <w:tcPr>
            <w:tcW w:w="63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0.05</w:t>
            </w:r>
          </w:p>
        </w:tc>
        <w:tc>
          <w:tcPr>
            <w:tcW w:w="72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17.04</w:t>
            </w:r>
          </w:p>
        </w:tc>
        <w:tc>
          <w:tcPr>
            <w:tcW w:w="459"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c>
          <w:tcPr>
            <w:tcW w:w="711"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3.50</w:t>
            </w:r>
          </w:p>
        </w:tc>
        <w:tc>
          <w:tcPr>
            <w:tcW w:w="56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54.08</w:t>
            </w:r>
          </w:p>
        </w:tc>
        <w:tc>
          <w:tcPr>
            <w:tcW w:w="60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27.24</w:t>
            </w:r>
          </w:p>
        </w:tc>
        <w:tc>
          <w:tcPr>
            <w:tcW w:w="64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16.03</w:t>
            </w:r>
          </w:p>
        </w:tc>
        <w:tc>
          <w:tcPr>
            <w:tcW w:w="54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2.26</w:t>
            </w:r>
          </w:p>
        </w:tc>
        <w:tc>
          <w:tcPr>
            <w:tcW w:w="63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22.43</w:t>
            </w:r>
          </w:p>
        </w:tc>
        <w:tc>
          <w:tcPr>
            <w:tcW w:w="675"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3.68</w:t>
            </w:r>
          </w:p>
        </w:tc>
        <w:tc>
          <w:tcPr>
            <w:tcW w:w="81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24.83</w:t>
            </w:r>
          </w:p>
        </w:tc>
        <w:tc>
          <w:tcPr>
            <w:tcW w:w="585"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Pr>
                <w:rFonts w:asciiTheme="minorHAnsi" w:eastAsia="Calibri" w:hAnsiTheme="minorHAnsi"/>
                <w:sz w:val="18"/>
                <w:szCs w:val="18"/>
              </w:rPr>
              <w:t>−</w:t>
            </w:r>
            <w:r w:rsidRPr="00263B08">
              <w:rPr>
                <w:rFonts w:asciiTheme="minorHAnsi" w:eastAsia="Calibri" w:hAnsiTheme="minorHAnsi"/>
                <w:sz w:val="18"/>
                <w:szCs w:val="18"/>
              </w:rPr>
              <w:t>12.52</w:t>
            </w:r>
          </w:p>
        </w:tc>
      </w:tr>
      <w:tr w:rsidR="004A222F" w:rsidRPr="00263B08" w:rsidTr="004A222F">
        <w:trPr>
          <w:jc w:val="center"/>
        </w:trPr>
        <w:tc>
          <w:tcPr>
            <w:tcW w:w="1625" w:type="dxa"/>
            <w:vMerge/>
            <w:shd w:val="clear" w:color="auto" w:fill="DBE5F1" w:themeFill="accent1" w:themeFillTint="33"/>
            <w:tcMar>
              <w:top w:w="29" w:type="dxa"/>
              <w:left w:w="58" w:type="dxa"/>
              <w:bottom w:w="29" w:type="dxa"/>
              <w:right w:w="0" w:type="dxa"/>
            </w:tcMar>
            <w:vAlign w:val="center"/>
          </w:tcPr>
          <w:p w:rsidR="004A222F" w:rsidRPr="00263B08" w:rsidRDefault="004A222F" w:rsidP="00263B08">
            <w:pPr>
              <w:keepNext/>
              <w:keepLines/>
              <w:spacing w:before="40" w:after="40" w:line="240" w:lineRule="auto"/>
              <w:rPr>
                <w:rFonts w:asciiTheme="minorHAnsi" w:eastAsia="Calibri" w:hAnsiTheme="minorHAnsi"/>
                <w:b/>
                <w:sz w:val="18"/>
                <w:szCs w:val="18"/>
              </w:rPr>
            </w:pPr>
          </w:p>
        </w:tc>
        <w:tc>
          <w:tcPr>
            <w:tcW w:w="979" w:type="dxa"/>
            <w:shd w:val="clear" w:color="auto" w:fill="DBE5F1" w:themeFill="accent1" w:themeFillTint="33"/>
            <w:tcMar>
              <w:top w:w="29" w:type="dxa"/>
              <w:left w:w="58" w:type="dxa"/>
              <w:bottom w:w="29" w:type="dxa"/>
              <w:right w:w="0" w:type="dxa"/>
            </w:tcMar>
            <w:vAlign w:val="center"/>
          </w:tcPr>
          <w:p w:rsidR="004A222F" w:rsidRPr="00263B08" w:rsidRDefault="004A222F" w:rsidP="00263B08">
            <w:pPr>
              <w:keepNext/>
              <w:keepLines/>
              <w:adjustRightInd/>
              <w:spacing w:before="40" w:after="40" w:line="240" w:lineRule="auto"/>
              <w:textAlignment w:val="auto"/>
              <w:rPr>
                <w:rFonts w:asciiTheme="minorHAnsi" w:eastAsia="Calibri" w:hAnsiTheme="minorHAnsi"/>
                <w:sz w:val="18"/>
                <w:szCs w:val="18"/>
              </w:rPr>
            </w:pPr>
            <w:r w:rsidRPr="00263B08">
              <w:rPr>
                <w:rFonts w:asciiTheme="minorHAnsi" w:eastAsia="Calibri" w:hAnsiTheme="minorHAnsi"/>
                <w:sz w:val="18"/>
                <w:szCs w:val="18"/>
              </w:rPr>
              <w:t>No Retire</w:t>
            </w:r>
          </w:p>
        </w:tc>
        <w:tc>
          <w:tcPr>
            <w:tcW w:w="63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5.23</w:t>
            </w:r>
          </w:p>
        </w:tc>
        <w:tc>
          <w:tcPr>
            <w:tcW w:w="72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58.32</w:t>
            </w:r>
          </w:p>
        </w:tc>
        <w:tc>
          <w:tcPr>
            <w:tcW w:w="459"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0.01</w:t>
            </w:r>
          </w:p>
        </w:tc>
        <w:tc>
          <w:tcPr>
            <w:tcW w:w="711"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4.93</w:t>
            </w:r>
          </w:p>
        </w:tc>
        <w:tc>
          <w:tcPr>
            <w:tcW w:w="56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25.86</w:t>
            </w:r>
          </w:p>
        </w:tc>
        <w:tc>
          <w:tcPr>
            <w:tcW w:w="60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27.26</w:t>
            </w:r>
          </w:p>
        </w:tc>
        <w:tc>
          <w:tcPr>
            <w:tcW w:w="64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5.49</w:t>
            </w:r>
          </w:p>
        </w:tc>
        <w:tc>
          <w:tcPr>
            <w:tcW w:w="54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3.30</w:t>
            </w:r>
          </w:p>
        </w:tc>
        <w:tc>
          <w:tcPr>
            <w:tcW w:w="63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6.49</w:t>
            </w:r>
          </w:p>
        </w:tc>
        <w:tc>
          <w:tcPr>
            <w:tcW w:w="675"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3.98</w:t>
            </w:r>
          </w:p>
        </w:tc>
        <w:tc>
          <w:tcPr>
            <w:tcW w:w="81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17.16</w:t>
            </w:r>
          </w:p>
        </w:tc>
        <w:tc>
          <w:tcPr>
            <w:tcW w:w="585"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r>
      <w:tr w:rsidR="004A222F" w:rsidRPr="00263B08" w:rsidTr="004A222F">
        <w:trPr>
          <w:jc w:val="center"/>
        </w:trPr>
        <w:tc>
          <w:tcPr>
            <w:tcW w:w="1625" w:type="dxa"/>
            <w:vMerge/>
            <w:shd w:val="clear" w:color="auto" w:fill="DBE5F1" w:themeFill="accent1" w:themeFillTint="33"/>
            <w:tcMar>
              <w:top w:w="29" w:type="dxa"/>
              <w:left w:w="58" w:type="dxa"/>
              <w:bottom w:w="29" w:type="dxa"/>
              <w:right w:w="0" w:type="dxa"/>
            </w:tcMar>
            <w:vAlign w:val="center"/>
          </w:tcPr>
          <w:p w:rsidR="004A222F" w:rsidRPr="00263B08" w:rsidRDefault="004A222F" w:rsidP="00263B08">
            <w:pPr>
              <w:keepNext/>
              <w:keepLines/>
              <w:spacing w:before="40" w:after="40" w:line="240" w:lineRule="auto"/>
              <w:rPr>
                <w:rFonts w:asciiTheme="minorHAnsi" w:eastAsia="Calibri" w:hAnsiTheme="minorHAnsi"/>
                <w:b/>
                <w:sz w:val="18"/>
                <w:szCs w:val="18"/>
              </w:rPr>
            </w:pPr>
          </w:p>
        </w:tc>
        <w:tc>
          <w:tcPr>
            <w:tcW w:w="979" w:type="dxa"/>
            <w:shd w:val="clear" w:color="auto" w:fill="DBE5F1" w:themeFill="accent1" w:themeFillTint="33"/>
            <w:tcMar>
              <w:top w:w="29" w:type="dxa"/>
              <w:left w:w="58" w:type="dxa"/>
              <w:bottom w:w="29" w:type="dxa"/>
              <w:right w:w="0" w:type="dxa"/>
            </w:tcMar>
            <w:vAlign w:val="center"/>
          </w:tcPr>
          <w:p w:rsidR="004A222F" w:rsidRPr="00263B08" w:rsidRDefault="004A222F" w:rsidP="00263B08">
            <w:pPr>
              <w:keepNext/>
              <w:keepLines/>
              <w:adjustRightInd/>
              <w:spacing w:before="40" w:after="40" w:line="240" w:lineRule="auto"/>
              <w:textAlignment w:val="auto"/>
              <w:rPr>
                <w:rFonts w:asciiTheme="minorHAnsi" w:eastAsia="Calibri" w:hAnsiTheme="minorHAnsi"/>
                <w:sz w:val="18"/>
                <w:szCs w:val="18"/>
              </w:rPr>
            </w:pPr>
            <w:r w:rsidRPr="00263B08">
              <w:rPr>
                <w:rFonts w:asciiTheme="minorHAnsi" w:eastAsia="Calibri" w:hAnsiTheme="minorHAnsi"/>
                <w:sz w:val="18"/>
                <w:szCs w:val="18"/>
              </w:rPr>
              <w:t>ACP + Gas</w:t>
            </w:r>
          </w:p>
        </w:tc>
        <w:tc>
          <w:tcPr>
            <w:tcW w:w="63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0.15</w:t>
            </w:r>
          </w:p>
        </w:tc>
        <w:tc>
          <w:tcPr>
            <w:tcW w:w="72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63.33</w:t>
            </w:r>
          </w:p>
        </w:tc>
        <w:tc>
          <w:tcPr>
            <w:tcW w:w="459"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c>
          <w:tcPr>
            <w:tcW w:w="711"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4.94</w:t>
            </w:r>
          </w:p>
        </w:tc>
        <w:tc>
          <w:tcPr>
            <w:tcW w:w="56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25.86</w:t>
            </w:r>
          </w:p>
        </w:tc>
        <w:tc>
          <w:tcPr>
            <w:tcW w:w="60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27.26</w:t>
            </w:r>
          </w:p>
        </w:tc>
        <w:tc>
          <w:tcPr>
            <w:tcW w:w="64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5.49</w:t>
            </w:r>
          </w:p>
        </w:tc>
        <w:tc>
          <w:tcPr>
            <w:tcW w:w="54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3.37</w:t>
            </w:r>
          </w:p>
        </w:tc>
        <w:tc>
          <w:tcPr>
            <w:tcW w:w="63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6.49</w:t>
            </w:r>
          </w:p>
        </w:tc>
        <w:tc>
          <w:tcPr>
            <w:tcW w:w="675"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3.98</w:t>
            </w:r>
          </w:p>
        </w:tc>
        <w:tc>
          <w:tcPr>
            <w:tcW w:w="81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17.17</w:t>
            </w:r>
          </w:p>
        </w:tc>
        <w:tc>
          <w:tcPr>
            <w:tcW w:w="585"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r>
      <w:tr w:rsidR="004A222F" w:rsidRPr="00263B08" w:rsidTr="004A222F">
        <w:trPr>
          <w:jc w:val="center"/>
        </w:trPr>
        <w:tc>
          <w:tcPr>
            <w:tcW w:w="1625" w:type="dxa"/>
            <w:vMerge/>
            <w:shd w:val="clear" w:color="auto" w:fill="DBE5F1" w:themeFill="accent1" w:themeFillTint="33"/>
            <w:tcMar>
              <w:top w:w="29" w:type="dxa"/>
              <w:left w:w="58" w:type="dxa"/>
              <w:bottom w:w="29" w:type="dxa"/>
              <w:right w:w="0" w:type="dxa"/>
            </w:tcMar>
            <w:vAlign w:val="center"/>
          </w:tcPr>
          <w:p w:rsidR="004A222F" w:rsidRPr="00263B08" w:rsidRDefault="004A222F" w:rsidP="00263B08">
            <w:pPr>
              <w:keepNext/>
              <w:keepLines/>
              <w:adjustRightInd/>
              <w:spacing w:before="40" w:after="40" w:line="240" w:lineRule="auto"/>
              <w:textAlignment w:val="auto"/>
              <w:rPr>
                <w:rFonts w:asciiTheme="minorHAnsi" w:eastAsia="Calibri" w:hAnsiTheme="minorHAnsi"/>
                <w:b/>
                <w:sz w:val="18"/>
                <w:szCs w:val="18"/>
              </w:rPr>
            </w:pPr>
          </w:p>
        </w:tc>
        <w:tc>
          <w:tcPr>
            <w:tcW w:w="979" w:type="dxa"/>
            <w:shd w:val="clear" w:color="auto" w:fill="DBE5F1" w:themeFill="accent1" w:themeFillTint="33"/>
            <w:tcMar>
              <w:top w:w="29" w:type="dxa"/>
              <w:left w:w="58" w:type="dxa"/>
              <w:bottom w:w="29" w:type="dxa"/>
              <w:right w:w="0" w:type="dxa"/>
            </w:tcMar>
            <w:vAlign w:val="center"/>
          </w:tcPr>
          <w:p w:rsidR="004A222F" w:rsidRPr="00263B08" w:rsidRDefault="004A222F" w:rsidP="00263B08">
            <w:pPr>
              <w:keepNext/>
              <w:keepLines/>
              <w:adjustRightInd/>
              <w:spacing w:before="40" w:after="40" w:line="240" w:lineRule="auto"/>
              <w:textAlignment w:val="auto"/>
              <w:rPr>
                <w:rFonts w:asciiTheme="minorHAnsi" w:eastAsia="Calibri" w:hAnsiTheme="minorHAnsi"/>
                <w:sz w:val="18"/>
                <w:szCs w:val="18"/>
              </w:rPr>
            </w:pPr>
            <w:r w:rsidRPr="00263B08">
              <w:rPr>
                <w:rFonts w:asciiTheme="minorHAnsi" w:eastAsia="Calibri" w:hAnsiTheme="minorHAnsi"/>
                <w:sz w:val="18"/>
                <w:szCs w:val="18"/>
              </w:rPr>
              <w:t>RPS + Geo Renew</w:t>
            </w:r>
          </w:p>
        </w:tc>
        <w:tc>
          <w:tcPr>
            <w:tcW w:w="63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0.05</w:t>
            </w:r>
          </w:p>
        </w:tc>
        <w:tc>
          <w:tcPr>
            <w:tcW w:w="72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28.77</w:t>
            </w:r>
          </w:p>
        </w:tc>
        <w:tc>
          <w:tcPr>
            <w:tcW w:w="459"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c>
          <w:tcPr>
            <w:tcW w:w="711"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3.00</w:t>
            </w:r>
          </w:p>
        </w:tc>
        <w:tc>
          <w:tcPr>
            <w:tcW w:w="56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25.86</w:t>
            </w:r>
          </w:p>
        </w:tc>
        <w:tc>
          <w:tcPr>
            <w:tcW w:w="60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27.26</w:t>
            </w:r>
          </w:p>
        </w:tc>
        <w:tc>
          <w:tcPr>
            <w:tcW w:w="64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13.72</w:t>
            </w:r>
          </w:p>
        </w:tc>
        <w:tc>
          <w:tcPr>
            <w:tcW w:w="54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2.05</w:t>
            </w:r>
          </w:p>
        </w:tc>
        <w:tc>
          <w:tcPr>
            <w:tcW w:w="63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41.65</w:t>
            </w:r>
          </w:p>
        </w:tc>
        <w:tc>
          <w:tcPr>
            <w:tcW w:w="675"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3.50</w:t>
            </w:r>
          </w:p>
        </w:tc>
        <w:tc>
          <w:tcPr>
            <w:tcW w:w="81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12.09</w:t>
            </w:r>
          </w:p>
        </w:tc>
        <w:tc>
          <w:tcPr>
            <w:tcW w:w="585"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r>
      <w:tr w:rsidR="004A222F" w:rsidRPr="00263B08" w:rsidTr="004A222F">
        <w:trPr>
          <w:jc w:val="center"/>
        </w:trPr>
        <w:tc>
          <w:tcPr>
            <w:tcW w:w="1625" w:type="dxa"/>
            <w:vMerge w:val="restart"/>
            <w:shd w:val="clear" w:color="auto" w:fill="auto"/>
            <w:tcMar>
              <w:top w:w="29" w:type="dxa"/>
              <w:left w:w="58" w:type="dxa"/>
              <w:bottom w:w="29" w:type="dxa"/>
              <w:right w:w="0" w:type="dxa"/>
            </w:tcMar>
            <w:vAlign w:val="center"/>
          </w:tcPr>
          <w:p w:rsidR="004A222F" w:rsidRPr="00263B08" w:rsidRDefault="004A222F" w:rsidP="00263B08">
            <w:pPr>
              <w:keepNext/>
              <w:keepLines/>
              <w:adjustRightInd/>
              <w:spacing w:before="40" w:after="40" w:line="240" w:lineRule="auto"/>
              <w:textAlignment w:val="auto"/>
              <w:rPr>
                <w:rFonts w:asciiTheme="minorHAnsi" w:eastAsia="Calibri" w:hAnsiTheme="minorHAnsi"/>
                <w:b/>
                <w:sz w:val="18"/>
                <w:szCs w:val="18"/>
              </w:rPr>
            </w:pPr>
            <w:r>
              <w:rPr>
                <w:rFonts w:asciiTheme="minorHAnsi" w:eastAsia="Calibri" w:hAnsiTheme="minorHAnsi"/>
                <w:b/>
                <w:sz w:val="18"/>
                <w:szCs w:val="18"/>
              </w:rPr>
              <w:t xml:space="preserve">2025 </w:t>
            </w:r>
            <w:r w:rsidRPr="00263B08">
              <w:rPr>
                <w:rFonts w:asciiTheme="minorHAnsi" w:eastAsia="Calibri" w:hAnsiTheme="minorHAnsi"/>
                <w:b/>
                <w:sz w:val="18"/>
                <w:szCs w:val="18"/>
              </w:rPr>
              <w:t>Unconstrained</w:t>
            </w:r>
          </w:p>
          <w:p w:rsidR="004A222F" w:rsidRPr="00263B08" w:rsidRDefault="004A222F" w:rsidP="00263B08">
            <w:pPr>
              <w:keepNext/>
              <w:keepLines/>
              <w:spacing w:before="40" w:after="40" w:line="240" w:lineRule="auto"/>
              <w:rPr>
                <w:rFonts w:asciiTheme="minorHAnsi" w:eastAsia="Calibri" w:hAnsiTheme="minorHAnsi"/>
                <w:b/>
                <w:sz w:val="18"/>
                <w:szCs w:val="18"/>
              </w:rPr>
            </w:pPr>
          </w:p>
        </w:tc>
        <w:tc>
          <w:tcPr>
            <w:tcW w:w="979" w:type="dxa"/>
            <w:shd w:val="clear" w:color="auto" w:fill="auto"/>
            <w:tcMar>
              <w:top w:w="29" w:type="dxa"/>
              <w:left w:w="58" w:type="dxa"/>
              <w:bottom w:w="29" w:type="dxa"/>
              <w:right w:w="0" w:type="dxa"/>
            </w:tcMar>
            <w:vAlign w:val="center"/>
          </w:tcPr>
          <w:p w:rsidR="004A222F" w:rsidRPr="00263B08" w:rsidRDefault="004A222F" w:rsidP="00263B08">
            <w:pPr>
              <w:keepNext/>
              <w:keepLines/>
              <w:adjustRightInd/>
              <w:spacing w:before="40" w:after="40" w:line="240" w:lineRule="auto"/>
              <w:textAlignment w:val="auto"/>
              <w:rPr>
                <w:rFonts w:asciiTheme="minorHAnsi" w:eastAsia="Calibri" w:hAnsiTheme="minorHAnsi"/>
                <w:sz w:val="18"/>
                <w:szCs w:val="18"/>
              </w:rPr>
            </w:pPr>
            <w:r w:rsidRPr="007C0351">
              <w:rPr>
                <w:rFonts w:asciiTheme="minorHAnsi" w:eastAsia="Calibri" w:hAnsiTheme="minorHAnsi"/>
                <w:sz w:val="18"/>
                <w:szCs w:val="18"/>
              </w:rPr>
              <w:t>RPS + Gas</w:t>
            </w:r>
          </w:p>
        </w:tc>
        <w:tc>
          <w:tcPr>
            <w:tcW w:w="63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0.19</w:t>
            </w:r>
          </w:p>
        </w:tc>
        <w:tc>
          <w:tcPr>
            <w:tcW w:w="72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52.82</w:t>
            </w:r>
          </w:p>
        </w:tc>
        <w:tc>
          <w:tcPr>
            <w:tcW w:w="459"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c>
          <w:tcPr>
            <w:tcW w:w="711"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4.98</w:t>
            </w:r>
          </w:p>
        </w:tc>
        <w:tc>
          <w:tcPr>
            <w:tcW w:w="56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24.58</w:t>
            </w:r>
          </w:p>
        </w:tc>
        <w:tc>
          <w:tcPr>
            <w:tcW w:w="60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27.26</w:t>
            </w:r>
          </w:p>
        </w:tc>
        <w:tc>
          <w:tcPr>
            <w:tcW w:w="64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4.59</w:t>
            </w:r>
          </w:p>
        </w:tc>
        <w:tc>
          <w:tcPr>
            <w:tcW w:w="54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3.06</w:t>
            </w:r>
          </w:p>
        </w:tc>
        <w:tc>
          <w:tcPr>
            <w:tcW w:w="63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12.12</w:t>
            </w:r>
          </w:p>
        </w:tc>
        <w:tc>
          <w:tcPr>
            <w:tcW w:w="675"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3.98</w:t>
            </w:r>
          </w:p>
        </w:tc>
        <w:tc>
          <w:tcPr>
            <w:tcW w:w="81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17.14</w:t>
            </w:r>
          </w:p>
        </w:tc>
        <w:tc>
          <w:tcPr>
            <w:tcW w:w="585"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r>
      <w:tr w:rsidR="004A222F" w:rsidRPr="00263B08" w:rsidTr="004A222F">
        <w:trPr>
          <w:jc w:val="center"/>
        </w:trPr>
        <w:tc>
          <w:tcPr>
            <w:tcW w:w="1625" w:type="dxa"/>
            <w:vMerge/>
            <w:shd w:val="clear" w:color="auto" w:fill="auto"/>
            <w:tcMar>
              <w:top w:w="29" w:type="dxa"/>
              <w:left w:w="58" w:type="dxa"/>
              <w:bottom w:w="29" w:type="dxa"/>
              <w:right w:w="0" w:type="dxa"/>
            </w:tcMar>
            <w:vAlign w:val="center"/>
          </w:tcPr>
          <w:p w:rsidR="004A222F" w:rsidRPr="00263B08" w:rsidRDefault="004A222F" w:rsidP="00263B08">
            <w:pPr>
              <w:keepNext/>
              <w:keepLines/>
              <w:spacing w:before="40" w:after="40" w:line="240" w:lineRule="auto"/>
              <w:rPr>
                <w:rFonts w:asciiTheme="minorHAnsi" w:eastAsia="Calibri" w:hAnsiTheme="minorHAnsi"/>
                <w:b/>
                <w:sz w:val="18"/>
                <w:szCs w:val="18"/>
              </w:rPr>
            </w:pPr>
          </w:p>
        </w:tc>
        <w:tc>
          <w:tcPr>
            <w:tcW w:w="979" w:type="dxa"/>
            <w:shd w:val="clear" w:color="auto" w:fill="auto"/>
            <w:tcMar>
              <w:top w:w="29" w:type="dxa"/>
              <w:left w:w="58" w:type="dxa"/>
              <w:bottom w:w="29" w:type="dxa"/>
              <w:right w:w="0" w:type="dxa"/>
            </w:tcMar>
            <w:vAlign w:val="center"/>
          </w:tcPr>
          <w:p w:rsidR="004A222F" w:rsidRPr="00263B08" w:rsidRDefault="004A222F" w:rsidP="00263B08">
            <w:pPr>
              <w:keepNext/>
              <w:keepLines/>
              <w:adjustRightInd/>
              <w:spacing w:before="40" w:after="40" w:line="240" w:lineRule="auto"/>
              <w:textAlignment w:val="auto"/>
              <w:rPr>
                <w:rFonts w:asciiTheme="minorHAnsi" w:eastAsia="Calibri" w:hAnsiTheme="minorHAnsi"/>
                <w:sz w:val="18"/>
                <w:szCs w:val="18"/>
              </w:rPr>
            </w:pPr>
            <w:r w:rsidRPr="00DE2AE4">
              <w:rPr>
                <w:rFonts w:asciiTheme="minorHAnsi" w:eastAsia="Calibri" w:hAnsiTheme="minorHAnsi"/>
                <w:sz w:val="18"/>
                <w:szCs w:val="18"/>
              </w:rPr>
              <w:t>ISO Queue</w:t>
            </w:r>
          </w:p>
        </w:tc>
        <w:tc>
          <w:tcPr>
            <w:tcW w:w="63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0.19</w:t>
            </w:r>
          </w:p>
        </w:tc>
        <w:tc>
          <w:tcPr>
            <w:tcW w:w="72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47.99</w:t>
            </w:r>
          </w:p>
        </w:tc>
        <w:tc>
          <w:tcPr>
            <w:tcW w:w="459"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c>
          <w:tcPr>
            <w:tcW w:w="711"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4.78</w:t>
            </w:r>
          </w:p>
        </w:tc>
        <w:tc>
          <w:tcPr>
            <w:tcW w:w="56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24.58</w:t>
            </w:r>
          </w:p>
        </w:tc>
        <w:tc>
          <w:tcPr>
            <w:tcW w:w="60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27.26</w:t>
            </w:r>
          </w:p>
        </w:tc>
        <w:tc>
          <w:tcPr>
            <w:tcW w:w="64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5.26</w:t>
            </w:r>
          </w:p>
        </w:tc>
        <w:tc>
          <w:tcPr>
            <w:tcW w:w="54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2.88</w:t>
            </w:r>
          </w:p>
        </w:tc>
        <w:tc>
          <w:tcPr>
            <w:tcW w:w="63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16.79</w:t>
            </w:r>
          </w:p>
        </w:tc>
        <w:tc>
          <w:tcPr>
            <w:tcW w:w="675"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3.98</w:t>
            </w:r>
          </w:p>
        </w:tc>
        <w:tc>
          <w:tcPr>
            <w:tcW w:w="81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16.99</w:t>
            </w:r>
          </w:p>
        </w:tc>
        <w:tc>
          <w:tcPr>
            <w:tcW w:w="585"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r>
      <w:tr w:rsidR="004A222F" w:rsidRPr="00263B08" w:rsidTr="004A222F">
        <w:trPr>
          <w:jc w:val="center"/>
        </w:trPr>
        <w:tc>
          <w:tcPr>
            <w:tcW w:w="1625" w:type="dxa"/>
            <w:vMerge/>
            <w:shd w:val="clear" w:color="auto" w:fill="auto"/>
            <w:tcMar>
              <w:top w:w="29" w:type="dxa"/>
              <w:left w:w="58" w:type="dxa"/>
              <w:bottom w:w="29" w:type="dxa"/>
              <w:right w:w="0" w:type="dxa"/>
            </w:tcMar>
            <w:vAlign w:val="center"/>
          </w:tcPr>
          <w:p w:rsidR="004A222F" w:rsidRPr="00263B08" w:rsidRDefault="004A222F" w:rsidP="00263B08">
            <w:pPr>
              <w:keepNext/>
              <w:keepLines/>
              <w:spacing w:before="40" w:after="40" w:line="240" w:lineRule="auto"/>
              <w:rPr>
                <w:rFonts w:asciiTheme="minorHAnsi" w:eastAsia="Calibri" w:hAnsiTheme="minorHAnsi"/>
                <w:b/>
                <w:sz w:val="18"/>
                <w:szCs w:val="18"/>
              </w:rPr>
            </w:pPr>
          </w:p>
        </w:tc>
        <w:tc>
          <w:tcPr>
            <w:tcW w:w="979" w:type="dxa"/>
            <w:shd w:val="clear" w:color="auto" w:fill="auto"/>
            <w:tcMar>
              <w:top w:w="29" w:type="dxa"/>
              <w:left w:w="58" w:type="dxa"/>
              <w:bottom w:w="29" w:type="dxa"/>
              <w:right w:w="0" w:type="dxa"/>
            </w:tcMar>
            <w:vAlign w:val="center"/>
          </w:tcPr>
          <w:p w:rsidR="004A222F" w:rsidRPr="00263B08" w:rsidRDefault="004A222F" w:rsidP="00263B08">
            <w:pPr>
              <w:keepNext/>
              <w:keepLines/>
              <w:adjustRightInd/>
              <w:spacing w:before="40" w:after="40" w:line="240" w:lineRule="auto"/>
              <w:textAlignment w:val="auto"/>
              <w:rPr>
                <w:rFonts w:asciiTheme="minorHAnsi" w:eastAsia="Calibri" w:hAnsiTheme="minorHAnsi"/>
                <w:sz w:val="18"/>
                <w:szCs w:val="18"/>
              </w:rPr>
            </w:pPr>
            <w:r w:rsidRPr="00DE2AE4">
              <w:rPr>
                <w:rFonts w:asciiTheme="minorHAnsi" w:eastAsia="Calibri" w:hAnsiTheme="minorHAnsi"/>
                <w:sz w:val="18"/>
                <w:szCs w:val="18"/>
              </w:rPr>
              <w:t>Renew Plus</w:t>
            </w:r>
          </w:p>
        </w:tc>
        <w:tc>
          <w:tcPr>
            <w:tcW w:w="63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0.12</w:t>
            </w:r>
          </w:p>
        </w:tc>
        <w:tc>
          <w:tcPr>
            <w:tcW w:w="72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27.91</w:t>
            </w:r>
          </w:p>
        </w:tc>
        <w:tc>
          <w:tcPr>
            <w:tcW w:w="459"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c>
          <w:tcPr>
            <w:tcW w:w="711"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4.59</w:t>
            </w:r>
          </w:p>
        </w:tc>
        <w:tc>
          <w:tcPr>
            <w:tcW w:w="56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37.19</w:t>
            </w:r>
          </w:p>
        </w:tc>
        <w:tc>
          <w:tcPr>
            <w:tcW w:w="60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27.26</w:t>
            </w:r>
          </w:p>
        </w:tc>
        <w:tc>
          <w:tcPr>
            <w:tcW w:w="64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10.70</w:t>
            </w:r>
          </w:p>
        </w:tc>
        <w:tc>
          <w:tcPr>
            <w:tcW w:w="54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2.58</w:t>
            </w:r>
          </w:p>
        </w:tc>
        <w:tc>
          <w:tcPr>
            <w:tcW w:w="63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19.08</w:t>
            </w:r>
          </w:p>
        </w:tc>
        <w:tc>
          <w:tcPr>
            <w:tcW w:w="675"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3.98</w:t>
            </w:r>
          </w:p>
        </w:tc>
        <w:tc>
          <w:tcPr>
            <w:tcW w:w="81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25.07</w:t>
            </w:r>
          </w:p>
        </w:tc>
        <w:tc>
          <w:tcPr>
            <w:tcW w:w="585"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Pr>
                <w:rFonts w:asciiTheme="minorHAnsi" w:eastAsia="Calibri" w:hAnsiTheme="minorHAnsi"/>
                <w:sz w:val="18"/>
                <w:szCs w:val="18"/>
              </w:rPr>
              <w:t>−</w:t>
            </w:r>
            <w:r w:rsidRPr="00263B08">
              <w:rPr>
                <w:rFonts w:asciiTheme="minorHAnsi" w:eastAsia="Calibri" w:hAnsiTheme="minorHAnsi"/>
                <w:sz w:val="18"/>
                <w:szCs w:val="18"/>
              </w:rPr>
              <w:t>7.45</w:t>
            </w:r>
          </w:p>
        </w:tc>
      </w:tr>
      <w:tr w:rsidR="004A222F" w:rsidRPr="00263B08" w:rsidTr="004A222F">
        <w:trPr>
          <w:jc w:val="center"/>
        </w:trPr>
        <w:tc>
          <w:tcPr>
            <w:tcW w:w="1625" w:type="dxa"/>
            <w:vMerge/>
            <w:shd w:val="clear" w:color="auto" w:fill="auto"/>
            <w:tcMar>
              <w:top w:w="29" w:type="dxa"/>
              <w:left w:w="58" w:type="dxa"/>
              <w:bottom w:w="29" w:type="dxa"/>
              <w:right w:w="0" w:type="dxa"/>
            </w:tcMar>
            <w:vAlign w:val="center"/>
          </w:tcPr>
          <w:p w:rsidR="004A222F" w:rsidRPr="00263B08" w:rsidRDefault="004A222F" w:rsidP="00263B08">
            <w:pPr>
              <w:keepNext/>
              <w:keepLines/>
              <w:spacing w:before="40" w:after="40" w:line="240" w:lineRule="auto"/>
              <w:rPr>
                <w:rFonts w:asciiTheme="minorHAnsi" w:eastAsia="Calibri" w:hAnsiTheme="minorHAnsi"/>
                <w:b/>
                <w:sz w:val="18"/>
                <w:szCs w:val="18"/>
              </w:rPr>
            </w:pPr>
          </w:p>
        </w:tc>
        <w:tc>
          <w:tcPr>
            <w:tcW w:w="979" w:type="dxa"/>
            <w:shd w:val="clear" w:color="auto" w:fill="auto"/>
            <w:tcMar>
              <w:top w:w="29" w:type="dxa"/>
              <w:left w:w="58" w:type="dxa"/>
              <w:bottom w:w="29" w:type="dxa"/>
              <w:right w:w="0" w:type="dxa"/>
            </w:tcMar>
            <w:vAlign w:val="center"/>
          </w:tcPr>
          <w:p w:rsidR="004A222F" w:rsidRPr="00263B08" w:rsidRDefault="004A222F" w:rsidP="00263B08">
            <w:pPr>
              <w:keepNext/>
              <w:keepLines/>
              <w:adjustRightInd/>
              <w:spacing w:before="40" w:after="40" w:line="240" w:lineRule="auto"/>
              <w:textAlignment w:val="auto"/>
              <w:rPr>
                <w:rFonts w:asciiTheme="minorHAnsi" w:eastAsia="Calibri" w:hAnsiTheme="minorHAnsi"/>
                <w:sz w:val="18"/>
                <w:szCs w:val="18"/>
              </w:rPr>
            </w:pPr>
            <w:r w:rsidRPr="00DE2AE4">
              <w:rPr>
                <w:rFonts w:asciiTheme="minorHAnsi" w:eastAsia="Calibri" w:hAnsiTheme="minorHAnsi"/>
                <w:sz w:val="18"/>
                <w:szCs w:val="18"/>
              </w:rPr>
              <w:t>No Retire</w:t>
            </w:r>
          </w:p>
        </w:tc>
        <w:tc>
          <w:tcPr>
            <w:tcW w:w="63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5.05</w:t>
            </w:r>
          </w:p>
        </w:tc>
        <w:tc>
          <w:tcPr>
            <w:tcW w:w="72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53.47</w:t>
            </w:r>
          </w:p>
        </w:tc>
        <w:tc>
          <w:tcPr>
            <w:tcW w:w="459"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0.01</w:t>
            </w:r>
          </w:p>
        </w:tc>
        <w:tc>
          <w:tcPr>
            <w:tcW w:w="711"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5.02</w:t>
            </w:r>
          </w:p>
        </w:tc>
        <w:tc>
          <w:tcPr>
            <w:tcW w:w="56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24.58</w:t>
            </w:r>
          </w:p>
        </w:tc>
        <w:tc>
          <w:tcPr>
            <w:tcW w:w="60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27.26</w:t>
            </w:r>
          </w:p>
        </w:tc>
        <w:tc>
          <w:tcPr>
            <w:tcW w:w="64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4.59</w:t>
            </w:r>
          </w:p>
        </w:tc>
        <w:tc>
          <w:tcPr>
            <w:tcW w:w="54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3.11</w:t>
            </w:r>
          </w:p>
        </w:tc>
        <w:tc>
          <w:tcPr>
            <w:tcW w:w="63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6.49</w:t>
            </w:r>
          </w:p>
        </w:tc>
        <w:tc>
          <w:tcPr>
            <w:tcW w:w="675"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3.98</w:t>
            </w:r>
          </w:p>
        </w:tc>
        <w:tc>
          <w:tcPr>
            <w:tcW w:w="81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17.17</w:t>
            </w:r>
          </w:p>
        </w:tc>
        <w:tc>
          <w:tcPr>
            <w:tcW w:w="585"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r>
      <w:tr w:rsidR="004A222F" w:rsidRPr="00263B08" w:rsidTr="004A222F">
        <w:trPr>
          <w:jc w:val="center"/>
        </w:trPr>
        <w:tc>
          <w:tcPr>
            <w:tcW w:w="1625" w:type="dxa"/>
            <w:vMerge/>
            <w:shd w:val="clear" w:color="auto" w:fill="auto"/>
            <w:tcMar>
              <w:top w:w="29" w:type="dxa"/>
              <w:left w:w="58" w:type="dxa"/>
              <w:bottom w:w="29" w:type="dxa"/>
              <w:right w:w="0" w:type="dxa"/>
            </w:tcMar>
            <w:vAlign w:val="center"/>
          </w:tcPr>
          <w:p w:rsidR="004A222F" w:rsidRPr="00263B08" w:rsidRDefault="004A222F" w:rsidP="00263B08">
            <w:pPr>
              <w:keepNext/>
              <w:keepLines/>
              <w:spacing w:before="40" w:after="40" w:line="240" w:lineRule="auto"/>
              <w:rPr>
                <w:rFonts w:asciiTheme="minorHAnsi" w:eastAsia="Calibri" w:hAnsiTheme="minorHAnsi"/>
                <w:b/>
                <w:sz w:val="18"/>
                <w:szCs w:val="18"/>
              </w:rPr>
            </w:pPr>
          </w:p>
        </w:tc>
        <w:tc>
          <w:tcPr>
            <w:tcW w:w="979" w:type="dxa"/>
            <w:shd w:val="clear" w:color="auto" w:fill="auto"/>
            <w:tcMar>
              <w:top w:w="29" w:type="dxa"/>
              <w:left w:w="58" w:type="dxa"/>
              <w:bottom w:w="29" w:type="dxa"/>
              <w:right w:w="0" w:type="dxa"/>
            </w:tcMar>
            <w:vAlign w:val="center"/>
          </w:tcPr>
          <w:p w:rsidR="004A222F" w:rsidRPr="00263B08" w:rsidRDefault="004A222F" w:rsidP="00263B08">
            <w:pPr>
              <w:keepNext/>
              <w:keepLines/>
              <w:adjustRightInd/>
              <w:spacing w:before="40" w:after="40" w:line="240" w:lineRule="auto"/>
              <w:textAlignment w:val="auto"/>
              <w:rPr>
                <w:rFonts w:asciiTheme="minorHAnsi" w:eastAsia="Calibri" w:hAnsiTheme="minorHAnsi"/>
                <w:sz w:val="18"/>
                <w:szCs w:val="18"/>
              </w:rPr>
            </w:pPr>
            <w:r w:rsidRPr="00DE2AE4">
              <w:rPr>
                <w:rFonts w:asciiTheme="minorHAnsi" w:eastAsia="Calibri" w:hAnsiTheme="minorHAnsi"/>
                <w:sz w:val="18"/>
                <w:szCs w:val="18"/>
              </w:rPr>
              <w:t>ACP + Gas</w:t>
            </w:r>
          </w:p>
        </w:tc>
        <w:tc>
          <w:tcPr>
            <w:tcW w:w="63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0.18</w:t>
            </w:r>
          </w:p>
        </w:tc>
        <w:tc>
          <w:tcPr>
            <w:tcW w:w="72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58.22</w:t>
            </w:r>
          </w:p>
        </w:tc>
        <w:tc>
          <w:tcPr>
            <w:tcW w:w="459"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c>
          <w:tcPr>
            <w:tcW w:w="711"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5.04</w:t>
            </w:r>
          </w:p>
        </w:tc>
        <w:tc>
          <w:tcPr>
            <w:tcW w:w="56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24.58</w:t>
            </w:r>
          </w:p>
        </w:tc>
        <w:tc>
          <w:tcPr>
            <w:tcW w:w="60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27.26</w:t>
            </w:r>
          </w:p>
        </w:tc>
        <w:tc>
          <w:tcPr>
            <w:tcW w:w="64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4.59</w:t>
            </w:r>
          </w:p>
        </w:tc>
        <w:tc>
          <w:tcPr>
            <w:tcW w:w="54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3.22</w:t>
            </w:r>
          </w:p>
        </w:tc>
        <w:tc>
          <w:tcPr>
            <w:tcW w:w="63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6.49</w:t>
            </w:r>
          </w:p>
        </w:tc>
        <w:tc>
          <w:tcPr>
            <w:tcW w:w="675"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3.98</w:t>
            </w:r>
          </w:p>
        </w:tc>
        <w:tc>
          <w:tcPr>
            <w:tcW w:w="81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17.17</w:t>
            </w:r>
          </w:p>
        </w:tc>
        <w:tc>
          <w:tcPr>
            <w:tcW w:w="585"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r>
      <w:tr w:rsidR="004A222F" w:rsidRPr="00263B08" w:rsidTr="004A222F">
        <w:trPr>
          <w:jc w:val="center"/>
        </w:trPr>
        <w:tc>
          <w:tcPr>
            <w:tcW w:w="1625" w:type="dxa"/>
            <w:vMerge/>
            <w:shd w:val="clear" w:color="auto" w:fill="auto"/>
            <w:tcMar>
              <w:top w:w="29" w:type="dxa"/>
              <w:left w:w="58" w:type="dxa"/>
              <w:bottom w:w="29" w:type="dxa"/>
              <w:right w:w="0" w:type="dxa"/>
            </w:tcMar>
            <w:vAlign w:val="center"/>
          </w:tcPr>
          <w:p w:rsidR="004A222F" w:rsidRPr="00263B08" w:rsidRDefault="004A222F" w:rsidP="00263B08">
            <w:pPr>
              <w:keepNext/>
              <w:keepLines/>
              <w:spacing w:before="40" w:after="40" w:line="240" w:lineRule="auto"/>
              <w:rPr>
                <w:rFonts w:asciiTheme="minorHAnsi" w:eastAsia="Calibri" w:hAnsiTheme="minorHAnsi"/>
                <w:b/>
                <w:sz w:val="18"/>
                <w:szCs w:val="18"/>
              </w:rPr>
            </w:pPr>
          </w:p>
        </w:tc>
        <w:tc>
          <w:tcPr>
            <w:tcW w:w="979" w:type="dxa"/>
            <w:shd w:val="clear" w:color="auto" w:fill="auto"/>
            <w:tcMar>
              <w:top w:w="29" w:type="dxa"/>
              <w:left w:w="58" w:type="dxa"/>
              <w:bottom w:w="29" w:type="dxa"/>
              <w:right w:w="0" w:type="dxa"/>
            </w:tcMar>
            <w:vAlign w:val="center"/>
          </w:tcPr>
          <w:p w:rsidR="004A222F" w:rsidRPr="00263B08" w:rsidRDefault="004A222F" w:rsidP="00263B08">
            <w:pPr>
              <w:keepNext/>
              <w:keepLines/>
              <w:adjustRightInd/>
              <w:spacing w:before="40" w:after="40" w:line="240" w:lineRule="auto"/>
              <w:textAlignment w:val="auto"/>
              <w:rPr>
                <w:rFonts w:asciiTheme="minorHAnsi" w:eastAsia="Calibri" w:hAnsiTheme="minorHAnsi"/>
                <w:sz w:val="18"/>
                <w:szCs w:val="18"/>
              </w:rPr>
            </w:pPr>
            <w:r w:rsidRPr="00DE2AE4">
              <w:rPr>
                <w:rFonts w:asciiTheme="minorHAnsi" w:eastAsia="Calibri" w:hAnsiTheme="minorHAnsi"/>
                <w:sz w:val="18"/>
                <w:szCs w:val="18"/>
              </w:rPr>
              <w:t>RPS + Geo Renew</w:t>
            </w:r>
          </w:p>
        </w:tc>
        <w:tc>
          <w:tcPr>
            <w:tcW w:w="63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0.18</w:t>
            </w:r>
          </w:p>
        </w:tc>
        <w:tc>
          <w:tcPr>
            <w:tcW w:w="72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47.77</w:t>
            </w:r>
          </w:p>
        </w:tc>
        <w:tc>
          <w:tcPr>
            <w:tcW w:w="459"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c>
          <w:tcPr>
            <w:tcW w:w="711"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4.86</w:t>
            </w:r>
          </w:p>
        </w:tc>
        <w:tc>
          <w:tcPr>
            <w:tcW w:w="56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24.58</w:t>
            </w:r>
          </w:p>
        </w:tc>
        <w:tc>
          <w:tcPr>
            <w:tcW w:w="60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27.26</w:t>
            </w:r>
          </w:p>
        </w:tc>
        <w:tc>
          <w:tcPr>
            <w:tcW w:w="64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6.54</w:t>
            </w:r>
          </w:p>
        </w:tc>
        <w:tc>
          <w:tcPr>
            <w:tcW w:w="54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2.89</w:t>
            </w:r>
          </w:p>
        </w:tc>
        <w:tc>
          <w:tcPr>
            <w:tcW w:w="63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15.58</w:t>
            </w:r>
          </w:p>
        </w:tc>
        <w:tc>
          <w:tcPr>
            <w:tcW w:w="675"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3.99</w:t>
            </w:r>
          </w:p>
        </w:tc>
        <w:tc>
          <w:tcPr>
            <w:tcW w:w="810"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17.07</w:t>
            </w:r>
          </w:p>
        </w:tc>
        <w:tc>
          <w:tcPr>
            <w:tcW w:w="585" w:type="dxa"/>
            <w:shd w:val="clear" w:color="auto" w:fill="auto"/>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r>
      <w:tr w:rsidR="004A222F" w:rsidRPr="00263B08" w:rsidTr="004A222F">
        <w:trPr>
          <w:jc w:val="center"/>
        </w:trPr>
        <w:tc>
          <w:tcPr>
            <w:tcW w:w="1625" w:type="dxa"/>
            <w:vMerge w:val="restart"/>
            <w:shd w:val="clear" w:color="auto" w:fill="DBE5F1" w:themeFill="accent1" w:themeFillTint="33"/>
            <w:tcMar>
              <w:top w:w="29" w:type="dxa"/>
              <w:left w:w="58" w:type="dxa"/>
              <w:bottom w:w="29" w:type="dxa"/>
              <w:right w:w="0" w:type="dxa"/>
            </w:tcMar>
            <w:vAlign w:val="center"/>
          </w:tcPr>
          <w:p w:rsidR="004A222F" w:rsidRPr="00263B08" w:rsidRDefault="004A222F" w:rsidP="00263B08">
            <w:pPr>
              <w:keepNext/>
              <w:keepLines/>
              <w:spacing w:before="40" w:after="40" w:line="240" w:lineRule="auto"/>
              <w:rPr>
                <w:rFonts w:asciiTheme="minorHAnsi" w:eastAsia="Calibri" w:hAnsiTheme="minorHAnsi"/>
                <w:b/>
                <w:sz w:val="18"/>
                <w:szCs w:val="18"/>
              </w:rPr>
            </w:pPr>
            <w:r>
              <w:rPr>
                <w:rFonts w:asciiTheme="minorHAnsi" w:eastAsia="Calibri" w:hAnsiTheme="minorHAnsi"/>
                <w:b/>
                <w:sz w:val="18"/>
                <w:szCs w:val="18"/>
              </w:rPr>
              <w:t>2030 Unconstrained</w:t>
            </w:r>
          </w:p>
        </w:tc>
        <w:tc>
          <w:tcPr>
            <w:tcW w:w="979" w:type="dxa"/>
            <w:shd w:val="clear" w:color="auto" w:fill="DBE5F1" w:themeFill="accent1" w:themeFillTint="33"/>
            <w:tcMar>
              <w:top w:w="29" w:type="dxa"/>
              <w:left w:w="58" w:type="dxa"/>
              <w:bottom w:w="29" w:type="dxa"/>
              <w:right w:w="0" w:type="dxa"/>
            </w:tcMar>
            <w:vAlign w:val="center"/>
          </w:tcPr>
          <w:p w:rsidR="004A222F" w:rsidRPr="00263B08" w:rsidRDefault="004A222F" w:rsidP="00263B08">
            <w:pPr>
              <w:keepNext/>
              <w:keepLines/>
              <w:adjustRightInd/>
              <w:spacing w:before="40" w:after="40" w:line="240" w:lineRule="auto"/>
              <w:textAlignment w:val="auto"/>
              <w:rPr>
                <w:rFonts w:asciiTheme="minorHAnsi" w:eastAsia="Calibri" w:hAnsiTheme="minorHAnsi"/>
                <w:sz w:val="18"/>
                <w:szCs w:val="18"/>
              </w:rPr>
            </w:pPr>
            <w:r w:rsidRPr="007C0351">
              <w:rPr>
                <w:rFonts w:asciiTheme="minorHAnsi" w:eastAsia="Calibri" w:hAnsiTheme="minorHAnsi"/>
                <w:sz w:val="18"/>
                <w:szCs w:val="18"/>
              </w:rPr>
              <w:t>RPS + Gas</w:t>
            </w:r>
          </w:p>
        </w:tc>
        <w:tc>
          <w:tcPr>
            <w:tcW w:w="63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0.15</w:t>
            </w:r>
          </w:p>
        </w:tc>
        <w:tc>
          <w:tcPr>
            <w:tcW w:w="72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55.16</w:t>
            </w:r>
          </w:p>
        </w:tc>
        <w:tc>
          <w:tcPr>
            <w:tcW w:w="459"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c>
          <w:tcPr>
            <w:tcW w:w="711"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5.02</w:t>
            </w:r>
          </w:p>
        </w:tc>
        <w:tc>
          <w:tcPr>
            <w:tcW w:w="56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25.86</w:t>
            </w:r>
          </w:p>
        </w:tc>
        <w:tc>
          <w:tcPr>
            <w:tcW w:w="60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27.26</w:t>
            </w:r>
          </w:p>
        </w:tc>
        <w:tc>
          <w:tcPr>
            <w:tcW w:w="64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5.49</w:t>
            </w:r>
          </w:p>
        </w:tc>
        <w:tc>
          <w:tcPr>
            <w:tcW w:w="54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3.28</w:t>
            </w:r>
          </w:p>
        </w:tc>
        <w:tc>
          <w:tcPr>
            <w:tcW w:w="63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14.68</w:t>
            </w:r>
          </w:p>
        </w:tc>
        <w:tc>
          <w:tcPr>
            <w:tcW w:w="675"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3.98</w:t>
            </w:r>
          </w:p>
        </w:tc>
        <w:tc>
          <w:tcPr>
            <w:tcW w:w="81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17.16</w:t>
            </w:r>
          </w:p>
        </w:tc>
        <w:tc>
          <w:tcPr>
            <w:tcW w:w="585"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r>
      <w:tr w:rsidR="004A222F" w:rsidRPr="00263B08" w:rsidTr="004A222F">
        <w:trPr>
          <w:jc w:val="center"/>
        </w:trPr>
        <w:tc>
          <w:tcPr>
            <w:tcW w:w="1625" w:type="dxa"/>
            <w:vMerge/>
            <w:shd w:val="clear" w:color="auto" w:fill="DBE5F1" w:themeFill="accent1" w:themeFillTint="33"/>
            <w:tcMar>
              <w:top w:w="29" w:type="dxa"/>
              <w:left w:w="58" w:type="dxa"/>
              <w:bottom w:w="29" w:type="dxa"/>
              <w:right w:w="0" w:type="dxa"/>
            </w:tcMar>
            <w:vAlign w:val="center"/>
          </w:tcPr>
          <w:p w:rsidR="004A222F" w:rsidRPr="00263B08" w:rsidRDefault="004A222F" w:rsidP="00263B08">
            <w:pPr>
              <w:keepNext/>
              <w:keepLines/>
              <w:spacing w:before="40" w:after="40" w:line="240" w:lineRule="auto"/>
              <w:rPr>
                <w:rFonts w:asciiTheme="minorHAnsi" w:eastAsia="Calibri" w:hAnsiTheme="minorHAnsi"/>
                <w:b/>
                <w:sz w:val="18"/>
                <w:szCs w:val="18"/>
              </w:rPr>
            </w:pPr>
          </w:p>
        </w:tc>
        <w:tc>
          <w:tcPr>
            <w:tcW w:w="979" w:type="dxa"/>
            <w:shd w:val="clear" w:color="auto" w:fill="DBE5F1" w:themeFill="accent1" w:themeFillTint="33"/>
            <w:tcMar>
              <w:top w:w="29" w:type="dxa"/>
              <w:left w:w="58" w:type="dxa"/>
              <w:bottom w:w="29" w:type="dxa"/>
              <w:right w:w="0" w:type="dxa"/>
            </w:tcMar>
            <w:vAlign w:val="center"/>
          </w:tcPr>
          <w:p w:rsidR="004A222F" w:rsidRPr="00263B08" w:rsidRDefault="004A222F" w:rsidP="00263B08">
            <w:pPr>
              <w:keepNext/>
              <w:keepLines/>
              <w:adjustRightInd/>
              <w:spacing w:before="40" w:after="40" w:line="240" w:lineRule="auto"/>
              <w:textAlignment w:val="auto"/>
              <w:rPr>
                <w:rFonts w:asciiTheme="minorHAnsi" w:eastAsia="Calibri" w:hAnsiTheme="minorHAnsi"/>
                <w:sz w:val="18"/>
                <w:szCs w:val="18"/>
              </w:rPr>
            </w:pPr>
            <w:r w:rsidRPr="00DE2AE4">
              <w:rPr>
                <w:rFonts w:asciiTheme="minorHAnsi" w:eastAsia="Calibri" w:hAnsiTheme="minorHAnsi"/>
                <w:sz w:val="18"/>
                <w:szCs w:val="18"/>
              </w:rPr>
              <w:t>ISO Queue</w:t>
            </w:r>
          </w:p>
        </w:tc>
        <w:tc>
          <w:tcPr>
            <w:tcW w:w="63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0.09</w:t>
            </w:r>
          </w:p>
        </w:tc>
        <w:tc>
          <w:tcPr>
            <w:tcW w:w="72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27.31</w:t>
            </w:r>
          </w:p>
        </w:tc>
        <w:tc>
          <w:tcPr>
            <w:tcW w:w="459"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c>
          <w:tcPr>
            <w:tcW w:w="711"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3.19</w:t>
            </w:r>
          </w:p>
        </w:tc>
        <w:tc>
          <w:tcPr>
            <w:tcW w:w="56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25.86</w:t>
            </w:r>
          </w:p>
        </w:tc>
        <w:tc>
          <w:tcPr>
            <w:tcW w:w="60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27.26</w:t>
            </w:r>
          </w:p>
        </w:tc>
        <w:tc>
          <w:tcPr>
            <w:tcW w:w="64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8.32</w:t>
            </w:r>
          </w:p>
        </w:tc>
        <w:tc>
          <w:tcPr>
            <w:tcW w:w="54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1.87</w:t>
            </w:r>
          </w:p>
        </w:tc>
        <w:tc>
          <w:tcPr>
            <w:tcW w:w="63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48.04</w:t>
            </w:r>
          </w:p>
        </w:tc>
        <w:tc>
          <w:tcPr>
            <w:tcW w:w="675"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3.76</w:t>
            </w:r>
          </w:p>
        </w:tc>
        <w:tc>
          <w:tcPr>
            <w:tcW w:w="81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12.24</w:t>
            </w:r>
          </w:p>
        </w:tc>
        <w:tc>
          <w:tcPr>
            <w:tcW w:w="585"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r>
      <w:tr w:rsidR="004A222F" w:rsidRPr="00263B08" w:rsidTr="004A222F">
        <w:trPr>
          <w:jc w:val="center"/>
        </w:trPr>
        <w:tc>
          <w:tcPr>
            <w:tcW w:w="1625" w:type="dxa"/>
            <w:vMerge/>
            <w:shd w:val="clear" w:color="auto" w:fill="DBE5F1" w:themeFill="accent1" w:themeFillTint="33"/>
            <w:tcMar>
              <w:top w:w="29" w:type="dxa"/>
              <w:left w:w="58" w:type="dxa"/>
              <w:bottom w:w="29" w:type="dxa"/>
              <w:right w:w="0" w:type="dxa"/>
            </w:tcMar>
            <w:vAlign w:val="center"/>
          </w:tcPr>
          <w:p w:rsidR="004A222F" w:rsidRPr="00263B08" w:rsidRDefault="004A222F" w:rsidP="00263B08">
            <w:pPr>
              <w:keepNext/>
              <w:keepLines/>
              <w:spacing w:before="40" w:after="40" w:line="240" w:lineRule="auto"/>
              <w:rPr>
                <w:rFonts w:asciiTheme="minorHAnsi" w:eastAsia="Calibri" w:hAnsiTheme="minorHAnsi"/>
                <w:b/>
                <w:sz w:val="18"/>
                <w:szCs w:val="18"/>
              </w:rPr>
            </w:pPr>
          </w:p>
        </w:tc>
        <w:tc>
          <w:tcPr>
            <w:tcW w:w="979" w:type="dxa"/>
            <w:shd w:val="clear" w:color="auto" w:fill="DBE5F1" w:themeFill="accent1" w:themeFillTint="33"/>
            <w:tcMar>
              <w:top w:w="29" w:type="dxa"/>
              <w:left w:w="58" w:type="dxa"/>
              <w:bottom w:w="29" w:type="dxa"/>
              <w:right w:w="0" w:type="dxa"/>
            </w:tcMar>
            <w:vAlign w:val="center"/>
          </w:tcPr>
          <w:p w:rsidR="004A222F" w:rsidRPr="00263B08" w:rsidRDefault="004A222F" w:rsidP="00263B08">
            <w:pPr>
              <w:keepNext/>
              <w:keepLines/>
              <w:adjustRightInd/>
              <w:spacing w:before="40" w:after="40" w:line="240" w:lineRule="auto"/>
              <w:textAlignment w:val="auto"/>
              <w:rPr>
                <w:rFonts w:asciiTheme="minorHAnsi" w:eastAsia="Calibri" w:hAnsiTheme="minorHAnsi"/>
                <w:sz w:val="18"/>
                <w:szCs w:val="18"/>
              </w:rPr>
            </w:pPr>
            <w:r w:rsidRPr="00DE2AE4">
              <w:rPr>
                <w:rFonts w:asciiTheme="minorHAnsi" w:eastAsia="Calibri" w:hAnsiTheme="minorHAnsi"/>
                <w:sz w:val="18"/>
                <w:szCs w:val="18"/>
              </w:rPr>
              <w:t>Renew Plus</w:t>
            </w:r>
          </w:p>
        </w:tc>
        <w:tc>
          <w:tcPr>
            <w:tcW w:w="63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0.07</w:t>
            </w:r>
          </w:p>
        </w:tc>
        <w:tc>
          <w:tcPr>
            <w:tcW w:w="72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14.16</w:t>
            </w:r>
          </w:p>
        </w:tc>
        <w:tc>
          <w:tcPr>
            <w:tcW w:w="459"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c>
          <w:tcPr>
            <w:tcW w:w="711"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3.70</w:t>
            </w:r>
          </w:p>
        </w:tc>
        <w:tc>
          <w:tcPr>
            <w:tcW w:w="56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53.98</w:t>
            </w:r>
          </w:p>
        </w:tc>
        <w:tc>
          <w:tcPr>
            <w:tcW w:w="60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27.24</w:t>
            </w:r>
          </w:p>
        </w:tc>
        <w:tc>
          <w:tcPr>
            <w:tcW w:w="64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16.03</w:t>
            </w:r>
          </w:p>
        </w:tc>
        <w:tc>
          <w:tcPr>
            <w:tcW w:w="54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2.05</w:t>
            </w:r>
          </w:p>
        </w:tc>
        <w:tc>
          <w:tcPr>
            <w:tcW w:w="63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24.36</w:t>
            </w:r>
          </w:p>
        </w:tc>
        <w:tc>
          <w:tcPr>
            <w:tcW w:w="675"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3.95</w:t>
            </w:r>
          </w:p>
        </w:tc>
        <w:tc>
          <w:tcPr>
            <w:tcW w:w="81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25.60</w:t>
            </w:r>
          </w:p>
        </w:tc>
        <w:tc>
          <w:tcPr>
            <w:tcW w:w="585"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Pr>
                <w:rFonts w:asciiTheme="minorHAnsi" w:eastAsia="Calibri" w:hAnsiTheme="minorHAnsi"/>
                <w:sz w:val="18"/>
                <w:szCs w:val="18"/>
              </w:rPr>
              <w:t>−</w:t>
            </w:r>
            <w:r w:rsidRPr="00263B08">
              <w:rPr>
                <w:rFonts w:asciiTheme="minorHAnsi" w:eastAsia="Calibri" w:hAnsiTheme="minorHAnsi"/>
                <w:sz w:val="18"/>
                <w:szCs w:val="18"/>
              </w:rPr>
              <w:t>12.52</w:t>
            </w:r>
          </w:p>
        </w:tc>
      </w:tr>
      <w:tr w:rsidR="004A222F" w:rsidRPr="00263B08" w:rsidTr="004A222F">
        <w:trPr>
          <w:jc w:val="center"/>
        </w:trPr>
        <w:tc>
          <w:tcPr>
            <w:tcW w:w="1625" w:type="dxa"/>
            <w:vMerge/>
            <w:shd w:val="clear" w:color="auto" w:fill="DBE5F1" w:themeFill="accent1" w:themeFillTint="33"/>
            <w:tcMar>
              <w:top w:w="29" w:type="dxa"/>
              <w:left w:w="58" w:type="dxa"/>
              <w:bottom w:w="29" w:type="dxa"/>
              <w:right w:w="0" w:type="dxa"/>
            </w:tcMar>
            <w:vAlign w:val="center"/>
          </w:tcPr>
          <w:p w:rsidR="004A222F" w:rsidRPr="00263B08" w:rsidRDefault="004A222F" w:rsidP="00263B08">
            <w:pPr>
              <w:keepNext/>
              <w:keepLines/>
              <w:spacing w:before="40" w:after="40" w:line="240" w:lineRule="auto"/>
              <w:rPr>
                <w:rFonts w:asciiTheme="minorHAnsi" w:eastAsia="Calibri" w:hAnsiTheme="minorHAnsi"/>
                <w:b/>
                <w:sz w:val="18"/>
                <w:szCs w:val="18"/>
              </w:rPr>
            </w:pPr>
          </w:p>
        </w:tc>
        <w:tc>
          <w:tcPr>
            <w:tcW w:w="979" w:type="dxa"/>
            <w:shd w:val="clear" w:color="auto" w:fill="DBE5F1" w:themeFill="accent1" w:themeFillTint="33"/>
            <w:tcMar>
              <w:top w:w="29" w:type="dxa"/>
              <w:left w:w="58" w:type="dxa"/>
              <w:bottom w:w="29" w:type="dxa"/>
              <w:right w:w="0" w:type="dxa"/>
            </w:tcMar>
            <w:vAlign w:val="center"/>
          </w:tcPr>
          <w:p w:rsidR="004A222F" w:rsidRPr="00263B08" w:rsidRDefault="004A222F" w:rsidP="00263B08">
            <w:pPr>
              <w:keepNext/>
              <w:keepLines/>
              <w:adjustRightInd/>
              <w:spacing w:before="40" w:after="40" w:line="240" w:lineRule="auto"/>
              <w:textAlignment w:val="auto"/>
              <w:rPr>
                <w:rFonts w:asciiTheme="minorHAnsi" w:eastAsia="Calibri" w:hAnsiTheme="minorHAnsi"/>
                <w:sz w:val="18"/>
                <w:szCs w:val="18"/>
              </w:rPr>
            </w:pPr>
            <w:r w:rsidRPr="00DE2AE4">
              <w:rPr>
                <w:rFonts w:asciiTheme="minorHAnsi" w:eastAsia="Calibri" w:hAnsiTheme="minorHAnsi"/>
                <w:sz w:val="18"/>
                <w:szCs w:val="18"/>
              </w:rPr>
              <w:t>No Retire</w:t>
            </w:r>
          </w:p>
        </w:tc>
        <w:tc>
          <w:tcPr>
            <w:tcW w:w="63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5.21</w:t>
            </w:r>
          </w:p>
        </w:tc>
        <w:tc>
          <w:tcPr>
            <w:tcW w:w="72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58.24</w:t>
            </w:r>
          </w:p>
        </w:tc>
        <w:tc>
          <w:tcPr>
            <w:tcW w:w="459"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0.01</w:t>
            </w:r>
          </w:p>
        </w:tc>
        <w:tc>
          <w:tcPr>
            <w:tcW w:w="711"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5.03</w:t>
            </w:r>
          </w:p>
        </w:tc>
        <w:tc>
          <w:tcPr>
            <w:tcW w:w="56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25.86</w:t>
            </w:r>
          </w:p>
        </w:tc>
        <w:tc>
          <w:tcPr>
            <w:tcW w:w="60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27.26</w:t>
            </w:r>
          </w:p>
        </w:tc>
        <w:tc>
          <w:tcPr>
            <w:tcW w:w="64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5.49</w:t>
            </w:r>
          </w:p>
        </w:tc>
        <w:tc>
          <w:tcPr>
            <w:tcW w:w="54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3.30</w:t>
            </w:r>
          </w:p>
        </w:tc>
        <w:tc>
          <w:tcPr>
            <w:tcW w:w="63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6.49</w:t>
            </w:r>
          </w:p>
        </w:tc>
        <w:tc>
          <w:tcPr>
            <w:tcW w:w="675"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3.98</w:t>
            </w:r>
          </w:p>
        </w:tc>
        <w:tc>
          <w:tcPr>
            <w:tcW w:w="81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17.17</w:t>
            </w:r>
          </w:p>
        </w:tc>
        <w:tc>
          <w:tcPr>
            <w:tcW w:w="585"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r>
      <w:tr w:rsidR="004A222F" w:rsidRPr="00263B08" w:rsidTr="004A222F">
        <w:trPr>
          <w:jc w:val="center"/>
        </w:trPr>
        <w:tc>
          <w:tcPr>
            <w:tcW w:w="1625" w:type="dxa"/>
            <w:vMerge/>
            <w:shd w:val="clear" w:color="auto" w:fill="DBE5F1" w:themeFill="accent1" w:themeFillTint="33"/>
            <w:tcMar>
              <w:top w:w="29" w:type="dxa"/>
              <w:left w:w="58" w:type="dxa"/>
              <w:bottom w:w="29" w:type="dxa"/>
              <w:right w:w="0" w:type="dxa"/>
            </w:tcMar>
            <w:vAlign w:val="center"/>
          </w:tcPr>
          <w:p w:rsidR="004A222F" w:rsidRPr="00263B08" w:rsidRDefault="004A222F" w:rsidP="00263B08">
            <w:pPr>
              <w:keepNext/>
              <w:keepLines/>
              <w:spacing w:before="40" w:after="40" w:line="240" w:lineRule="auto"/>
              <w:rPr>
                <w:rFonts w:asciiTheme="minorHAnsi" w:eastAsia="Calibri" w:hAnsiTheme="minorHAnsi"/>
                <w:b/>
                <w:sz w:val="18"/>
                <w:szCs w:val="18"/>
              </w:rPr>
            </w:pPr>
          </w:p>
        </w:tc>
        <w:tc>
          <w:tcPr>
            <w:tcW w:w="979" w:type="dxa"/>
            <w:shd w:val="clear" w:color="auto" w:fill="DBE5F1" w:themeFill="accent1" w:themeFillTint="33"/>
            <w:tcMar>
              <w:top w:w="29" w:type="dxa"/>
              <w:left w:w="58" w:type="dxa"/>
              <w:bottom w:w="29" w:type="dxa"/>
              <w:right w:w="0" w:type="dxa"/>
            </w:tcMar>
            <w:vAlign w:val="center"/>
          </w:tcPr>
          <w:p w:rsidR="004A222F" w:rsidRPr="00263B08" w:rsidRDefault="004A222F" w:rsidP="00263B08">
            <w:pPr>
              <w:keepNext/>
              <w:keepLines/>
              <w:adjustRightInd/>
              <w:spacing w:before="40" w:after="40" w:line="240" w:lineRule="auto"/>
              <w:textAlignment w:val="auto"/>
              <w:rPr>
                <w:rFonts w:asciiTheme="minorHAnsi" w:eastAsia="Calibri" w:hAnsiTheme="minorHAnsi"/>
                <w:sz w:val="18"/>
                <w:szCs w:val="18"/>
              </w:rPr>
            </w:pPr>
            <w:r w:rsidRPr="00DE2AE4">
              <w:rPr>
                <w:rFonts w:asciiTheme="minorHAnsi" w:eastAsia="Calibri" w:hAnsiTheme="minorHAnsi"/>
                <w:sz w:val="18"/>
                <w:szCs w:val="18"/>
              </w:rPr>
              <w:t>ACP + Gas</w:t>
            </w:r>
          </w:p>
        </w:tc>
        <w:tc>
          <w:tcPr>
            <w:tcW w:w="63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0.15</w:t>
            </w:r>
          </w:p>
        </w:tc>
        <w:tc>
          <w:tcPr>
            <w:tcW w:w="72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63.24</w:t>
            </w:r>
          </w:p>
        </w:tc>
        <w:tc>
          <w:tcPr>
            <w:tcW w:w="459"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c>
          <w:tcPr>
            <w:tcW w:w="711"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5.04</w:t>
            </w:r>
          </w:p>
        </w:tc>
        <w:tc>
          <w:tcPr>
            <w:tcW w:w="56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25.86</w:t>
            </w:r>
          </w:p>
        </w:tc>
        <w:tc>
          <w:tcPr>
            <w:tcW w:w="60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27.26</w:t>
            </w:r>
          </w:p>
        </w:tc>
        <w:tc>
          <w:tcPr>
            <w:tcW w:w="64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5.49</w:t>
            </w:r>
          </w:p>
        </w:tc>
        <w:tc>
          <w:tcPr>
            <w:tcW w:w="54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3.36</w:t>
            </w:r>
          </w:p>
        </w:tc>
        <w:tc>
          <w:tcPr>
            <w:tcW w:w="63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6.49</w:t>
            </w:r>
          </w:p>
        </w:tc>
        <w:tc>
          <w:tcPr>
            <w:tcW w:w="675"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3.98</w:t>
            </w:r>
          </w:p>
        </w:tc>
        <w:tc>
          <w:tcPr>
            <w:tcW w:w="81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17.17</w:t>
            </w:r>
          </w:p>
        </w:tc>
        <w:tc>
          <w:tcPr>
            <w:tcW w:w="585"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r>
      <w:tr w:rsidR="004A222F" w:rsidRPr="00263B08" w:rsidTr="004A222F">
        <w:trPr>
          <w:jc w:val="center"/>
        </w:trPr>
        <w:tc>
          <w:tcPr>
            <w:tcW w:w="1625" w:type="dxa"/>
            <w:vMerge/>
            <w:shd w:val="clear" w:color="auto" w:fill="DBE5F1" w:themeFill="accent1" w:themeFillTint="33"/>
            <w:tcMar>
              <w:top w:w="29" w:type="dxa"/>
              <w:left w:w="58" w:type="dxa"/>
              <w:bottom w:w="29" w:type="dxa"/>
              <w:right w:w="0" w:type="dxa"/>
            </w:tcMar>
            <w:vAlign w:val="center"/>
          </w:tcPr>
          <w:p w:rsidR="004A222F" w:rsidRPr="00263B08" w:rsidRDefault="004A222F" w:rsidP="00263B08">
            <w:pPr>
              <w:keepNext/>
              <w:keepLines/>
              <w:adjustRightInd/>
              <w:spacing w:before="40" w:after="40" w:line="240" w:lineRule="auto"/>
              <w:textAlignment w:val="auto"/>
              <w:rPr>
                <w:rFonts w:asciiTheme="minorHAnsi" w:eastAsia="Calibri" w:hAnsiTheme="minorHAnsi"/>
                <w:b/>
                <w:sz w:val="18"/>
                <w:szCs w:val="18"/>
              </w:rPr>
            </w:pPr>
          </w:p>
        </w:tc>
        <w:tc>
          <w:tcPr>
            <w:tcW w:w="979" w:type="dxa"/>
            <w:shd w:val="clear" w:color="auto" w:fill="DBE5F1" w:themeFill="accent1" w:themeFillTint="33"/>
            <w:tcMar>
              <w:top w:w="29" w:type="dxa"/>
              <w:left w:w="58" w:type="dxa"/>
              <w:bottom w:w="29" w:type="dxa"/>
              <w:right w:w="0" w:type="dxa"/>
            </w:tcMar>
            <w:vAlign w:val="center"/>
          </w:tcPr>
          <w:p w:rsidR="004A222F" w:rsidRPr="00263B08" w:rsidRDefault="004A222F" w:rsidP="00263B08">
            <w:pPr>
              <w:keepNext/>
              <w:keepLines/>
              <w:adjustRightInd/>
              <w:spacing w:before="40" w:after="40" w:line="240" w:lineRule="auto"/>
              <w:textAlignment w:val="auto"/>
              <w:rPr>
                <w:rFonts w:asciiTheme="minorHAnsi" w:eastAsia="Calibri" w:hAnsiTheme="minorHAnsi"/>
                <w:sz w:val="18"/>
                <w:szCs w:val="18"/>
              </w:rPr>
            </w:pPr>
            <w:r w:rsidRPr="00DE2AE4">
              <w:rPr>
                <w:rFonts w:asciiTheme="minorHAnsi" w:eastAsia="Calibri" w:hAnsiTheme="minorHAnsi"/>
                <w:sz w:val="18"/>
                <w:szCs w:val="18"/>
              </w:rPr>
              <w:t>RPS + Geo Renew</w:t>
            </w:r>
          </w:p>
        </w:tc>
        <w:tc>
          <w:tcPr>
            <w:tcW w:w="63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0.08</w:t>
            </w:r>
          </w:p>
        </w:tc>
        <w:tc>
          <w:tcPr>
            <w:tcW w:w="72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23.83</w:t>
            </w:r>
          </w:p>
        </w:tc>
        <w:tc>
          <w:tcPr>
            <w:tcW w:w="459"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c>
          <w:tcPr>
            <w:tcW w:w="711"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3.08</w:t>
            </w:r>
          </w:p>
        </w:tc>
        <w:tc>
          <w:tcPr>
            <w:tcW w:w="56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25.86</w:t>
            </w:r>
          </w:p>
        </w:tc>
        <w:tc>
          <w:tcPr>
            <w:tcW w:w="60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27.26</w:t>
            </w:r>
          </w:p>
        </w:tc>
        <w:tc>
          <w:tcPr>
            <w:tcW w:w="64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13.72</w:t>
            </w:r>
          </w:p>
        </w:tc>
        <w:tc>
          <w:tcPr>
            <w:tcW w:w="54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1.70</w:t>
            </w:r>
          </w:p>
        </w:tc>
        <w:tc>
          <w:tcPr>
            <w:tcW w:w="63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46.65</w:t>
            </w:r>
          </w:p>
        </w:tc>
        <w:tc>
          <w:tcPr>
            <w:tcW w:w="675"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3.73</w:t>
            </w:r>
          </w:p>
        </w:tc>
        <w:tc>
          <w:tcPr>
            <w:tcW w:w="810"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12.03</w:t>
            </w:r>
          </w:p>
        </w:tc>
        <w:tc>
          <w:tcPr>
            <w:tcW w:w="585" w:type="dxa"/>
            <w:shd w:val="clear" w:color="auto" w:fill="DBE5F1" w:themeFill="accent1" w:themeFillTint="33"/>
            <w:tcMar>
              <w:top w:w="29" w:type="dxa"/>
              <w:left w:w="14" w:type="dxa"/>
              <w:bottom w:w="29" w:type="dxa"/>
              <w:right w:w="58" w:type="dxa"/>
            </w:tcMar>
            <w:vAlign w:val="center"/>
          </w:tcPr>
          <w:p w:rsidR="004A222F" w:rsidRPr="00263B08" w:rsidRDefault="004A222F" w:rsidP="00263B08">
            <w:pPr>
              <w:keepNext/>
              <w:keepLines/>
              <w:adjustRightInd/>
              <w:spacing w:before="40" w:after="40" w:line="240" w:lineRule="auto"/>
              <w:jc w:val="right"/>
              <w:textAlignment w:val="auto"/>
              <w:rPr>
                <w:rFonts w:asciiTheme="minorHAnsi" w:eastAsia="Calibri" w:hAnsiTheme="minorHAnsi"/>
                <w:sz w:val="18"/>
                <w:szCs w:val="18"/>
              </w:rPr>
            </w:pPr>
            <w:r w:rsidRPr="00263B08">
              <w:rPr>
                <w:rFonts w:asciiTheme="minorHAnsi" w:eastAsia="Calibri" w:hAnsiTheme="minorHAnsi"/>
                <w:sz w:val="18"/>
                <w:szCs w:val="18"/>
              </w:rPr>
              <w:t>0.00</w:t>
            </w:r>
          </w:p>
        </w:tc>
      </w:tr>
    </w:tbl>
    <w:p w:rsidR="003D06B9" w:rsidRPr="003D06B9" w:rsidRDefault="003D06B9" w:rsidP="00263B08"/>
    <w:p w:rsidR="00481B68" w:rsidRDefault="00434563" w:rsidP="00201D25">
      <w:r>
        <w:t xml:space="preserve">Some observations of these results are as </w:t>
      </w:r>
      <w:r w:rsidR="00481B68">
        <w:t>follow</w:t>
      </w:r>
      <w:r>
        <w:t>s</w:t>
      </w:r>
      <w:r w:rsidR="00481B68">
        <w:t>:</w:t>
      </w:r>
    </w:p>
    <w:p w:rsidR="004A5F6F" w:rsidRDefault="004A5F6F" w:rsidP="00201D25">
      <w:pPr>
        <w:pStyle w:val="ListParagraph"/>
        <w:numPr>
          <w:ilvl w:val="0"/>
          <w:numId w:val="38"/>
        </w:numPr>
      </w:pPr>
      <w:r>
        <w:t xml:space="preserve">The amount of resources assumed for each scenario is more than adequate to meet </w:t>
      </w:r>
      <w:r w:rsidRPr="00712F7A">
        <w:t>the systemwide</w:t>
      </w:r>
      <w:r>
        <w:t xml:space="preserve"> energy requirements, even when transmission constraints are modeled.         </w:t>
      </w:r>
    </w:p>
    <w:p w:rsidR="00424C09" w:rsidRPr="0007591B" w:rsidRDefault="004C3825" w:rsidP="00201D25">
      <w:pPr>
        <w:pStyle w:val="ListParagraph"/>
        <w:numPr>
          <w:ilvl w:val="0"/>
          <w:numId w:val="38"/>
        </w:numPr>
      </w:pPr>
      <w:r w:rsidRPr="0007591B">
        <w:t xml:space="preserve">For </w:t>
      </w:r>
      <w:r w:rsidR="00481B68" w:rsidRPr="0007591B">
        <w:t>Scenario 3</w:t>
      </w:r>
      <w:r w:rsidRPr="0007591B">
        <w:t xml:space="preserve">, </w:t>
      </w:r>
      <w:r w:rsidR="00C073B0" w:rsidRPr="0007591B">
        <w:t xml:space="preserve">although the </w:t>
      </w:r>
      <w:r w:rsidR="009D221F" w:rsidRPr="0007591B">
        <w:t xml:space="preserve">addition of the </w:t>
      </w:r>
      <w:r w:rsidR="00C073B0" w:rsidRPr="0007591B">
        <w:t>nighttime-</w:t>
      </w:r>
      <w:r w:rsidR="00424C09" w:rsidRPr="0007591B">
        <w:t>charg</w:t>
      </w:r>
      <w:r w:rsidR="00C073B0" w:rsidRPr="0007591B">
        <w:t>ed</w:t>
      </w:r>
      <w:r w:rsidR="00D069D6" w:rsidRPr="0007591B">
        <w:t xml:space="preserve"> </w:t>
      </w:r>
      <w:r w:rsidR="00424C09" w:rsidRPr="0007591B">
        <w:t xml:space="preserve">electric vehicles and </w:t>
      </w:r>
      <w:r w:rsidR="00274D96" w:rsidRPr="0007591B">
        <w:t>battery</w:t>
      </w:r>
      <w:r w:rsidR="009D221F" w:rsidRPr="0007591B">
        <w:t xml:space="preserve"> systems and </w:t>
      </w:r>
      <w:r w:rsidR="0007591B">
        <w:t xml:space="preserve">the </w:t>
      </w:r>
      <w:r w:rsidR="009D221F" w:rsidRPr="0007591B">
        <w:t>greater use of the</w:t>
      </w:r>
      <w:r w:rsidR="00274D96" w:rsidRPr="0007591B">
        <w:t xml:space="preserve"> </w:t>
      </w:r>
      <w:r w:rsidR="00424C09" w:rsidRPr="0007591B">
        <w:t>pumped</w:t>
      </w:r>
      <w:r w:rsidR="0009710E" w:rsidRPr="0007591B">
        <w:t>-</w:t>
      </w:r>
      <w:r w:rsidR="00424C09" w:rsidRPr="0007591B">
        <w:t>storage generation plants</w:t>
      </w:r>
      <w:r w:rsidR="00C073B0" w:rsidRPr="0007591B">
        <w:t xml:space="preserve"> </w:t>
      </w:r>
      <w:r w:rsidR="00424C09" w:rsidRPr="0007591B">
        <w:t xml:space="preserve">increased </w:t>
      </w:r>
      <w:r w:rsidR="00A31497" w:rsidRPr="0007591B">
        <w:t xml:space="preserve">total </w:t>
      </w:r>
      <w:r w:rsidR="00424C09" w:rsidRPr="0007591B">
        <w:t>energy production</w:t>
      </w:r>
      <w:r w:rsidR="00C073B0" w:rsidRPr="0007591B">
        <w:t xml:space="preserve"> for a </w:t>
      </w:r>
      <w:r w:rsidR="00C073B0" w:rsidRPr="0007591B">
        <w:lastRenderedPageBreak/>
        <w:t>given year compared with the other</w:t>
      </w:r>
      <w:r w:rsidR="00A60545" w:rsidRPr="0007591B">
        <w:t xml:space="preserve"> scenarios</w:t>
      </w:r>
      <w:r w:rsidR="00424C09" w:rsidRPr="0007591B">
        <w:t>, storage flatten</w:t>
      </w:r>
      <w:r w:rsidR="00F52EC3">
        <w:t>ed</w:t>
      </w:r>
      <w:r w:rsidR="00424C09" w:rsidRPr="0007591B">
        <w:t xml:space="preserve"> the net demand profile</w:t>
      </w:r>
      <w:r w:rsidR="00A60545" w:rsidRPr="0007591B">
        <w:t xml:space="preserve"> </w:t>
      </w:r>
      <w:r w:rsidR="00424C09" w:rsidRPr="0007591B">
        <w:t>(</w:t>
      </w:r>
      <w:r w:rsidRPr="0007591B">
        <w:t>s</w:t>
      </w:r>
      <w:r w:rsidR="00424C09" w:rsidRPr="0007591B">
        <w:t xml:space="preserve">ee </w:t>
      </w:r>
      <w:r w:rsidR="008F26DE" w:rsidRPr="0007591B">
        <w:t>Sections</w:t>
      </w:r>
      <w:r w:rsidR="008F26DE">
        <w:t> </w:t>
      </w:r>
      <w:r w:rsidRPr="0007591B">
        <w:fldChar w:fldCharType="begin"/>
      </w:r>
      <w:r w:rsidRPr="0007591B">
        <w:instrText xml:space="preserve"> REF _Ref476903290 \r \h  \* MERGEFORMAT </w:instrText>
      </w:r>
      <w:r w:rsidRPr="0007591B">
        <w:fldChar w:fldCharType="separate"/>
      </w:r>
      <w:r w:rsidR="00742B49">
        <w:t>5.2.3</w:t>
      </w:r>
      <w:r w:rsidRPr="0007591B">
        <w:fldChar w:fldCharType="end"/>
      </w:r>
      <w:r w:rsidRPr="0007591B">
        <w:t xml:space="preserve"> and </w:t>
      </w:r>
      <w:r w:rsidRPr="0007591B">
        <w:fldChar w:fldCharType="begin"/>
      </w:r>
      <w:r w:rsidRPr="0007591B">
        <w:instrText xml:space="preserve"> REF _Ref476903312 \r \h  \* MERGEFORMAT </w:instrText>
      </w:r>
      <w:r w:rsidRPr="0007591B">
        <w:fldChar w:fldCharType="separate"/>
      </w:r>
      <w:r w:rsidR="00742B49">
        <w:t>5.3.7</w:t>
      </w:r>
      <w:r w:rsidRPr="0007591B">
        <w:fldChar w:fldCharType="end"/>
      </w:r>
      <w:r w:rsidR="00424C09" w:rsidRPr="0007591B">
        <w:t>)</w:t>
      </w:r>
      <w:r w:rsidR="0007591B">
        <w:t>.</w:t>
      </w:r>
    </w:p>
    <w:p w:rsidR="004B019B" w:rsidRPr="008B3883" w:rsidRDefault="00424C09" w:rsidP="00201D25">
      <w:pPr>
        <w:pStyle w:val="ListParagraph"/>
        <w:numPr>
          <w:ilvl w:val="0"/>
          <w:numId w:val="38"/>
        </w:numPr>
      </w:pPr>
      <w:r>
        <w:t>For a given year</w:t>
      </w:r>
      <w:r w:rsidR="00A60545">
        <w:t>,</w:t>
      </w:r>
      <w:r>
        <w:t xml:space="preserve"> the differences in production by price</w:t>
      </w:r>
      <w:r w:rsidR="00A60545">
        <w:t>-</w:t>
      </w:r>
      <w:r>
        <w:t>taking resources simulated as $0/MW</w:t>
      </w:r>
      <w:r w:rsidR="00434563">
        <w:t>h</w:t>
      </w:r>
      <w:r>
        <w:t xml:space="preserve"> </w:t>
      </w:r>
      <w:r w:rsidR="00A60545">
        <w:t>are</w:t>
      </w:r>
      <w:r>
        <w:t xml:space="preserve"> readily apparent</w:t>
      </w:r>
      <w:r w:rsidR="00434563">
        <w:t xml:space="preserve">: </w:t>
      </w:r>
      <w:r>
        <w:t xml:space="preserve">Scenarios 4 and 5 have the least amount of wind energy, </w:t>
      </w:r>
      <w:r w:rsidR="00EC753E">
        <w:t xml:space="preserve">and </w:t>
      </w:r>
      <w:r>
        <w:t xml:space="preserve">Scenarios 1, </w:t>
      </w:r>
      <w:r w:rsidR="009F4B79">
        <w:t>2, 3,</w:t>
      </w:r>
      <w:r w:rsidR="00A063E9">
        <w:t xml:space="preserve"> </w:t>
      </w:r>
      <w:r>
        <w:t>and 6</w:t>
      </w:r>
      <w:r w:rsidR="004B019B">
        <w:t xml:space="preserve"> </w:t>
      </w:r>
      <w:r w:rsidR="00EC753E">
        <w:t xml:space="preserve">show </w:t>
      </w:r>
      <w:r w:rsidR="00A063E9">
        <w:t>much</w:t>
      </w:r>
      <w:r w:rsidR="00EC753E">
        <w:t xml:space="preserve"> larger amounts of wind energy production</w:t>
      </w:r>
      <w:r>
        <w:t xml:space="preserve">. The metric also shows higher </w:t>
      </w:r>
      <w:r w:rsidR="004B019B">
        <w:t xml:space="preserve">imports </w:t>
      </w:r>
      <w:r w:rsidR="004B019B" w:rsidRPr="007642C0">
        <w:t xml:space="preserve">and </w:t>
      </w:r>
      <w:r w:rsidR="004B019B" w:rsidRPr="008B3883">
        <w:t xml:space="preserve">higher </w:t>
      </w:r>
      <w:r w:rsidRPr="008B3883">
        <w:t>EE and PV production for Scenario 3 than for the other cases</w:t>
      </w:r>
      <w:r w:rsidR="009E7B29" w:rsidRPr="008B3883">
        <w:t xml:space="preserve">. </w:t>
      </w:r>
    </w:p>
    <w:p w:rsidR="004C5D83" w:rsidRPr="008B3883" w:rsidRDefault="00CE1623" w:rsidP="00205ED6">
      <w:pPr>
        <w:pStyle w:val="ListParagraph"/>
        <w:numPr>
          <w:ilvl w:val="0"/>
          <w:numId w:val="38"/>
        </w:numPr>
        <w:spacing w:after="240"/>
        <w:ind w:left="763"/>
      </w:pPr>
      <w:r w:rsidRPr="008B3883">
        <w:t>A comparison of unconstrained and constrained scenarios shows the effect</w:t>
      </w:r>
      <w:r w:rsidR="00923469" w:rsidRPr="008B3883">
        <w:t xml:space="preserve"> </w:t>
      </w:r>
      <w:r w:rsidRPr="008B3883">
        <w:t xml:space="preserve">of </w:t>
      </w:r>
      <w:r w:rsidR="0041409D" w:rsidRPr="008B3883">
        <w:t xml:space="preserve">resource development </w:t>
      </w:r>
      <w:r w:rsidR="009D221F" w:rsidRPr="008B3883">
        <w:t>in different</w:t>
      </w:r>
      <w:r w:rsidR="0041409D" w:rsidRPr="008B3883">
        <w:t xml:space="preserve"> location</w:t>
      </w:r>
      <w:r w:rsidR="009D221F" w:rsidRPr="008B3883">
        <w:t>s</w:t>
      </w:r>
      <w:r w:rsidR="00C64841" w:rsidRPr="008B3883">
        <w:t>, which are part of the scenario assumptions</w:t>
      </w:r>
      <w:r w:rsidR="008B3883" w:rsidRPr="008B3883">
        <w:t>:</w:t>
      </w:r>
      <w:r w:rsidR="00923469" w:rsidRPr="008B3883">
        <w:t xml:space="preserve"> </w:t>
      </w:r>
    </w:p>
    <w:p w:rsidR="004C5D83" w:rsidRPr="008B3883" w:rsidRDefault="00BB1423" w:rsidP="008B3883">
      <w:pPr>
        <w:pStyle w:val="ListParagraph"/>
        <w:numPr>
          <w:ilvl w:val="1"/>
          <w:numId w:val="38"/>
        </w:numPr>
        <w:spacing w:after="240"/>
      </w:pPr>
      <w:r w:rsidRPr="008B3883">
        <w:t>New resources in Scenarios 4 and 5 develop predominantly near the load centers in southern New England. These scenarios have virtually no congestion</w:t>
      </w:r>
      <w:r w:rsidR="00434563" w:rsidRPr="008B3883">
        <w:t>,</w:t>
      </w:r>
      <w:r w:rsidRPr="008B3883">
        <w:t xml:space="preserve"> as shown by the same </w:t>
      </w:r>
      <w:r w:rsidR="0041409D" w:rsidRPr="008B3883">
        <w:t xml:space="preserve">generation </w:t>
      </w:r>
      <w:r w:rsidRPr="008B3883">
        <w:t xml:space="preserve">for both the constrained and unconstrained cases, which also suggests the electrical advantages of developing resources in southern New England. </w:t>
      </w:r>
    </w:p>
    <w:p w:rsidR="004C5D83" w:rsidRPr="008B3883" w:rsidRDefault="00BB1423" w:rsidP="008B3883">
      <w:pPr>
        <w:pStyle w:val="ListParagraph"/>
        <w:numPr>
          <w:ilvl w:val="1"/>
          <w:numId w:val="38"/>
        </w:numPr>
        <w:spacing w:after="240"/>
      </w:pPr>
      <w:r w:rsidRPr="008B3883">
        <w:t>The expansion of onshore wind resources are predominantly in northern Maine</w:t>
      </w:r>
      <w:r w:rsidR="000A0085" w:rsidRPr="008B3883">
        <w:t xml:space="preserve"> in </w:t>
      </w:r>
      <w:r w:rsidR="00DD620A" w:rsidRPr="008B3883">
        <w:t xml:space="preserve">both </w:t>
      </w:r>
      <w:r w:rsidR="000A0085" w:rsidRPr="008B3883">
        <w:t>the constrained and unconstrained cases</w:t>
      </w:r>
      <w:r w:rsidRPr="008B3883">
        <w:t xml:space="preserve">. Modest amounts of onshore wind expansion, such as </w:t>
      </w:r>
      <w:r w:rsidR="00C31089" w:rsidRPr="008B3883">
        <w:t xml:space="preserve">in </w:t>
      </w:r>
      <w:r w:rsidRPr="008B3883">
        <w:t xml:space="preserve">Scenario 1 for 2025, </w:t>
      </w:r>
      <w:r w:rsidR="00434563" w:rsidRPr="008B3883">
        <w:t xml:space="preserve">result in </w:t>
      </w:r>
      <w:r w:rsidRPr="008B3883">
        <w:t>considerably less congestion than scenarios with the large</w:t>
      </w:r>
      <w:r w:rsidR="00434563" w:rsidRPr="008B3883">
        <w:t>-</w:t>
      </w:r>
      <w:r w:rsidRPr="008B3883">
        <w:t>scale development of wind resources in northern New England.</w:t>
      </w:r>
      <w:r w:rsidR="00EA044B" w:rsidRPr="008B3883">
        <w:t xml:space="preserve"> For example, </w:t>
      </w:r>
      <w:r w:rsidRPr="008B3883">
        <w:t>Scenario 2 for 2030</w:t>
      </w:r>
      <w:r w:rsidR="00326AF4" w:rsidRPr="008B3883">
        <w:t xml:space="preserve"> shows </w:t>
      </w:r>
      <w:r w:rsidR="00434563" w:rsidRPr="008B3883">
        <w:t xml:space="preserve">a </w:t>
      </w:r>
      <w:r w:rsidR="00326AF4" w:rsidRPr="008B3883">
        <w:t>much</w:t>
      </w:r>
      <w:r w:rsidRPr="008B3883">
        <w:t xml:space="preserve"> higher wind production for the unconstrained case but much higher </w:t>
      </w:r>
      <w:r w:rsidR="00EA044B" w:rsidRPr="008B3883">
        <w:t>natural</w:t>
      </w:r>
      <w:r w:rsidR="006F10C6" w:rsidRPr="008B3883">
        <w:t>-</w:t>
      </w:r>
      <w:r w:rsidR="00EA044B" w:rsidRPr="008B3883">
        <w:t>gas</w:t>
      </w:r>
      <w:r w:rsidR="00C64841" w:rsidRPr="008B3883">
        <w:t>-fired generation</w:t>
      </w:r>
      <w:r w:rsidR="00EA044B" w:rsidRPr="008B3883">
        <w:t xml:space="preserve"> production in the constrained case because the Maine interfaces are </w:t>
      </w:r>
      <w:r w:rsidR="00C31089" w:rsidRPr="008B3883">
        <w:t>“</w:t>
      </w:r>
      <w:r w:rsidR="00EA044B" w:rsidRPr="008B3883">
        <w:t>bottling</w:t>
      </w:r>
      <w:r w:rsidR="00C31089" w:rsidRPr="008B3883">
        <w:t>”</w:t>
      </w:r>
      <w:r w:rsidR="00EA044B" w:rsidRPr="008B3883">
        <w:t xml:space="preserve"> renewable generation in northern New England</w:t>
      </w:r>
      <w:r w:rsidRPr="008B3883">
        <w:t xml:space="preserve">. </w:t>
      </w:r>
    </w:p>
    <w:p w:rsidR="00F64236" w:rsidRPr="008B3883" w:rsidRDefault="00326AF4" w:rsidP="008B3883">
      <w:pPr>
        <w:pStyle w:val="ListParagraph"/>
        <w:numPr>
          <w:ilvl w:val="1"/>
          <w:numId w:val="38"/>
        </w:numPr>
        <w:spacing w:after="240"/>
      </w:pPr>
      <w:r w:rsidRPr="008B3883">
        <w:t xml:space="preserve">Scenario 6 has more production by offshore wind resources and </w:t>
      </w:r>
      <w:r w:rsidR="004A5F6F" w:rsidRPr="008B3883">
        <w:t xml:space="preserve">central-station </w:t>
      </w:r>
      <w:r w:rsidRPr="008B3883">
        <w:t>PV in southern New England, which results in less congestion than Scenario 2</w:t>
      </w:r>
      <w:r w:rsidR="004C5D83" w:rsidRPr="008B3883">
        <w:t xml:space="preserve"> </w:t>
      </w:r>
      <w:r w:rsidR="000A0085" w:rsidRPr="008B3883">
        <w:t>in the constrained</w:t>
      </w:r>
      <w:r w:rsidR="00DD620A" w:rsidRPr="008B3883">
        <w:t xml:space="preserve"> </w:t>
      </w:r>
      <w:r w:rsidR="000A0085" w:rsidRPr="008B3883">
        <w:t>case</w:t>
      </w:r>
      <w:r w:rsidRPr="008B3883">
        <w:t>. Similarly, Scenario 6 has more congestion than Scenario 3, which has more resource development near load in southern New England.</w:t>
      </w:r>
    </w:p>
    <w:p w:rsidR="007C6CCE" w:rsidRDefault="00247CF4" w:rsidP="007642C0">
      <w:r w:rsidRPr="00DD620A">
        <w:t>Table 6-2 shows a</w:t>
      </w:r>
      <w:r w:rsidR="00014922" w:rsidRPr="00DD620A">
        <w:t>ggregate fuel</w:t>
      </w:r>
      <w:r w:rsidR="00DD620A" w:rsidRPr="00DD620A">
        <w:t>-</w:t>
      </w:r>
      <w:r w:rsidR="00014922" w:rsidRPr="00DD620A">
        <w:t xml:space="preserve">specific </w:t>
      </w:r>
      <w:r w:rsidR="00CE1623" w:rsidRPr="00DD620A">
        <w:t xml:space="preserve">capacity factors </w:t>
      </w:r>
      <w:r w:rsidR="00014922" w:rsidRPr="00DD620A">
        <w:t>for New England resources</w:t>
      </w:r>
      <w:r w:rsidR="00DD620A" w:rsidRPr="00DD620A">
        <w:t>.</w:t>
      </w:r>
      <w:r w:rsidR="00DD620A" w:rsidRPr="00DD620A">
        <w:rPr>
          <w:rStyle w:val="FootnoteReference"/>
        </w:rPr>
        <w:footnoteReference w:id="65"/>
      </w:r>
      <w:r w:rsidR="008D423F" w:rsidRPr="00DD620A">
        <w:t xml:space="preserve"> </w:t>
      </w:r>
      <w:r w:rsidR="00DD620A" w:rsidRPr="00DD620A">
        <w:t>A c</w:t>
      </w:r>
      <w:r w:rsidR="00CD76AA" w:rsidRPr="00DD620A">
        <w:t>ompar</w:t>
      </w:r>
      <w:r w:rsidR="0006624D" w:rsidRPr="00DD620A">
        <w:t xml:space="preserve">ison of </w:t>
      </w:r>
      <w:r w:rsidR="00CD76AA" w:rsidRPr="00DD620A">
        <w:t xml:space="preserve">energy production </w:t>
      </w:r>
      <w:r w:rsidR="0085188E" w:rsidRPr="00DD620A">
        <w:t>shown in Tabl</w:t>
      </w:r>
      <w:r w:rsidR="0085188E" w:rsidRPr="006374B9">
        <w:t xml:space="preserve">e 6-1 </w:t>
      </w:r>
      <w:r w:rsidR="003A775C" w:rsidRPr="009B3C6A">
        <w:t>(in TWh)</w:t>
      </w:r>
      <w:r w:rsidR="003A775C">
        <w:t xml:space="preserve"> </w:t>
      </w:r>
      <w:r w:rsidR="00CD76AA" w:rsidRPr="00DD620A">
        <w:t>with the capacity factors</w:t>
      </w:r>
      <w:r w:rsidR="0085188E" w:rsidRPr="00DD620A">
        <w:t xml:space="preserve"> shown in Table 6-2</w:t>
      </w:r>
      <w:r w:rsidR="00583432" w:rsidRPr="00DD620A">
        <w:t xml:space="preserve"> </w:t>
      </w:r>
      <w:r w:rsidR="00CD76AA" w:rsidRPr="00DD620A">
        <w:t>illustrates</w:t>
      </w:r>
      <w:r w:rsidR="00EF78BE" w:rsidRPr="00DD620A">
        <w:t xml:space="preserve"> the following</w:t>
      </w:r>
      <w:r w:rsidR="00CD76AA" w:rsidRPr="00DD620A">
        <w:t>:</w:t>
      </w:r>
      <w:r w:rsidR="00326AF4">
        <w:t xml:space="preserve"> </w:t>
      </w:r>
      <w:r w:rsidR="00CE1623">
        <w:t xml:space="preserve"> </w:t>
      </w:r>
    </w:p>
    <w:p w:rsidR="007C6CCE" w:rsidRDefault="007C6CCE" w:rsidP="004B019B">
      <w:pPr>
        <w:pStyle w:val="ListParagraph"/>
        <w:numPr>
          <w:ilvl w:val="0"/>
          <w:numId w:val="38"/>
        </w:numPr>
      </w:pPr>
      <w:r>
        <w:t xml:space="preserve">The capacity factor for oil-fired generation is </w:t>
      </w:r>
      <w:r w:rsidR="002A1BE5">
        <w:t>approximately</w:t>
      </w:r>
      <w:r>
        <w:t xml:space="preserve"> 0.</w:t>
      </w:r>
      <w:r w:rsidR="0085188E">
        <w:t>0</w:t>
      </w:r>
      <w:r>
        <w:t>% across all cases.</w:t>
      </w:r>
    </w:p>
    <w:p w:rsidR="007C6CCE" w:rsidRDefault="007C6CCE" w:rsidP="004B019B">
      <w:pPr>
        <w:pStyle w:val="ListParagraph"/>
        <w:numPr>
          <w:ilvl w:val="0"/>
          <w:numId w:val="38"/>
        </w:numPr>
      </w:pPr>
      <w:r>
        <w:t xml:space="preserve">The production by coal-fired generation in Scenario 4 is </w:t>
      </w:r>
      <w:r w:rsidR="0085188E">
        <w:t>relatively constant at 60%</w:t>
      </w:r>
      <w:r w:rsidR="00C72C28">
        <w:t xml:space="preserve"> </w:t>
      </w:r>
      <w:r w:rsidR="0085188E">
        <w:t>in all the “No Retire” scenarios (for 2025 and 2030 for both</w:t>
      </w:r>
      <w:r w:rsidR="00381EA9">
        <w:t xml:space="preserve"> </w:t>
      </w:r>
      <w:r w:rsidR="0085188E">
        <w:t xml:space="preserve">the constrained and unconstrained cases). </w:t>
      </w:r>
      <w:r>
        <w:t>This is a consequence of the assumptions for fuel costs</w:t>
      </w:r>
      <w:r w:rsidR="00F76CAC">
        <w:t xml:space="preserve"> and environmental emissions</w:t>
      </w:r>
      <w:r w:rsidR="009E7B29">
        <w:t xml:space="preserve">. </w:t>
      </w:r>
    </w:p>
    <w:p w:rsidR="006939B7" w:rsidRDefault="007C6CCE" w:rsidP="00201D25">
      <w:pPr>
        <w:pStyle w:val="ListParagraph"/>
        <w:numPr>
          <w:ilvl w:val="0"/>
          <w:numId w:val="38"/>
        </w:numPr>
      </w:pPr>
      <w:r>
        <w:t xml:space="preserve">The </w:t>
      </w:r>
      <w:r w:rsidR="001C7535">
        <w:t xml:space="preserve">fleet average </w:t>
      </w:r>
      <w:r>
        <w:t>capacity factors for natural</w:t>
      </w:r>
      <w:r w:rsidR="004A5F6F">
        <w:t>-</w:t>
      </w:r>
      <w:r>
        <w:t>gas-fired generation ranges from a high of 3</w:t>
      </w:r>
      <w:r w:rsidR="0085188E">
        <w:t>7</w:t>
      </w:r>
      <w:r>
        <w:t xml:space="preserve">% in Scenario </w:t>
      </w:r>
      <w:r w:rsidR="0085188E">
        <w:t>4</w:t>
      </w:r>
      <w:r>
        <w:t xml:space="preserve"> </w:t>
      </w:r>
      <w:r w:rsidR="0085188E">
        <w:t xml:space="preserve">in 2030 </w:t>
      </w:r>
      <w:r>
        <w:t>to a low of 10% in Scenario 3</w:t>
      </w:r>
      <w:r w:rsidR="0085188E">
        <w:t xml:space="preserve"> for 2030</w:t>
      </w:r>
      <w:r>
        <w:t xml:space="preserve">. </w:t>
      </w:r>
    </w:p>
    <w:p w:rsidR="005E406A" w:rsidRDefault="006939B7" w:rsidP="00A10BFE">
      <w:pPr>
        <w:pStyle w:val="ListParagraph"/>
        <w:numPr>
          <w:ilvl w:val="0"/>
          <w:numId w:val="38"/>
        </w:numPr>
        <w:spacing w:after="240"/>
        <w:ind w:left="763"/>
      </w:pPr>
      <w:r>
        <w:t>Nuclear generators are base loaded across all scenarios</w:t>
      </w:r>
      <w:r w:rsidR="00E22D20">
        <w:t xml:space="preserve"> </w:t>
      </w:r>
      <w:r w:rsidR="0085188E">
        <w:t xml:space="preserve">with a 97% capacity factor </w:t>
      </w:r>
      <w:r w:rsidR="00E22D20">
        <w:t>consistent with the</w:t>
      </w:r>
      <w:r w:rsidR="0085188E">
        <w:t>ir</w:t>
      </w:r>
      <w:r w:rsidR="00E22D20">
        <w:t xml:space="preserve"> dispatch assumptions</w:t>
      </w:r>
      <w:r w:rsidR="009E7B29">
        <w:t xml:space="preserve">. </w:t>
      </w:r>
    </w:p>
    <w:p w:rsidR="0085188E" w:rsidRDefault="0085188E" w:rsidP="00A10BFE">
      <w:pPr>
        <w:pStyle w:val="ListParagraph"/>
        <w:numPr>
          <w:ilvl w:val="0"/>
          <w:numId w:val="38"/>
        </w:numPr>
        <w:spacing w:after="240"/>
        <w:ind w:left="763"/>
      </w:pPr>
      <w:r>
        <w:lastRenderedPageBreak/>
        <w:t xml:space="preserve">The addition of renewable resources decreases the annual capacity factor of fossil units. </w:t>
      </w:r>
      <w:r w:rsidR="001C7535">
        <w:t>The capacity factors decrease further when</w:t>
      </w:r>
      <w:r>
        <w:t xml:space="preserve"> transmission constraints</w:t>
      </w:r>
      <w:r w:rsidR="001C7535">
        <w:t xml:space="preserve"> are assumed relieved</w:t>
      </w:r>
      <w:r>
        <w:t>.</w:t>
      </w:r>
    </w:p>
    <w:p w:rsidR="008D1CEA" w:rsidRDefault="008D1CEA" w:rsidP="001C7535">
      <w:pPr>
        <w:pStyle w:val="ListParagraph"/>
        <w:numPr>
          <w:ilvl w:val="0"/>
          <w:numId w:val="38"/>
        </w:numPr>
        <w:spacing w:after="240"/>
      </w:pPr>
      <w:r>
        <w:t xml:space="preserve">The presence of transmission constraints reduces the aggregate capacity factor of wind resources in New England. Reductions between 1% and 5% compared with the unconstrained cases </w:t>
      </w:r>
      <w:r w:rsidR="001C7535">
        <w:t xml:space="preserve">are observed </w:t>
      </w:r>
      <w:r>
        <w:t>for the RPS + Gas, ISO Queue, and Renew</w:t>
      </w:r>
      <w:r w:rsidR="00B83191">
        <w:t>ables</w:t>
      </w:r>
      <w:r>
        <w:t xml:space="preserve"> Plus scenarios in 2025. By 2030</w:t>
      </w:r>
      <w:r w:rsidR="007642C0">
        <w:t>,</w:t>
      </w:r>
      <w:r>
        <w:t xml:space="preserve"> the effect of the transmission constraints is larger </w:t>
      </w:r>
      <w:r w:rsidR="001C7535">
        <w:t>and ranges between 4</w:t>
      </w:r>
      <w:r w:rsidR="001C7535" w:rsidRPr="001C7535">
        <w:t xml:space="preserve">% and </w:t>
      </w:r>
      <w:r w:rsidR="001C7535">
        <w:t>18</w:t>
      </w:r>
      <w:r w:rsidR="001C7535" w:rsidRPr="001C7535">
        <w:t>%</w:t>
      </w:r>
      <w:r w:rsidR="001C7535">
        <w:t xml:space="preserve"> for these scenarios.</w:t>
      </w:r>
    </w:p>
    <w:p w:rsidR="005E406A" w:rsidRDefault="005E406A" w:rsidP="0007591B">
      <w:pPr>
        <w:pStyle w:val="Caption"/>
        <w:jc w:val="center"/>
      </w:pPr>
      <w:bookmarkStart w:id="268" w:name="_Ref476910628"/>
      <w:bookmarkStart w:id="269" w:name="_Toc486406037"/>
      <w:r>
        <w:t xml:space="preserve">Table </w:t>
      </w:r>
      <w:fldSimple w:instr=" STYLEREF 1 \s ">
        <w:r w:rsidR="004248FE">
          <w:rPr>
            <w:noProof/>
          </w:rPr>
          <w:t>6</w:t>
        </w:r>
      </w:fldSimple>
      <w:r w:rsidR="004248FE">
        <w:noBreakHyphen/>
      </w:r>
      <w:fldSimple w:instr=" SEQ Table \* ARABIC \s 1 ">
        <w:r w:rsidR="004248FE">
          <w:rPr>
            <w:noProof/>
          </w:rPr>
          <w:t>2</w:t>
        </w:r>
      </w:fldSimple>
      <w:bookmarkEnd w:id="268"/>
      <w:r>
        <w:br/>
      </w:r>
      <w:r w:rsidR="00C401FA" w:rsidRPr="003A775C">
        <w:t xml:space="preserve">Annual </w:t>
      </w:r>
      <w:r w:rsidRPr="003A775C">
        <w:t xml:space="preserve">Energy Production </w:t>
      </w:r>
      <w:r w:rsidR="00C401FA" w:rsidRPr="003A775C">
        <w:t>and Average</w:t>
      </w:r>
      <w:r w:rsidRPr="003A775C">
        <w:t xml:space="preserve"> Capacity Factors</w:t>
      </w:r>
      <w:r w:rsidR="00C401FA" w:rsidRPr="003A775C">
        <w:t xml:space="preserve"> by Resource Types</w:t>
      </w:r>
      <w:r w:rsidR="003A775C" w:rsidRPr="003A775C">
        <w:t xml:space="preserve"> (TWh)</w:t>
      </w:r>
      <w:bookmarkEnd w:id="269"/>
    </w:p>
    <w:tbl>
      <w:tblPr>
        <w:tblStyle w:val="TableGrid"/>
        <w:tblW w:w="10203" w:type="dxa"/>
        <w:jc w:val="center"/>
        <w:tblInd w:w="-57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firstRow="1" w:lastRow="0" w:firstColumn="1" w:lastColumn="0" w:noHBand="0" w:noVBand="1"/>
      </w:tblPr>
      <w:tblGrid>
        <w:gridCol w:w="1502"/>
        <w:gridCol w:w="1227"/>
        <w:gridCol w:w="1310"/>
        <w:gridCol w:w="16"/>
        <w:gridCol w:w="1209"/>
        <w:gridCol w:w="35"/>
        <w:gridCol w:w="1174"/>
        <w:gridCol w:w="1168"/>
        <w:gridCol w:w="41"/>
        <w:gridCol w:w="1209"/>
        <w:gridCol w:w="10"/>
        <w:gridCol w:w="1302"/>
      </w:tblGrid>
      <w:tr w:rsidR="00066F69" w:rsidRPr="000255E3" w:rsidTr="00070BB1">
        <w:trPr>
          <w:cantSplit/>
          <w:tblHeader/>
          <w:jc w:val="center"/>
        </w:trPr>
        <w:tc>
          <w:tcPr>
            <w:tcW w:w="1502" w:type="dxa"/>
            <w:vMerge w:val="restart"/>
            <w:shd w:val="clear" w:color="auto" w:fill="4F81BD" w:themeFill="accent1"/>
            <w:vAlign w:val="center"/>
          </w:tcPr>
          <w:p w:rsidR="00066F69" w:rsidRPr="000255E3" w:rsidRDefault="009C72DA" w:rsidP="007642C0">
            <w:pPr>
              <w:pStyle w:val="ListParagraph"/>
              <w:spacing w:before="40" w:after="40" w:line="240" w:lineRule="auto"/>
              <w:ind w:left="0"/>
              <w:jc w:val="center"/>
              <w:rPr>
                <w:rFonts w:asciiTheme="minorHAnsi" w:hAnsiTheme="minorHAnsi"/>
                <w:b/>
                <w:color w:val="FFFFFF" w:themeColor="background1"/>
                <w:sz w:val="18"/>
                <w:szCs w:val="18"/>
              </w:rPr>
            </w:pPr>
            <w:r>
              <w:rPr>
                <w:rFonts w:asciiTheme="minorHAnsi" w:hAnsiTheme="minorHAnsi"/>
                <w:b/>
                <w:color w:val="FFFFFF" w:themeColor="background1"/>
                <w:sz w:val="18"/>
                <w:szCs w:val="18"/>
              </w:rPr>
              <w:t>Transmissison and Year</w:t>
            </w:r>
          </w:p>
        </w:tc>
        <w:tc>
          <w:tcPr>
            <w:tcW w:w="1227" w:type="dxa"/>
            <w:vMerge w:val="restart"/>
            <w:shd w:val="clear" w:color="auto" w:fill="4F81BD" w:themeFill="accent1"/>
            <w:vAlign w:val="center"/>
          </w:tcPr>
          <w:p w:rsidR="00066F69" w:rsidRPr="000255E3" w:rsidRDefault="00066F69" w:rsidP="007642C0">
            <w:pPr>
              <w:pStyle w:val="ListParagraph"/>
              <w:spacing w:before="40" w:after="40" w:line="240" w:lineRule="auto"/>
              <w:ind w:left="0"/>
              <w:jc w:val="center"/>
              <w:rPr>
                <w:rFonts w:asciiTheme="minorHAnsi" w:hAnsiTheme="minorHAnsi"/>
                <w:b/>
                <w:color w:val="FFFFFF" w:themeColor="background1"/>
                <w:sz w:val="18"/>
                <w:szCs w:val="18"/>
              </w:rPr>
            </w:pPr>
            <w:r w:rsidRPr="000255E3">
              <w:rPr>
                <w:rFonts w:asciiTheme="minorHAnsi" w:hAnsiTheme="minorHAnsi"/>
                <w:b/>
                <w:color w:val="FFFFFF" w:themeColor="background1"/>
                <w:sz w:val="18"/>
                <w:szCs w:val="18"/>
              </w:rPr>
              <w:t>Fuel Type</w:t>
            </w:r>
          </w:p>
        </w:tc>
        <w:tc>
          <w:tcPr>
            <w:tcW w:w="1326" w:type="dxa"/>
            <w:gridSpan w:val="2"/>
            <w:shd w:val="clear" w:color="auto" w:fill="4F81BD" w:themeFill="accent1"/>
            <w:vAlign w:val="center"/>
          </w:tcPr>
          <w:p w:rsidR="00066F69" w:rsidRPr="000255E3" w:rsidRDefault="00066F69" w:rsidP="00066F69">
            <w:pPr>
              <w:pStyle w:val="ListParagraph"/>
              <w:spacing w:before="40" w:after="40" w:line="240" w:lineRule="auto"/>
              <w:ind w:left="0"/>
              <w:jc w:val="center"/>
              <w:rPr>
                <w:rFonts w:asciiTheme="minorHAnsi" w:hAnsiTheme="minorHAnsi" w:cs="Arial"/>
                <w:b/>
                <w:bCs/>
                <w:color w:val="FFFFFF" w:themeColor="background1"/>
                <w:kern w:val="24"/>
                <w:sz w:val="18"/>
                <w:szCs w:val="18"/>
              </w:rPr>
            </w:pPr>
            <w:r w:rsidRPr="000255E3">
              <w:rPr>
                <w:rFonts w:asciiTheme="minorHAnsi" w:hAnsiTheme="minorHAnsi"/>
                <w:b/>
                <w:color w:val="FFFFFF" w:themeColor="background1"/>
                <w:sz w:val="18"/>
                <w:szCs w:val="18"/>
              </w:rPr>
              <w:t>Scenario 1</w:t>
            </w:r>
            <w:r w:rsidRPr="000255E3">
              <w:rPr>
                <w:rFonts w:asciiTheme="minorHAnsi" w:hAnsiTheme="minorHAnsi"/>
                <w:b/>
                <w:color w:val="FFFFFF" w:themeColor="background1"/>
                <w:sz w:val="18"/>
                <w:szCs w:val="18"/>
              </w:rPr>
              <w:br/>
              <w:t>RPSs + Gas</w:t>
            </w:r>
            <w:r w:rsidRPr="000255E3">
              <w:rPr>
                <w:rFonts w:asciiTheme="minorHAnsi" w:hAnsiTheme="minorHAnsi"/>
                <w:b/>
                <w:color w:val="FFFFFF" w:themeColor="background1"/>
                <w:sz w:val="18"/>
                <w:szCs w:val="18"/>
                <w:vertAlign w:val="superscript"/>
              </w:rPr>
              <w:t>(</w:t>
            </w:r>
            <w:r w:rsidRPr="000255E3">
              <w:rPr>
                <w:rFonts w:asciiTheme="minorHAnsi" w:hAnsiTheme="minorHAnsi" w:cs="Arial"/>
                <w:b/>
                <w:bCs/>
                <w:color w:val="FFFFFF" w:themeColor="background1"/>
                <w:kern w:val="24"/>
                <w:sz w:val="18"/>
                <w:szCs w:val="18"/>
                <w:vertAlign w:val="superscript"/>
              </w:rPr>
              <w:t>a, b)</w:t>
            </w:r>
          </w:p>
        </w:tc>
        <w:tc>
          <w:tcPr>
            <w:tcW w:w="1209" w:type="dxa"/>
            <w:shd w:val="clear" w:color="auto" w:fill="4F81BD" w:themeFill="accent1"/>
            <w:vAlign w:val="center"/>
          </w:tcPr>
          <w:p w:rsidR="00066F69" w:rsidRPr="000255E3" w:rsidRDefault="00066F69" w:rsidP="00066F69">
            <w:pPr>
              <w:pStyle w:val="ListParagraph"/>
              <w:spacing w:before="40" w:after="40" w:line="240" w:lineRule="auto"/>
              <w:ind w:left="0"/>
              <w:jc w:val="center"/>
              <w:rPr>
                <w:rFonts w:asciiTheme="minorHAnsi" w:hAnsiTheme="minorHAnsi"/>
                <w:b/>
                <w:color w:val="FFFFFF" w:themeColor="background1"/>
                <w:sz w:val="18"/>
                <w:szCs w:val="18"/>
              </w:rPr>
            </w:pPr>
            <w:r w:rsidRPr="000255E3">
              <w:rPr>
                <w:rFonts w:asciiTheme="minorHAnsi" w:hAnsiTheme="minorHAnsi"/>
                <w:b/>
                <w:color w:val="FFFFFF" w:themeColor="background1"/>
                <w:sz w:val="18"/>
                <w:szCs w:val="18"/>
              </w:rPr>
              <w:t>Scenario 2</w:t>
            </w:r>
            <w:r w:rsidRPr="000255E3">
              <w:rPr>
                <w:rFonts w:asciiTheme="minorHAnsi" w:hAnsiTheme="minorHAnsi"/>
                <w:b/>
                <w:color w:val="FFFFFF" w:themeColor="background1"/>
                <w:sz w:val="18"/>
                <w:szCs w:val="18"/>
              </w:rPr>
              <w:br/>
              <w:t>ISO Queue</w:t>
            </w:r>
            <w:r w:rsidRPr="000255E3">
              <w:rPr>
                <w:rFonts w:asciiTheme="minorHAnsi" w:hAnsiTheme="minorHAnsi" w:cs="Arial"/>
                <w:b/>
                <w:bCs/>
                <w:color w:val="FFFFFF" w:themeColor="background1"/>
                <w:kern w:val="24"/>
                <w:sz w:val="18"/>
                <w:szCs w:val="18"/>
                <w:vertAlign w:val="superscript"/>
              </w:rPr>
              <w:t>(b)</w:t>
            </w:r>
          </w:p>
        </w:tc>
        <w:tc>
          <w:tcPr>
            <w:tcW w:w="1209" w:type="dxa"/>
            <w:gridSpan w:val="2"/>
            <w:shd w:val="clear" w:color="auto" w:fill="4F81BD" w:themeFill="accent1"/>
            <w:vAlign w:val="center"/>
          </w:tcPr>
          <w:p w:rsidR="00066F69" w:rsidRPr="000255E3" w:rsidRDefault="00066F69" w:rsidP="00066F69">
            <w:pPr>
              <w:pStyle w:val="ListParagraph"/>
              <w:spacing w:before="40" w:after="40" w:line="240" w:lineRule="auto"/>
              <w:ind w:left="0"/>
              <w:jc w:val="center"/>
              <w:rPr>
                <w:rFonts w:asciiTheme="minorHAnsi" w:hAnsiTheme="minorHAnsi"/>
                <w:b/>
                <w:color w:val="FFFFFF" w:themeColor="background1"/>
                <w:sz w:val="18"/>
                <w:szCs w:val="18"/>
              </w:rPr>
            </w:pPr>
            <w:r w:rsidRPr="000255E3">
              <w:rPr>
                <w:rFonts w:asciiTheme="minorHAnsi" w:hAnsiTheme="minorHAnsi"/>
                <w:b/>
                <w:color w:val="FFFFFF" w:themeColor="background1"/>
                <w:sz w:val="18"/>
                <w:szCs w:val="18"/>
              </w:rPr>
              <w:t>Scenario 3</w:t>
            </w:r>
            <w:r w:rsidRPr="000255E3">
              <w:rPr>
                <w:rFonts w:asciiTheme="minorHAnsi" w:hAnsiTheme="minorHAnsi"/>
                <w:b/>
                <w:color w:val="FFFFFF" w:themeColor="background1"/>
                <w:sz w:val="18"/>
                <w:szCs w:val="18"/>
              </w:rPr>
              <w:br/>
              <w:t>Renewables Plus</w:t>
            </w:r>
            <w:r w:rsidRPr="000255E3">
              <w:rPr>
                <w:rFonts w:asciiTheme="minorHAnsi" w:hAnsiTheme="minorHAnsi" w:cs="Arial"/>
                <w:b/>
                <w:bCs/>
                <w:color w:val="FFFFFF" w:themeColor="background1"/>
                <w:kern w:val="24"/>
                <w:sz w:val="18"/>
                <w:szCs w:val="18"/>
                <w:vertAlign w:val="superscript"/>
              </w:rPr>
              <w:t>(a, b)</w:t>
            </w:r>
          </w:p>
        </w:tc>
        <w:tc>
          <w:tcPr>
            <w:tcW w:w="1209" w:type="dxa"/>
            <w:gridSpan w:val="2"/>
            <w:shd w:val="clear" w:color="auto" w:fill="4F81BD" w:themeFill="accent1"/>
            <w:vAlign w:val="center"/>
          </w:tcPr>
          <w:p w:rsidR="00066F69" w:rsidRPr="000255E3" w:rsidRDefault="00066F69" w:rsidP="00066F69">
            <w:pPr>
              <w:pStyle w:val="ListParagraph"/>
              <w:spacing w:before="40" w:after="40" w:line="240" w:lineRule="auto"/>
              <w:ind w:left="0"/>
              <w:jc w:val="center"/>
              <w:rPr>
                <w:rFonts w:asciiTheme="minorHAnsi" w:hAnsiTheme="minorHAnsi"/>
                <w:b/>
                <w:color w:val="FFFFFF" w:themeColor="background1"/>
                <w:sz w:val="18"/>
                <w:szCs w:val="18"/>
              </w:rPr>
            </w:pPr>
            <w:r w:rsidRPr="000255E3">
              <w:rPr>
                <w:rFonts w:asciiTheme="minorHAnsi" w:hAnsiTheme="minorHAnsi"/>
                <w:b/>
                <w:color w:val="FFFFFF" w:themeColor="background1"/>
                <w:sz w:val="18"/>
                <w:szCs w:val="18"/>
              </w:rPr>
              <w:t>Scenario 4</w:t>
            </w:r>
            <w:r w:rsidRPr="000255E3">
              <w:rPr>
                <w:rFonts w:asciiTheme="minorHAnsi" w:hAnsiTheme="minorHAnsi"/>
                <w:b/>
                <w:color w:val="FFFFFF" w:themeColor="background1"/>
                <w:sz w:val="18"/>
                <w:szCs w:val="18"/>
              </w:rPr>
              <w:br/>
              <w:t>No Retirements beyond FCA #10</w:t>
            </w:r>
          </w:p>
        </w:tc>
        <w:tc>
          <w:tcPr>
            <w:tcW w:w="1209" w:type="dxa"/>
            <w:shd w:val="clear" w:color="auto" w:fill="4F81BD" w:themeFill="accent1"/>
            <w:vAlign w:val="center"/>
          </w:tcPr>
          <w:p w:rsidR="00066F69" w:rsidRPr="000255E3" w:rsidRDefault="00066F69" w:rsidP="00066F69">
            <w:pPr>
              <w:pStyle w:val="ListParagraph"/>
              <w:spacing w:before="40" w:after="40" w:line="240" w:lineRule="auto"/>
              <w:ind w:left="0"/>
              <w:jc w:val="center"/>
              <w:rPr>
                <w:rFonts w:asciiTheme="minorHAnsi" w:hAnsiTheme="minorHAnsi"/>
                <w:b/>
                <w:color w:val="FFFFFF" w:themeColor="background1"/>
                <w:sz w:val="18"/>
                <w:szCs w:val="18"/>
              </w:rPr>
            </w:pPr>
            <w:r w:rsidRPr="000255E3">
              <w:rPr>
                <w:rFonts w:asciiTheme="minorHAnsi" w:hAnsiTheme="minorHAnsi"/>
                <w:b/>
                <w:color w:val="FFFFFF" w:themeColor="background1"/>
                <w:sz w:val="18"/>
                <w:szCs w:val="18"/>
              </w:rPr>
              <w:t>Scenario 5</w:t>
            </w:r>
            <w:r w:rsidRPr="000255E3">
              <w:rPr>
                <w:rFonts w:asciiTheme="minorHAnsi" w:hAnsiTheme="minorHAnsi"/>
                <w:b/>
                <w:color w:val="FFFFFF" w:themeColor="background1"/>
                <w:sz w:val="18"/>
                <w:szCs w:val="18"/>
              </w:rPr>
              <w:br/>
              <w:t>ACPs + Gas</w:t>
            </w:r>
          </w:p>
        </w:tc>
        <w:tc>
          <w:tcPr>
            <w:tcW w:w="1312" w:type="dxa"/>
            <w:gridSpan w:val="2"/>
            <w:shd w:val="clear" w:color="auto" w:fill="4F81BD" w:themeFill="accent1"/>
            <w:vAlign w:val="center"/>
          </w:tcPr>
          <w:p w:rsidR="00066F69" w:rsidRPr="000255E3" w:rsidRDefault="00066F69" w:rsidP="00066F69">
            <w:pPr>
              <w:pStyle w:val="ListParagraph"/>
              <w:spacing w:before="40" w:after="40" w:line="240" w:lineRule="auto"/>
              <w:ind w:left="0"/>
              <w:jc w:val="center"/>
              <w:rPr>
                <w:rFonts w:asciiTheme="minorHAnsi" w:hAnsiTheme="minorHAnsi"/>
                <w:b/>
                <w:color w:val="FFFFFF" w:themeColor="background1"/>
                <w:sz w:val="18"/>
                <w:szCs w:val="18"/>
              </w:rPr>
            </w:pPr>
            <w:r w:rsidRPr="000255E3">
              <w:rPr>
                <w:rFonts w:asciiTheme="minorHAnsi" w:hAnsiTheme="minorHAnsi"/>
                <w:b/>
                <w:color w:val="FFFFFF" w:themeColor="background1"/>
                <w:sz w:val="18"/>
                <w:szCs w:val="18"/>
              </w:rPr>
              <w:t>Scenario 6</w:t>
            </w:r>
            <w:r w:rsidRPr="000255E3">
              <w:rPr>
                <w:rFonts w:asciiTheme="minorHAnsi" w:hAnsiTheme="minorHAnsi"/>
                <w:b/>
                <w:color w:val="FFFFFF" w:themeColor="background1"/>
                <w:sz w:val="18"/>
                <w:szCs w:val="18"/>
              </w:rPr>
              <w:br/>
              <w:t>RPSs + Geodiverse Renewables</w:t>
            </w:r>
            <w:r w:rsidRPr="000255E3">
              <w:rPr>
                <w:rFonts w:asciiTheme="minorHAnsi" w:hAnsiTheme="minorHAnsi" w:cs="Arial"/>
                <w:b/>
                <w:bCs/>
                <w:color w:val="FFFFFF" w:themeColor="background1"/>
                <w:kern w:val="24"/>
                <w:sz w:val="18"/>
                <w:szCs w:val="18"/>
                <w:vertAlign w:val="superscript"/>
              </w:rPr>
              <w:t>(b)</w:t>
            </w:r>
          </w:p>
        </w:tc>
      </w:tr>
      <w:tr w:rsidR="00066F69" w:rsidRPr="000255E3" w:rsidTr="00070BB1">
        <w:trPr>
          <w:cantSplit/>
          <w:trHeight w:val="418"/>
          <w:tblHeader/>
          <w:jc w:val="center"/>
        </w:trPr>
        <w:tc>
          <w:tcPr>
            <w:tcW w:w="1502" w:type="dxa"/>
            <w:vMerge/>
            <w:shd w:val="clear" w:color="auto" w:fill="4F81BD" w:themeFill="accent1"/>
            <w:vAlign w:val="center"/>
          </w:tcPr>
          <w:p w:rsidR="00066F69" w:rsidRPr="000255E3" w:rsidRDefault="00066F69" w:rsidP="007642C0">
            <w:pPr>
              <w:pStyle w:val="ListParagraph"/>
              <w:spacing w:before="40" w:after="40" w:line="240" w:lineRule="auto"/>
              <w:ind w:left="0"/>
              <w:jc w:val="center"/>
              <w:rPr>
                <w:rFonts w:asciiTheme="minorHAnsi" w:hAnsiTheme="minorHAnsi"/>
                <w:color w:val="FFFFFF" w:themeColor="background1"/>
                <w:sz w:val="18"/>
                <w:szCs w:val="18"/>
              </w:rPr>
            </w:pPr>
          </w:p>
        </w:tc>
        <w:tc>
          <w:tcPr>
            <w:tcW w:w="1227" w:type="dxa"/>
            <w:vMerge/>
            <w:shd w:val="clear" w:color="auto" w:fill="4F81BD" w:themeFill="accent1"/>
            <w:vAlign w:val="center"/>
          </w:tcPr>
          <w:p w:rsidR="00066F69" w:rsidRPr="000255E3" w:rsidRDefault="00066F69" w:rsidP="007642C0">
            <w:pPr>
              <w:pStyle w:val="ListParagraph"/>
              <w:spacing w:before="40" w:after="40" w:line="240" w:lineRule="auto"/>
              <w:ind w:left="0"/>
              <w:jc w:val="center"/>
              <w:rPr>
                <w:rFonts w:asciiTheme="minorHAnsi" w:hAnsiTheme="minorHAnsi"/>
                <w:color w:val="FFFFFF" w:themeColor="background1"/>
                <w:sz w:val="18"/>
                <w:szCs w:val="18"/>
              </w:rPr>
            </w:pPr>
          </w:p>
        </w:tc>
        <w:tc>
          <w:tcPr>
            <w:tcW w:w="7474" w:type="dxa"/>
            <w:gridSpan w:val="10"/>
            <w:shd w:val="clear" w:color="auto" w:fill="4F81BD" w:themeFill="accent1"/>
            <w:vAlign w:val="center"/>
          </w:tcPr>
          <w:p w:rsidR="00066F69" w:rsidRPr="000255E3" w:rsidRDefault="00066F69" w:rsidP="00FF7D30">
            <w:pPr>
              <w:pStyle w:val="ListParagraph"/>
              <w:spacing w:before="40" w:after="40" w:line="240" w:lineRule="auto"/>
              <w:ind w:left="0"/>
              <w:jc w:val="center"/>
              <w:rPr>
                <w:rFonts w:asciiTheme="minorHAnsi" w:hAnsiTheme="minorHAnsi"/>
                <w:b/>
                <w:color w:val="FFFFFF" w:themeColor="background1"/>
                <w:sz w:val="18"/>
                <w:szCs w:val="18"/>
              </w:rPr>
            </w:pPr>
            <w:r>
              <w:rPr>
                <w:rFonts w:asciiTheme="minorHAnsi" w:hAnsiTheme="minorHAnsi"/>
                <w:b/>
                <w:color w:val="FFFFFF" w:themeColor="background1"/>
                <w:sz w:val="18"/>
                <w:szCs w:val="18"/>
              </w:rPr>
              <w:t>Energy Production</w:t>
            </w:r>
            <w:r w:rsidR="00FF7D30">
              <w:rPr>
                <w:rFonts w:asciiTheme="minorHAnsi" w:hAnsiTheme="minorHAnsi"/>
                <w:b/>
                <w:color w:val="FFFFFF" w:themeColor="background1"/>
                <w:sz w:val="18"/>
                <w:szCs w:val="18"/>
              </w:rPr>
              <w:t xml:space="preserve"> (TWH)</w:t>
            </w:r>
            <w:r>
              <w:rPr>
                <w:rFonts w:asciiTheme="minorHAnsi" w:hAnsiTheme="minorHAnsi"/>
                <w:b/>
                <w:color w:val="FFFFFF" w:themeColor="background1"/>
                <w:sz w:val="18"/>
                <w:szCs w:val="18"/>
              </w:rPr>
              <w:t>/Capacity Factor</w:t>
            </w:r>
            <w:r w:rsidR="00FF7D30">
              <w:rPr>
                <w:rFonts w:asciiTheme="minorHAnsi" w:hAnsiTheme="minorHAnsi"/>
                <w:b/>
                <w:color w:val="FFFFFF" w:themeColor="background1"/>
                <w:sz w:val="18"/>
                <w:szCs w:val="18"/>
              </w:rPr>
              <w:t xml:space="preserve"> (%)</w:t>
            </w:r>
          </w:p>
        </w:tc>
      </w:tr>
      <w:tr w:rsidR="00066F69" w:rsidRPr="000255E3" w:rsidTr="00070BB1">
        <w:trPr>
          <w:cantSplit/>
          <w:jc w:val="center"/>
        </w:trPr>
        <w:tc>
          <w:tcPr>
            <w:tcW w:w="1502" w:type="dxa"/>
            <w:vMerge w:val="restart"/>
            <w:vAlign w:val="center"/>
          </w:tcPr>
          <w:p w:rsidR="006F2288" w:rsidRPr="006374B9" w:rsidRDefault="006F2288" w:rsidP="007642C0">
            <w:pPr>
              <w:pStyle w:val="ListParagraph"/>
              <w:spacing w:before="40" w:after="40" w:line="240" w:lineRule="auto"/>
              <w:ind w:left="0"/>
              <w:rPr>
                <w:rFonts w:asciiTheme="minorHAnsi" w:hAnsiTheme="minorHAnsi"/>
                <w:b/>
                <w:sz w:val="18"/>
                <w:szCs w:val="18"/>
              </w:rPr>
            </w:pPr>
          </w:p>
          <w:p w:rsidR="006F2288" w:rsidRPr="006374B9" w:rsidRDefault="006F2288" w:rsidP="007642C0">
            <w:pPr>
              <w:pStyle w:val="ListParagraph"/>
              <w:spacing w:before="40" w:after="40" w:line="240" w:lineRule="auto"/>
              <w:ind w:left="0"/>
              <w:rPr>
                <w:rFonts w:asciiTheme="minorHAnsi" w:hAnsiTheme="minorHAnsi"/>
                <w:b/>
                <w:sz w:val="18"/>
                <w:szCs w:val="18"/>
              </w:rPr>
            </w:pPr>
          </w:p>
          <w:p w:rsidR="006F2288" w:rsidRPr="006374B9" w:rsidRDefault="006F2288" w:rsidP="007642C0">
            <w:pPr>
              <w:pStyle w:val="ListParagraph"/>
              <w:spacing w:before="40" w:after="40" w:line="240" w:lineRule="auto"/>
              <w:ind w:left="0"/>
              <w:rPr>
                <w:rFonts w:asciiTheme="minorHAnsi" w:hAnsiTheme="minorHAnsi"/>
                <w:b/>
                <w:sz w:val="18"/>
                <w:szCs w:val="18"/>
              </w:rPr>
            </w:pPr>
          </w:p>
          <w:p w:rsidR="006F2288" w:rsidRPr="006374B9" w:rsidRDefault="006F2288" w:rsidP="007642C0">
            <w:pPr>
              <w:pStyle w:val="ListParagraph"/>
              <w:spacing w:before="40" w:after="40" w:line="240" w:lineRule="auto"/>
              <w:ind w:left="0"/>
              <w:rPr>
                <w:rFonts w:asciiTheme="minorHAnsi" w:hAnsiTheme="minorHAnsi"/>
                <w:b/>
                <w:sz w:val="18"/>
                <w:szCs w:val="18"/>
              </w:rPr>
            </w:pPr>
            <w:r w:rsidRPr="006374B9">
              <w:rPr>
                <w:rFonts w:asciiTheme="minorHAnsi" w:hAnsiTheme="minorHAnsi"/>
                <w:b/>
                <w:sz w:val="18"/>
                <w:szCs w:val="18"/>
              </w:rPr>
              <w:t xml:space="preserve">2025 </w:t>
            </w:r>
          </w:p>
          <w:p w:rsidR="006F2288" w:rsidRPr="006374B9" w:rsidRDefault="006F2288" w:rsidP="007642C0">
            <w:pPr>
              <w:pStyle w:val="ListParagraph"/>
              <w:spacing w:before="40" w:after="40" w:line="240" w:lineRule="auto"/>
              <w:ind w:left="0"/>
              <w:rPr>
                <w:rFonts w:asciiTheme="minorHAnsi" w:hAnsiTheme="minorHAnsi"/>
                <w:b/>
                <w:sz w:val="18"/>
                <w:szCs w:val="18"/>
              </w:rPr>
            </w:pPr>
            <w:r w:rsidRPr="006374B9">
              <w:rPr>
                <w:rFonts w:asciiTheme="minorHAnsi" w:hAnsiTheme="minorHAnsi"/>
                <w:b/>
                <w:sz w:val="18"/>
                <w:szCs w:val="18"/>
              </w:rPr>
              <w:t>Constrained</w:t>
            </w:r>
          </w:p>
        </w:tc>
        <w:tc>
          <w:tcPr>
            <w:tcW w:w="1227" w:type="dxa"/>
            <w:vAlign w:val="center"/>
          </w:tcPr>
          <w:p w:rsidR="006F2288" w:rsidRPr="006374B9" w:rsidRDefault="00381EA9" w:rsidP="00070BB1">
            <w:pPr>
              <w:pStyle w:val="ListParagraph"/>
              <w:spacing w:before="40" w:after="40" w:line="240" w:lineRule="auto"/>
              <w:ind w:left="0"/>
              <w:rPr>
                <w:rFonts w:asciiTheme="minorHAnsi" w:hAnsiTheme="minorHAnsi"/>
                <w:sz w:val="18"/>
                <w:szCs w:val="18"/>
              </w:rPr>
            </w:pPr>
            <w:r w:rsidRPr="006374B9">
              <w:rPr>
                <w:rFonts w:asciiTheme="minorHAnsi" w:hAnsiTheme="minorHAnsi"/>
                <w:sz w:val="18"/>
                <w:szCs w:val="18"/>
              </w:rPr>
              <w:t xml:space="preserve">NG </w:t>
            </w:r>
            <w:r w:rsidR="00070BB1" w:rsidRPr="006374B9">
              <w:rPr>
                <w:rFonts w:asciiTheme="minorHAnsi" w:hAnsiTheme="minorHAnsi"/>
                <w:sz w:val="18"/>
                <w:szCs w:val="18"/>
              </w:rPr>
              <w:t>c</w:t>
            </w:r>
            <w:r w:rsidRPr="006374B9">
              <w:rPr>
                <w:rFonts w:asciiTheme="minorHAnsi" w:hAnsiTheme="minorHAnsi"/>
                <w:sz w:val="18"/>
                <w:szCs w:val="18"/>
              </w:rPr>
              <w:t xml:space="preserve">ombined </w:t>
            </w:r>
            <w:r w:rsidR="00070BB1" w:rsidRPr="006374B9">
              <w:rPr>
                <w:rFonts w:asciiTheme="minorHAnsi" w:hAnsiTheme="minorHAnsi"/>
                <w:sz w:val="18"/>
                <w:szCs w:val="18"/>
              </w:rPr>
              <w:t>c</w:t>
            </w:r>
            <w:r w:rsidRPr="006374B9">
              <w:rPr>
                <w:rFonts w:asciiTheme="minorHAnsi" w:hAnsiTheme="minorHAnsi"/>
                <w:sz w:val="18"/>
                <w:szCs w:val="18"/>
              </w:rPr>
              <w:t>ycle</w:t>
            </w:r>
          </w:p>
        </w:tc>
        <w:tc>
          <w:tcPr>
            <w:tcW w:w="1326" w:type="dxa"/>
            <w:gridSpan w:val="2"/>
            <w:vAlign w:val="center"/>
          </w:tcPr>
          <w:p w:rsidR="006F2288" w:rsidRPr="000255E3" w:rsidRDefault="006F2288"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54.5</w:t>
            </w:r>
            <w:r w:rsidR="00DA6A75">
              <w:rPr>
                <w:rFonts w:asciiTheme="minorHAnsi" w:hAnsiTheme="minorHAnsi"/>
                <w:sz w:val="18"/>
                <w:szCs w:val="18"/>
              </w:rPr>
              <w:t>/</w:t>
            </w:r>
            <w:r w:rsidRPr="000255E3">
              <w:rPr>
                <w:rFonts w:asciiTheme="minorHAnsi" w:hAnsiTheme="minorHAnsi"/>
                <w:sz w:val="18"/>
                <w:szCs w:val="18"/>
              </w:rPr>
              <w:t>38%</w:t>
            </w:r>
          </w:p>
        </w:tc>
        <w:tc>
          <w:tcPr>
            <w:tcW w:w="1209" w:type="dxa"/>
            <w:vAlign w:val="center"/>
          </w:tcPr>
          <w:p w:rsidR="006F2288" w:rsidRPr="000255E3" w:rsidRDefault="006F2288"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52.2</w:t>
            </w:r>
            <w:r w:rsidR="00DA6A75">
              <w:rPr>
                <w:rFonts w:asciiTheme="minorHAnsi" w:hAnsiTheme="minorHAnsi"/>
                <w:sz w:val="18"/>
                <w:szCs w:val="18"/>
              </w:rPr>
              <w:t>/</w:t>
            </w:r>
            <w:r w:rsidRPr="000255E3">
              <w:rPr>
                <w:rFonts w:asciiTheme="minorHAnsi" w:hAnsiTheme="minorHAnsi"/>
                <w:sz w:val="18"/>
                <w:szCs w:val="18"/>
              </w:rPr>
              <w:t>38%</w:t>
            </w:r>
          </w:p>
        </w:tc>
        <w:tc>
          <w:tcPr>
            <w:tcW w:w="1209" w:type="dxa"/>
            <w:gridSpan w:val="2"/>
            <w:vAlign w:val="center"/>
          </w:tcPr>
          <w:p w:rsidR="006F2288" w:rsidRPr="000255E3" w:rsidRDefault="006F2288"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31.0</w:t>
            </w:r>
            <w:r w:rsidR="00DA6A75">
              <w:rPr>
                <w:rFonts w:asciiTheme="minorHAnsi" w:hAnsiTheme="minorHAnsi"/>
                <w:sz w:val="18"/>
                <w:szCs w:val="18"/>
              </w:rPr>
              <w:t>/</w:t>
            </w:r>
            <w:r w:rsidRPr="000255E3">
              <w:rPr>
                <w:rFonts w:asciiTheme="minorHAnsi" w:hAnsiTheme="minorHAnsi"/>
                <w:sz w:val="18"/>
                <w:szCs w:val="18"/>
              </w:rPr>
              <w:t>23%</w:t>
            </w:r>
          </w:p>
        </w:tc>
        <w:tc>
          <w:tcPr>
            <w:tcW w:w="1209" w:type="dxa"/>
            <w:gridSpan w:val="2"/>
            <w:vAlign w:val="center"/>
          </w:tcPr>
          <w:p w:rsidR="006F2288" w:rsidRPr="000255E3" w:rsidRDefault="006F2288"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53.4</w:t>
            </w:r>
            <w:r w:rsidR="00DA6A75">
              <w:rPr>
                <w:rFonts w:asciiTheme="minorHAnsi" w:hAnsiTheme="minorHAnsi"/>
                <w:sz w:val="18"/>
                <w:szCs w:val="18"/>
              </w:rPr>
              <w:t>/</w:t>
            </w:r>
            <w:r w:rsidRPr="000255E3">
              <w:rPr>
                <w:rFonts w:asciiTheme="minorHAnsi" w:hAnsiTheme="minorHAnsi"/>
                <w:sz w:val="18"/>
                <w:szCs w:val="18"/>
              </w:rPr>
              <w:t>39%</w:t>
            </w:r>
          </w:p>
        </w:tc>
        <w:tc>
          <w:tcPr>
            <w:tcW w:w="1209" w:type="dxa"/>
            <w:vAlign w:val="center"/>
          </w:tcPr>
          <w:p w:rsidR="006F2288" w:rsidRPr="000255E3" w:rsidRDefault="006F2288"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58.2</w:t>
            </w:r>
            <w:r w:rsidR="00DA6A75">
              <w:rPr>
                <w:rFonts w:asciiTheme="minorHAnsi" w:hAnsiTheme="minorHAnsi"/>
                <w:sz w:val="18"/>
                <w:szCs w:val="18"/>
              </w:rPr>
              <w:t>/</w:t>
            </w:r>
            <w:r w:rsidRPr="000255E3">
              <w:rPr>
                <w:rFonts w:asciiTheme="minorHAnsi" w:hAnsiTheme="minorHAnsi"/>
                <w:sz w:val="18"/>
                <w:szCs w:val="18"/>
              </w:rPr>
              <w:t>40%</w:t>
            </w:r>
          </w:p>
        </w:tc>
        <w:tc>
          <w:tcPr>
            <w:tcW w:w="1312" w:type="dxa"/>
            <w:gridSpan w:val="2"/>
            <w:vAlign w:val="center"/>
          </w:tcPr>
          <w:p w:rsidR="006F2288" w:rsidRPr="000255E3" w:rsidRDefault="006F2288"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48.6</w:t>
            </w:r>
            <w:r w:rsidR="00DA6A75">
              <w:rPr>
                <w:rFonts w:asciiTheme="minorHAnsi" w:hAnsiTheme="minorHAnsi"/>
                <w:sz w:val="18"/>
                <w:szCs w:val="18"/>
              </w:rPr>
              <w:t>/</w:t>
            </w:r>
            <w:r w:rsidRPr="000255E3">
              <w:rPr>
                <w:rFonts w:asciiTheme="minorHAnsi" w:hAnsiTheme="minorHAnsi"/>
                <w:sz w:val="18"/>
                <w:szCs w:val="18"/>
              </w:rPr>
              <w:t>36%</w:t>
            </w:r>
          </w:p>
        </w:tc>
      </w:tr>
      <w:tr w:rsidR="00066F69" w:rsidRPr="000255E3" w:rsidTr="00070BB1">
        <w:trPr>
          <w:cantSplit/>
          <w:jc w:val="center"/>
        </w:trPr>
        <w:tc>
          <w:tcPr>
            <w:tcW w:w="1502" w:type="dxa"/>
            <w:vMerge/>
            <w:vAlign w:val="center"/>
          </w:tcPr>
          <w:p w:rsidR="006F2288" w:rsidRPr="000255E3" w:rsidRDefault="006F2288" w:rsidP="007642C0">
            <w:pPr>
              <w:pStyle w:val="ListParagraph"/>
              <w:spacing w:before="40" w:after="40" w:line="240" w:lineRule="auto"/>
              <w:ind w:left="0"/>
              <w:rPr>
                <w:rFonts w:asciiTheme="minorHAnsi" w:hAnsiTheme="minorHAnsi"/>
                <w:b/>
                <w:sz w:val="18"/>
                <w:szCs w:val="18"/>
              </w:rPr>
            </w:pPr>
          </w:p>
        </w:tc>
        <w:tc>
          <w:tcPr>
            <w:tcW w:w="1227" w:type="dxa"/>
            <w:vAlign w:val="center"/>
          </w:tcPr>
          <w:p w:rsidR="006F2288" w:rsidRPr="00070BB1" w:rsidRDefault="00381EA9" w:rsidP="00070BB1">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 xml:space="preserve">NG </w:t>
            </w:r>
            <w:r w:rsidR="00070BB1">
              <w:rPr>
                <w:rFonts w:asciiTheme="minorHAnsi" w:hAnsiTheme="minorHAnsi"/>
                <w:sz w:val="18"/>
                <w:szCs w:val="18"/>
              </w:rPr>
              <w:t>s</w:t>
            </w:r>
            <w:r w:rsidRPr="00070BB1">
              <w:rPr>
                <w:rFonts w:asciiTheme="minorHAnsi" w:hAnsiTheme="minorHAnsi"/>
                <w:sz w:val="18"/>
                <w:szCs w:val="18"/>
              </w:rPr>
              <w:t>ingle</w:t>
            </w:r>
            <w:r w:rsidR="00070BB1">
              <w:rPr>
                <w:rFonts w:asciiTheme="minorHAnsi" w:hAnsiTheme="minorHAnsi"/>
                <w:sz w:val="18"/>
                <w:szCs w:val="18"/>
              </w:rPr>
              <w:t>-</w:t>
            </w:r>
            <w:r w:rsidRPr="00070BB1">
              <w:rPr>
                <w:rFonts w:asciiTheme="minorHAnsi" w:hAnsiTheme="minorHAnsi"/>
                <w:sz w:val="18"/>
                <w:szCs w:val="18"/>
              </w:rPr>
              <w:t xml:space="preserve"> </w:t>
            </w:r>
            <w:r w:rsidR="00070BB1">
              <w:rPr>
                <w:rFonts w:asciiTheme="minorHAnsi" w:hAnsiTheme="minorHAnsi"/>
                <w:sz w:val="18"/>
                <w:szCs w:val="18"/>
              </w:rPr>
              <w:t>c</w:t>
            </w:r>
            <w:r w:rsidRPr="00070BB1">
              <w:rPr>
                <w:rFonts w:asciiTheme="minorHAnsi" w:hAnsiTheme="minorHAnsi"/>
                <w:sz w:val="18"/>
                <w:szCs w:val="18"/>
              </w:rPr>
              <w:t>ycle CT</w:t>
            </w:r>
          </w:p>
        </w:tc>
        <w:tc>
          <w:tcPr>
            <w:tcW w:w="1326" w:type="dxa"/>
            <w:gridSpan w:val="2"/>
            <w:vAlign w:val="center"/>
          </w:tcPr>
          <w:p w:rsidR="006F2288" w:rsidRPr="000255E3" w:rsidRDefault="006F2288"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0.1</w:t>
            </w:r>
            <w:r w:rsidR="00DA6A75">
              <w:rPr>
                <w:rFonts w:asciiTheme="minorHAnsi" w:hAnsiTheme="minorHAnsi"/>
                <w:sz w:val="18"/>
                <w:szCs w:val="18"/>
              </w:rPr>
              <w:t>/</w:t>
            </w:r>
            <w:r w:rsidRPr="000255E3">
              <w:rPr>
                <w:rFonts w:asciiTheme="minorHAnsi" w:hAnsiTheme="minorHAnsi"/>
                <w:sz w:val="18"/>
                <w:szCs w:val="18"/>
              </w:rPr>
              <w:t>1%</w:t>
            </w:r>
          </w:p>
        </w:tc>
        <w:tc>
          <w:tcPr>
            <w:tcW w:w="1209" w:type="dxa"/>
            <w:vAlign w:val="center"/>
          </w:tcPr>
          <w:p w:rsidR="006F2288" w:rsidRPr="000255E3" w:rsidRDefault="006F2288"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0.1</w:t>
            </w:r>
            <w:r w:rsidR="00DA6A75">
              <w:rPr>
                <w:rFonts w:asciiTheme="minorHAnsi" w:hAnsiTheme="minorHAnsi"/>
                <w:sz w:val="18"/>
                <w:szCs w:val="18"/>
              </w:rPr>
              <w:t>/</w:t>
            </w:r>
            <w:r w:rsidRPr="000255E3">
              <w:rPr>
                <w:rFonts w:asciiTheme="minorHAnsi" w:hAnsiTheme="minorHAnsi"/>
                <w:sz w:val="18"/>
                <w:szCs w:val="18"/>
              </w:rPr>
              <w:t>1%</w:t>
            </w:r>
          </w:p>
        </w:tc>
        <w:tc>
          <w:tcPr>
            <w:tcW w:w="1209" w:type="dxa"/>
            <w:gridSpan w:val="2"/>
            <w:vAlign w:val="center"/>
          </w:tcPr>
          <w:p w:rsidR="006F2288" w:rsidRPr="000255E3" w:rsidRDefault="006F2288"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sidR="00DA6A75">
              <w:rPr>
                <w:rFonts w:asciiTheme="minorHAnsi" w:hAnsiTheme="minorHAnsi"/>
                <w:sz w:val="18"/>
                <w:szCs w:val="18"/>
              </w:rPr>
              <w:t>/</w:t>
            </w:r>
            <w:r w:rsidRPr="000255E3">
              <w:rPr>
                <w:rFonts w:asciiTheme="minorHAnsi" w:hAnsiTheme="minorHAnsi"/>
                <w:sz w:val="18"/>
                <w:szCs w:val="18"/>
              </w:rPr>
              <w:t>0%</w:t>
            </w:r>
          </w:p>
        </w:tc>
        <w:tc>
          <w:tcPr>
            <w:tcW w:w="1209" w:type="dxa"/>
            <w:gridSpan w:val="2"/>
            <w:vAlign w:val="center"/>
          </w:tcPr>
          <w:p w:rsidR="006F2288" w:rsidRPr="000255E3" w:rsidRDefault="006F2288"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0.1</w:t>
            </w:r>
            <w:r w:rsidR="00DA6A75">
              <w:rPr>
                <w:rFonts w:asciiTheme="minorHAnsi" w:hAnsiTheme="minorHAnsi"/>
                <w:sz w:val="18"/>
                <w:szCs w:val="18"/>
              </w:rPr>
              <w:t>/</w:t>
            </w:r>
            <w:r w:rsidRPr="000255E3">
              <w:rPr>
                <w:rFonts w:asciiTheme="minorHAnsi" w:hAnsiTheme="minorHAnsi"/>
                <w:sz w:val="18"/>
                <w:szCs w:val="18"/>
              </w:rPr>
              <w:t>1%</w:t>
            </w:r>
          </w:p>
        </w:tc>
        <w:tc>
          <w:tcPr>
            <w:tcW w:w="1209" w:type="dxa"/>
            <w:vAlign w:val="center"/>
          </w:tcPr>
          <w:p w:rsidR="006F2288" w:rsidRPr="000255E3" w:rsidRDefault="006F2288"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0.1</w:t>
            </w:r>
            <w:r w:rsidR="00DA6A75">
              <w:rPr>
                <w:rFonts w:asciiTheme="minorHAnsi" w:hAnsiTheme="minorHAnsi"/>
                <w:sz w:val="18"/>
                <w:szCs w:val="18"/>
              </w:rPr>
              <w:t>/</w:t>
            </w:r>
            <w:r w:rsidRPr="000255E3">
              <w:rPr>
                <w:rFonts w:asciiTheme="minorHAnsi" w:hAnsiTheme="minorHAnsi"/>
                <w:sz w:val="18"/>
                <w:szCs w:val="18"/>
              </w:rPr>
              <w:t>1%</w:t>
            </w:r>
          </w:p>
        </w:tc>
        <w:tc>
          <w:tcPr>
            <w:tcW w:w="1312" w:type="dxa"/>
            <w:gridSpan w:val="2"/>
            <w:vAlign w:val="center"/>
          </w:tcPr>
          <w:p w:rsidR="006F2288" w:rsidRPr="000255E3" w:rsidRDefault="006F2288"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0.1</w:t>
            </w:r>
            <w:r w:rsidR="00DA6A75">
              <w:rPr>
                <w:rFonts w:asciiTheme="minorHAnsi" w:hAnsiTheme="minorHAnsi"/>
                <w:sz w:val="18"/>
                <w:szCs w:val="18"/>
              </w:rPr>
              <w:t>/</w:t>
            </w:r>
            <w:r w:rsidRPr="000255E3">
              <w:rPr>
                <w:rFonts w:asciiTheme="minorHAnsi" w:hAnsiTheme="minorHAnsi"/>
                <w:sz w:val="18"/>
                <w:szCs w:val="18"/>
              </w:rPr>
              <w:t>0%</w:t>
            </w:r>
          </w:p>
        </w:tc>
      </w:tr>
      <w:tr w:rsidR="00066F69" w:rsidRPr="000255E3" w:rsidTr="00070BB1">
        <w:trPr>
          <w:cantSplit/>
          <w:jc w:val="center"/>
        </w:trPr>
        <w:tc>
          <w:tcPr>
            <w:tcW w:w="1502" w:type="dxa"/>
            <w:vMerge/>
            <w:vAlign w:val="center"/>
          </w:tcPr>
          <w:p w:rsidR="006F2288" w:rsidRPr="000255E3" w:rsidRDefault="006F2288" w:rsidP="007642C0">
            <w:pPr>
              <w:pStyle w:val="ListParagraph"/>
              <w:spacing w:before="40" w:after="40" w:line="240" w:lineRule="auto"/>
              <w:ind w:left="0"/>
              <w:rPr>
                <w:rFonts w:asciiTheme="minorHAnsi" w:hAnsiTheme="minorHAnsi"/>
                <w:b/>
                <w:sz w:val="18"/>
                <w:szCs w:val="18"/>
              </w:rPr>
            </w:pPr>
          </w:p>
        </w:tc>
        <w:tc>
          <w:tcPr>
            <w:tcW w:w="1227" w:type="dxa"/>
            <w:vAlign w:val="center"/>
          </w:tcPr>
          <w:p w:rsidR="006F2288" w:rsidRPr="00070BB1" w:rsidRDefault="00381EA9" w:rsidP="007642C0">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Nuclear</w:t>
            </w:r>
          </w:p>
        </w:tc>
        <w:tc>
          <w:tcPr>
            <w:tcW w:w="1326" w:type="dxa"/>
            <w:gridSpan w:val="2"/>
            <w:vAlign w:val="center"/>
          </w:tcPr>
          <w:p w:rsidR="006F2288" w:rsidRPr="000255E3" w:rsidRDefault="006F2288"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27.3</w:t>
            </w:r>
            <w:r w:rsidR="00DA6A75">
              <w:rPr>
                <w:rFonts w:asciiTheme="minorHAnsi" w:hAnsiTheme="minorHAnsi"/>
                <w:sz w:val="18"/>
                <w:szCs w:val="18"/>
              </w:rPr>
              <w:t>/</w:t>
            </w:r>
            <w:r w:rsidRPr="000255E3">
              <w:rPr>
                <w:rFonts w:asciiTheme="minorHAnsi" w:hAnsiTheme="minorHAnsi"/>
                <w:sz w:val="18"/>
                <w:szCs w:val="18"/>
              </w:rPr>
              <w:t>97%</w:t>
            </w:r>
          </w:p>
        </w:tc>
        <w:tc>
          <w:tcPr>
            <w:tcW w:w="1209" w:type="dxa"/>
            <w:vAlign w:val="center"/>
          </w:tcPr>
          <w:p w:rsidR="006F2288" w:rsidRPr="000255E3" w:rsidRDefault="006F2288"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27.3</w:t>
            </w:r>
            <w:r w:rsidR="00DA6A75">
              <w:rPr>
                <w:rFonts w:asciiTheme="minorHAnsi" w:hAnsiTheme="minorHAnsi"/>
                <w:sz w:val="18"/>
                <w:szCs w:val="18"/>
              </w:rPr>
              <w:t>/</w:t>
            </w:r>
            <w:r w:rsidRPr="000255E3">
              <w:rPr>
                <w:rFonts w:asciiTheme="minorHAnsi" w:hAnsiTheme="minorHAnsi"/>
                <w:sz w:val="18"/>
                <w:szCs w:val="18"/>
              </w:rPr>
              <w:t>97%</w:t>
            </w:r>
          </w:p>
        </w:tc>
        <w:tc>
          <w:tcPr>
            <w:tcW w:w="1209" w:type="dxa"/>
            <w:gridSpan w:val="2"/>
            <w:vAlign w:val="center"/>
          </w:tcPr>
          <w:p w:rsidR="006F2288" w:rsidRPr="000255E3" w:rsidRDefault="006F2288"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27.3</w:t>
            </w:r>
            <w:r w:rsidR="00DA6A75">
              <w:rPr>
                <w:rFonts w:asciiTheme="minorHAnsi" w:hAnsiTheme="minorHAnsi"/>
                <w:sz w:val="18"/>
                <w:szCs w:val="18"/>
              </w:rPr>
              <w:t>/</w:t>
            </w:r>
            <w:r w:rsidRPr="000255E3">
              <w:rPr>
                <w:rFonts w:asciiTheme="minorHAnsi" w:hAnsiTheme="minorHAnsi"/>
                <w:sz w:val="18"/>
                <w:szCs w:val="18"/>
              </w:rPr>
              <w:t>97%</w:t>
            </w:r>
          </w:p>
        </w:tc>
        <w:tc>
          <w:tcPr>
            <w:tcW w:w="1209" w:type="dxa"/>
            <w:gridSpan w:val="2"/>
            <w:vAlign w:val="center"/>
          </w:tcPr>
          <w:p w:rsidR="006F2288" w:rsidRPr="000255E3" w:rsidRDefault="006F2288"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27.3</w:t>
            </w:r>
            <w:r w:rsidR="00DA6A75">
              <w:rPr>
                <w:rFonts w:asciiTheme="minorHAnsi" w:hAnsiTheme="minorHAnsi"/>
                <w:sz w:val="18"/>
                <w:szCs w:val="18"/>
              </w:rPr>
              <w:t>/</w:t>
            </w:r>
            <w:r w:rsidRPr="000255E3">
              <w:rPr>
                <w:rFonts w:asciiTheme="minorHAnsi" w:hAnsiTheme="minorHAnsi"/>
                <w:sz w:val="18"/>
                <w:szCs w:val="18"/>
              </w:rPr>
              <w:t>97%</w:t>
            </w:r>
          </w:p>
        </w:tc>
        <w:tc>
          <w:tcPr>
            <w:tcW w:w="1209" w:type="dxa"/>
            <w:vAlign w:val="center"/>
          </w:tcPr>
          <w:p w:rsidR="006F2288" w:rsidRPr="000255E3" w:rsidRDefault="006F2288"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27.3</w:t>
            </w:r>
            <w:r w:rsidR="00DA6A75">
              <w:rPr>
                <w:rFonts w:asciiTheme="minorHAnsi" w:hAnsiTheme="minorHAnsi"/>
                <w:sz w:val="18"/>
                <w:szCs w:val="18"/>
              </w:rPr>
              <w:t>/</w:t>
            </w:r>
            <w:r w:rsidRPr="000255E3">
              <w:rPr>
                <w:rFonts w:asciiTheme="minorHAnsi" w:hAnsiTheme="minorHAnsi"/>
                <w:sz w:val="18"/>
                <w:szCs w:val="18"/>
              </w:rPr>
              <w:t>97%</w:t>
            </w:r>
          </w:p>
        </w:tc>
        <w:tc>
          <w:tcPr>
            <w:tcW w:w="1312" w:type="dxa"/>
            <w:gridSpan w:val="2"/>
            <w:vAlign w:val="center"/>
          </w:tcPr>
          <w:p w:rsidR="006F2288" w:rsidRPr="000255E3" w:rsidRDefault="006F2288"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27.3</w:t>
            </w:r>
            <w:r w:rsidR="00DA6A75">
              <w:rPr>
                <w:rFonts w:asciiTheme="minorHAnsi" w:hAnsiTheme="minorHAnsi"/>
                <w:sz w:val="18"/>
                <w:szCs w:val="18"/>
              </w:rPr>
              <w:t>/</w:t>
            </w:r>
            <w:r w:rsidRPr="000255E3">
              <w:rPr>
                <w:rFonts w:asciiTheme="minorHAnsi" w:hAnsiTheme="minorHAnsi"/>
                <w:sz w:val="18"/>
                <w:szCs w:val="18"/>
              </w:rPr>
              <w:t>97%</w:t>
            </w:r>
          </w:p>
        </w:tc>
      </w:tr>
      <w:tr w:rsidR="00066F69" w:rsidRPr="000255E3" w:rsidTr="00070BB1">
        <w:trPr>
          <w:cantSplit/>
          <w:jc w:val="center"/>
        </w:trPr>
        <w:tc>
          <w:tcPr>
            <w:tcW w:w="1502" w:type="dxa"/>
            <w:vMerge/>
            <w:vAlign w:val="center"/>
          </w:tcPr>
          <w:p w:rsidR="006F2288" w:rsidRPr="000255E3" w:rsidRDefault="006F2288" w:rsidP="007642C0">
            <w:pPr>
              <w:pStyle w:val="ListParagraph"/>
              <w:spacing w:before="40" w:after="40" w:line="240" w:lineRule="auto"/>
              <w:ind w:left="0"/>
              <w:rPr>
                <w:rFonts w:asciiTheme="minorHAnsi" w:hAnsiTheme="minorHAnsi"/>
                <w:b/>
                <w:sz w:val="18"/>
                <w:szCs w:val="18"/>
              </w:rPr>
            </w:pPr>
          </w:p>
        </w:tc>
        <w:tc>
          <w:tcPr>
            <w:tcW w:w="1227" w:type="dxa"/>
            <w:vAlign w:val="center"/>
          </w:tcPr>
          <w:p w:rsidR="006F2288" w:rsidRPr="00070BB1" w:rsidRDefault="006F2288" w:rsidP="007642C0">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Coal</w:t>
            </w:r>
          </w:p>
        </w:tc>
        <w:tc>
          <w:tcPr>
            <w:tcW w:w="1326" w:type="dxa"/>
            <w:gridSpan w:val="2"/>
            <w:vAlign w:val="center"/>
          </w:tcPr>
          <w:p w:rsidR="006F2288" w:rsidRPr="000255E3" w:rsidRDefault="004E4A14"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(a)</w:t>
            </w:r>
          </w:p>
        </w:tc>
        <w:tc>
          <w:tcPr>
            <w:tcW w:w="1209" w:type="dxa"/>
            <w:vAlign w:val="center"/>
          </w:tcPr>
          <w:p w:rsidR="006F2288" w:rsidRPr="000255E3" w:rsidRDefault="004E4A14"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(a)</w:t>
            </w:r>
          </w:p>
        </w:tc>
        <w:tc>
          <w:tcPr>
            <w:tcW w:w="1209" w:type="dxa"/>
            <w:gridSpan w:val="2"/>
            <w:vAlign w:val="center"/>
          </w:tcPr>
          <w:p w:rsidR="006F2288" w:rsidRPr="000255E3" w:rsidRDefault="004E4A14"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(a)</w:t>
            </w:r>
          </w:p>
        </w:tc>
        <w:tc>
          <w:tcPr>
            <w:tcW w:w="1209" w:type="dxa"/>
            <w:gridSpan w:val="2"/>
            <w:vAlign w:val="center"/>
          </w:tcPr>
          <w:p w:rsidR="006F2288" w:rsidRPr="000255E3" w:rsidRDefault="006F2288"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5.1</w:t>
            </w:r>
            <w:r w:rsidR="00DA6A75">
              <w:rPr>
                <w:rFonts w:asciiTheme="minorHAnsi" w:hAnsiTheme="minorHAnsi"/>
                <w:sz w:val="18"/>
                <w:szCs w:val="18"/>
              </w:rPr>
              <w:t>/</w:t>
            </w:r>
            <w:r w:rsidRPr="000255E3">
              <w:rPr>
                <w:rFonts w:asciiTheme="minorHAnsi" w:hAnsiTheme="minorHAnsi"/>
                <w:sz w:val="18"/>
                <w:szCs w:val="18"/>
              </w:rPr>
              <w:t>59%</w:t>
            </w:r>
          </w:p>
        </w:tc>
        <w:tc>
          <w:tcPr>
            <w:tcW w:w="1209" w:type="dxa"/>
            <w:vAlign w:val="center"/>
          </w:tcPr>
          <w:p w:rsidR="006F2288" w:rsidRPr="000255E3" w:rsidRDefault="004E4A14"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(a)</w:t>
            </w:r>
          </w:p>
        </w:tc>
        <w:tc>
          <w:tcPr>
            <w:tcW w:w="1312" w:type="dxa"/>
            <w:gridSpan w:val="2"/>
            <w:vAlign w:val="center"/>
          </w:tcPr>
          <w:p w:rsidR="006F2288" w:rsidRPr="000255E3" w:rsidRDefault="004E4A14"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(a)</w:t>
            </w:r>
          </w:p>
        </w:tc>
      </w:tr>
      <w:tr w:rsidR="00066F69" w:rsidRPr="000255E3" w:rsidTr="00070BB1">
        <w:trPr>
          <w:cantSplit/>
          <w:jc w:val="center"/>
        </w:trPr>
        <w:tc>
          <w:tcPr>
            <w:tcW w:w="1502" w:type="dxa"/>
            <w:vMerge/>
            <w:vAlign w:val="center"/>
          </w:tcPr>
          <w:p w:rsidR="006F2288" w:rsidRPr="000255E3" w:rsidRDefault="006F2288" w:rsidP="007642C0">
            <w:pPr>
              <w:pStyle w:val="ListParagraph"/>
              <w:spacing w:before="40" w:after="40" w:line="240" w:lineRule="auto"/>
              <w:ind w:left="0"/>
              <w:rPr>
                <w:rFonts w:asciiTheme="minorHAnsi" w:hAnsiTheme="minorHAnsi"/>
                <w:b/>
                <w:sz w:val="18"/>
                <w:szCs w:val="18"/>
              </w:rPr>
            </w:pPr>
          </w:p>
        </w:tc>
        <w:tc>
          <w:tcPr>
            <w:tcW w:w="1227" w:type="dxa"/>
            <w:vAlign w:val="center"/>
          </w:tcPr>
          <w:p w:rsidR="006F2288" w:rsidRPr="00070BB1" w:rsidRDefault="00381EA9" w:rsidP="00070BB1">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R</w:t>
            </w:r>
            <w:r w:rsidR="002A1BE5" w:rsidRPr="00070BB1">
              <w:rPr>
                <w:rFonts w:asciiTheme="minorHAnsi" w:hAnsiTheme="minorHAnsi"/>
                <w:sz w:val="18"/>
                <w:szCs w:val="18"/>
              </w:rPr>
              <w:t>e</w:t>
            </w:r>
            <w:r w:rsidRPr="00070BB1">
              <w:rPr>
                <w:rFonts w:asciiTheme="minorHAnsi" w:hAnsiTheme="minorHAnsi"/>
                <w:sz w:val="18"/>
                <w:szCs w:val="18"/>
              </w:rPr>
              <w:t>s</w:t>
            </w:r>
            <w:r w:rsidR="002A1BE5" w:rsidRPr="00070BB1">
              <w:rPr>
                <w:rFonts w:asciiTheme="minorHAnsi" w:hAnsiTheme="minorHAnsi"/>
                <w:sz w:val="18"/>
                <w:szCs w:val="18"/>
              </w:rPr>
              <w:t>i</w:t>
            </w:r>
            <w:r w:rsidRPr="00070BB1">
              <w:rPr>
                <w:rFonts w:asciiTheme="minorHAnsi" w:hAnsiTheme="minorHAnsi"/>
                <w:sz w:val="18"/>
                <w:szCs w:val="18"/>
              </w:rPr>
              <w:t xml:space="preserve">dual </w:t>
            </w:r>
            <w:r w:rsidR="00070BB1">
              <w:rPr>
                <w:rFonts w:asciiTheme="minorHAnsi" w:hAnsiTheme="minorHAnsi"/>
                <w:sz w:val="18"/>
                <w:szCs w:val="18"/>
              </w:rPr>
              <w:t>f</w:t>
            </w:r>
            <w:r w:rsidRPr="00070BB1">
              <w:rPr>
                <w:rFonts w:asciiTheme="minorHAnsi" w:hAnsiTheme="minorHAnsi"/>
                <w:sz w:val="18"/>
                <w:szCs w:val="18"/>
              </w:rPr>
              <w:t xml:space="preserve">uel </w:t>
            </w:r>
            <w:r w:rsidR="00070BB1">
              <w:rPr>
                <w:rFonts w:asciiTheme="minorHAnsi" w:hAnsiTheme="minorHAnsi"/>
                <w:sz w:val="18"/>
                <w:szCs w:val="18"/>
              </w:rPr>
              <w:t>o</w:t>
            </w:r>
            <w:r w:rsidRPr="00070BB1">
              <w:rPr>
                <w:rFonts w:asciiTheme="minorHAnsi" w:hAnsiTheme="minorHAnsi"/>
                <w:sz w:val="18"/>
                <w:szCs w:val="18"/>
              </w:rPr>
              <w:t>il</w:t>
            </w:r>
          </w:p>
        </w:tc>
        <w:tc>
          <w:tcPr>
            <w:tcW w:w="1326" w:type="dxa"/>
            <w:gridSpan w:val="2"/>
            <w:vAlign w:val="center"/>
          </w:tcPr>
          <w:p w:rsidR="006F2288" w:rsidRPr="000255E3" w:rsidRDefault="006F2288"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sidR="00DA6A75">
              <w:rPr>
                <w:rFonts w:asciiTheme="minorHAnsi" w:hAnsiTheme="minorHAnsi"/>
                <w:sz w:val="18"/>
                <w:szCs w:val="18"/>
              </w:rPr>
              <w:t>/</w:t>
            </w:r>
            <w:r w:rsidRPr="000255E3">
              <w:rPr>
                <w:rFonts w:asciiTheme="minorHAnsi" w:hAnsiTheme="minorHAnsi"/>
                <w:sz w:val="18"/>
                <w:szCs w:val="18"/>
              </w:rPr>
              <w:t>0%</w:t>
            </w:r>
          </w:p>
        </w:tc>
        <w:tc>
          <w:tcPr>
            <w:tcW w:w="1209" w:type="dxa"/>
            <w:vAlign w:val="center"/>
          </w:tcPr>
          <w:p w:rsidR="006F2288" w:rsidRPr="000255E3" w:rsidRDefault="006F2288"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0.0/0%</w:t>
            </w:r>
          </w:p>
        </w:tc>
        <w:tc>
          <w:tcPr>
            <w:tcW w:w="1209" w:type="dxa"/>
            <w:gridSpan w:val="2"/>
            <w:vAlign w:val="center"/>
          </w:tcPr>
          <w:p w:rsidR="006F2288" w:rsidRPr="000255E3" w:rsidRDefault="006F2288"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0.0/0%</w:t>
            </w:r>
          </w:p>
        </w:tc>
        <w:tc>
          <w:tcPr>
            <w:tcW w:w="1209" w:type="dxa"/>
            <w:gridSpan w:val="2"/>
            <w:vAlign w:val="center"/>
          </w:tcPr>
          <w:p w:rsidR="006F2288" w:rsidRPr="000255E3" w:rsidRDefault="006F2288"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0.0/0%</w:t>
            </w:r>
          </w:p>
        </w:tc>
        <w:tc>
          <w:tcPr>
            <w:tcW w:w="1209" w:type="dxa"/>
            <w:vAlign w:val="center"/>
          </w:tcPr>
          <w:p w:rsidR="006F2288" w:rsidRPr="000255E3" w:rsidRDefault="006F2288"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0.0/0%</w:t>
            </w:r>
          </w:p>
        </w:tc>
        <w:tc>
          <w:tcPr>
            <w:tcW w:w="1312" w:type="dxa"/>
            <w:gridSpan w:val="2"/>
            <w:vAlign w:val="center"/>
          </w:tcPr>
          <w:p w:rsidR="006F2288" w:rsidRPr="000255E3" w:rsidRDefault="006F2288"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0.0/0%</w:t>
            </w:r>
          </w:p>
        </w:tc>
      </w:tr>
      <w:tr w:rsidR="00066F69" w:rsidRPr="000255E3" w:rsidTr="00070BB1">
        <w:trPr>
          <w:cantSplit/>
          <w:jc w:val="center"/>
        </w:trPr>
        <w:tc>
          <w:tcPr>
            <w:tcW w:w="1502" w:type="dxa"/>
            <w:vMerge/>
            <w:vAlign w:val="center"/>
          </w:tcPr>
          <w:p w:rsidR="006F2288" w:rsidRPr="000255E3" w:rsidRDefault="006F2288" w:rsidP="007642C0">
            <w:pPr>
              <w:pStyle w:val="ListParagraph"/>
              <w:spacing w:before="40" w:after="40" w:line="240" w:lineRule="auto"/>
              <w:ind w:left="0"/>
              <w:rPr>
                <w:rFonts w:asciiTheme="minorHAnsi" w:hAnsiTheme="minorHAnsi"/>
                <w:b/>
                <w:sz w:val="18"/>
                <w:szCs w:val="18"/>
              </w:rPr>
            </w:pPr>
          </w:p>
        </w:tc>
        <w:tc>
          <w:tcPr>
            <w:tcW w:w="1227" w:type="dxa"/>
            <w:vAlign w:val="center"/>
          </w:tcPr>
          <w:p w:rsidR="006F2288" w:rsidRPr="00070BB1" w:rsidRDefault="006F2288" w:rsidP="00070BB1">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 xml:space="preserve">Offshore </w:t>
            </w:r>
            <w:r w:rsidR="00070BB1">
              <w:rPr>
                <w:rFonts w:asciiTheme="minorHAnsi" w:hAnsiTheme="minorHAnsi"/>
                <w:sz w:val="18"/>
                <w:szCs w:val="18"/>
              </w:rPr>
              <w:t>w</w:t>
            </w:r>
            <w:r w:rsidRPr="00070BB1">
              <w:rPr>
                <w:rFonts w:asciiTheme="minorHAnsi" w:hAnsiTheme="minorHAnsi"/>
                <w:sz w:val="18"/>
                <w:szCs w:val="18"/>
              </w:rPr>
              <w:t>ind</w:t>
            </w:r>
          </w:p>
        </w:tc>
        <w:tc>
          <w:tcPr>
            <w:tcW w:w="1326" w:type="dxa"/>
            <w:gridSpan w:val="2"/>
            <w:vAlign w:val="center"/>
          </w:tcPr>
          <w:p w:rsidR="006F2288" w:rsidRPr="000255E3" w:rsidRDefault="006F2288"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1.9/46%</w:t>
            </w:r>
          </w:p>
        </w:tc>
        <w:tc>
          <w:tcPr>
            <w:tcW w:w="1209" w:type="dxa"/>
            <w:vAlign w:val="center"/>
          </w:tcPr>
          <w:p w:rsidR="006F2288" w:rsidRPr="000255E3" w:rsidRDefault="006F2288"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1.9/46%</w:t>
            </w:r>
          </w:p>
        </w:tc>
        <w:tc>
          <w:tcPr>
            <w:tcW w:w="1209" w:type="dxa"/>
            <w:gridSpan w:val="2"/>
            <w:vAlign w:val="center"/>
          </w:tcPr>
          <w:p w:rsidR="006F2288" w:rsidRPr="000255E3" w:rsidRDefault="006F2288"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5.8</w:t>
            </w:r>
            <w:r w:rsidR="00DA6A75">
              <w:rPr>
                <w:rFonts w:asciiTheme="minorHAnsi" w:hAnsiTheme="minorHAnsi"/>
                <w:sz w:val="18"/>
                <w:szCs w:val="18"/>
              </w:rPr>
              <w:t>/</w:t>
            </w:r>
            <w:r w:rsidRPr="000255E3">
              <w:rPr>
                <w:rFonts w:asciiTheme="minorHAnsi" w:hAnsiTheme="minorHAnsi"/>
                <w:sz w:val="18"/>
                <w:szCs w:val="18"/>
              </w:rPr>
              <w:t>44%</w:t>
            </w:r>
          </w:p>
        </w:tc>
        <w:tc>
          <w:tcPr>
            <w:tcW w:w="1209" w:type="dxa"/>
            <w:gridSpan w:val="2"/>
            <w:vAlign w:val="center"/>
          </w:tcPr>
          <w:p w:rsidR="006F2288" w:rsidRPr="000255E3" w:rsidRDefault="006F2288"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1.9</w:t>
            </w:r>
            <w:r w:rsidR="00DA6A75">
              <w:rPr>
                <w:rFonts w:asciiTheme="minorHAnsi" w:hAnsiTheme="minorHAnsi"/>
                <w:sz w:val="18"/>
                <w:szCs w:val="18"/>
              </w:rPr>
              <w:t>/</w:t>
            </w:r>
            <w:r w:rsidRPr="000255E3">
              <w:rPr>
                <w:rFonts w:asciiTheme="minorHAnsi" w:hAnsiTheme="minorHAnsi"/>
                <w:sz w:val="18"/>
                <w:szCs w:val="18"/>
              </w:rPr>
              <w:t>46%</w:t>
            </w:r>
          </w:p>
        </w:tc>
        <w:tc>
          <w:tcPr>
            <w:tcW w:w="1209" w:type="dxa"/>
            <w:vAlign w:val="center"/>
          </w:tcPr>
          <w:p w:rsidR="006F2288" w:rsidRPr="000255E3" w:rsidRDefault="006F2288"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1.9</w:t>
            </w:r>
            <w:r w:rsidR="00DA6A75">
              <w:rPr>
                <w:rFonts w:asciiTheme="minorHAnsi" w:hAnsiTheme="minorHAnsi"/>
                <w:sz w:val="18"/>
                <w:szCs w:val="18"/>
              </w:rPr>
              <w:t>/</w:t>
            </w:r>
            <w:r w:rsidRPr="000255E3">
              <w:rPr>
                <w:rFonts w:asciiTheme="minorHAnsi" w:hAnsiTheme="minorHAnsi"/>
                <w:sz w:val="18"/>
                <w:szCs w:val="18"/>
              </w:rPr>
              <w:t>46%</w:t>
            </w:r>
          </w:p>
        </w:tc>
        <w:tc>
          <w:tcPr>
            <w:tcW w:w="1312" w:type="dxa"/>
            <w:gridSpan w:val="2"/>
            <w:vAlign w:val="center"/>
          </w:tcPr>
          <w:p w:rsidR="006F2288" w:rsidRPr="000255E3" w:rsidRDefault="006F2288"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6.8</w:t>
            </w:r>
            <w:r w:rsidR="00DA6A75">
              <w:rPr>
                <w:rFonts w:asciiTheme="minorHAnsi" w:hAnsiTheme="minorHAnsi"/>
                <w:sz w:val="18"/>
                <w:szCs w:val="18"/>
              </w:rPr>
              <w:t>/</w:t>
            </w:r>
            <w:r w:rsidRPr="000255E3">
              <w:rPr>
                <w:rFonts w:asciiTheme="minorHAnsi" w:hAnsiTheme="minorHAnsi"/>
                <w:sz w:val="18"/>
                <w:szCs w:val="18"/>
              </w:rPr>
              <w:t>44%</w:t>
            </w:r>
          </w:p>
        </w:tc>
      </w:tr>
      <w:tr w:rsidR="00066F69" w:rsidRPr="000255E3" w:rsidTr="00070BB1">
        <w:trPr>
          <w:cantSplit/>
          <w:jc w:val="center"/>
        </w:trPr>
        <w:tc>
          <w:tcPr>
            <w:tcW w:w="1502" w:type="dxa"/>
            <w:vMerge/>
            <w:vAlign w:val="center"/>
          </w:tcPr>
          <w:p w:rsidR="006F2288" w:rsidRPr="000255E3" w:rsidRDefault="006F2288" w:rsidP="007642C0">
            <w:pPr>
              <w:pStyle w:val="ListParagraph"/>
              <w:spacing w:before="40" w:after="40" w:line="240" w:lineRule="auto"/>
              <w:ind w:left="0"/>
              <w:rPr>
                <w:rFonts w:asciiTheme="minorHAnsi" w:hAnsiTheme="minorHAnsi"/>
                <w:b/>
                <w:sz w:val="18"/>
                <w:szCs w:val="18"/>
              </w:rPr>
            </w:pPr>
          </w:p>
        </w:tc>
        <w:tc>
          <w:tcPr>
            <w:tcW w:w="1227" w:type="dxa"/>
            <w:vAlign w:val="center"/>
          </w:tcPr>
          <w:p w:rsidR="006F2288" w:rsidRPr="00070BB1" w:rsidRDefault="006F2288" w:rsidP="007642C0">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Onshore</w:t>
            </w:r>
          </w:p>
          <w:p w:rsidR="006F2288" w:rsidRPr="00070BB1" w:rsidRDefault="00070BB1" w:rsidP="00070BB1">
            <w:pPr>
              <w:pStyle w:val="ListParagraph"/>
              <w:spacing w:before="40" w:after="40" w:line="240" w:lineRule="auto"/>
              <w:ind w:left="0"/>
              <w:rPr>
                <w:rFonts w:asciiTheme="minorHAnsi" w:hAnsiTheme="minorHAnsi"/>
                <w:sz w:val="18"/>
                <w:szCs w:val="18"/>
              </w:rPr>
            </w:pPr>
            <w:r>
              <w:rPr>
                <w:rFonts w:asciiTheme="minorHAnsi" w:hAnsiTheme="minorHAnsi"/>
                <w:sz w:val="18"/>
                <w:szCs w:val="18"/>
              </w:rPr>
              <w:t>w</w:t>
            </w:r>
            <w:r w:rsidR="006F2288" w:rsidRPr="00070BB1">
              <w:rPr>
                <w:rFonts w:asciiTheme="minorHAnsi" w:hAnsiTheme="minorHAnsi"/>
                <w:sz w:val="18"/>
                <w:szCs w:val="18"/>
              </w:rPr>
              <w:t>ind</w:t>
            </w:r>
          </w:p>
        </w:tc>
        <w:tc>
          <w:tcPr>
            <w:tcW w:w="1326" w:type="dxa"/>
            <w:gridSpan w:val="2"/>
            <w:vAlign w:val="center"/>
          </w:tcPr>
          <w:p w:rsidR="006F2288" w:rsidRPr="000255E3" w:rsidRDefault="006F2288"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9.8</w:t>
            </w:r>
            <w:r w:rsidR="00DA6A75">
              <w:rPr>
                <w:rFonts w:asciiTheme="minorHAnsi" w:hAnsiTheme="minorHAnsi"/>
                <w:sz w:val="18"/>
                <w:szCs w:val="18"/>
              </w:rPr>
              <w:t>/</w:t>
            </w:r>
            <w:r w:rsidRPr="000255E3">
              <w:rPr>
                <w:rFonts w:asciiTheme="minorHAnsi" w:hAnsiTheme="minorHAnsi"/>
                <w:sz w:val="18"/>
                <w:szCs w:val="18"/>
              </w:rPr>
              <w:t>36%</w:t>
            </w:r>
          </w:p>
        </w:tc>
        <w:tc>
          <w:tcPr>
            <w:tcW w:w="1209" w:type="dxa"/>
            <w:vAlign w:val="center"/>
          </w:tcPr>
          <w:p w:rsidR="006F2288" w:rsidRPr="000255E3" w:rsidRDefault="006F2288"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12.9</w:t>
            </w:r>
            <w:r w:rsidR="00DA6A75">
              <w:rPr>
                <w:rFonts w:asciiTheme="minorHAnsi" w:hAnsiTheme="minorHAnsi"/>
                <w:sz w:val="18"/>
                <w:szCs w:val="18"/>
              </w:rPr>
              <w:t>/</w:t>
            </w:r>
            <w:r w:rsidRPr="000255E3">
              <w:rPr>
                <w:rFonts w:asciiTheme="minorHAnsi" w:hAnsiTheme="minorHAnsi"/>
                <w:sz w:val="18"/>
                <w:szCs w:val="18"/>
              </w:rPr>
              <w:t>32%</w:t>
            </w:r>
          </w:p>
        </w:tc>
        <w:tc>
          <w:tcPr>
            <w:tcW w:w="1209" w:type="dxa"/>
            <w:gridSpan w:val="2"/>
            <w:vAlign w:val="center"/>
          </w:tcPr>
          <w:p w:rsidR="006F2288" w:rsidRPr="000255E3" w:rsidRDefault="006F2288"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11.8</w:t>
            </w:r>
            <w:r w:rsidR="00DA6A75">
              <w:rPr>
                <w:rFonts w:asciiTheme="minorHAnsi" w:hAnsiTheme="minorHAnsi"/>
                <w:sz w:val="18"/>
                <w:szCs w:val="18"/>
              </w:rPr>
              <w:t>/</w:t>
            </w:r>
            <w:r w:rsidRPr="000255E3">
              <w:rPr>
                <w:rFonts w:asciiTheme="minorHAnsi" w:hAnsiTheme="minorHAnsi"/>
                <w:sz w:val="18"/>
                <w:szCs w:val="18"/>
              </w:rPr>
              <w:t>33%</w:t>
            </w:r>
          </w:p>
        </w:tc>
        <w:tc>
          <w:tcPr>
            <w:tcW w:w="1209" w:type="dxa"/>
            <w:gridSpan w:val="2"/>
            <w:vAlign w:val="center"/>
          </w:tcPr>
          <w:p w:rsidR="006F2288" w:rsidRPr="000255E3" w:rsidRDefault="006F2288"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4.6</w:t>
            </w:r>
            <w:r w:rsidR="00DA6A75">
              <w:rPr>
                <w:rFonts w:asciiTheme="minorHAnsi" w:hAnsiTheme="minorHAnsi"/>
                <w:sz w:val="18"/>
                <w:szCs w:val="18"/>
              </w:rPr>
              <w:t>/</w:t>
            </w:r>
            <w:r w:rsidRPr="000255E3">
              <w:rPr>
                <w:rFonts w:asciiTheme="minorHAnsi" w:hAnsiTheme="minorHAnsi"/>
                <w:sz w:val="18"/>
                <w:szCs w:val="18"/>
              </w:rPr>
              <w:t>41%</w:t>
            </w:r>
          </w:p>
        </w:tc>
        <w:tc>
          <w:tcPr>
            <w:tcW w:w="1209" w:type="dxa"/>
            <w:vAlign w:val="center"/>
          </w:tcPr>
          <w:p w:rsidR="006F2288" w:rsidRPr="000255E3" w:rsidRDefault="006F2288"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4.6</w:t>
            </w:r>
            <w:r w:rsidR="00DA6A75">
              <w:rPr>
                <w:rFonts w:asciiTheme="minorHAnsi" w:hAnsiTheme="minorHAnsi"/>
                <w:sz w:val="18"/>
                <w:szCs w:val="18"/>
              </w:rPr>
              <w:t>/</w:t>
            </w:r>
            <w:r w:rsidRPr="000255E3">
              <w:rPr>
                <w:rFonts w:asciiTheme="minorHAnsi" w:hAnsiTheme="minorHAnsi"/>
                <w:sz w:val="18"/>
                <w:szCs w:val="18"/>
              </w:rPr>
              <w:t>41%</w:t>
            </w:r>
          </w:p>
        </w:tc>
        <w:tc>
          <w:tcPr>
            <w:tcW w:w="1312" w:type="dxa"/>
            <w:gridSpan w:val="2"/>
            <w:vAlign w:val="center"/>
          </w:tcPr>
          <w:p w:rsidR="006F2288" w:rsidRPr="000255E3" w:rsidRDefault="006F2288"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8.7</w:t>
            </w:r>
            <w:r w:rsidR="00DA6A75">
              <w:rPr>
                <w:rFonts w:asciiTheme="minorHAnsi" w:hAnsiTheme="minorHAnsi"/>
                <w:sz w:val="18"/>
                <w:szCs w:val="18"/>
              </w:rPr>
              <w:t>/</w:t>
            </w:r>
            <w:r w:rsidRPr="000255E3">
              <w:rPr>
                <w:rFonts w:asciiTheme="minorHAnsi" w:hAnsiTheme="minorHAnsi"/>
                <w:sz w:val="18"/>
                <w:szCs w:val="18"/>
              </w:rPr>
              <w:t>42%</w:t>
            </w:r>
          </w:p>
        </w:tc>
      </w:tr>
      <w:tr w:rsidR="00066F69" w:rsidRPr="000255E3" w:rsidTr="00070BB1">
        <w:trPr>
          <w:cantSplit/>
          <w:jc w:val="center"/>
        </w:trPr>
        <w:tc>
          <w:tcPr>
            <w:tcW w:w="1502" w:type="dxa"/>
            <w:vMerge/>
            <w:vAlign w:val="center"/>
          </w:tcPr>
          <w:p w:rsidR="006F2288" w:rsidRPr="000255E3" w:rsidRDefault="006F2288" w:rsidP="007642C0">
            <w:pPr>
              <w:pStyle w:val="ListParagraph"/>
              <w:spacing w:before="40" w:after="40" w:line="240" w:lineRule="auto"/>
              <w:ind w:left="0"/>
              <w:rPr>
                <w:rFonts w:asciiTheme="minorHAnsi" w:hAnsiTheme="minorHAnsi"/>
                <w:b/>
                <w:sz w:val="18"/>
                <w:szCs w:val="18"/>
              </w:rPr>
            </w:pPr>
          </w:p>
        </w:tc>
        <w:tc>
          <w:tcPr>
            <w:tcW w:w="1227" w:type="dxa"/>
            <w:vAlign w:val="center"/>
          </w:tcPr>
          <w:p w:rsidR="006F2288" w:rsidRPr="00070BB1" w:rsidRDefault="00381EA9" w:rsidP="007642C0">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Hydro</w:t>
            </w:r>
          </w:p>
        </w:tc>
        <w:tc>
          <w:tcPr>
            <w:tcW w:w="1326" w:type="dxa"/>
            <w:gridSpan w:val="2"/>
            <w:vAlign w:val="center"/>
          </w:tcPr>
          <w:p w:rsidR="006F2288" w:rsidRPr="000255E3" w:rsidRDefault="006F2288"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3.9</w:t>
            </w:r>
            <w:r w:rsidR="00DA6A75">
              <w:rPr>
                <w:rFonts w:asciiTheme="minorHAnsi" w:hAnsiTheme="minorHAnsi"/>
                <w:sz w:val="18"/>
                <w:szCs w:val="18"/>
              </w:rPr>
              <w:t>/</w:t>
            </w:r>
            <w:r w:rsidRPr="000255E3">
              <w:rPr>
                <w:rFonts w:asciiTheme="minorHAnsi" w:hAnsiTheme="minorHAnsi"/>
                <w:sz w:val="18"/>
                <w:szCs w:val="18"/>
              </w:rPr>
              <w:t>29%</w:t>
            </w:r>
          </w:p>
        </w:tc>
        <w:tc>
          <w:tcPr>
            <w:tcW w:w="1209" w:type="dxa"/>
            <w:vAlign w:val="center"/>
          </w:tcPr>
          <w:p w:rsidR="006F2288" w:rsidRPr="000255E3" w:rsidRDefault="006F2288"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3.7</w:t>
            </w:r>
            <w:r w:rsidR="00DA6A75">
              <w:rPr>
                <w:rFonts w:asciiTheme="minorHAnsi" w:hAnsiTheme="minorHAnsi"/>
                <w:sz w:val="18"/>
                <w:szCs w:val="18"/>
              </w:rPr>
              <w:t>/</w:t>
            </w:r>
            <w:r w:rsidRPr="000255E3">
              <w:rPr>
                <w:rFonts w:asciiTheme="minorHAnsi" w:hAnsiTheme="minorHAnsi"/>
                <w:sz w:val="18"/>
                <w:szCs w:val="18"/>
              </w:rPr>
              <w:t>27%</w:t>
            </w:r>
          </w:p>
        </w:tc>
        <w:tc>
          <w:tcPr>
            <w:tcW w:w="1209" w:type="dxa"/>
            <w:gridSpan w:val="2"/>
            <w:vAlign w:val="center"/>
          </w:tcPr>
          <w:p w:rsidR="006F2288" w:rsidRPr="000255E3" w:rsidRDefault="006F2288"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3.9</w:t>
            </w:r>
            <w:r w:rsidR="00DA6A75">
              <w:rPr>
                <w:rFonts w:asciiTheme="minorHAnsi" w:hAnsiTheme="minorHAnsi"/>
                <w:sz w:val="18"/>
                <w:szCs w:val="18"/>
              </w:rPr>
              <w:t>/</w:t>
            </w:r>
            <w:r w:rsidRPr="000255E3">
              <w:rPr>
                <w:rFonts w:asciiTheme="minorHAnsi" w:hAnsiTheme="minorHAnsi"/>
                <w:sz w:val="18"/>
                <w:szCs w:val="18"/>
              </w:rPr>
              <w:t>28%</w:t>
            </w:r>
          </w:p>
        </w:tc>
        <w:tc>
          <w:tcPr>
            <w:tcW w:w="1209" w:type="dxa"/>
            <w:gridSpan w:val="2"/>
            <w:vAlign w:val="center"/>
          </w:tcPr>
          <w:p w:rsidR="006F2288" w:rsidRPr="000255E3" w:rsidRDefault="006F2288"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4.0</w:t>
            </w:r>
            <w:r w:rsidR="00DA6A75">
              <w:rPr>
                <w:rFonts w:asciiTheme="minorHAnsi" w:hAnsiTheme="minorHAnsi"/>
                <w:sz w:val="18"/>
                <w:szCs w:val="18"/>
              </w:rPr>
              <w:t>/</w:t>
            </w:r>
            <w:r w:rsidRPr="000255E3">
              <w:rPr>
                <w:rFonts w:asciiTheme="minorHAnsi" w:hAnsiTheme="minorHAnsi"/>
                <w:sz w:val="18"/>
                <w:szCs w:val="18"/>
              </w:rPr>
              <w:t>29%</w:t>
            </w:r>
          </w:p>
        </w:tc>
        <w:tc>
          <w:tcPr>
            <w:tcW w:w="1209" w:type="dxa"/>
            <w:vAlign w:val="center"/>
          </w:tcPr>
          <w:p w:rsidR="006F2288" w:rsidRPr="000255E3" w:rsidRDefault="006F2288"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4.0</w:t>
            </w:r>
            <w:r w:rsidR="00DA6A75">
              <w:rPr>
                <w:rFonts w:asciiTheme="minorHAnsi" w:hAnsiTheme="minorHAnsi"/>
                <w:sz w:val="18"/>
                <w:szCs w:val="18"/>
              </w:rPr>
              <w:t>/</w:t>
            </w:r>
            <w:r w:rsidRPr="000255E3">
              <w:rPr>
                <w:rFonts w:asciiTheme="minorHAnsi" w:hAnsiTheme="minorHAnsi"/>
                <w:sz w:val="18"/>
                <w:szCs w:val="18"/>
              </w:rPr>
              <w:t>29%</w:t>
            </w:r>
          </w:p>
        </w:tc>
        <w:tc>
          <w:tcPr>
            <w:tcW w:w="1312" w:type="dxa"/>
            <w:gridSpan w:val="2"/>
            <w:vAlign w:val="center"/>
          </w:tcPr>
          <w:p w:rsidR="006F2288" w:rsidRPr="000255E3" w:rsidRDefault="006F2288"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4.0</w:t>
            </w:r>
            <w:r w:rsidR="00DA6A75">
              <w:rPr>
                <w:rFonts w:asciiTheme="minorHAnsi" w:hAnsiTheme="minorHAnsi"/>
                <w:sz w:val="18"/>
                <w:szCs w:val="18"/>
              </w:rPr>
              <w:t>/</w:t>
            </w:r>
            <w:r w:rsidRPr="000255E3">
              <w:rPr>
                <w:rFonts w:asciiTheme="minorHAnsi" w:hAnsiTheme="minorHAnsi"/>
                <w:sz w:val="18"/>
                <w:szCs w:val="18"/>
              </w:rPr>
              <w:t>29%</w:t>
            </w:r>
          </w:p>
        </w:tc>
      </w:tr>
      <w:tr w:rsidR="00066F69" w:rsidRPr="000255E3" w:rsidTr="00070BB1">
        <w:trPr>
          <w:cantSplit/>
          <w:jc w:val="center"/>
        </w:trPr>
        <w:tc>
          <w:tcPr>
            <w:tcW w:w="1502" w:type="dxa"/>
            <w:vMerge w:val="restart"/>
            <w:shd w:val="clear" w:color="auto" w:fill="DBE5F1" w:themeFill="accent1" w:themeFillTint="33"/>
            <w:vAlign w:val="center"/>
          </w:tcPr>
          <w:p w:rsidR="00381EA9" w:rsidRPr="000255E3" w:rsidRDefault="00381EA9" w:rsidP="007642C0">
            <w:pPr>
              <w:pStyle w:val="ListParagraph"/>
              <w:spacing w:before="40" w:after="40" w:line="240" w:lineRule="auto"/>
              <w:ind w:left="0"/>
              <w:rPr>
                <w:rFonts w:asciiTheme="minorHAnsi" w:hAnsiTheme="minorHAnsi"/>
                <w:b/>
                <w:sz w:val="18"/>
                <w:szCs w:val="18"/>
              </w:rPr>
            </w:pPr>
          </w:p>
          <w:p w:rsidR="00381EA9" w:rsidRPr="000255E3" w:rsidRDefault="00381EA9" w:rsidP="007642C0">
            <w:pPr>
              <w:pStyle w:val="ListParagraph"/>
              <w:spacing w:before="40" w:after="40" w:line="240" w:lineRule="auto"/>
              <w:ind w:left="0"/>
              <w:rPr>
                <w:rFonts w:asciiTheme="minorHAnsi" w:hAnsiTheme="minorHAnsi"/>
                <w:b/>
                <w:sz w:val="18"/>
                <w:szCs w:val="18"/>
              </w:rPr>
            </w:pPr>
          </w:p>
          <w:p w:rsidR="00381EA9" w:rsidRPr="000255E3" w:rsidRDefault="00381EA9" w:rsidP="007642C0">
            <w:pPr>
              <w:pStyle w:val="ListParagraph"/>
              <w:spacing w:before="40" w:after="40" w:line="240" w:lineRule="auto"/>
              <w:ind w:left="0"/>
              <w:rPr>
                <w:rFonts w:asciiTheme="minorHAnsi" w:hAnsiTheme="minorHAnsi"/>
                <w:b/>
                <w:sz w:val="18"/>
                <w:szCs w:val="18"/>
              </w:rPr>
            </w:pPr>
          </w:p>
          <w:p w:rsidR="00381EA9" w:rsidRPr="000255E3" w:rsidRDefault="00381EA9" w:rsidP="007642C0">
            <w:pPr>
              <w:pStyle w:val="ListParagraph"/>
              <w:spacing w:before="40" w:after="40" w:line="240" w:lineRule="auto"/>
              <w:ind w:left="0"/>
              <w:rPr>
                <w:rFonts w:asciiTheme="minorHAnsi" w:hAnsiTheme="minorHAnsi"/>
                <w:b/>
                <w:sz w:val="18"/>
                <w:szCs w:val="18"/>
              </w:rPr>
            </w:pPr>
            <w:r w:rsidRPr="000255E3">
              <w:rPr>
                <w:rFonts w:asciiTheme="minorHAnsi" w:hAnsiTheme="minorHAnsi"/>
                <w:b/>
                <w:sz w:val="18"/>
                <w:szCs w:val="18"/>
              </w:rPr>
              <w:t xml:space="preserve">2030 </w:t>
            </w:r>
          </w:p>
          <w:p w:rsidR="00381EA9" w:rsidRPr="000255E3" w:rsidRDefault="00381EA9" w:rsidP="007642C0">
            <w:pPr>
              <w:pStyle w:val="ListParagraph"/>
              <w:spacing w:before="40" w:after="40" w:line="240" w:lineRule="auto"/>
              <w:ind w:left="0"/>
              <w:rPr>
                <w:rFonts w:asciiTheme="minorHAnsi" w:hAnsiTheme="minorHAnsi"/>
                <w:b/>
                <w:sz w:val="18"/>
                <w:szCs w:val="18"/>
              </w:rPr>
            </w:pPr>
            <w:r w:rsidRPr="000255E3">
              <w:rPr>
                <w:rFonts w:asciiTheme="minorHAnsi" w:hAnsiTheme="minorHAnsi"/>
                <w:b/>
                <w:sz w:val="18"/>
                <w:szCs w:val="18"/>
              </w:rPr>
              <w:t>Constrained</w:t>
            </w:r>
          </w:p>
        </w:tc>
        <w:tc>
          <w:tcPr>
            <w:tcW w:w="1227" w:type="dxa"/>
            <w:shd w:val="clear" w:color="auto" w:fill="DBE5F1" w:themeFill="accent1" w:themeFillTint="33"/>
            <w:vAlign w:val="center"/>
          </w:tcPr>
          <w:p w:rsidR="00381EA9" w:rsidRPr="00070BB1" w:rsidRDefault="00381EA9" w:rsidP="00070BB1">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 xml:space="preserve">NG </w:t>
            </w:r>
            <w:r w:rsidR="00070BB1">
              <w:rPr>
                <w:rFonts w:asciiTheme="minorHAnsi" w:hAnsiTheme="minorHAnsi"/>
                <w:sz w:val="18"/>
                <w:szCs w:val="18"/>
              </w:rPr>
              <w:t>c</w:t>
            </w:r>
            <w:r w:rsidRPr="00070BB1">
              <w:rPr>
                <w:rFonts w:asciiTheme="minorHAnsi" w:hAnsiTheme="minorHAnsi"/>
                <w:sz w:val="18"/>
                <w:szCs w:val="18"/>
              </w:rPr>
              <w:t xml:space="preserve">ombined </w:t>
            </w:r>
            <w:r w:rsidR="00070BB1">
              <w:rPr>
                <w:rFonts w:asciiTheme="minorHAnsi" w:hAnsiTheme="minorHAnsi"/>
                <w:sz w:val="18"/>
                <w:szCs w:val="18"/>
              </w:rPr>
              <w:t>c</w:t>
            </w:r>
            <w:r w:rsidRPr="00070BB1">
              <w:rPr>
                <w:rFonts w:asciiTheme="minorHAnsi" w:hAnsiTheme="minorHAnsi"/>
                <w:sz w:val="18"/>
                <w:szCs w:val="18"/>
              </w:rPr>
              <w:t>ycle</w:t>
            </w:r>
          </w:p>
        </w:tc>
        <w:tc>
          <w:tcPr>
            <w:tcW w:w="1326" w:type="dxa"/>
            <w:gridSpan w:val="2"/>
            <w:shd w:val="clear" w:color="auto" w:fill="DBE5F1" w:themeFill="accent1" w:themeFillTint="33"/>
            <w:vAlign w:val="center"/>
          </w:tcPr>
          <w:p w:rsidR="00381EA9" w:rsidRPr="000255E3" w:rsidRDefault="00381EA9"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58.7</w:t>
            </w:r>
            <w:r w:rsidR="00DA6A75">
              <w:rPr>
                <w:rFonts w:asciiTheme="minorHAnsi" w:hAnsiTheme="minorHAnsi"/>
                <w:sz w:val="18"/>
                <w:szCs w:val="18"/>
              </w:rPr>
              <w:t>/</w:t>
            </w:r>
            <w:r w:rsidRPr="000255E3">
              <w:rPr>
                <w:rFonts w:asciiTheme="minorHAnsi" w:hAnsiTheme="minorHAnsi"/>
                <w:sz w:val="18"/>
                <w:szCs w:val="18"/>
              </w:rPr>
              <w:t>34%</w:t>
            </w:r>
          </w:p>
        </w:tc>
        <w:tc>
          <w:tcPr>
            <w:tcW w:w="1209" w:type="dxa"/>
            <w:shd w:val="clear" w:color="auto" w:fill="DBE5F1" w:themeFill="accent1" w:themeFillTint="33"/>
            <w:vAlign w:val="center"/>
          </w:tcPr>
          <w:p w:rsidR="00381EA9" w:rsidRPr="000255E3" w:rsidRDefault="00381EA9"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46.8</w:t>
            </w:r>
            <w:r w:rsidR="00DA6A75">
              <w:rPr>
                <w:rFonts w:asciiTheme="minorHAnsi" w:hAnsiTheme="minorHAnsi"/>
                <w:sz w:val="18"/>
                <w:szCs w:val="18"/>
              </w:rPr>
              <w:t>/</w:t>
            </w:r>
            <w:r w:rsidRPr="000255E3">
              <w:rPr>
                <w:rFonts w:asciiTheme="minorHAnsi" w:hAnsiTheme="minorHAnsi"/>
                <w:sz w:val="18"/>
                <w:szCs w:val="18"/>
              </w:rPr>
              <w:t>34%</w:t>
            </w:r>
          </w:p>
        </w:tc>
        <w:tc>
          <w:tcPr>
            <w:tcW w:w="1209" w:type="dxa"/>
            <w:gridSpan w:val="2"/>
            <w:shd w:val="clear" w:color="auto" w:fill="DBE5F1" w:themeFill="accent1" w:themeFillTint="33"/>
            <w:vAlign w:val="center"/>
          </w:tcPr>
          <w:p w:rsidR="00381EA9" w:rsidRPr="000255E3" w:rsidRDefault="00381EA9"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17.0</w:t>
            </w:r>
            <w:r w:rsidR="00DA6A75">
              <w:rPr>
                <w:rFonts w:asciiTheme="minorHAnsi" w:hAnsiTheme="minorHAnsi"/>
                <w:sz w:val="18"/>
                <w:szCs w:val="18"/>
              </w:rPr>
              <w:t>/</w:t>
            </w:r>
            <w:r w:rsidRPr="000255E3">
              <w:rPr>
                <w:rFonts w:asciiTheme="minorHAnsi" w:hAnsiTheme="minorHAnsi"/>
                <w:sz w:val="18"/>
                <w:szCs w:val="18"/>
              </w:rPr>
              <w:t>13%</w:t>
            </w:r>
          </w:p>
        </w:tc>
        <w:tc>
          <w:tcPr>
            <w:tcW w:w="1209" w:type="dxa"/>
            <w:gridSpan w:val="2"/>
            <w:shd w:val="clear" w:color="auto" w:fill="DBE5F1" w:themeFill="accent1" w:themeFillTint="33"/>
            <w:vAlign w:val="center"/>
          </w:tcPr>
          <w:p w:rsidR="00381EA9" w:rsidRPr="000255E3" w:rsidRDefault="00381EA9"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58.2</w:t>
            </w:r>
            <w:r w:rsidR="00DA6A75">
              <w:rPr>
                <w:rFonts w:asciiTheme="minorHAnsi" w:hAnsiTheme="minorHAnsi"/>
                <w:sz w:val="18"/>
                <w:szCs w:val="18"/>
              </w:rPr>
              <w:t>/</w:t>
            </w:r>
            <w:r w:rsidRPr="000255E3">
              <w:rPr>
                <w:rFonts w:asciiTheme="minorHAnsi" w:hAnsiTheme="minorHAnsi"/>
                <w:sz w:val="18"/>
                <w:szCs w:val="18"/>
              </w:rPr>
              <w:t>43%</w:t>
            </w:r>
          </w:p>
        </w:tc>
        <w:tc>
          <w:tcPr>
            <w:tcW w:w="1209" w:type="dxa"/>
            <w:shd w:val="clear" w:color="auto" w:fill="DBE5F1" w:themeFill="accent1" w:themeFillTint="33"/>
            <w:vAlign w:val="center"/>
          </w:tcPr>
          <w:p w:rsidR="00381EA9" w:rsidRPr="000255E3" w:rsidRDefault="00381EA9"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63.3</w:t>
            </w:r>
            <w:r w:rsidR="00DA6A75">
              <w:rPr>
                <w:rFonts w:asciiTheme="minorHAnsi" w:hAnsiTheme="minorHAnsi"/>
                <w:sz w:val="18"/>
                <w:szCs w:val="18"/>
              </w:rPr>
              <w:t>/</w:t>
            </w:r>
            <w:r w:rsidRPr="000255E3">
              <w:rPr>
                <w:rFonts w:asciiTheme="minorHAnsi" w:hAnsiTheme="minorHAnsi"/>
                <w:sz w:val="18"/>
                <w:szCs w:val="18"/>
              </w:rPr>
              <w:t>35%</w:t>
            </w:r>
          </w:p>
        </w:tc>
        <w:tc>
          <w:tcPr>
            <w:tcW w:w="1312" w:type="dxa"/>
            <w:gridSpan w:val="2"/>
            <w:shd w:val="clear" w:color="auto" w:fill="DBE5F1" w:themeFill="accent1" w:themeFillTint="33"/>
            <w:vAlign w:val="center"/>
          </w:tcPr>
          <w:p w:rsidR="00381EA9" w:rsidRPr="000255E3" w:rsidRDefault="00381EA9"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28.8</w:t>
            </w:r>
            <w:r w:rsidR="00DA6A75">
              <w:rPr>
                <w:rFonts w:asciiTheme="minorHAnsi" w:hAnsiTheme="minorHAnsi"/>
                <w:sz w:val="18"/>
                <w:szCs w:val="18"/>
              </w:rPr>
              <w:t>/</w:t>
            </w:r>
            <w:r w:rsidRPr="000255E3">
              <w:rPr>
                <w:rFonts w:asciiTheme="minorHAnsi" w:hAnsiTheme="minorHAnsi"/>
                <w:sz w:val="18"/>
                <w:szCs w:val="18"/>
              </w:rPr>
              <w:t>21%</w:t>
            </w:r>
          </w:p>
        </w:tc>
      </w:tr>
      <w:tr w:rsidR="00066F69" w:rsidRPr="000255E3" w:rsidTr="00070BB1">
        <w:trPr>
          <w:cantSplit/>
          <w:jc w:val="center"/>
        </w:trPr>
        <w:tc>
          <w:tcPr>
            <w:tcW w:w="1502" w:type="dxa"/>
            <w:vMerge/>
            <w:shd w:val="clear" w:color="auto" w:fill="DBE5F1" w:themeFill="accent1" w:themeFillTint="33"/>
            <w:vAlign w:val="center"/>
          </w:tcPr>
          <w:p w:rsidR="00381EA9" w:rsidRPr="000255E3" w:rsidRDefault="00381EA9" w:rsidP="007642C0">
            <w:pPr>
              <w:pStyle w:val="ListParagraph"/>
              <w:spacing w:before="40" w:after="40" w:line="240" w:lineRule="auto"/>
              <w:ind w:left="0"/>
              <w:rPr>
                <w:rFonts w:asciiTheme="minorHAnsi" w:hAnsiTheme="minorHAnsi"/>
                <w:b/>
                <w:sz w:val="18"/>
                <w:szCs w:val="18"/>
              </w:rPr>
            </w:pPr>
          </w:p>
        </w:tc>
        <w:tc>
          <w:tcPr>
            <w:tcW w:w="1227" w:type="dxa"/>
            <w:shd w:val="clear" w:color="auto" w:fill="DBE5F1" w:themeFill="accent1" w:themeFillTint="33"/>
            <w:vAlign w:val="center"/>
          </w:tcPr>
          <w:p w:rsidR="00381EA9" w:rsidRPr="00070BB1" w:rsidRDefault="00381EA9" w:rsidP="00070BB1">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 xml:space="preserve">NG </w:t>
            </w:r>
            <w:r w:rsidR="00070BB1">
              <w:rPr>
                <w:rFonts w:asciiTheme="minorHAnsi" w:hAnsiTheme="minorHAnsi"/>
                <w:sz w:val="18"/>
                <w:szCs w:val="18"/>
              </w:rPr>
              <w:t>s</w:t>
            </w:r>
            <w:r w:rsidRPr="00070BB1">
              <w:rPr>
                <w:rFonts w:asciiTheme="minorHAnsi" w:hAnsiTheme="minorHAnsi"/>
                <w:sz w:val="18"/>
                <w:szCs w:val="18"/>
              </w:rPr>
              <w:t>ingle</w:t>
            </w:r>
            <w:r w:rsidR="00070BB1">
              <w:rPr>
                <w:rFonts w:asciiTheme="minorHAnsi" w:hAnsiTheme="minorHAnsi"/>
                <w:sz w:val="18"/>
                <w:szCs w:val="18"/>
              </w:rPr>
              <w:t>-c</w:t>
            </w:r>
            <w:r w:rsidRPr="00070BB1">
              <w:rPr>
                <w:rFonts w:asciiTheme="minorHAnsi" w:hAnsiTheme="minorHAnsi"/>
                <w:sz w:val="18"/>
                <w:szCs w:val="18"/>
              </w:rPr>
              <w:t>ycle CT</w:t>
            </w:r>
          </w:p>
        </w:tc>
        <w:tc>
          <w:tcPr>
            <w:tcW w:w="1326" w:type="dxa"/>
            <w:gridSpan w:val="2"/>
            <w:shd w:val="clear" w:color="auto" w:fill="DBE5F1" w:themeFill="accent1" w:themeFillTint="33"/>
            <w:vAlign w:val="center"/>
          </w:tcPr>
          <w:p w:rsidR="00381EA9" w:rsidRPr="000255E3" w:rsidRDefault="00381EA9"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sidR="00DA6A75">
              <w:rPr>
                <w:rFonts w:asciiTheme="minorHAnsi" w:hAnsiTheme="minorHAnsi"/>
                <w:sz w:val="18"/>
                <w:szCs w:val="18"/>
              </w:rPr>
              <w:t>/</w:t>
            </w:r>
            <w:r w:rsidRPr="000255E3">
              <w:rPr>
                <w:rFonts w:asciiTheme="minorHAnsi" w:hAnsiTheme="minorHAnsi"/>
                <w:sz w:val="18"/>
                <w:szCs w:val="18"/>
              </w:rPr>
              <w:t>0%</w:t>
            </w:r>
          </w:p>
        </w:tc>
        <w:tc>
          <w:tcPr>
            <w:tcW w:w="1209" w:type="dxa"/>
            <w:shd w:val="clear" w:color="auto" w:fill="DBE5F1" w:themeFill="accent1" w:themeFillTint="33"/>
            <w:vAlign w:val="center"/>
          </w:tcPr>
          <w:p w:rsidR="00381EA9" w:rsidRPr="000255E3" w:rsidRDefault="00381EA9"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0.1</w:t>
            </w:r>
            <w:r w:rsidR="00DA6A75">
              <w:rPr>
                <w:rFonts w:asciiTheme="minorHAnsi" w:hAnsiTheme="minorHAnsi"/>
                <w:sz w:val="18"/>
                <w:szCs w:val="18"/>
              </w:rPr>
              <w:t>/</w:t>
            </w:r>
            <w:r w:rsidRPr="000255E3">
              <w:rPr>
                <w:rFonts w:asciiTheme="minorHAnsi" w:hAnsiTheme="minorHAnsi"/>
                <w:sz w:val="18"/>
                <w:szCs w:val="18"/>
              </w:rPr>
              <w:t>0%</w:t>
            </w:r>
          </w:p>
        </w:tc>
        <w:tc>
          <w:tcPr>
            <w:tcW w:w="1209" w:type="dxa"/>
            <w:gridSpan w:val="2"/>
            <w:shd w:val="clear" w:color="auto" w:fill="DBE5F1" w:themeFill="accent1" w:themeFillTint="33"/>
            <w:vAlign w:val="center"/>
          </w:tcPr>
          <w:p w:rsidR="00381EA9" w:rsidRPr="000255E3" w:rsidRDefault="00381EA9"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sidR="00DA6A75">
              <w:rPr>
                <w:rFonts w:asciiTheme="minorHAnsi" w:hAnsiTheme="minorHAnsi"/>
                <w:sz w:val="18"/>
                <w:szCs w:val="18"/>
              </w:rPr>
              <w:t>/</w:t>
            </w:r>
            <w:r w:rsidRPr="000255E3">
              <w:rPr>
                <w:rFonts w:asciiTheme="minorHAnsi" w:hAnsiTheme="minorHAnsi"/>
                <w:sz w:val="18"/>
                <w:szCs w:val="18"/>
              </w:rPr>
              <w:t>0%</w:t>
            </w:r>
          </w:p>
        </w:tc>
        <w:tc>
          <w:tcPr>
            <w:tcW w:w="1209" w:type="dxa"/>
            <w:gridSpan w:val="2"/>
            <w:shd w:val="clear" w:color="auto" w:fill="DBE5F1" w:themeFill="accent1" w:themeFillTint="33"/>
            <w:vAlign w:val="center"/>
          </w:tcPr>
          <w:p w:rsidR="00381EA9" w:rsidRPr="000255E3" w:rsidRDefault="00381EA9"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0.1</w:t>
            </w:r>
            <w:r w:rsidR="00DA6A75">
              <w:rPr>
                <w:rFonts w:asciiTheme="minorHAnsi" w:hAnsiTheme="minorHAnsi"/>
                <w:sz w:val="18"/>
                <w:szCs w:val="18"/>
              </w:rPr>
              <w:t>/</w:t>
            </w:r>
            <w:r w:rsidRPr="000255E3">
              <w:rPr>
                <w:rFonts w:asciiTheme="minorHAnsi" w:hAnsiTheme="minorHAnsi"/>
                <w:sz w:val="18"/>
                <w:szCs w:val="18"/>
              </w:rPr>
              <w:t>1%</w:t>
            </w:r>
          </w:p>
        </w:tc>
        <w:tc>
          <w:tcPr>
            <w:tcW w:w="1209" w:type="dxa"/>
            <w:shd w:val="clear" w:color="auto" w:fill="DBE5F1" w:themeFill="accent1" w:themeFillTint="33"/>
            <w:vAlign w:val="center"/>
          </w:tcPr>
          <w:p w:rsidR="00381EA9" w:rsidRPr="000255E3" w:rsidRDefault="00381EA9"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sidR="00DA6A75">
              <w:rPr>
                <w:rFonts w:asciiTheme="minorHAnsi" w:hAnsiTheme="minorHAnsi"/>
                <w:sz w:val="18"/>
                <w:szCs w:val="18"/>
              </w:rPr>
              <w:t>/</w:t>
            </w:r>
            <w:r w:rsidRPr="000255E3">
              <w:rPr>
                <w:rFonts w:asciiTheme="minorHAnsi" w:hAnsiTheme="minorHAnsi"/>
                <w:sz w:val="18"/>
                <w:szCs w:val="18"/>
              </w:rPr>
              <w:t>0%</w:t>
            </w:r>
          </w:p>
        </w:tc>
        <w:tc>
          <w:tcPr>
            <w:tcW w:w="1312" w:type="dxa"/>
            <w:gridSpan w:val="2"/>
            <w:shd w:val="clear" w:color="auto" w:fill="DBE5F1" w:themeFill="accent1" w:themeFillTint="33"/>
            <w:vAlign w:val="center"/>
          </w:tcPr>
          <w:p w:rsidR="00381EA9" w:rsidRPr="000255E3" w:rsidRDefault="00381EA9"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sidR="00DA6A75">
              <w:rPr>
                <w:rFonts w:asciiTheme="minorHAnsi" w:hAnsiTheme="minorHAnsi"/>
                <w:sz w:val="18"/>
                <w:szCs w:val="18"/>
              </w:rPr>
              <w:t>/</w:t>
            </w:r>
            <w:r w:rsidRPr="000255E3">
              <w:rPr>
                <w:rFonts w:asciiTheme="minorHAnsi" w:hAnsiTheme="minorHAnsi"/>
                <w:sz w:val="18"/>
                <w:szCs w:val="18"/>
              </w:rPr>
              <w:t>0%</w:t>
            </w:r>
          </w:p>
        </w:tc>
      </w:tr>
      <w:tr w:rsidR="00066F69" w:rsidRPr="000255E3" w:rsidTr="00070BB1">
        <w:trPr>
          <w:cantSplit/>
          <w:jc w:val="center"/>
        </w:trPr>
        <w:tc>
          <w:tcPr>
            <w:tcW w:w="1502" w:type="dxa"/>
            <w:vMerge/>
            <w:shd w:val="clear" w:color="auto" w:fill="DBE5F1" w:themeFill="accent1" w:themeFillTint="33"/>
            <w:vAlign w:val="center"/>
          </w:tcPr>
          <w:p w:rsidR="00381EA9" w:rsidRPr="000255E3" w:rsidRDefault="00381EA9" w:rsidP="007642C0">
            <w:pPr>
              <w:pStyle w:val="ListParagraph"/>
              <w:spacing w:before="40" w:after="40" w:line="240" w:lineRule="auto"/>
              <w:ind w:left="0"/>
              <w:rPr>
                <w:rFonts w:asciiTheme="minorHAnsi" w:hAnsiTheme="minorHAnsi"/>
                <w:b/>
                <w:sz w:val="18"/>
                <w:szCs w:val="18"/>
              </w:rPr>
            </w:pPr>
          </w:p>
        </w:tc>
        <w:tc>
          <w:tcPr>
            <w:tcW w:w="1227" w:type="dxa"/>
            <w:shd w:val="clear" w:color="auto" w:fill="DBE5F1" w:themeFill="accent1" w:themeFillTint="33"/>
            <w:vAlign w:val="center"/>
          </w:tcPr>
          <w:p w:rsidR="00381EA9" w:rsidRPr="00070BB1" w:rsidRDefault="00381EA9" w:rsidP="007642C0">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Nuclear</w:t>
            </w:r>
          </w:p>
        </w:tc>
        <w:tc>
          <w:tcPr>
            <w:tcW w:w="1326" w:type="dxa"/>
            <w:gridSpan w:val="2"/>
            <w:shd w:val="clear" w:color="auto" w:fill="DBE5F1" w:themeFill="accent1" w:themeFillTint="33"/>
            <w:vAlign w:val="center"/>
          </w:tcPr>
          <w:p w:rsidR="00381EA9" w:rsidRPr="000255E3" w:rsidRDefault="00381EA9"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27.3</w:t>
            </w:r>
            <w:r w:rsidR="00DA6A75">
              <w:rPr>
                <w:rFonts w:asciiTheme="minorHAnsi" w:hAnsiTheme="minorHAnsi"/>
                <w:sz w:val="18"/>
                <w:szCs w:val="18"/>
              </w:rPr>
              <w:t>/</w:t>
            </w:r>
            <w:r w:rsidRPr="000255E3">
              <w:rPr>
                <w:rFonts w:asciiTheme="minorHAnsi" w:hAnsiTheme="minorHAnsi"/>
                <w:sz w:val="18"/>
                <w:szCs w:val="18"/>
              </w:rPr>
              <w:t>97%</w:t>
            </w:r>
          </w:p>
        </w:tc>
        <w:tc>
          <w:tcPr>
            <w:tcW w:w="1209" w:type="dxa"/>
            <w:shd w:val="clear" w:color="auto" w:fill="DBE5F1" w:themeFill="accent1" w:themeFillTint="33"/>
            <w:vAlign w:val="center"/>
          </w:tcPr>
          <w:p w:rsidR="00381EA9" w:rsidRPr="000255E3" w:rsidRDefault="00381EA9"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27.3</w:t>
            </w:r>
            <w:r w:rsidR="00DA6A75">
              <w:rPr>
                <w:rFonts w:asciiTheme="minorHAnsi" w:hAnsiTheme="minorHAnsi"/>
                <w:sz w:val="18"/>
                <w:szCs w:val="18"/>
              </w:rPr>
              <w:t>/</w:t>
            </w:r>
            <w:r w:rsidRPr="000255E3">
              <w:rPr>
                <w:rFonts w:asciiTheme="minorHAnsi" w:hAnsiTheme="minorHAnsi"/>
                <w:sz w:val="18"/>
                <w:szCs w:val="18"/>
              </w:rPr>
              <w:t>97%</w:t>
            </w:r>
          </w:p>
        </w:tc>
        <w:tc>
          <w:tcPr>
            <w:tcW w:w="1209" w:type="dxa"/>
            <w:gridSpan w:val="2"/>
            <w:shd w:val="clear" w:color="auto" w:fill="DBE5F1" w:themeFill="accent1" w:themeFillTint="33"/>
            <w:vAlign w:val="center"/>
          </w:tcPr>
          <w:p w:rsidR="00381EA9" w:rsidRPr="000255E3" w:rsidRDefault="00381EA9"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27.2</w:t>
            </w:r>
            <w:r w:rsidR="00DA6A75">
              <w:rPr>
                <w:rFonts w:asciiTheme="minorHAnsi" w:hAnsiTheme="minorHAnsi"/>
                <w:sz w:val="18"/>
                <w:szCs w:val="18"/>
              </w:rPr>
              <w:t>/</w:t>
            </w:r>
            <w:r w:rsidRPr="000255E3">
              <w:rPr>
                <w:rFonts w:asciiTheme="minorHAnsi" w:hAnsiTheme="minorHAnsi"/>
                <w:sz w:val="18"/>
                <w:szCs w:val="18"/>
              </w:rPr>
              <w:t>97%</w:t>
            </w:r>
          </w:p>
        </w:tc>
        <w:tc>
          <w:tcPr>
            <w:tcW w:w="1209" w:type="dxa"/>
            <w:gridSpan w:val="2"/>
            <w:shd w:val="clear" w:color="auto" w:fill="DBE5F1" w:themeFill="accent1" w:themeFillTint="33"/>
            <w:vAlign w:val="center"/>
          </w:tcPr>
          <w:p w:rsidR="00381EA9" w:rsidRPr="000255E3" w:rsidRDefault="00381EA9"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27.3</w:t>
            </w:r>
            <w:r w:rsidR="00DA6A75">
              <w:rPr>
                <w:rFonts w:asciiTheme="minorHAnsi" w:hAnsiTheme="minorHAnsi"/>
                <w:sz w:val="18"/>
                <w:szCs w:val="18"/>
              </w:rPr>
              <w:t>/</w:t>
            </w:r>
            <w:r w:rsidRPr="000255E3">
              <w:rPr>
                <w:rFonts w:asciiTheme="minorHAnsi" w:hAnsiTheme="minorHAnsi"/>
                <w:sz w:val="18"/>
                <w:szCs w:val="18"/>
              </w:rPr>
              <w:t>97%</w:t>
            </w:r>
          </w:p>
        </w:tc>
        <w:tc>
          <w:tcPr>
            <w:tcW w:w="1209" w:type="dxa"/>
            <w:shd w:val="clear" w:color="auto" w:fill="DBE5F1" w:themeFill="accent1" w:themeFillTint="33"/>
            <w:vAlign w:val="center"/>
          </w:tcPr>
          <w:p w:rsidR="00381EA9" w:rsidRPr="000255E3" w:rsidRDefault="00381EA9"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27.3</w:t>
            </w:r>
            <w:r w:rsidR="00DA6A75">
              <w:rPr>
                <w:rFonts w:asciiTheme="minorHAnsi" w:hAnsiTheme="minorHAnsi"/>
                <w:sz w:val="18"/>
                <w:szCs w:val="18"/>
              </w:rPr>
              <w:t>/</w:t>
            </w:r>
            <w:r w:rsidRPr="000255E3">
              <w:rPr>
                <w:rFonts w:asciiTheme="minorHAnsi" w:hAnsiTheme="minorHAnsi"/>
                <w:sz w:val="18"/>
                <w:szCs w:val="18"/>
              </w:rPr>
              <w:t>97%</w:t>
            </w:r>
          </w:p>
        </w:tc>
        <w:tc>
          <w:tcPr>
            <w:tcW w:w="1312" w:type="dxa"/>
            <w:gridSpan w:val="2"/>
            <w:shd w:val="clear" w:color="auto" w:fill="DBE5F1" w:themeFill="accent1" w:themeFillTint="33"/>
            <w:vAlign w:val="center"/>
          </w:tcPr>
          <w:p w:rsidR="00381EA9" w:rsidRPr="000255E3" w:rsidRDefault="00381EA9"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27.3</w:t>
            </w:r>
            <w:r w:rsidR="00DA6A75">
              <w:rPr>
                <w:rFonts w:asciiTheme="minorHAnsi" w:hAnsiTheme="minorHAnsi"/>
                <w:sz w:val="18"/>
                <w:szCs w:val="18"/>
              </w:rPr>
              <w:t>/</w:t>
            </w:r>
            <w:r w:rsidRPr="000255E3">
              <w:rPr>
                <w:rFonts w:asciiTheme="minorHAnsi" w:hAnsiTheme="minorHAnsi"/>
                <w:sz w:val="18"/>
                <w:szCs w:val="18"/>
              </w:rPr>
              <w:t>97%</w:t>
            </w:r>
          </w:p>
        </w:tc>
      </w:tr>
      <w:tr w:rsidR="00066F69" w:rsidRPr="000255E3" w:rsidTr="00070BB1">
        <w:trPr>
          <w:cantSplit/>
          <w:jc w:val="center"/>
        </w:trPr>
        <w:tc>
          <w:tcPr>
            <w:tcW w:w="1502" w:type="dxa"/>
            <w:vMerge/>
            <w:shd w:val="clear" w:color="auto" w:fill="DBE5F1" w:themeFill="accent1" w:themeFillTint="33"/>
            <w:vAlign w:val="center"/>
          </w:tcPr>
          <w:p w:rsidR="00381EA9" w:rsidRPr="000255E3" w:rsidRDefault="00381EA9" w:rsidP="007642C0">
            <w:pPr>
              <w:pStyle w:val="ListParagraph"/>
              <w:spacing w:before="40" w:after="40" w:line="240" w:lineRule="auto"/>
              <w:ind w:left="0"/>
              <w:rPr>
                <w:rFonts w:asciiTheme="minorHAnsi" w:hAnsiTheme="minorHAnsi"/>
                <w:b/>
                <w:sz w:val="18"/>
                <w:szCs w:val="18"/>
              </w:rPr>
            </w:pPr>
          </w:p>
        </w:tc>
        <w:tc>
          <w:tcPr>
            <w:tcW w:w="1227" w:type="dxa"/>
            <w:shd w:val="clear" w:color="auto" w:fill="DBE5F1" w:themeFill="accent1" w:themeFillTint="33"/>
            <w:vAlign w:val="center"/>
          </w:tcPr>
          <w:p w:rsidR="00381EA9" w:rsidRPr="00070BB1" w:rsidRDefault="00381EA9" w:rsidP="007642C0">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Coal</w:t>
            </w:r>
          </w:p>
        </w:tc>
        <w:tc>
          <w:tcPr>
            <w:tcW w:w="1326" w:type="dxa"/>
            <w:gridSpan w:val="2"/>
            <w:shd w:val="clear" w:color="auto" w:fill="DBE5F1" w:themeFill="accent1" w:themeFillTint="33"/>
            <w:vAlign w:val="center"/>
          </w:tcPr>
          <w:p w:rsidR="00381EA9" w:rsidRPr="000255E3" w:rsidRDefault="004E4A14"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(a)</w:t>
            </w:r>
          </w:p>
        </w:tc>
        <w:tc>
          <w:tcPr>
            <w:tcW w:w="1209" w:type="dxa"/>
            <w:shd w:val="clear" w:color="auto" w:fill="DBE5F1" w:themeFill="accent1" w:themeFillTint="33"/>
            <w:vAlign w:val="center"/>
          </w:tcPr>
          <w:p w:rsidR="00381EA9" w:rsidRPr="000255E3" w:rsidRDefault="004E4A14"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(a)</w:t>
            </w:r>
          </w:p>
        </w:tc>
        <w:tc>
          <w:tcPr>
            <w:tcW w:w="1209" w:type="dxa"/>
            <w:gridSpan w:val="2"/>
            <w:shd w:val="clear" w:color="auto" w:fill="DBE5F1" w:themeFill="accent1" w:themeFillTint="33"/>
            <w:vAlign w:val="center"/>
          </w:tcPr>
          <w:p w:rsidR="00381EA9" w:rsidRPr="000255E3" w:rsidRDefault="004E4A14"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(a)</w:t>
            </w:r>
          </w:p>
        </w:tc>
        <w:tc>
          <w:tcPr>
            <w:tcW w:w="1209" w:type="dxa"/>
            <w:gridSpan w:val="2"/>
            <w:shd w:val="clear" w:color="auto" w:fill="DBE5F1" w:themeFill="accent1" w:themeFillTint="33"/>
            <w:vAlign w:val="center"/>
          </w:tcPr>
          <w:p w:rsidR="00381EA9" w:rsidRPr="000255E3" w:rsidRDefault="00381EA9"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5.2</w:t>
            </w:r>
            <w:r w:rsidR="00DA6A75">
              <w:rPr>
                <w:rFonts w:asciiTheme="minorHAnsi" w:hAnsiTheme="minorHAnsi"/>
                <w:sz w:val="18"/>
                <w:szCs w:val="18"/>
              </w:rPr>
              <w:t>/</w:t>
            </w:r>
            <w:r w:rsidRPr="000255E3">
              <w:rPr>
                <w:rFonts w:asciiTheme="minorHAnsi" w:hAnsiTheme="minorHAnsi"/>
                <w:sz w:val="18"/>
                <w:szCs w:val="18"/>
              </w:rPr>
              <w:t>61%</w:t>
            </w:r>
          </w:p>
        </w:tc>
        <w:tc>
          <w:tcPr>
            <w:tcW w:w="1209" w:type="dxa"/>
            <w:shd w:val="clear" w:color="auto" w:fill="DBE5F1" w:themeFill="accent1" w:themeFillTint="33"/>
            <w:vAlign w:val="center"/>
          </w:tcPr>
          <w:p w:rsidR="00381EA9" w:rsidRPr="000255E3" w:rsidRDefault="004E4A14"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(a)</w:t>
            </w:r>
          </w:p>
        </w:tc>
        <w:tc>
          <w:tcPr>
            <w:tcW w:w="1312" w:type="dxa"/>
            <w:gridSpan w:val="2"/>
            <w:shd w:val="clear" w:color="auto" w:fill="DBE5F1" w:themeFill="accent1" w:themeFillTint="33"/>
            <w:vAlign w:val="center"/>
          </w:tcPr>
          <w:p w:rsidR="00381EA9" w:rsidRPr="000255E3" w:rsidRDefault="004E4A14"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(a)</w:t>
            </w:r>
          </w:p>
        </w:tc>
      </w:tr>
      <w:tr w:rsidR="00066F69" w:rsidRPr="000255E3" w:rsidTr="00070BB1">
        <w:trPr>
          <w:cantSplit/>
          <w:jc w:val="center"/>
        </w:trPr>
        <w:tc>
          <w:tcPr>
            <w:tcW w:w="1502" w:type="dxa"/>
            <w:vMerge/>
            <w:shd w:val="clear" w:color="auto" w:fill="DBE5F1" w:themeFill="accent1" w:themeFillTint="33"/>
            <w:vAlign w:val="center"/>
          </w:tcPr>
          <w:p w:rsidR="00381EA9" w:rsidRPr="000255E3" w:rsidRDefault="00381EA9" w:rsidP="007642C0">
            <w:pPr>
              <w:pStyle w:val="ListParagraph"/>
              <w:spacing w:before="40" w:after="40" w:line="240" w:lineRule="auto"/>
              <w:ind w:left="0"/>
              <w:rPr>
                <w:rFonts w:asciiTheme="minorHAnsi" w:hAnsiTheme="minorHAnsi"/>
                <w:b/>
                <w:sz w:val="18"/>
                <w:szCs w:val="18"/>
              </w:rPr>
            </w:pPr>
          </w:p>
        </w:tc>
        <w:tc>
          <w:tcPr>
            <w:tcW w:w="1227" w:type="dxa"/>
            <w:shd w:val="clear" w:color="auto" w:fill="DBE5F1" w:themeFill="accent1" w:themeFillTint="33"/>
            <w:vAlign w:val="center"/>
          </w:tcPr>
          <w:p w:rsidR="00381EA9" w:rsidRPr="00070BB1" w:rsidRDefault="001C7535" w:rsidP="00070BB1">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Resi</w:t>
            </w:r>
            <w:r w:rsidR="00381EA9" w:rsidRPr="00070BB1">
              <w:rPr>
                <w:rFonts w:asciiTheme="minorHAnsi" w:hAnsiTheme="minorHAnsi"/>
                <w:sz w:val="18"/>
                <w:szCs w:val="18"/>
              </w:rPr>
              <w:t xml:space="preserve">dual </w:t>
            </w:r>
            <w:r w:rsidR="00070BB1">
              <w:rPr>
                <w:rFonts w:asciiTheme="minorHAnsi" w:hAnsiTheme="minorHAnsi"/>
                <w:sz w:val="18"/>
                <w:szCs w:val="18"/>
              </w:rPr>
              <w:t>f</w:t>
            </w:r>
            <w:r w:rsidR="00381EA9" w:rsidRPr="00070BB1">
              <w:rPr>
                <w:rFonts w:asciiTheme="minorHAnsi" w:hAnsiTheme="minorHAnsi"/>
                <w:sz w:val="18"/>
                <w:szCs w:val="18"/>
              </w:rPr>
              <w:t xml:space="preserve">uel </w:t>
            </w:r>
            <w:r w:rsidR="00070BB1">
              <w:rPr>
                <w:rFonts w:asciiTheme="minorHAnsi" w:hAnsiTheme="minorHAnsi"/>
                <w:sz w:val="18"/>
                <w:szCs w:val="18"/>
              </w:rPr>
              <w:t>o</w:t>
            </w:r>
            <w:r w:rsidR="00381EA9" w:rsidRPr="00070BB1">
              <w:rPr>
                <w:rFonts w:asciiTheme="minorHAnsi" w:hAnsiTheme="minorHAnsi"/>
                <w:sz w:val="18"/>
                <w:szCs w:val="18"/>
              </w:rPr>
              <w:t>il</w:t>
            </w:r>
          </w:p>
        </w:tc>
        <w:tc>
          <w:tcPr>
            <w:tcW w:w="1326" w:type="dxa"/>
            <w:gridSpan w:val="2"/>
            <w:shd w:val="clear" w:color="auto" w:fill="DBE5F1" w:themeFill="accent1" w:themeFillTint="33"/>
            <w:vAlign w:val="center"/>
          </w:tcPr>
          <w:p w:rsidR="00381EA9" w:rsidRPr="000255E3" w:rsidRDefault="00381EA9"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sidR="00DA6A75">
              <w:rPr>
                <w:rFonts w:asciiTheme="minorHAnsi" w:hAnsiTheme="minorHAnsi"/>
                <w:sz w:val="18"/>
                <w:szCs w:val="18"/>
              </w:rPr>
              <w:t>/</w:t>
            </w:r>
            <w:r w:rsidRPr="000255E3">
              <w:rPr>
                <w:rFonts w:asciiTheme="minorHAnsi" w:hAnsiTheme="minorHAnsi"/>
                <w:sz w:val="18"/>
                <w:szCs w:val="18"/>
              </w:rPr>
              <w:t>0%</w:t>
            </w:r>
          </w:p>
        </w:tc>
        <w:tc>
          <w:tcPr>
            <w:tcW w:w="1209" w:type="dxa"/>
            <w:shd w:val="clear" w:color="auto" w:fill="DBE5F1" w:themeFill="accent1" w:themeFillTint="33"/>
            <w:vAlign w:val="center"/>
          </w:tcPr>
          <w:p w:rsidR="00381EA9" w:rsidRPr="000255E3" w:rsidRDefault="00381EA9"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sidR="00DA6A75">
              <w:rPr>
                <w:rFonts w:asciiTheme="minorHAnsi" w:hAnsiTheme="minorHAnsi"/>
                <w:sz w:val="18"/>
                <w:szCs w:val="18"/>
              </w:rPr>
              <w:t>/</w:t>
            </w:r>
            <w:r w:rsidRPr="000255E3">
              <w:rPr>
                <w:rFonts w:asciiTheme="minorHAnsi" w:hAnsiTheme="minorHAnsi"/>
                <w:sz w:val="18"/>
                <w:szCs w:val="18"/>
              </w:rPr>
              <w:t>0%</w:t>
            </w:r>
          </w:p>
        </w:tc>
        <w:tc>
          <w:tcPr>
            <w:tcW w:w="1209" w:type="dxa"/>
            <w:gridSpan w:val="2"/>
            <w:shd w:val="clear" w:color="auto" w:fill="DBE5F1" w:themeFill="accent1" w:themeFillTint="33"/>
            <w:vAlign w:val="center"/>
          </w:tcPr>
          <w:p w:rsidR="00381EA9" w:rsidRPr="000255E3" w:rsidRDefault="00381EA9"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sidR="00DA6A75">
              <w:rPr>
                <w:rFonts w:asciiTheme="minorHAnsi" w:hAnsiTheme="minorHAnsi"/>
                <w:sz w:val="18"/>
                <w:szCs w:val="18"/>
              </w:rPr>
              <w:t>/</w:t>
            </w:r>
            <w:r w:rsidRPr="000255E3">
              <w:rPr>
                <w:rFonts w:asciiTheme="minorHAnsi" w:hAnsiTheme="minorHAnsi"/>
                <w:sz w:val="18"/>
                <w:szCs w:val="18"/>
              </w:rPr>
              <w:t>0%</w:t>
            </w:r>
          </w:p>
        </w:tc>
        <w:tc>
          <w:tcPr>
            <w:tcW w:w="1209" w:type="dxa"/>
            <w:gridSpan w:val="2"/>
            <w:shd w:val="clear" w:color="auto" w:fill="DBE5F1" w:themeFill="accent1" w:themeFillTint="33"/>
            <w:vAlign w:val="center"/>
          </w:tcPr>
          <w:p w:rsidR="00381EA9" w:rsidRPr="000255E3" w:rsidRDefault="00381EA9"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sidR="00DA6A75">
              <w:rPr>
                <w:rFonts w:asciiTheme="minorHAnsi" w:hAnsiTheme="minorHAnsi"/>
                <w:sz w:val="18"/>
                <w:szCs w:val="18"/>
              </w:rPr>
              <w:t>/</w:t>
            </w:r>
            <w:r w:rsidRPr="000255E3">
              <w:rPr>
                <w:rFonts w:asciiTheme="minorHAnsi" w:hAnsiTheme="minorHAnsi"/>
                <w:sz w:val="18"/>
                <w:szCs w:val="18"/>
              </w:rPr>
              <w:t>0%</w:t>
            </w:r>
          </w:p>
        </w:tc>
        <w:tc>
          <w:tcPr>
            <w:tcW w:w="1209" w:type="dxa"/>
            <w:shd w:val="clear" w:color="auto" w:fill="DBE5F1" w:themeFill="accent1" w:themeFillTint="33"/>
            <w:vAlign w:val="center"/>
          </w:tcPr>
          <w:p w:rsidR="00381EA9" w:rsidRPr="000255E3" w:rsidRDefault="00381EA9"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sidR="00DA6A75">
              <w:rPr>
                <w:rFonts w:asciiTheme="minorHAnsi" w:hAnsiTheme="minorHAnsi"/>
                <w:sz w:val="18"/>
                <w:szCs w:val="18"/>
              </w:rPr>
              <w:t>/</w:t>
            </w:r>
            <w:r w:rsidRPr="000255E3">
              <w:rPr>
                <w:rFonts w:asciiTheme="minorHAnsi" w:hAnsiTheme="minorHAnsi"/>
                <w:sz w:val="18"/>
                <w:szCs w:val="18"/>
              </w:rPr>
              <w:t>0%</w:t>
            </w:r>
          </w:p>
        </w:tc>
        <w:tc>
          <w:tcPr>
            <w:tcW w:w="1312" w:type="dxa"/>
            <w:gridSpan w:val="2"/>
            <w:shd w:val="clear" w:color="auto" w:fill="DBE5F1" w:themeFill="accent1" w:themeFillTint="33"/>
            <w:vAlign w:val="center"/>
          </w:tcPr>
          <w:p w:rsidR="00381EA9" w:rsidRPr="000255E3" w:rsidRDefault="00381EA9"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sidR="00DA6A75">
              <w:rPr>
                <w:rFonts w:asciiTheme="minorHAnsi" w:hAnsiTheme="minorHAnsi"/>
                <w:sz w:val="18"/>
                <w:szCs w:val="18"/>
              </w:rPr>
              <w:t>/</w:t>
            </w:r>
            <w:r w:rsidRPr="000255E3">
              <w:rPr>
                <w:rFonts w:asciiTheme="minorHAnsi" w:hAnsiTheme="minorHAnsi"/>
                <w:sz w:val="18"/>
                <w:szCs w:val="18"/>
              </w:rPr>
              <w:t>0%</w:t>
            </w:r>
          </w:p>
        </w:tc>
      </w:tr>
      <w:tr w:rsidR="00066F69" w:rsidRPr="000255E3" w:rsidTr="00070BB1">
        <w:trPr>
          <w:cantSplit/>
          <w:jc w:val="center"/>
        </w:trPr>
        <w:tc>
          <w:tcPr>
            <w:tcW w:w="1502" w:type="dxa"/>
            <w:vMerge/>
            <w:shd w:val="clear" w:color="auto" w:fill="DBE5F1" w:themeFill="accent1" w:themeFillTint="33"/>
            <w:vAlign w:val="center"/>
          </w:tcPr>
          <w:p w:rsidR="00381EA9" w:rsidRPr="000255E3" w:rsidRDefault="00381EA9" w:rsidP="007642C0">
            <w:pPr>
              <w:pStyle w:val="ListParagraph"/>
              <w:spacing w:before="40" w:after="40" w:line="240" w:lineRule="auto"/>
              <w:ind w:left="0"/>
              <w:rPr>
                <w:rFonts w:asciiTheme="minorHAnsi" w:hAnsiTheme="minorHAnsi"/>
                <w:b/>
                <w:sz w:val="18"/>
                <w:szCs w:val="18"/>
              </w:rPr>
            </w:pPr>
          </w:p>
        </w:tc>
        <w:tc>
          <w:tcPr>
            <w:tcW w:w="1227" w:type="dxa"/>
            <w:shd w:val="clear" w:color="auto" w:fill="DBE5F1" w:themeFill="accent1" w:themeFillTint="33"/>
            <w:vAlign w:val="center"/>
          </w:tcPr>
          <w:p w:rsidR="00381EA9" w:rsidRPr="00070BB1" w:rsidRDefault="00381EA9" w:rsidP="00070BB1">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 xml:space="preserve">Offshore </w:t>
            </w:r>
            <w:r w:rsidR="00070BB1">
              <w:rPr>
                <w:rFonts w:asciiTheme="minorHAnsi" w:hAnsiTheme="minorHAnsi"/>
                <w:sz w:val="18"/>
                <w:szCs w:val="18"/>
              </w:rPr>
              <w:t>w</w:t>
            </w:r>
            <w:r w:rsidRPr="00070BB1">
              <w:rPr>
                <w:rFonts w:asciiTheme="minorHAnsi" w:hAnsiTheme="minorHAnsi"/>
                <w:sz w:val="18"/>
                <w:szCs w:val="18"/>
              </w:rPr>
              <w:t>ind</w:t>
            </w:r>
          </w:p>
        </w:tc>
        <w:tc>
          <w:tcPr>
            <w:tcW w:w="1326" w:type="dxa"/>
            <w:gridSpan w:val="2"/>
            <w:shd w:val="clear" w:color="auto" w:fill="DBE5F1" w:themeFill="accent1" w:themeFillTint="33"/>
            <w:vAlign w:val="center"/>
          </w:tcPr>
          <w:p w:rsidR="00381EA9" w:rsidRPr="000255E3" w:rsidRDefault="00381EA9"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1.9</w:t>
            </w:r>
            <w:r w:rsidR="00DA6A75">
              <w:rPr>
                <w:rFonts w:asciiTheme="minorHAnsi" w:hAnsiTheme="minorHAnsi"/>
                <w:sz w:val="18"/>
                <w:szCs w:val="18"/>
              </w:rPr>
              <w:t>/</w:t>
            </w:r>
            <w:r w:rsidRPr="000255E3">
              <w:rPr>
                <w:rFonts w:asciiTheme="minorHAnsi" w:hAnsiTheme="minorHAnsi"/>
                <w:sz w:val="18"/>
                <w:szCs w:val="18"/>
              </w:rPr>
              <w:t>46%</w:t>
            </w:r>
          </w:p>
        </w:tc>
        <w:tc>
          <w:tcPr>
            <w:tcW w:w="1209" w:type="dxa"/>
            <w:shd w:val="clear" w:color="auto" w:fill="DBE5F1" w:themeFill="accent1" w:themeFillTint="33"/>
            <w:vAlign w:val="center"/>
          </w:tcPr>
          <w:p w:rsidR="00381EA9" w:rsidRPr="000255E3" w:rsidRDefault="00381EA9"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6.8</w:t>
            </w:r>
            <w:r w:rsidR="00DA6A75">
              <w:rPr>
                <w:rFonts w:asciiTheme="minorHAnsi" w:hAnsiTheme="minorHAnsi"/>
                <w:sz w:val="18"/>
                <w:szCs w:val="18"/>
              </w:rPr>
              <w:t>/</w:t>
            </w:r>
            <w:r w:rsidRPr="000255E3">
              <w:rPr>
                <w:rFonts w:asciiTheme="minorHAnsi" w:hAnsiTheme="minorHAnsi"/>
                <w:sz w:val="18"/>
                <w:szCs w:val="18"/>
              </w:rPr>
              <w:t>46%</w:t>
            </w:r>
          </w:p>
        </w:tc>
        <w:tc>
          <w:tcPr>
            <w:tcW w:w="1209" w:type="dxa"/>
            <w:gridSpan w:val="2"/>
            <w:shd w:val="clear" w:color="auto" w:fill="DBE5F1" w:themeFill="accent1" w:themeFillTint="33"/>
            <w:vAlign w:val="center"/>
          </w:tcPr>
          <w:p w:rsidR="00381EA9" w:rsidRPr="000255E3" w:rsidRDefault="00381EA9"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9.4</w:t>
            </w:r>
            <w:r w:rsidR="00DA6A75">
              <w:rPr>
                <w:rFonts w:asciiTheme="minorHAnsi" w:hAnsiTheme="minorHAnsi"/>
                <w:sz w:val="18"/>
                <w:szCs w:val="18"/>
              </w:rPr>
              <w:t>/</w:t>
            </w:r>
            <w:r w:rsidRPr="000255E3">
              <w:rPr>
                <w:rFonts w:asciiTheme="minorHAnsi" w:hAnsiTheme="minorHAnsi"/>
                <w:sz w:val="18"/>
                <w:szCs w:val="18"/>
              </w:rPr>
              <w:t>43%</w:t>
            </w:r>
          </w:p>
        </w:tc>
        <w:tc>
          <w:tcPr>
            <w:tcW w:w="1209" w:type="dxa"/>
            <w:gridSpan w:val="2"/>
            <w:shd w:val="clear" w:color="auto" w:fill="DBE5F1" w:themeFill="accent1" w:themeFillTint="33"/>
            <w:vAlign w:val="center"/>
          </w:tcPr>
          <w:p w:rsidR="00381EA9" w:rsidRPr="000255E3" w:rsidRDefault="00381EA9"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1.9</w:t>
            </w:r>
            <w:r w:rsidR="00DA6A75">
              <w:rPr>
                <w:rFonts w:asciiTheme="minorHAnsi" w:hAnsiTheme="minorHAnsi"/>
                <w:sz w:val="18"/>
                <w:szCs w:val="18"/>
              </w:rPr>
              <w:t>/</w:t>
            </w:r>
            <w:r w:rsidRPr="000255E3">
              <w:rPr>
                <w:rFonts w:asciiTheme="minorHAnsi" w:hAnsiTheme="minorHAnsi"/>
                <w:sz w:val="18"/>
                <w:szCs w:val="18"/>
              </w:rPr>
              <w:t>46%</w:t>
            </w:r>
          </w:p>
        </w:tc>
        <w:tc>
          <w:tcPr>
            <w:tcW w:w="1209" w:type="dxa"/>
            <w:shd w:val="clear" w:color="auto" w:fill="DBE5F1" w:themeFill="accent1" w:themeFillTint="33"/>
            <w:vAlign w:val="center"/>
          </w:tcPr>
          <w:p w:rsidR="00381EA9" w:rsidRPr="000255E3" w:rsidRDefault="00381EA9"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1.9</w:t>
            </w:r>
            <w:r w:rsidR="00DA6A75">
              <w:rPr>
                <w:rFonts w:asciiTheme="minorHAnsi" w:hAnsiTheme="minorHAnsi"/>
                <w:sz w:val="18"/>
                <w:szCs w:val="18"/>
              </w:rPr>
              <w:t>/</w:t>
            </w:r>
            <w:r w:rsidRPr="000255E3">
              <w:rPr>
                <w:rFonts w:asciiTheme="minorHAnsi" w:hAnsiTheme="minorHAnsi"/>
                <w:sz w:val="18"/>
                <w:szCs w:val="18"/>
              </w:rPr>
              <w:t>46%</w:t>
            </w:r>
          </w:p>
        </w:tc>
        <w:tc>
          <w:tcPr>
            <w:tcW w:w="1312" w:type="dxa"/>
            <w:gridSpan w:val="2"/>
            <w:shd w:val="clear" w:color="auto" w:fill="DBE5F1" w:themeFill="accent1" w:themeFillTint="33"/>
            <w:vAlign w:val="center"/>
          </w:tcPr>
          <w:p w:rsidR="00381EA9" w:rsidRPr="000255E3" w:rsidRDefault="00381EA9"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26.1</w:t>
            </w:r>
            <w:r w:rsidR="00DA6A75">
              <w:rPr>
                <w:rFonts w:asciiTheme="minorHAnsi" w:hAnsiTheme="minorHAnsi"/>
                <w:sz w:val="18"/>
                <w:szCs w:val="18"/>
              </w:rPr>
              <w:t>/</w:t>
            </w:r>
            <w:r w:rsidRPr="000255E3">
              <w:rPr>
                <w:rFonts w:asciiTheme="minorHAnsi" w:hAnsiTheme="minorHAnsi"/>
                <w:sz w:val="18"/>
                <w:szCs w:val="18"/>
              </w:rPr>
              <w:t>51%</w:t>
            </w:r>
          </w:p>
        </w:tc>
      </w:tr>
      <w:tr w:rsidR="00066F69" w:rsidRPr="000255E3" w:rsidTr="00070BB1">
        <w:trPr>
          <w:cantSplit/>
          <w:jc w:val="center"/>
        </w:trPr>
        <w:tc>
          <w:tcPr>
            <w:tcW w:w="1502" w:type="dxa"/>
            <w:vMerge/>
            <w:shd w:val="clear" w:color="auto" w:fill="DBE5F1" w:themeFill="accent1" w:themeFillTint="33"/>
            <w:vAlign w:val="center"/>
          </w:tcPr>
          <w:p w:rsidR="00381EA9" w:rsidRPr="000255E3" w:rsidRDefault="00381EA9" w:rsidP="007642C0">
            <w:pPr>
              <w:pStyle w:val="ListParagraph"/>
              <w:spacing w:before="40" w:after="40" w:line="240" w:lineRule="auto"/>
              <w:ind w:left="0"/>
              <w:rPr>
                <w:rFonts w:asciiTheme="minorHAnsi" w:hAnsiTheme="minorHAnsi"/>
                <w:b/>
                <w:sz w:val="18"/>
                <w:szCs w:val="18"/>
              </w:rPr>
            </w:pPr>
          </w:p>
        </w:tc>
        <w:tc>
          <w:tcPr>
            <w:tcW w:w="1227" w:type="dxa"/>
            <w:shd w:val="clear" w:color="auto" w:fill="DBE5F1" w:themeFill="accent1" w:themeFillTint="33"/>
            <w:vAlign w:val="center"/>
          </w:tcPr>
          <w:p w:rsidR="00381EA9" w:rsidRPr="00070BB1" w:rsidRDefault="00381EA9" w:rsidP="007642C0">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Onshore</w:t>
            </w:r>
          </w:p>
          <w:p w:rsidR="00381EA9" w:rsidRPr="00070BB1" w:rsidRDefault="00070BB1" w:rsidP="00070BB1">
            <w:pPr>
              <w:pStyle w:val="ListParagraph"/>
              <w:spacing w:before="40" w:after="40" w:line="240" w:lineRule="auto"/>
              <w:ind w:left="0"/>
              <w:rPr>
                <w:rFonts w:asciiTheme="minorHAnsi" w:hAnsiTheme="minorHAnsi"/>
                <w:sz w:val="18"/>
                <w:szCs w:val="18"/>
              </w:rPr>
            </w:pPr>
            <w:r>
              <w:rPr>
                <w:rFonts w:asciiTheme="minorHAnsi" w:hAnsiTheme="minorHAnsi"/>
                <w:sz w:val="18"/>
                <w:szCs w:val="18"/>
              </w:rPr>
              <w:t>w</w:t>
            </w:r>
            <w:r w:rsidR="00381EA9" w:rsidRPr="00070BB1">
              <w:rPr>
                <w:rFonts w:asciiTheme="minorHAnsi" w:hAnsiTheme="minorHAnsi"/>
                <w:sz w:val="18"/>
                <w:szCs w:val="18"/>
              </w:rPr>
              <w:t>ind</w:t>
            </w:r>
          </w:p>
        </w:tc>
        <w:tc>
          <w:tcPr>
            <w:tcW w:w="1326" w:type="dxa"/>
            <w:gridSpan w:val="2"/>
            <w:shd w:val="clear" w:color="auto" w:fill="DBE5F1" w:themeFill="accent1" w:themeFillTint="33"/>
            <w:vAlign w:val="center"/>
          </w:tcPr>
          <w:p w:rsidR="00381EA9" w:rsidRPr="000255E3" w:rsidRDefault="00381EA9"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11.3</w:t>
            </w:r>
            <w:r w:rsidR="00DA6A75">
              <w:rPr>
                <w:rFonts w:asciiTheme="minorHAnsi" w:hAnsiTheme="minorHAnsi"/>
                <w:sz w:val="18"/>
                <w:szCs w:val="18"/>
              </w:rPr>
              <w:t>/</w:t>
            </w:r>
            <w:r w:rsidRPr="000255E3">
              <w:rPr>
                <w:rFonts w:asciiTheme="minorHAnsi" w:hAnsiTheme="minorHAnsi"/>
                <w:sz w:val="18"/>
                <w:szCs w:val="18"/>
              </w:rPr>
              <w:t>33%</w:t>
            </w:r>
          </w:p>
        </w:tc>
        <w:tc>
          <w:tcPr>
            <w:tcW w:w="1209" w:type="dxa"/>
            <w:shd w:val="clear" w:color="auto" w:fill="DBE5F1" w:themeFill="accent1" w:themeFillTint="33"/>
            <w:vAlign w:val="center"/>
          </w:tcPr>
          <w:p w:rsidR="00381EA9" w:rsidRPr="000255E3" w:rsidRDefault="00381EA9"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18.9</w:t>
            </w:r>
            <w:r w:rsidR="00DA6A75">
              <w:rPr>
                <w:rFonts w:asciiTheme="minorHAnsi" w:hAnsiTheme="minorHAnsi"/>
                <w:sz w:val="18"/>
                <w:szCs w:val="18"/>
              </w:rPr>
              <w:t>/</w:t>
            </w:r>
            <w:r w:rsidRPr="000255E3">
              <w:rPr>
                <w:rFonts w:asciiTheme="minorHAnsi" w:hAnsiTheme="minorHAnsi"/>
                <w:sz w:val="18"/>
                <w:szCs w:val="18"/>
              </w:rPr>
              <w:t>15%</w:t>
            </w:r>
          </w:p>
        </w:tc>
        <w:tc>
          <w:tcPr>
            <w:tcW w:w="1209" w:type="dxa"/>
            <w:gridSpan w:val="2"/>
            <w:shd w:val="clear" w:color="auto" w:fill="DBE5F1" w:themeFill="accent1" w:themeFillTint="33"/>
            <w:vAlign w:val="center"/>
          </w:tcPr>
          <w:p w:rsidR="00381EA9" w:rsidRPr="000255E3" w:rsidRDefault="00381EA9"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13.0</w:t>
            </w:r>
            <w:r w:rsidR="00DA6A75">
              <w:rPr>
                <w:rFonts w:asciiTheme="minorHAnsi" w:hAnsiTheme="minorHAnsi"/>
                <w:sz w:val="18"/>
                <w:szCs w:val="18"/>
              </w:rPr>
              <w:t>/</w:t>
            </w:r>
            <w:r w:rsidRPr="000255E3">
              <w:rPr>
                <w:rFonts w:asciiTheme="minorHAnsi" w:hAnsiTheme="minorHAnsi"/>
                <w:sz w:val="18"/>
                <w:szCs w:val="18"/>
              </w:rPr>
              <w:t>32%</w:t>
            </w:r>
          </w:p>
        </w:tc>
        <w:tc>
          <w:tcPr>
            <w:tcW w:w="1209" w:type="dxa"/>
            <w:gridSpan w:val="2"/>
            <w:shd w:val="clear" w:color="auto" w:fill="DBE5F1" w:themeFill="accent1" w:themeFillTint="33"/>
            <w:vAlign w:val="center"/>
          </w:tcPr>
          <w:p w:rsidR="00381EA9" w:rsidRPr="000255E3" w:rsidRDefault="00381EA9"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4.6</w:t>
            </w:r>
            <w:r w:rsidR="00DA6A75">
              <w:rPr>
                <w:rFonts w:asciiTheme="minorHAnsi" w:hAnsiTheme="minorHAnsi"/>
                <w:sz w:val="18"/>
                <w:szCs w:val="18"/>
              </w:rPr>
              <w:t>/</w:t>
            </w:r>
            <w:r w:rsidRPr="000255E3">
              <w:rPr>
                <w:rFonts w:asciiTheme="minorHAnsi" w:hAnsiTheme="minorHAnsi"/>
                <w:sz w:val="18"/>
                <w:szCs w:val="18"/>
              </w:rPr>
              <w:t>41%</w:t>
            </w:r>
          </w:p>
        </w:tc>
        <w:tc>
          <w:tcPr>
            <w:tcW w:w="1209" w:type="dxa"/>
            <w:shd w:val="clear" w:color="auto" w:fill="DBE5F1" w:themeFill="accent1" w:themeFillTint="33"/>
            <w:vAlign w:val="center"/>
          </w:tcPr>
          <w:p w:rsidR="00381EA9" w:rsidRPr="000255E3" w:rsidRDefault="00381EA9"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4.6</w:t>
            </w:r>
            <w:r w:rsidR="00DA6A75">
              <w:rPr>
                <w:rFonts w:asciiTheme="minorHAnsi" w:hAnsiTheme="minorHAnsi"/>
                <w:sz w:val="18"/>
                <w:szCs w:val="18"/>
              </w:rPr>
              <w:t>/</w:t>
            </w:r>
            <w:r w:rsidRPr="000255E3">
              <w:rPr>
                <w:rFonts w:asciiTheme="minorHAnsi" w:hAnsiTheme="minorHAnsi"/>
                <w:sz w:val="18"/>
                <w:szCs w:val="18"/>
              </w:rPr>
              <w:t>41%</w:t>
            </w:r>
          </w:p>
        </w:tc>
        <w:tc>
          <w:tcPr>
            <w:tcW w:w="1312" w:type="dxa"/>
            <w:gridSpan w:val="2"/>
            <w:shd w:val="clear" w:color="auto" w:fill="DBE5F1" w:themeFill="accent1" w:themeFillTint="33"/>
            <w:vAlign w:val="center"/>
          </w:tcPr>
          <w:p w:rsidR="00381EA9" w:rsidRPr="000255E3" w:rsidRDefault="00381EA9"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15.5</w:t>
            </w:r>
            <w:r w:rsidR="00DA6A75">
              <w:rPr>
                <w:rFonts w:asciiTheme="minorHAnsi" w:hAnsiTheme="minorHAnsi"/>
                <w:sz w:val="18"/>
                <w:szCs w:val="18"/>
              </w:rPr>
              <w:t>/</w:t>
            </w:r>
            <w:r w:rsidRPr="000255E3">
              <w:rPr>
                <w:rFonts w:asciiTheme="minorHAnsi" w:hAnsiTheme="minorHAnsi"/>
                <w:sz w:val="18"/>
                <w:szCs w:val="18"/>
              </w:rPr>
              <w:t>25%</w:t>
            </w:r>
          </w:p>
        </w:tc>
      </w:tr>
      <w:tr w:rsidR="00066F69" w:rsidRPr="000255E3" w:rsidTr="00070BB1">
        <w:trPr>
          <w:cantSplit/>
          <w:jc w:val="center"/>
        </w:trPr>
        <w:tc>
          <w:tcPr>
            <w:tcW w:w="1502" w:type="dxa"/>
            <w:vMerge/>
            <w:shd w:val="clear" w:color="auto" w:fill="DBE5F1" w:themeFill="accent1" w:themeFillTint="33"/>
            <w:vAlign w:val="center"/>
          </w:tcPr>
          <w:p w:rsidR="00381EA9" w:rsidRPr="000255E3" w:rsidRDefault="00381EA9" w:rsidP="007642C0">
            <w:pPr>
              <w:pStyle w:val="ListParagraph"/>
              <w:spacing w:before="40" w:after="40" w:line="240" w:lineRule="auto"/>
              <w:ind w:left="0"/>
              <w:rPr>
                <w:rFonts w:asciiTheme="minorHAnsi" w:hAnsiTheme="minorHAnsi"/>
                <w:b/>
                <w:sz w:val="18"/>
                <w:szCs w:val="18"/>
              </w:rPr>
            </w:pPr>
          </w:p>
        </w:tc>
        <w:tc>
          <w:tcPr>
            <w:tcW w:w="1227" w:type="dxa"/>
            <w:shd w:val="clear" w:color="auto" w:fill="DBE5F1" w:themeFill="accent1" w:themeFillTint="33"/>
            <w:vAlign w:val="center"/>
          </w:tcPr>
          <w:p w:rsidR="00381EA9" w:rsidRPr="00070BB1" w:rsidRDefault="00381EA9" w:rsidP="007642C0">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Hydro</w:t>
            </w:r>
          </w:p>
        </w:tc>
        <w:tc>
          <w:tcPr>
            <w:tcW w:w="1326" w:type="dxa"/>
            <w:gridSpan w:val="2"/>
            <w:shd w:val="clear" w:color="auto" w:fill="DBE5F1" w:themeFill="accent1" w:themeFillTint="33"/>
            <w:vAlign w:val="center"/>
          </w:tcPr>
          <w:p w:rsidR="00381EA9" w:rsidRPr="000255E3" w:rsidRDefault="00381EA9"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3.9</w:t>
            </w:r>
            <w:r w:rsidR="00DA6A75">
              <w:rPr>
                <w:rFonts w:asciiTheme="minorHAnsi" w:hAnsiTheme="minorHAnsi"/>
                <w:sz w:val="18"/>
                <w:szCs w:val="18"/>
              </w:rPr>
              <w:t>/</w:t>
            </w:r>
            <w:r w:rsidRPr="000255E3">
              <w:rPr>
                <w:rFonts w:asciiTheme="minorHAnsi" w:hAnsiTheme="minorHAnsi"/>
                <w:sz w:val="18"/>
                <w:szCs w:val="18"/>
              </w:rPr>
              <w:t>29%</w:t>
            </w:r>
          </w:p>
        </w:tc>
        <w:tc>
          <w:tcPr>
            <w:tcW w:w="1209" w:type="dxa"/>
            <w:shd w:val="clear" w:color="auto" w:fill="DBE5F1" w:themeFill="accent1" w:themeFillTint="33"/>
            <w:vAlign w:val="center"/>
          </w:tcPr>
          <w:p w:rsidR="00381EA9" w:rsidRPr="000255E3" w:rsidRDefault="00381EA9"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3.3</w:t>
            </w:r>
            <w:r w:rsidR="00DA6A75">
              <w:rPr>
                <w:rFonts w:asciiTheme="minorHAnsi" w:hAnsiTheme="minorHAnsi"/>
                <w:sz w:val="18"/>
                <w:szCs w:val="18"/>
              </w:rPr>
              <w:t>/</w:t>
            </w:r>
            <w:r w:rsidRPr="000255E3">
              <w:rPr>
                <w:rFonts w:asciiTheme="minorHAnsi" w:hAnsiTheme="minorHAnsi"/>
                <w:sz w:val="18"/>
                <w:szCs w:val="18"/>
              </w:rPr>
              <w:t>25%</w:t>
            </w:r>
          </w:p>
        </w:tc>
        <w:tc>
          <w:tcPr>
            <w:tcW w:w="1209" w:type="dxa"/>
            <w:gridSpan w:val="2"/>
            <w:shd w:val="clear" w:color="auto" w:fill="DBE5F1" w:themeFill="accent1" w:themeFillTint="33"/>
            <w:vAlign w:val="center"/>
          </w:tcPr>
          <w:p w:rsidR="00381EA9" w:rsidRPr="000255E3" w:rsidRDefault="00381EA9"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3.7</w:t>
            </w:r>
            <w:r w:rsidR="00DA6A75">
              <w:rPr>
                <w:rFonts w:asciiTheme="minorHAnsi" w:hAnsiTheme="minorHAnsi"/>
                <w:sz w:val="18"/>
                <w:szCs w:val="18"/>
              </w:rPr>
              <w:t>/</w:t>
            </w:r>
            <w:r w:rsidRPr="000255E3">
              <w:rPr>
                <w:rFonts w:asciiTheme="minorHAnsi" w:hAnsiTheme="minorHAnsi"/>
                <w:sz w:val="18"/>
                <w:szCs w:val="18"/>
              </w:rPr>
              <w:t>27%</w:t>
            </w:r>
          </w:p>
        </w:tc>
        <w:tc>
          <w:tcPr>
            <w:tcW w:w="1209" w:type="dxa"/>
            <w:gridSpan w:val="2"/>
            <w:shd w:val="clear" w:color="auto" w:fill="DBE5F1" w:themeFill="accent1" w:themeFillTint="33"/>
            <w:vAlign w:val="center"/>
          </w:tcPr>
          <w:p w:rsidR="00381EA9" w:rsidRPr="000255E3" w:rsidRDefault="00381EA9"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4.0</w:t>
            </w:r>
            <w:r w:rsidR="00DA6A75">
              <w:rPr>
                <w:rFonts w:asciiTheme="minorHAnsi" w:hAnsiTheme="minorHAnsi"/>
                <w:sz w:val="18"/>
                <w:szCs w:val="18"/>
              </w:rPr>
              <w:t>/</w:t>
            </w:r>
            <w:r w:rsidRPr="000255E3">
              <w:rPr>
                <w:rFonts w:asciiTheme="minorHAnsi" w:hAnsiTheme="minorHAnsi"/>
                <w:sz w:val="18"/>
                <w:szCs w:val="18"/>
              </w:rPr>
              <w:t>29%</w:t>
            </w:r>
          </w:p>
        </w:tc>
        <w:tc>
          <w:tcPr>
            <w:tcW w:w="1209" w:type="dxa"/>
            <w:shd w:val="clear" w:color="auto" w:fill="DBE5F1" w:themeFill="accent1" w:themeFillTint="33"/>
            <w:vAlign w:val="center"/>
          </w:tcPr>
          <w:p w:rsidR="00381EA9" w:rsidRPr="000255E3" w:rsidRDefault="00381EA9"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4.0</w:t>
            </w:r>
            <w:r w:rsidR="00DA6A75">
              <w:rPr>
                <w:rFonts w:asciiTheme="minorHAnsi" w:hAnsiTheme="minorHAnsi"/>
                <w:sz w:val="18"/>
                <w:szCs w:val="18"/>
              </w:rPr>
              <w:t>/</w:t>
            </w:r>
            <w:r w:rsidRPr="000255E3">
              <w:rPr>
                <w:rFonts w:asciiTheme="minorHAnsi" w:hAnsiTheme="minorHAnsi"/>
                <w:sz w:val="18"/>
                <w:szCs w:val="18"/>
              </w:rPr>
              <w:t>29%</w:t>
            </w:r>
          </w:p>
        </w:tc>
        <w:tc>
          <w:tcPr>
            <w:tcW w:w="1312" w:type="dxa"/>
            <w:gridSpan w:val="2"/>
            <w:shd w:val="clear" w:color="auto" w:fill="DBE5F1" w:themeFill="accent1" w:themeFillTint="33"/>
            <w:vAlign w:val="center"/>
          </w:tcPr>
          <w:p w:rsidR="00381EA9" w:rsidRPr="000255E3" w:rsidRDefault="00381EA9"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3.5</w:t>
            </w:r>
            <w:r w:rsidR="00DA6A75">
              <w:rPr>
                <w:rFonts w:asciiTheme="minorHAnsi" w:hAnsiTheme="minorHAnsi"/>
                <w:sz w:val="18"/>
                <w:szCs w:val="18"/>
              </w:rPr>
              <w:t>/</w:t>
            </w:r>
            <w:r w:rsidRPr="000255E3">
              <w:rPr>
                <w:rFonts w:asciiTheme="minorHAnsi" w:hAnsiTheme="minorHAnsi"/>
                <w:sz w:val="18"/>
                <w:szCs w:val="18"/>
              </w:rPr>
              <w:t>26%</w:t>
            </w:r>
          </w:p>
        </w:tc>
      </w:tr>
      <w:tr w:rsidR="00070BB1" w:rsidRPr="000255E3" w:rsidTr="00070BB1">
        <w:trPr>
          <w:cantSplit/>
          <w:jc w:val="center"/>
        </w:trPr>
        <w:tc>
          <w:tcPr>
            <w:tcW w:w="1502" w:type="dxa"/>
            <w:vMerge w:val="restart"/>
            <w:vAlign w:val="center"/>
          </w:tcPr>
          <w:p w:rsidR="00070BB1" w:rsidRPr="000255E3" w:rsidRDefault="00070BB1" w:rsidP="007642C0">
            <w:pPr>
              <w:pStyle w:val="ListParagraph"/>
              <w:spacing w:before="40" w:after="40" w:line="240" w:lineRule="auto"/>
              <w:ind w:left="0"/>
              <w:rPr>
                <w:rFonts w:asciiTheme="minorHAnsi" w:hAnsiTheme="minorHAnsi"/>
                <w:b/>
                <w:sz w:val="18"/>
                <w:szCs w:val="18"/>
              </w:rPr>
            </w:pPr>
          </w:p>
          <w:p w:rsidR="00070BB1" w:rsidRPr="000255E3" w:rsidRDefault="00070BB1" w:rsidP="007642C0">
            <w:pPr>
              <w:pStyle w:val="ListParagraph"/>
              <w:spacing w:before="40" w:after="40" w:line="240" w:lineRule="auto"/>
              <w:ind w:left="0"/>
              <w:rPr>
                <w:rFonts w:asciiTheme="minorHAnsi" w:hAnsiTheme="minorHAnsi"/>
                <w:b/>
                <w:sz w:val="18"/>
                <w:szCs w:val="18"/>
              </w:rPr>
            </w:pPr>
          </w:p>
          <w:p w:rsidR="00070BB1" w:rsidRPr="000255E3" w:rsidRDefault="00070BB1" w:rsidP="007642C0">
            <w:pPr>
              <w:pStyle w:val="ListParagraph"/>
              <w:spacing w:before="40" w:after="40" w:line="240" w:lineRule="auto"/>
              <w:ind w:left="0"/>
              <w:rPr>
                <w:rFonts w:asciiTheme="minorHAnsi" w:hAnsiTheme="minorHAnsi"/>
                <w:b/>
                <w:sz w:val="18"/>
                <w:szCs w:val="18"/>
              </w:rPr>
            </w:pPr>
          </w:p>
          <w:p w:rsidR="00070BB1" w:rsidRPr="000255E3" w:rsidRDefault="00070BB1" w:rsidP="007642C0">
            <w:pPr>
              <w:pStyle w:val="ListParagraph"/>
              <w:spacing w:before="40" w:after="40" w:line="240" w:lineRule="auto"/>
              <w:ind w:left="0"/>
              <w:rPr>
                <w:rFonts w:asciiTheme="minorHAnsi" w:hAnsiTheme="minorHAnsi"/>
                <w:b/>
                <w:sz w:val="18"/>
                <w:szCs w:val="18"/>
              </w:rPr>
            </w:pPr>
            <w:r w:rsidRPr="000255E3">
              <w:rPr>
                <w:rFonts w:asciiTheme="minorHAnsi" w:hAnsiTheme="minorHAnsi"/>
                <w:b/>
                <w:sz w:val="18"/>
                <w:szCs w:val="18"/>
              </w:rPr>
              <w:t xml:space="preserve">2025 </w:t>
            </w:r>
          </w:p>
          <w:p w:rsidR="00070BB1" w:rsidRPr="000255E3" w:rsidRDefault="00070BB1" w:rsidP="007642C0">
            <w:pPr>
              <w:pStyle w:val="ListParagraph"/>
              <w:spacing w:before="40" w:after="40" w:line="240" w:lineRule="auto"/>
              <w:ind w:left="0"/>
              <w:rPr>
                <w:rFonts w:asciiTheme="minorHAnsi" w:hAnsiTheme="minorHAnsi"/>
                <w:b/>
                <w:sz w:val="18"/>
                <w:szCs w:val="18"/>
              </w:rPr>
            </w:pPr>
            <w:r w:rsidRPr="000255E3">
              <w:rPr>
                <w:rFonts w:asciiTheme="minorHAnsi" w:hAnsiTheme="minorHAnsi"/>
                <w:b/>
                <w:sz w:val="18"/>
                <w:szCs w:val="18"/>
              </w:rPr>
              <w:t>Unconstrained</w:t>
            </w:r>
          </w:p>
        </w:tc>
        <w:tc>
          <w:tcPr>
            <w:tcW w:w="1227" w:type="dxa"/>
            <w:vAlign w:val="center"/>
          </w:tcPr>
          <w:p w:rsidR="00070BB1" w:rsidRPr="00070BB1" w:rsidRDefault="00070BB1" w:rsidP="00070BB1">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 xml:space="preserve">NG </w:t>
            </w:r>
            <w:r>
              <w:rPr>
                <w:rFonts w:asciiTheme="minorHAnsi" w:hAnsiTheme="minorHAnsi"/>
                <w:sz w:val="18"/>
                <w:szCs w:val="18"/>
              </w:rPr>
              <w:t>c</w:t>
            </w:r>
            <w:r w:rsidRPr="00070BB1">
              <w:rPr>
                <w:rFonts w:asciiTheme="minorHAnsi" w:hAnsiTheme="minorHAnsi"/>
                <w:sz w:val="18"/>
                <w:szCs w:val="18"/>
              </w:rPr>
              <w:t xml:space="preserve">ombined </w:t>
            </w:r>
            <w:r>
              <w:rPr>
                <w:rFonts w:asciiTheme="minorHAnsi" w:hAnsiTheme="minorHAnsi"/>
                <w:sz w:val="18"/>
                <w:szCs w:val="18"/>
              </w:rPr>
              <w:t>c</w:t>
            </w:r>
            <w:r w:rsidRPr="00070BB1">
              <w:rPr>
                <w:rFonts w:asciiTheme="minorHAnsi" w:hAnsiTheme="minorHAnsi"/>
                <w:sz w:val="18"/>
                <w:szCs w:val="18"/>
              </w:rPr>
              <w:t>ycle</w:t>
            </w:r>
          </w:p>
        </w:tc>
        <w:tc>
          <w:tcPr>
            <w:tcW w:w="1326" w:type="dxa"/>
            <w:gridSpan w:val="2"/>
            <w:vAlign w:val="center"/>
          </w:tcPr>
          <w:p w:rsidR="00070BB1" w:rsidRPr="000255E3" w:rsidRDefault="00070BB1"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52.7</w:t>
            </w:r>
            <w:r>
              <w:rPr>
                <w:rFonts w:asciiTheme="minorHAnsi" w:hAnsiTheme="minorHAnsi"/>
                <w:sz w:val="18"/>
                <w:szCs w:val="18"/>
              </w:rPr>
              <w:t>/</w:t>
            </w:r>
            <w:r w:rsidRPr="000255E3">
              <w:rPr>
                <w:rFonts w:asciiTheme="minorHAnsi" w:hAnsiTheme="minorHAnsi"/>
                <w:sz w:val="18"/>
                <w:szCs w:val="18"/>
              </w:rPr>
              <w:t>37%</w:t>
            </w:r>
          </w:p>
        </w:tc>
        <w:tc>
          <w:tcPr>
            <w:tcW w:w="1209" w:type="dxa"/>
            <w:vAlign w:val="center"/>
          </w:tcPr>
          <w:p w:rsidR="00070BB1" w:rsidRPr="000255E3" w:rsidRDefault="00070BB1"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47.9</w:t>
            </w:r>
            <w:r>
              <w:rPr>
                <w:rFonts w:asciiTheme="minorHAnsi" w:hAnsiTheme="minorHAnsi"/>
                <w:sz w:val="18"/>
                <w:szCs w:val="18"/>
              </w:rPr>
              <w:t>/</w:t>
            </w:r>
            <w:r w:rsidRPr="000255E3">
              <w:rPr>
                <w:rFonts w:asciiTheme="minorHAnsi" w:hAnsiTheme="minorHAnsi"/>
                <w:sz w:val="18"/>
                <w:szCs w:val="18"/>
              </w:rPr>
              <w:t>35%</w:t>
            </w:r>
          </w:p>
        </w:tc>
        <w:tc>
          <w:tcPr>
            <w:tcW w:w="1209" w:type="dxa"/>
            <w:gridSpan w:val="2"/>
            <w:vAlign w:val="center"/>
          </w:tcPr>
          <w:p w:rsidR="00070BB1" w:rsidRPr="000255E3" w:rsidRDefault="00070BB1"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27.9</w:t>
            </w:r>
            <w:r>
              <w:rPr>
                <w:rFonts w:asciiTheme="minorHAnsi" w:hAnsiTheme="minorHAnsi"/>
                <w:sz w:val="18"/>
                <w:szCs w:val="18"/>
              </w:rPr>
              <w:t>/</w:t>
            </w:r>
            <w:r w:rsidRPr="000255E3">
              <w:rPr>
                <w:rFonts w:asciiTheme="minorHAnsi" w:hAnsiTheme="minorHAnsi"/>
                <w:sz w:val="18"/>
                <w:szCs w:val="18"/>
              </w:rPr>
              <w:t>20%</w:t>
            </w:r>
          </w:p>
        </w:tc>
        <w:tc>
          <w:tcPr>
            <w:tcW w:w="1209" w:type="dxa"/>
            <w:gridSpan w:val="2"/>
            <w:vAlign w:val="center"/>
          </w:tcPr>
          <w:p w:rsidR="00070BB1" w:rsidRPr="000255E3" w:rsidRDefault="00070BB1"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53.4</w:t>
            </w:r>
            <w:r>
              <w:rPr>
                <w:rFonts w:asciiTheme="minorHAnsi" w:hAnsiTheme="minorHAnsi"/>
                <w:sz w:val="18"/>
                <w:szCs w:val="18"/>
              </w:rPr>
              <w:t>/</w:t>
            </w:r>
            <w:r w:rsidRPr="000255E3">
              <w:rPr>
                <w:rFonts w:asciiTheme="minorHAnsi" w:hAnsiTheme="minorHAnsi"/>
                <w:sz w:val="18"/>
                <w:szCs w:val="18"/>
              </w:rPr>
              <w:t>39%</w:t>
            </w:r>
          </w:p>
        </w:tc>
        <w:tc>
          <w:tcPr>
            <w:tcW w:w="1209" w:type="dxa"/>
            <w:vAlign w:val="center"/>
          </w:tcPr>
          <w:p w:rsidR="00070BB1" w:rsidRPr="000255E3" w:rsidRDefault="00070BB1"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58.1</w:t>
            </w:r>
            <w:r>
              <w:rPr>
                <w:rFonts w:asciiTheme="minorHAnsi" w:hAnsiTheme="minorHAnsi"/>
                <w:sz w:val="18"/>
                <w:szCs w:val="18"/>
              </w:rPr>
              <w:t>/</w:t>
            </w:r>
            <w:r w:rsidRPr="000255E3">
              <w:rPr>
                <w:rFonts w:asciiTheme="minorHAnsi" w:hAnsiTheme="minorHAnsi"/>
                <w:sz w:val="18"/>
                <w:szCs w:val="18"/>
              </w:rPr>
              <w:t>40%</w:t>
            </w:r>
          </w:p>
        </w:tc>
        <w:tc>
          <w:tcPr>
            <w:tcW w:w="1312" w:type="dxa"/>
            <w:gridSpan w:val="2"/>
            <w:vAlign w:val="center"/>
          </w:tcPr>
          <w:p w:rsidR="00070BB1" w:rsidRPr="000255E3" w:rsidRDefault="00070BB1"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47.7</w:t>
            </w:r>
            <w:r>
              <w:rPr>
                <w:rFonts w:asciiTheme="minorHAnsi" w:hAnsiTheme="minorHAnsi"/>
                <w:sz w:val="18"/>
                <w:szCs w:val="18"/>
              </w:rPr>
              <w:t>/</w:t>
            </w:r>
            <w:r w:rsidRPr="000255E3">
              <w:rPr>
                <w:rFonts w:asciiTheme="minorHAnsi" w:hAnsiTheme="minorHAnsi"/>
                <w:sz w:val="18"/>
                <w:szCs w:val="18"/>
              </w:rPr>
              <w:t>35%</w:t>
            </w:r>
          </w:p>
        </w:tc>
      </w:tr>
      <w:tr w:rsidR="00070BB1" w:rsidRPr="000255E3" w:rsidTr="00070BB1">
        <w:trPr>
          <w:cantSplit/>
          <w:jc w:val="center"/>
        </w:trPr>
        <w:tc>
          <w:tcPr>
            <w:tcW w:w="1502" w:type="dxa"/>
            <w:vMerge/>
            <w:vAlign w:val="center"/>
          </w:tcPr>
          <w:p w:rsidR="00070BB1" w:rsidRPr="000255E3" w:rsidRDefault="00070BB1" w:rsidP="007642C0">
            <w:pPr>
              <w:pStyle w:val="ListParagraph"/>
              <w:spacing w:before="40" w:after="40" w:line="240" w:lineRule="auto"/>
              <w:ind w:left="0"/>
              <w:rPr>
                <w:rFonts w:asciiTheme="minorHAnsi" w:hAnsiTheme="minorHAnsi"/>
                <w:b/>
                <w:sz w:val="18"/>
                <w:szCs w:val="18"/>
              </w:rPr>
            </w:pPr>
          </w:p>
        </w:tc>
        <w:tc>
          <w:tcPr>
            <w:tcW w:w="1227" w:type="dxa"/>
            <w:vAlign w:val="center"/>
          </w:tcPr>
          <w:p w:rsidR="00070BB1" w:rsidRPr="00070BB1" w:rsidRDefault="00070BB1" w:rsidP="00070BB1">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 xml:space="preserve">NG </w:t>
            </w:r>
            <w:r>
              <w:rPr>
                <w:rFonts w:asciiTheme="minorHAnsi" w:hAnsiTheme="minorHAnsi"/>
                <w:sz w:val="18"/>
                <w:szCs w:val="18"/>
              </w:rPr>
              <w:t>s</w:t>
            </w:r>
            <w:r w:rsidRPr="00070BB1">
              <w:rPr>
                <w:rFonts w:asciiTheme="minorHAnsi" w:hAnsiTheme="minorHAnsi"/>
                <w:sz w:val="18"/>
                <w:szCs w:val="18"/>
              </w:rPr>
              <w:t>ingle</w:t>
            </w:r>
            <w:r>
              <w:rPr>
                <w:rFonts w:asciiTheme="minorHAnsi" w:hAnsiTheme="minorHAnsi"/>
                <w:sz w:val="18"/>
                <w:szCs w:val="18"/>
              </w:rPr>
              <w:t>-</w:t>
            </w:r>
            <w:r w:rsidRPr="00070BB1">
              <w:rPr>
                <w:rFonts w:asciiTheme="minorHAnsi" w:hAnsiTheme="minorHAnsi"/>
                <w:sz w:val="18"/>
                <w:szCs w:val="18"/>
              </w:rPr>
              <w:t xml:space="preserve"> </w:t>
            </w:r>
            <w:r>
              <w:rPr>
                <w:rFonts w:asciiTheme="minorHAnsi" w:hAnsiTheme="minorHAnsi"/>
                <w:sz w:val="18"/>
                <w:szCs w:val="18"/>
              </w:rPr>
              <w:t>c</w:t>
            </w:r>
            <w:r w:rsidRPr="00070BB1">
              <w:rPr>
                <w:rFonts w:asciiTheme="minorHAnsi" w:hAnsiTheme="minorHAnsi"/>
                <w:sz w:val="18"/>
                <w:szCs w:val="18"/>
              </w:rPr>
              <w:t>ycle CT</w:t>
            </w:r>
          </w:p>
        </w:tc>
        <w:tc>
          <w:tcPr>
            <w:tcW w:w="1326" w:type="dxa"/>
            <w:gridSpan w:val="2"/>
            <w:vAlign w:val="center"/>
          </w:tcPr>
          <w:p w:rsidR="00070BB1" w:rsidRPr="000255E3" w:rsidRDefault="00070BB1"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0.1</w:t>
            </w:r>
            <w:r>
              <w:rPr>
                <w:rFonts w:asciiTheme="minorHAnsi" w:hAnsiTheme="minorHAnsi"/>
                <w:sz w:val="18"/>
                <w:szCs w:val="18"/>
              </w:rPr>
              <w:t>/</w:t>
            </w:r>
            <w:r w:rsidRPr="000255E3">
              <w:rPr>
                <w:rFonts w:asciiTheme="minorHAnsi" w:hAnsiTheme="minorHAnsi"/>
                <w:sz w:val="18"/>
                <w:szCs w:val="18"/>
              </w:rPr>
              <w:t>1%</w:t>
            </w:r>
          </w:p>
        </w:tc>
        <w:tc>
          <w:tcPr>
            <w:tcW w:w="1209" w:type="dxa"/>
            <w:vAlign w:val="center"/>
          </w:tcPr>
          <w:p w:rsidR="00070BB1" w:rsidRPr="000255E3" w:rsidRDefault="00070BB1"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0.1/1%</w:t>
            </w:r>
          </w:p>
        </w:tc>
        <w:tc>
          <w:tcPr>
            <w:tcW w:w="1209" w:type="dxa"/>
            <w:gridSpan w:val="2"/>
            <w:vAlign w:val="center"/>
          </w:tcPr>
          <w:p w:rsidR="00070BB1" w:rsidRPr="000255E3" w:rsidRDefault="00070BB1"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Pr>
                <w:rFonts w:asciiTheme="minorHAnsi" w:hAnsiTheme="minorHAnsi"/>
                <w:sz w:val="18"/>
                <w:szCs w:val="18"/>
              </w:rPr>
              <w:t>/</w:t>
            </w:r>
            <w:r w:rsidRPr="000255E3">
              <w:rPr>
                <w:rFonts w:asciiTheme="minorHAnsi" w:hAnsiTheme="minorHAnsi"/>
                <w:sz w:val="18"/>
                <w:szCs w:val="18"/>
              </w:rPr>
              <w:t>0%</w:t>
            </w:r>
          </w:p>
        </w:tc>
        <w:tc>
          <w:tcPr>
            <w:tcW w:w="1209" w:type="dxa"/>
            <w:gridSpan w:val="2"/>
            <w:vAlign w:val="center"/>
          </w:tcPr>
          <w:p w:rsidR="00070BB1" w:rsidRPr="000255E3" w:rsidRDefault="00070BB1"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0.1</w:t>
            </w:r>
            <w:r>
              <w:rPr>
                <w:rFonts w:asciiTheme="minorHAnsi" w:hAnsiTheme="minorHAnsi"/>
                <w:sz w:val="18"/>
                <w:szCs w:val="18"/>
              </w:rPr>
              <w:t>/</w:t>
            </w:r>
            <w:r w:rsidRPr="000255E3">
              <w:rPr>
                <w:rFonts w:asciiTheme="minorHAnsi" w:hAnsiTheme="minorHAnsi"/>
                <w:sz w:val="18"/>
                <w:szCs w:val="18"/>
              </w:rPr>
              <w:t>1%</w:t>
            </w:r>
          </w:p>
        </w:tc>
        <w:tc>
          <w:tcPr>
            <w:tcW w:w="1209" w:type="dxa"/>
            <w:vAlign w:val="center"/>
          </w:tcPr>
          <w:p w:rsidR="00070BB1" w:rsidRPr="000255E3" w:rsidRDefault="00070BB1"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0.1</w:t>
            </w:r>
            <w:r>
              <w:rPr>
                <w:rFonts w:asciiTheme="minorHAnsi" w:hAnsiTheme="minorHAnsi"/>
                <w:sz w:val="18"/>
                <w:szCs w:val="18"/>
              </w:rPr>
              <w:t>/</w:t>
            </w:r>
            <w:r w:rsidRPr="000255E3">
              <w:rPr>
                <w:rFonts w:asciiTheme="minorHAnsi" w:hAnsiTheme="minorHAnsi"/>
                <w:sz w:val="18"/>
                <w:szCs w:val="18"/>
              </w:rPr>
              <w:t>1%</w:t>
            </w:r>
          </w:p>
        </w:tc>
        <w:tc>
          <w:tcPr>
            <w:tcW w:w="1312" w:type="dxa"/>
            <w:gridSpan w:val="2"/>
            <w:vAlign w:val="center"/>
          </w:tcPr>
          <w:p w:rsidR="00070BB1" w:rsidRPr="000255E3" w:rsidRDefault="00070BB1"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0.1</w:t>
            </w:r>
            <w:r>
              <w:rPr>
                <w:rFonts w:asciiTheme="minorHAnsi" w:hAnsiTheme="minorHAnsi"/>
                <w:sz w:val="18"/>
                <w:szCs w:val="18"/>
              </w:rPr>
              <w:t>/</w:t>
            </w:r>
            <w:r w:rsidRPr="000255E3">
              <w:rPr>
                <w:rFonts w:asciiTheme="minorHAnsi" w:hAnsiTheme="minorHAnsi"/>
                <w:sz w:val="18"/>
                <w:szCs w:val="18"/>
              </w:rPr>
              <w:t>0%</w:t>
            </w:r>
          </w:p>
        </w:tc>
      </w:tr>
      <w:tr w:rsidR="00070BB1" w:rsidRPr="000255E3" w:rsidTr="00070BB1">
        <w:trPr>
          <w:cantSplit/>
          <w:jc w:val="center"/>
        </w:trPr>
        <w:tc>
          <w:tcPr>
            <w:tcW w:w="1502" w:type="dxa"/>
            <w:vMerge/>
            <w:vAlign w:val="center"/>
          </w:tcPr>
          <w:p w:rsidR="00070BB1" w:rsidRPr="000255E3" w:rsidRDefault="00070BB1" w:rsidP="007642C0">
            <w:pPr>
              <w:pStyle w:val="ListParagraph"/>
              <w:spacing w:before="40" w:after="40" w:line="240" w:lineRule="auto"/>
              <w:ind w:left="0"/>
              <w:rPr>
                <w:rFonts w:asciiTheme="minorHAnsi" w:hAnsiTheme="minorHAnsi"/>
                <w:b/>
                <w:sz w:val="18"/>
                <w:szCs w:val="18"/>
              </w:rPr>
            </w:pPr>
          </w:p>
        </w:tc>
        <w:tc>
          <w:tcPr>
            <w:tcW w:w="1227" w:type="dxa"/>
            <w:vAlign w:val="center"/>
          </w:tcPr>
          <w:p w:rsidR="00070BB1" w:rsidRPr="00070BB1" w:rsidRDefault="00070BB1" w:rsidP="007642C0">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Nuclear</w:t>
            </w:r>
          </w:p>
        </w:tc>
        <w:tc>
          <w:tcPr>
            <w:tcW w:w="1310" w:type="dxa"/>
            <w:vAlign w:val="center"/>
          </w:tcPr>
          <w:p w:rsidR="00070BB1" w:rsidRPr="000255E3" w:rsidRDefault="00070BB1"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27.3</w:t>
            </w:r>
            <w:r>
              <w:rPr>
                <w:rFonts w:asciiTheme="minorHAnsi" w:hAnsiTheme="minorHAnsi"/>
                <w:sz w:val="18"/>
                <w:szCs w:val="18"/>
              </w:rPr>
              <w:t>/</w:t>
            </w:r>
            <w:r w:rsidRPr="000255E3">
              <w:rPr>
                <w:rFonts w:asciiTheme="minorHAnsi" w:hAnsiTheme="minorHAnsi"/>
                <w:sz w:val="18"/>
                <w:szCs w:val="18"/>
              </w:rPr>
              <w:t>97%</w:t>
            </w:r>
          </w:p>
        </w:tc>
        <w:tc>
          <w:tcPr>
            <w:tcW w:w="1260" w:type="dxa"/>
            <w:gridSpan w:val="3"/>
            <w:vAlign w:val="center"/>
          </w:tcPr>
          <w:p w:rsidR="00070BB1" w:rsidRPr="000255E3" w:rsidRDefault="00070BB1"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27.3</w:t>
            </w:r>
            <w:r>
              <w:rPr>
                <w:rFonts w:asciiTheme="minorHAnsi" w:hAnsiTheme="minorHAnsi"/>
                <w:sz w:val="18"/>
                <w:szCs w:val="18"/>
              </w:rPr>
              <w:t>/</w:t>
            </w:r>
            <w:r w:rsidRPr="000255E3">
              <w:rPr>
                <w:rFonts w:asciiTheme="minorHAnsi" w:hAnsiTheme="minorHAnsi"/>
                <w:sz w:val="18"/>
                <w:szCs w:val="18"/>
              </w:rPr>
              <w:t>97%</w:t>
            </w:r>
          </w:p>
        </w:tc>
        <w:tc>
          <w:tcPr>
            <w:tcW w:w="1174" w:type="dxa"/>
            <w:vAlign w:val="center"/>
          </w:tcPr>
          <w:p w:rsidR="00070BB1" w:rsidRPr="000255E3" w:rsidRDefault="00070BB1"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27.3</w:t>
            </w:r>
            <w:r>
              <w:rPr>
                <w:rFonts w:asciiTheme="minorHAnsi" w:hAnsiTheme="minorHAnsi"/>
                <w:sz w:val="18"/>
                <w:szCs w:val="18"/>
              </w:rPr>
              <w:t>/</w:t>
            </w:r>
            <w:r w:rsidRPr="000255E3">
              <w:rPr>
                <w:rFonts w:asciiTheme="minorHAnsi" w:hAnsiTheme="minorHAnsi"/>
                <w:sz w:val="18"/>
                <w:szCs w:val="18"/>
              </w:rPr>
              <w:t>97%</w:t>
            </w:r>
          </w:p>
        </w:tc>
        <w:tc>
          <w:tcPr>
            <w:tcW w:w="1168" w:type="dxa"/>
            <w:vAlign w:val="center"/>
          </w:tcPr>
          <w:p w:rsidR="00070BB1" w:rsidRPr="000255E3" w:rsidRDefault="00070BB1"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27.3</w:t>
            </w:r>
            <w:r>
              <w:rPr>
                <w:rFonts w:asciiTheme="minorHAnsi" w:hAnsiTheme="minorHAnsi"/>
                <w:sz w:val="18"/>
                <w:szCs w:val="18"/>
              </w:rPr>
              <w:t>/</w:t>
            </w:r>
            <w:r w:rsidRPr="000255E3">
              <w:rPr>
                <w:rFonts w:asciiTheme="minorHAnsi" w:hAnsiTheme="minorHAnsi"/>
                <w:sz w:val="18"/>
                <w:szCs w:val="18"/>
              </w:rPr>
              <w:t>97%</w:t>
            </w:r>
          </w:p>
        </w:tc>
        <w:tc>
          <w:tcPr>
            <w:tcW w:w="1260" w:type="dxa"/>
            <w:gridSpan w:val="3"/>
            <w:vAlign w:val="center"/>
          </w:tcPr>
          <w:p w:rsidR="00070BB1" w:rsidRPr="000255E3" w:rsidRDefault="00070BB1"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27.3</w:t>
            </w:r>
            <w:r>
              <w:rPr>
                <w:rFonts w:asciiTheme="minorHAnsi" w:hAnsiTheme="minorHAnsi"/>
                <w:sz w:val="18"/>
                <w:szCs w:val="18"/>
              </w:rPr>
              <w:t>/</w:t>
            </w:r>
            <w:r w:rsidRPr="000255E3">
              <w:rPr>
                <w:rFonts w:asciiTheme="minorHAnsi" w:hAnsiTheme="minorHAnsi"/>
                <w:sz w:val="18"/>
                <w:szCs w:val="18"/>
              </w:rPr>
              <w:t>97%</w:t>
            </w:r>
          </w:p>
        </w:tc>
        <w:tc>
          <w:tcPr>
            <w:tcW w:w="1302" w:type="dxa"/>
            <w:vAlign w:val="center"/>
          </w:tcPr>
          <w:p w:rsidR="00070BB1" w:rsidRPr="000255E3" w:rsidRDefault="00070BB1"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27.3</w:t>
            </w:r>
            <w:r>
              <w:rPr>
                <w:rFonts w:asciiTheme="minorHAnsi" w:hAnsiTheme="minorHAnsi"/>
                <w:sz w:val="18"/>
                <w:szCs w:val="18"/>
              </w:rPr>
              <w:t>/</w:t>
            </w:r>
            <w:r w:rsidRPr="000255E3">
              <w:rPr>
                <w:rFonts w:asciiTheme="minorHAnsi" w:hAnsiTheme="minorHAnsi"/>
                <w:sz w:val="18"/>
                <w:szCs w:val="18"/>
              </w:rPr>
              <w:t>97%</w:t>
            </w:r>
          </w:p>
        </w:tc>
      </w:tr>
      <w:tr w:rsidR="00070BB1" w:rsidRPr="000255E3" w:rsidTr="00070BB1">
        <w:trPr>
          <w:cantSplit/>
          <w:jc w:val="center"/>
        </w:trPr>
        <w:tc>
          <w:tcPr>
            <w:tcW w:w="1502" w:type="dxa"/>
            <w:vMerge/>
            <w:vAlign w:val="center"/>
          </w:tcPr>
          <w:p w:rsidR="00070BB1" w:rsidRPr="000255E3" w:rsidRDefault="00070BB1" w:rsidP="007642C0">
            <w:pPr>
              <w:pStyle w:val="ListParagraph"/>
              <w:spacing w:before="40" w:after="40" w:line="240" w:lineRule="auto"/>
              <w:ind w:left="0"/>
              <w:rPr>
                <w:rFonts w:asciiTheme="minorHAnsi" w:hAnsiTheme="minorHAnsi"/>
                <w:b/>
                <w:sz w:val="18"/>
                <w:szCs w:val="18"/>
              </w:rPr>
            </w:pPr>
          </w:p>
        </w:tc>
        <w:tc>
          <w:tcPr>
            <w:tcW w:w="1227" w:type="dxa"/>
            <w:vAlign w:val="center"/>
          </w:tcPr>
          <w:p w:rsidR="00070BB1" w:rsidRPr="00070BB1" w:rsidRDefault="00070BB1" w:rsidP="007642C0">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Coal</w:t>
            </w:r>
          </w:p>
        </w:tc>
        <w:tc>
          <w:tcPr>
            <w:tcW w:w="1310" w:type="dxa"/>
            <w:vAlign w:val="center"/>
          </w:tcPr>
          <w:p w:rsidR="00070BB1" w:rsidRPr="000255E3" w:rsidRDefault="00070BB1"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(a)</w:t>
            </w:r>
          </w:p>
        </w:tc>
        <w:tc>
          <w:tcPr>
            <w:tcW w:w="1260" w:type="dxa"/>
            <w:gridSpan w:val="3"/>
            <w:vAlign w:val="center"/>
          </w:tcPr>
          <w:p w:rsidR="00070BB1" w:rsidRPr="000255E3" w:rsidRDefault="00070BB1"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(a)</w:t>
            </w:r>
          </w:p>
        </w:tc>
        <w:tc>
          <w:tcPr>
            <w:tcW w:w="1174" w:type="dxa"/>
            <w:vAlign w:val="center"/>
          </w:tcPr>
          <w:p w:rsidR="00070BB1" w:rsidRPr="000255E3" w:rsidRDefault="00070BB1"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(a)</w:t>
            </w:r>
          </w:p>
        </w:tc>
        <w:tc>
          <w:tcPr>
            <w:tcW w:w="1168" w:type="dxa"/>
            <w:vAlign w:val="center"/>
          </w:tcPr>
          <w:p w:rsidR="00070BB1" w:rsidRPr="000255E3" w:rsidRDefault="00070BB1"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5.1</w:t>
            </w:r>
            <w:r>
              <w:rPr>
                <w:rFonts w:asciiTheme="minorHAnsi" w:hAnsiTheme="minorHAnsi"/>
                <w:sz w:val="18"/>
                <w:szCs w:val="18"/>
              </w:rPr>
              <w:t>/</w:t>
            </w:r>
            <w:r w:rsidRPr="000255E3">
              <w:rPr>
                <w:rFonts w:asciiTheme="minorHAnsi" w:hAnsiTheme="minorHAnsi"/>
                <w:sz w:val="18"/>
                <w:szCs w:val="18"/>
              </w:rPr>
              <w:t>59%</w:t>
            </w:r>
          </w:p>
        </w:tc>
        <w:tc>
          <w:tcPr>
            <w:tcW w:w="1260" w:type="dxa"/>
            <w:gridSpan w:val="3"/>
            <w:vAlign w:val="center"/>
          </w:tcPr>
          <w:p w:rsidR="00070BB1" w:rsidRPr="000255E3" w:rsidRDefault="00070BB1"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(a)</w:t>
            </w:r>
          </w:p>
        </w:tc>
        <w:tc>
          <w:tcPr>
            <w:tcW w:w="1302" w:type="dxa"/>
            <w:vAlign w:val="center"/>
          </w:tcPr>
          <w:p w:rsidR="00070BB1" w:rsidRPr="000255E3" w:rsidRDefault="00070BB1"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(a)</w:t>
            </w:r>
          </w:p>
        </w:tc>
      </w:tr>
      <w:tr w:rsidR="00070BB1" w:rsidRPr="000255E3" w:rsidTr="00070BB1">
        <w:trPr>
          <w:cantSplit/>
          <w:jc w:val="center"/>
        </w:trPr>
        <w:tc>
          <w:tcPr>
            <w:tcW w:w="1502" w:type="dxa"/>
            <w:vMerge/>
            <w:vAlign w:val="center"/>
          </w:tcPr>
          <w:p w:rsidR="00070BB1" w:rsidRPr="000255E3" w:rsidRDefault="00070BB1" w:rsidP="007642C0">
            <w:pPr>
              <w:pStyle w:val="ListParagraph"/>
              <w:spacing w:before="40" w:after="40" w:line="240" w:lineRule="auto"/>
              <w:ind w:left="0"/>
              <w:rPr>
                <w:rFonts w:asciiTheme="minorHAnsi" w:hAnsiTheme="minorHAnsi"/>
                <w:b/>
                <w:sz w:val="18"/>
                <w:szCs w:val="18"/>
              </w:rPr>
            </w:pPr>
          </w:p>
        </w:tc>
        <w:tc>
          <w:tcPr>
            <w:tcW w:w="1227" w:type="dxa"/>
            <w:vAlign w:val="center"/>
          </w:tcPr>
          <w:p w:rsidR="00070BB1" w:rsidRPr="000255E3" w:rsidRDefault="00070BB1" w:rsidP="007642C0">
            <w:pPr>
              <w:pStyle w:val="ListParagraph"/>
              <w:spacing w:before="40" w:after="40" w:line="240" w:lineRule="auto"/>
              <w:ind w:left="0"/>
              <w:rPr>
                <w:rFonts w:asciiTheme="minorHAnsi" w:hAnsiTheme="minorHAnsi"/>
                <w:b/>
                <w:sz w:val="18"/>
                <w:szCs w:val="18"/>
              </w:rPr>
            </w:pPr>
            <w:r w:rsidRPr="00070BB1">
              <w:rPr>
                <w:rFonts w:asciiTheme="minorHAnsi" w:hAnsiTheme="minorHAnsi"/>
                <w:sz w:val="18"/>
                <w:szCs w:val="18"/>
              </w:rPr>
              <w:t xml:space="preserve">Residual </w:t>
            </w:r>
            <w:r>
              <w:rPr>
                <w:rFonts w:asciiTheme="minorHAnsi" w:hAnsiTheme="minorHAnsi"/>
                <w:sz w:val="18"/>
                <w:szCs w:val="18"/>
              </w:rPr>
              <w:t>f</w:t>
            </w:r>
            <w:r w:rsidRPr="00070BB1">
              <w:rPr>
                <w:rFonts w:asciiTheme="minorHAnsi" w:hAnsiTheme="minorHAnsi"/>
                <w:sz w:val="18"/>
                <w:szCs w:val="18"/>
              </w:rPr>
              <w:t xml:space="preserve">uel </w:t>
            </w:r>
            <w:r>
              <w:rPr>
                <w:rFonts w:asciiTheme="minorHAnsi" w:hAnsiTheme="minorHAnsi"/>
                <w:sz w:val="18"/>
                <w:szCs w:val="18"/>
              </w:rPr>
              <w:t>o</w:t>
            </w:r>
            <w:r w:rsidRPr="00070BB1">
              <w:rPr>
                <w:rFonts w:asciiTheme="minorHAnsi" w:hAnsiTheme="minorHAnsi"/>
                <w:sz w:val="18"/>
                <w:szCs w:val="18"/>
              </w:rPr>
              <w:t>il</w:t>
            </w:r>
          </w:p>
        </w:tc>
        <w:tc>
          <w:tcPr>
            <w:tcW w:w="1310" w:type="dxa"/>
            <w:vAlign w:val="center"/>
          </w:tcPr>
          <w:p w:rsidR="00070BB1" w:rsidRPr="000255E3" w:rsidRDefault="00070BB1"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Pr>
                <w:rFonts w:asciiTheme="minorHAnsi" w:hAnsiTheme="minorHAnsi"/>
                <w:sz w:val="18"/>
                <w:szCs w:val="18"/>
              </w:rPr>
              <w:t>/</w:t>
            </w:r>
            <w:r w:rsidRPr="000255E3">
              <w:rPr>
                <w:rFonts w:asciiTheme="minorHAnsi" w:hAnsiTheme="minorHAnsi"/>
                <w:sz w:val="18"/>
                <w:szCs w:val="18"/>
              </w:rPr>
              <w:t>0%</w:t>
            </w:r>
          </w:p>
        </w:tc>
        <w:tc>
          <w:tcPr>
            <w:tcW w:w="1260" w:type="dxa"/>
            <w:gridSpan w:val="3"/>
            <w:vAlign w:val="center"/>
          </w:tcPr>
          <w:p w:rsidR="00070BB1" w:rsidRPr="000255E3" w:rsidRDefault="00070BB1"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Pr>
                <w:rFonts w:asciiTheme="minorHAnsi" w:hAnsiTheme="minorHAnsi"/>
                <w:sz w:val="18"/>
                <w:szCs w:val="18"/>
              </w:rPr>
              <w:t>/</w:t>
            </w:r>
            <w:r w:rsidRPr="000255E3">
              <w:rPr>
                <w:rFonts w:asciiTheme="minorHAnsi" w:hAnsiTheme="minorHAnsi"/>
                <w:sz w:val="18"/>
                <w:szCs w:val="18"/>
              </w:rPr>
              <w:t>0%</w:t>
            </w:r>
          </w:p>
        </w:tc>
        <w:tc>
          <w:tcPr>
            <w:tcW w:w="1174" w:type="dxa"/>
            <w:vAlign w:val="center"/>
          </w:tcPr>
          <w:p w:rsidR="00070BB1" w:rsidRPr="000255E3" w:rsidRDefault="00070BB1"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Pr>
                <w:rFonts w:asciiTheme="minorHAnsi" w:hAnsiTheme="minorHAnsi"/>
                <w:sz w:val="18"/>
                <w:szCs w:val="18"/>
              </w:rPr>
              <w:t>/</w:t>
            </w:r>
            <w:r w:rsidRPr="000255E3">
              <w:rPr>
                <w:rFonts w:asciiTheme="minorHAnsi" w:hAnsiTheme="minorHAnsi"/>
                <w:sz w:val="18"/>
                <w:szCs w:val="18"/>
              </w:rPr>
              <w:t>0%</w:t>
            </w:r>
          </w:p>
        </w:tc>
        <w:tc>
          <w:tcPr>
            <w:tcW w:w="1168" w:type="dxa"/>
            <w:vAlign w:val="center"/>
          </w:tcPr>
          <w:p w:rsidR="00070BB1" w:rsidRPr="000255E3" w:rsidRDefault="00070BB1"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Pr>
                <w:rFonts w:asciiTheme="minorHAnsi" w:hAnsiTheme="minorHAnsi"/>
                <w:sz w:val="18"/>
                <w:szCs w:val="18"/>
              </w:rPr>
              <w:t>/</w:t>
            </w:r>
            <w:r w:rsidRPr="000255E3">
              <w:rPr>
                <w:rFonts w:asciiTheme="minorHAnsi" w:hAnsiTheme="minorHAnsi"/>
                <w:sz w:val="18"/>
                <w:szCs w:val="18"/>
              </w:rPr>
              <w:t>0%</w:t>
            </w:r>
          </w:p>
        </w:tc>
        <w:tc>
          <w:tcPr>
            <w:tcW w:w="1260" w:type="dxa"/>
            <w:gridSpan w:val="3"/>
            <w:vAlign w:val="center"/>
          </w:tcPr>
          <w:p w:rsidR="00070BB1" w:rsidRPr="000255E3" w:rsidRDefault="00070BB1"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Pr>
                <w:rFonts w:asciiTheme="minorHAnsi" w:hAnsiTheme="minorHAnsi"/>
                <w:sz w:val="18"/>
                <w:szCs w:val="18"/>
              </w:rPr>
              <w:t>/</w:t>
            </w:r>
            <w:r w:rsidRPr="000255E3">
              <w:rPr>
                <w:rFonts w:asciiTheme="minorHAnsi" w:hAnsiTheme="minorHAnsi"/>
                <w:sz w:val="18"/>
                <w:szCs w:val="18"/>
              </w:rPr>
              <w:t>0%</w:t>
            </w:r>
          </w:p>
        </w:tc>
        <w:tc>
          <w:tcPr>
            <w:tcW w:w="1302" w:type="dxa"/>
            <w:vAlign w:val="center"/>
          </w:tcPr>
          <w:p w:rsidR="00070BB1" w:rsidRPr="000255E3" w:rsidRDefault="00070BB1" w:rsidP="00DA6A75">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Pr>
                <w:rFonts w:asciiTheme="minorHAnsi" w:hAnsiTheme="minorHAnsi"/>
                <w:sz w:val="18"/>
                <w:szCs w:val="18"/>
              </w:rPr>
              <w:t>/</w:t>
            </w:r>
            <w:r w:rsidRPr="000255E3">
              <w:rPr>
                <w:rFonts w:asciiTheme="minorHAnsi" w:hAnsiTheme="minorHAnsi"/>
                <w:sz w:val="18"/>
                <w:szCs w:val="18"/>
              </w:rPr>
              <w:t>0%</w:t>
            </w:r>
          </w:p>
        </w:tc>
      </w:tr>
      <w:tr w:rsidR="00070BB1" w:rsidRPr="000255E3" w:rsidTr="00070BB1">
        <w:trPr>
          <w:cantSplit/>
          <w:jc w:val="center"/>
        </w:trPr>
        <w:tc>
          <w:tcPr>
            <w:tcW w:w="1502" w:type="dxa"/>
            <w:vMerge/>
            <w:vAlign w:val="center"/>
          </w:tcPr>
          <w:p w:rsidR="00070BB1" w:rsidRPr="000255E3" w:rsidRDefault="00070BB1" w:rsidP="007642C0">
            <w:pPr>
              <w:pStyle w:val="ListParagraph"/>
              <w:spacing w:before="40" w:after="40" w:line="240" w:lineRule="auto"/>
              <w:ind w:left="0"/>
              <w:rPr>
                <w:rFonts w:asciiTheme="minorHAnsi" w:hAnsiTheme="minorHAnsi"/>
                <w:b/>
                <w:sz w:val="18"/>
                <w:szCs w:val="18"/>
              </w:rPr>
            </w:pPr>
          </w:p>
        </w:tc>
        <w:tc>
          <w:tcPr>
            <w:tcW w:w="1227" w:type="dxa"/>
            <w:vAlign w:val="center"/>
          </w:tcPr>
          <w:p w:rsidR="00070BB1" w:rsidRPr="000255E3" w:rsidRDefault="00070BB1" w:rsidP="007642C0">
            <w:pPr>
              <w:pStyle w:val="ListParagraph"/>
              <w:spacing w:before="40" w:after="40" w:line="240" w:lineRule="auto"/>
              <w:ind w:left="0"/>
              <w:rPr>
                <w:rFonts w:asciiTheme="minorHAnsi" w:hAnsiTheme="minorHAnsi"/>
                <w:b/>
                <w:sz w:val="18"/>
                <w:szCs w:val="18"/>
              </w:rPr>
            </w:pPr>
            <w:r w:rsidRPr="00070BB1">
              <w:rPr>
                <w:rFonts w:asciiTheme="minorHAnsi" w:hAnsiTheme="minorHAnsi"/>
                <w:sz w:val="18"/>
                <w:szCs w:val="18"/>
              </w:rPr>
              <w:t xml:space="preserve">Offshore </w:t>
            </w:r>
            <w:r>
              <w:rPr>
                <w:rFonts w:asciiTheme="minorHAnsi" w:hAnsiTheme="minorHAnsi"/>
                <w:sz w:val="18"/>
                <w:szCs w:val="18"/>
              </w:rPr>
              <w:t>w</w:t>
            </w:r>
            <w:r w:rsidRPr="00070BB1">
              <w:rPr>
                <w:rFonts w:asciiTheme="minorHAnsi" w:hAnsiTheme="minorHAnsi"/>
                <w:sz w:val="18"/>
                <w:szCs w:val="18"/>
              </w:rPr>
              <w:t>ind</w:t>
            </w:r>
          </w:p>
        </w:tc>
        <w:tc>
          <w:tcPr>
            <w:tcW w:w="1310" w:type="dxa"/>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1.9</w:t>
            </w:r>
            <w:r>
              <w:rPr>
                <w:rFonts w:asciiTheme="minorHAnsi" w:hAnsiTheme="minorHAnsi"/>
                <w:sz w:val="18"/>
                <w:szCs w:val="18"/>
              </w:rPr>
              <w:t>/</w:t>
            </w:r>
            <w:r w:rsidRPr="000255E3">
              <w:rPr>
                <w:rFonts w:asciiTheme="minorHAnsi" w:hAnsiTheme="minorHAnsi"/>
                <w:sz w:val="18"/>
                <w:szCs w:val="18"/>
              </w:rPr>
              <w:t>46%</w:t>
            </w:r>
          </w:p>
        </w:tc>
        <w:tc>
          <w:tcPr>
            <w:tcW w:w="1260" w:type="dxa"/>
            <w:gridSpan w:val="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1.9</w:t>
            </w:r>
            <w:r>
              <w:rPr>
                <w:rFonts w:asciiTheme="minorHAnsi" w:hAnsiTheme="minorHAnsi"/>
                <w:sz w:val="18"/>
                <w:szCs w:val="18"/>
              </w:rPr>
              <w:t>/</w:t>
            </w:r>
            <w:r w:rsidRPr="000255E3">
              <w:rPr>
                <w:rFonts w:asciiTheme="minorHAnsi" w:hAnsiTheme="minorHAnsi"/>
                <w:sz w:val="18"/>
                <w:szCs w:val="18"/>
              </w:rPr>
              <w:t>46%</w:t>
            </w:r>
          </w:p>
        </w:tc>
        <w:tc>
          <w:tcPr>
            <w:tcW w:w="1174" w:type="dxa"/>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5.8</w:t>
            </w:r>
            <w:r>
              <w:rPr>
                <w:rFonts w:asciiTheme="minorHAnsi" w:hAnsiTheme="minorHAnsi"/>
                <w:sz w:val="18"/>
                <w:szCs w:val="18"/>
              </w:rPr>
              <w:t>/</w:t>
            </w:r>
            <w:r w:rsidRPr="000255E3">
              <w:rPr>
                <w:rFonts w:asciiTheme="minorHAnsi" w:hAnsiTheme="minorHAnsi"/>
                <w:sz w:val="18"/>
                <w:szCs w:val="18"/>
              </w:rPr>
              <w:t>44%</w:t>
            </w:r>
          </w:p>
        </w:tc>
        <w:tc>
          <w:tcPr>
            <w:tcW w:w="1168" w:type="dxa"/>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1.9</w:t>
            </w:r>
            <w:r>
              <w:rPr>
                <w:rFonts w:asciiTheme="minorHAnsi" w:hAnsiTheme="minorHAnsi"/>
                <w:sz w:val="18"/>
                <w:szCs w:val="18"/>
              </w:rPr>
              <w:t>/</w:t>
            </w:r>
            <w:r w:rsidRPr="000255E3">
              <w:rPr>
                <w:rFonts w:asciiTheme="minorHAnsi" w:hAnsiTheme="minorHAnsi"/>
                <w:sz w:val="18"/>
                <w:szCs w:val="18"/>
              </w:rPr>
              <w:t>46%</w:t>
            </w:r>
          </w:p>
        </w:tc>
        <w:tc>
          <w:tcPr>
            <w:tcW w:w="1260" w:type="dxa"/>
            <w:gridSpan w:val="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1.9</w:t>
            </w:r>
            <w:r>
              <w:rPr>
                <w:rFonts w:asciiTheme="minorHAnsi" w:hAnsiTheme="minorHAnsi"/>
                <w:sz w:val="18"/>
                <w:szCs w:val="18"/>
              </w:rPr>
              <w:t>/</w:t>
            </w:r>
            <w:r w:rsidRPr="000255E3">
              <w:rPr>
                <w:rFonts w:asciiTheme="minorHAnsi" w:hAnsiTheme="minorHAnsi"/>
                <w:sz w:val="18"/>
                <w:szCs w:val="18"/>
              </w:rPr>
              <w:t>46%</w:t>
            </w:r>
          </w:p>
        </w:tc>
        <w:tc>
          <w:tcPr>
            <w:tcW w:w="1302" w:type="dxa"/>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6.8</w:t>
            </w:r>
            <w:r>
              <w:rPr>
                <w:rFonts w:asciiTheme="minorHAnsi" w:hAnsiTheme="minorHAnsi"/>
                <w:sz w:val="18"/>
                <w:szCs w:val="18"/>
              </w:rPr>
              <w:t>/</w:t>
            </w:r>
            <w:r w:rsidRPr="000255E3">
              <w:rPr>
                <w:rFonts w:asciiTheme="minorHAnsi" w:hAnsiTheme="minorHAnsi"/>
                <w:sz w:val="18"/>
                <w:szCs w:val="18"/>
              </w:rPr>
              <w:t>44%</w:t>
            </w:r>
          </w:p>
        </w:tc>
      </w:tr>
      <w:tr w:rsidR="00070BB1" w:rsidRPr="000255E3" w:rsidTr="00070BB1">
        <w:trPr>
          <w:cantSplit/>
          <w:jc w:val="center"/>
        </w:trPr>
        <w:tc>
          <w:tcPr>
            <w:tcW w:w="1502" w:type="dxa"/>
            <w:vMerge/>
            <w:vAlign w:val="center"/>
          </w:tcPr>
          <w:p w:rsidR="00070BB1" w:rsidRPr="000255E3" w:rsidRDefault="00070BB1" w:rsidP="007642C0">
            <w:pPr>
              <w:pStyle w:val="ListParagraph"/>
              <w:spacing w:before="40" w:after="40" w:line="240" w:lineRule="auto"/>
              <w:ind w:left="0"/>
              <w:rPr>
                <w:rFonts w:asciiTheme="minorHAnsi" w:hAnsiTheme="minorHAnsi"/>
                <w:b/>
                <w:sz w:val="18"/>
                <w:szCs w:val="18"/>
              </w:rPr>
            </w:pPr>
          </w:p>
        </w:tc>
        <w:tc>
          <w:tcPr>
            <w:tcW w:w="1227" w:type="dxa"/>
            <w:vAlign w:val="center"/>
          </w:tcPr>
          <w:p w:rsidR="00070BB1" w:rsidRPr="00070BB1" w:rsidRDefault="00070BB1" w:rsidP="00E401C4">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Onshore</w:t>
            </w:r>
          </w:p>
          <w:p w:rsidR="00070BB1" w:rsidRPr="00070BB1" w:rsidRDefault="00070BB1" w:rsidP="007642C0">
            <w:pPr>
              <w:pStyle w:val="ListParagraph"/>
              <w:spacing w:before="40" w:after="40" w:line="240" w:lineRule="auto"/>
              <w:ind w:left="0"/>
              <w:rPr>
                <w:rFonts w:asciiTheme="minorHAnsi" w:hAnsiTheme="minorHAnsi"/>
                <w:sz w:val="18"/>
                <w:szCs w:val="18"/>
              </w:rPr>
            </w:pPr>
            <w:r>
              <w:rPr>
                <w:rFonts w:asciiTheme="minorHAnsi" w:hAnsiTheme="minorHAnsi"/>
                <w:sz w:val="18"/>
                <w:szCs w:val="18"/>
              </w:rPr>
              <w:t>w</w:t>
            </w:r>
            <w:r w:rsidRPr="00070BB1">
              <w:rPr>
                <w:rFonts w:asciiTheme="minorHAnsi" w:hAnsiTheme="minorHAnsi"/>
                <w:sz w:val="18"/>
                <w:szCs w:val="18"/>
              </w:rPr>
              <w:t>ind</w:t>
            </w:r>
          </w:p>
        </w:tc>
        <w:tc>
          <w:tcPr>
            <w:tcW w:w="1310" w:type="dxa"/>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10.2</w:t>
            </w:r>
            <w:r>
              <w:rPr>
                <w:rFonts w:asciiTheme="minorHAnsi" w:hAnsiTheme="minorHAnsi"/>
                <w:sz w:val="18"/>
                <w:szCs w:val="18"/>
              </w:rPr>
              <w:t>/</w:t>
            </w:r>
            <w:r w:rsidRPr="000255E3">
              <w:rPr>
                <w:rFonts w:asciiTheme="minorHAnsi" w:hAnsiTheme="minorHAnsi"/>
                <w:sz w:val="18"/>
                <w:szCs w:val="18"/>
              </w:rPr>
              <w:t>37%</w:t>
            </w:r>
          </w:p>
        </w:tc>
        <w:tc>
          <w:tcPr>
            <w:tcW w:w="1260" w:type="dxa"/>
            <w:gridSpan w:val="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14.9</w:t>
            </w:r>
            <w:r>
              <w:rPr>
                <w:rFonts w:asciiTheme="minorHAnsi" w:hAnsiTheme="minorHAnsi"/>
                <w:sz w:val="18"/>
                <w:szCs w:val="18"/>
              </w:rPr>
              <w:t>/</w:t>
            </w:r>
            <w:r w:rsidRPr="000255E3">
              <w:rPr>
                <w:rFonts w:asciiTheme="minorHAnsi" w:hAnsiTheme="minorHAnsi"/>
                <w:sz w:val="18"/>
                <w:szCs w:val="18"/>
              </w:rPr>
              <w:t>37%</w:t>
            </w:r>
          </w:p>
        </w:tc>
        <w:tc>
          <w:tcPr>
            <w:tcW w:w="1174" w:type="dxa"/>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13.3</w:t>
            </w:r>
            <w:r>
              <w:rPr>
                <w:rFonts w:asciiTheme="minorHAnsi" w:hAnsiTheme="minorHAnsi"/>
                <w:sz w:val="18"/>
                <w:szCs w:val="18"/>
              </w:rPr>
              <w:t>/</w:t>
            </w:r>
            <w:r w:rsidRPr="000255E3">
              <w:rPr>
                <w:rFonts w:asciiTheme="minorHAnsi" w:hAnsiTheme="minorHAnsi"/>
                <w:sz w:val="18"/>
                <w:szCs w:val="18"/>
              </w:rPr>
              <w:t>37%</w:t>
            </w:r>
          </w:p>
        </w:tc>
        <w:tc>
          <w:tcPr>
            <w:tcW w:w="1168" w:type="dxa"/>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4.6</w:t>
            </w:r>
            <w:r>
              <w:rPr>
                <w:rFonts w:asciiTheme="minorHAnsi" w:hAnsiTheme="minorHAnsi"/>
                <w:sz w:val="18"/>
                <w:szCs w:val="18"/>
              </w:rPr>
              <w:t>/</w:t>
            </w:r>
            <w:r w:rsidRPr="000255E3">
              <w:rPr>
                <w:rFonts w:asciiTheme="minorHAnsi" w:hAnsiTheme="minorHAnsi"/>
                <w:sz w:val="18"/>
                <w:szCs w:val="18"/>
              </w:rPr>
              <w:t>41%</w:t>
            </w:r>
          </w:p>
        </w:tc>
        <w:tc>
          <w:tcPr>
            <w:tcW w:w="1260" w:type="dxa"/>
            <w:gridSpan w:val="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4.6</w:t>
            </w:r>
            <w:r>
              <w:rPr>
                <w:rFonts w:asciiTheme="minorHAnsi" w:hAnsiTheme="minorHAnsi"/>
                <w:sz w:val="18"/>
                <w:szCs w:val="18"/>
              </w:rPr>
              <w:t>/</w:t>
            </w:r>
            <w:r w:rsidRPr="000255E3">
              <w:rPr>
                <w:rFonts w:asciiTheme="minorHAnsi" w:hAnsiTheme="minorHAnsi"/>
                <w:sz w:val="18"/>
                <w:szCs w:val="18"/>
              </w:rPr>
              <w:t>41%</w:t>
            </w:r>
          </w:p>
        </w:tc>
        <w:tc>
          <w:tcPr>
            <w:tcW w:w="1302" w:type="dxa"/>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8.8</w:t>
            </w:r>
            <w:r>
              <w:rPr>
                <w:rFonts w:asciiTheme="minorHAnsi" w:hAnsiTheme="minorHAnsi"/>
                <w:sz w:val="18"/>
                <w:szCs w:val="18"/>
              </w:rPr>
              <w:t>/</w:t>
            </w:r>
            <w:r w:rsidRPr="000255E3">
              <w:rPr>
                <w:rFonts w:asciiTheme="minorHAnsi" w:hAnsiTheme="minorHAnsi"/>
                <w:sz w:val="18"/>
                <w:szCs w:val="18"/>
              </w:rPr>
              <w:t>43%</w:t>
            </w:r>
          </w:p>
        </w:tc>
      </w:tr>
      <w:tr w:rsidR="00070BB1" w:rsidRPr="000255E3" w:rsidTr="00070BB1">
        <w:trPr>
          <w:cantSplit/>
          <w:jc w:val="center"/>
        </w:trPr>
        <w:tc>
          <w:tcPr>
            <w:tcW w:w="1502" w:type="dxa"/>
            <w:vMerge/>
            <w:vAlign w:val="center"/>
          </w:tcPr>
          <w:p w:rsidR="00070BB1" w:rsidRPr="000255E3" w:rsidRDefault="00070BB1" w:rsidP="007642C0">
            <w:pPr>
              <w:pStyle w:val="ListParagraph"/>
              <w:spacing w:before="40" w:after="40" w:line="240" w:lineRule="auto"/>
              <w:ind w:left="0"/>
              <w:rPr>
                <w:rFonts w:asciiTheme="minorHAnsi" w:hAnsiTheme="minorHAnsi"/>
                <w:b/>
                <w:sz w:val="18"/>
                <w:szCs w:val="18"/>
              </w:rPr>
            </w:pPr>
          </w:p>
        </w:tc>
        <w:tc>
          <w:tcPr>
            <w:tcW w:w="1227" w:type="dxa"/>
            <w:vAlign w:val="center"/>
          </w:tcPr>
          <w:p w:rsidR="00070BB1" w:rsidRPr="00070BB1" w:rsidRDefault="00070BB1" w:rsidP="007642C0">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Hydro</w:t>
            </w:r>
          </w:p>
        </w:tc>
        <w:tc>
          <w:tcPr>
            <w:tcW w:w="1310" w:type="dxa"/>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4.0</w:t>
            </w:r>
            <w:r>
              <w:rPr>
                <w:rFonts w:asciiTheme="minorHAnsi" w:hAnsiTheme="minorHAnsi"/>
                <w:sz w:val="18"/>
                <w:szCs w:val="18"/>
              </w:rPr>
              <w:t>/</w:t>
            </w:r>
            <w:r w:rsidRPr="000255E3">
              <w:rPr>
                <w:rFonts w:asciiTheme="minorHAnsi" w:hAnsiTheme="minorHAnsi"/>
                <w:sz w:val="18"/>
                <w:szCs w:val="18"/>
              </w:rPr>
              <w:t>29%</w:t>
            </w:r>
          </w:p>
        </w:tc>
        <w:tc>
          <w:tcPr>
            <w:tcW w:w="1260" w:type="dxa"/>
            <w:gridSpan w:val="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4.0</w:t>
            </w:r>
            <w:r>
              <w:rPr>
                <w:rFonts w:asciiTheme="minorHAnsi" w:hAnsiTheme="minorHAnsi"/>
                <w:sz w:val="18"/>
                <w:szCs w:val="18"/>
              </w:rPr>
              <w:t>/</w:t>
            </w:r>
            <w:r w:rsidRPr="000255E3">
              <w:rPr>
                <w:rFonts w:asciiTheme="minorHAnsi" w:hAnsiTheme="minorHAnsi"/>
                <w:sz w:val="18"/>
                <w:szCs w:val="18"/>
              </w:rPr>
              <w:t>29%</w:t>
            </w:r>
          </w:p>
        </w:tc>
        <w:tc>
          <w:tcPr>
            <w:tcW w:w="1174" w:type="dxa"/>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4.0</w:t>
            </w:r>
            <w:r>
              <w:rPr>
                <w:rFonts w:asciiTheme="minorHAnsi" w:hAnsiTheme="minorHAnsi"/>
                <w:sz w:val="18"/>
                <w:szCs w:val="18"/>
              </w:rPr>
              <w:t>/</w:t>
            </w:r>
            <w:r w:rsidRPr="000255E3">
              <w:rPr>
                <w:rFonts w:asciiTheme="minorHAnsi" w:hAnsiTheme="minorHAnsi"/>
                <w:sz w:val="18"/>
                <w:szCs w:val="18"/>
              </w:rPr>
              <w:t>29%</w:t>
            </w:r>
          </w:p>
        </w:tc>
        <w:tc>
          <w:tcPr>
            <w:tcW w:w="1168" w:type="dxa"/>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4.0</w:t>
            </w:r>
            <w:r>
              <w:rPr>
                <w:rFonts w:asciiTheme="minorHAnsi" w:hAnsiTheme="minorHAnsi"/>
                <w:sz w:val="18"/>
                <w:szCs w:val="18"/>
              </w:rPr>
              <w:t>/</w:t>
            </w:r>
            <w:r w:rsidRPr="000255E3">
              <w:rPr>
                <w:rFonts w:asciiTheme="minorHAnsi" w:hAnsiTheme="minorHAnsi"/>
                <w:sz w:val="18"/>
                <w:szCs w:val="18"/>
              </w:rPr>
              <w:t>29%</w:t>
            </w:r>
          </w:p>
        </w:tc>
        <w:tc>
          <w:tcPr>
            <w:tcW w:w="1260" w:type="dxa"/>
            <w:gridSpan w:val="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4.0</w:t>
            </w:r>
            <w:r>
              <w:rPr>
                <w:rFonts w:asciiTheme="minorHAnsi" w:hAnsiTheme="minorHAnsi"/>
                <w:sz w:val="18"/>
                <w:szCs w:val="18"/>
              </w:rPr>
              <w:t>/</w:t>
            </w:r>
            <w:r w:rsidRPr="000255E3">
              <w:rPr>
                <w:rFonts w:asciiTheme="minorHAnsi" w:hAnsiTheme="minorHAnsi"/>
                <w:sz w:val="18"/>
                <w:szCs w:val="18"/>
              </w:rPr>
              <w:t>29%</w:t>
            </w:r>
          </w:p>
        </w:tc>
        <w:tc>
          <w:tcPr>
            <w:tcW w:w="1302" w:type="dxa"/>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4.0</w:t>
            </w:r>
            <w:r>
              <w:rPr>
                <w:rFonts w:asciiTheme="minorHAnsi" w:hAnsiTheme="minorHAnsi"/>
                <w:sz w:val="18"/>
                <w:szCs w:val="18"/>
              </w:rPr>
              <w:t>/</w:t>
            </w:r>
            <w:r w:rsidRPr="000255E3">
              <w:rPr>
                <w:rFonts w:asciiTheme="minorHAnsi" w:hAnsiTheme="minorHAnsi"/>
                <w:sz w:val="18"/>
                <w:szCs w:val="18"/>
              </w:rPr>
              <w:t>29%</w:t>
            </w:r>
          </w:p>
        </w:tc>
      </w:tr>
      <w:tr w:rsidR="00070BB1" w:rsidRPr="000255E3" w:rsidTr="00070BB1">
        <w:trPr>
          <w:cantSplit/>
          <w:jc w:val="center"/>
        </w:trPr>
        <w:tc>
          <w:tcPr>
            <w:tcW w:w="1502" w:type="dxa"/>
            <w:vMerge w:val="restart"/>
            <w:shd w:val="clear" w:color="auto" w:fill="DBE5F1" w:themeFill="accent1" w:themeFillTint="33"/>
            <w:vAlign w:val="center"/>
          </w:tcPr>
          <w:p w:rsidR="00070BB1" w:rsidRPr="000255E3" w:rsidRDefault="00070BB1" w:rsidP="007642C0">
            <w:pPr>
              <w:pStyle w:val="ListParagraph"/>
              <w:spacing w:before="40" w:after="40" w:line="240" w:lineRule="auto"/>
              <w:ind w:left="0"/>
              <w:rPr>
                <w:rFonts w:asciiTheme="minorHAnsi" w:hAnsiTheme="minorHAnsi"/>
                <w:b/>
                <w:sz w:val="18"/>
                <w:szCs w:val="18"/>
              </w:rPr>
            </w:pPr>
          </w:p>
          <w:p w:rsidR="00070BB1" w:rsidRPr="000255E3" w:rsidRDefault="00070BB1" w:rsidP="007642C0">
            <w:pPr>
              <w:pStyle w:val="ListParagraph"/>
              <w:spacing w:before="40" w:after="40" w:line="240" w:lineRule="auto"/>
              <w:ind w:left="0"/>
              <w:rPr>
                <w:rFonts w:asciiTheme="minorHAnsi" w:hAnsiTheme="minorHAnsi"/>
                <w:b/>
                <w:sz w:val="18"/>
                <w:szCs w:val="18"/>
              </w:rPr>
            </w:pPr>
          </w:p>
          <w:p w:rsidR="00070BB1" w:rsidRPr="000255E3" w:rsidRDefault="00070BB1" w:rsidP="007642C0">
            <w:pPr>
              <w:pStyle w:val="ListParagraph"/>
              <w:spacing w:before="40" w:after="40" w:line="240" w:lineRule="auto"/>
              <w:ind w:left="0"/>
              <w:rPr>
                <w:rFonts w:asciiTheme="minorHAnsi" w:hAnsiTheme="minorHAnsi"/>
                <w:b/>
                <w:sz w:val="18"/>
                <w:szCs w:val="18"/>
              </w:rPr>
            </w:pPr>
          </w:p>
          <w:p w:rsidR="00070BB1" w:rsidRPr="000255E3" w:rsidRDefault="00070BB1" w:rsidP="007642C0">
            <w:pPr>
              <w:pStyle w:val="ListParagraph"/>
              <w:spacing w:before="40" w:after="40" w:line="240" w:lineRule="auto"/>
              <w:ind w:left="0"/>
              <w:rPr>
                <w:rFonts w:asciiTheme="minorHAnsi" w:hAnsiTheme="minorHAnsi"/>
                <w:b/>
                <w:sz w:val="18"/>
                <w:szCs w:val="18"/>
              </w:rPr>
            </w:pPr>
            <w:r w:rsidRPr="000255E3">
              <w:rPr>
                <w:rFonts w:asciiTheme="minorHAnsi" w:hAnsiTheme="minorHAnsi"/>
                <w:b/>
                <w:sz w:val="18"/>
                <w:szCs w:val="18"/>
              </w:rPr>
              <w:t xml:space="preserve">2030 </w:t>
            </w:r>
          </w:p>
          <w:p w:rsidR="00070BB1" w:rsidRPr="000255E3" w:rsidRDefault="00070BB1" w:rsidP="007642C0">
            <w:pPr>
              <w:pStyle w:val="ListParagraph"/>
              <w:spacing w:before="40" w:after="40" w:line="240" w:lineRule="auto"/>
              <w:ind w:left="0"/>
              <w:rPr>
                <w:rFonts w:asciiTheme="minorHAnsi" w:hAnsiTheme="minorHAnsi"/>
                <w:b/>
                <w:sz w:val="18"/>
                <w:szCs w:val="18"/>
              </w:rPr>
            </w:pPr>
            <w:r w:rsidRPr="000255E3">
              <w:rPr>
                <w:rFonts w:asciiTheme="minorHAnsi" w:hAnsiTheme="minorHAnsi"/>
                <w:b/>
                <w:sz w:val="18"/>
                <w:szCs w:val="18"/>
              </w:rPr>
              <w:t>Unconstrained</w:t>
            </w:r>
          </w:p>
        </w:tc>
        <w:tc>
          <w:tcPr>
            <w:tcW w:w="1227" w:type="dxa"/>
            <w:shd w:val="clear" w:color="auto" w:fill="DBE5F1" w:themeFill="accent1" w:themeFillTint="33"/>
            <w:vAlign w:val="center"/>
          </w:tcPr>
          <w:p w:rsidR="00070BB1" w:rsidRPr="00070BB1" w:rsidRDefault="00070BB1" w:rsidP="007642C0">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 xml:space="preserve">NG </w:t>
            </w:r>
            <w:r>
              <w:rPr>
                <w:rFonts w:asciiTheme="minorHAnsi" w:hAnsiTheme="minorHAnsi"/>
                <w:sz w:val="18"/>
                <w:szCs w:val="18"/>
              </w:rPr>
              <w:t>c</w:t>
            </w:r>
            <w:r w:rsidRPr="00070BB1">
              <w:rPr>
                <w:rFonts w:asciiTheme="minorHAnsi" w:hAnsiTheme="minorHAnsi"/>
                <w:sz w:val="18"/>
                <w:szCs w:val="18"/>
              </w:rPr>
              <w:t xml:space="preserve">ombined </w:t>
            </w:r>
            <w:r>
              <w:rPr>
                <w:rFonts w:asciiTheme="minorHAnsi" w:hAnsiTheme="minorHAnsi"/>
                <w:sz w:val="18"/>
                <w:szCs w:val="18"/>
              </w:rPr>
              <w:t>c</w:t>
            </w:r>
            <w:r w:rsidRPr="00070BB1">
              <w:rPr>
                <w:rFonts w:asciiTheme="minorHAnsi" w:hAnsiTheme="minorHAnsi"/>
                <w:sz w:val="18"/>
                <w:szCs w:val="18"/>
              </w:rPr>
              <w:t>ycle</w:t>
            </w:r>
          </w:p>
        </w:tc>
        <w:tc>
          <w:tcPr>
            <w:tcW w:w="1310" w:type="dxa"/>
            <w:shd w:val="clear" w:color="auto" w:fill="DBE5F1" w:themeFill="accent1" w:themeFillTint="3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55.2</w:t>
            </w:r>
            <w:r>
              <w:rPr>
                <w:rFonts w:asciiTheme="minorHAnsi" w:hAnsiTheme="minorHAnsi"/>
                <w:sz w:val="18"/>
                <w:szCs w:val="18"/>
              </w:rPr>
              <w:t>/</w:t>
            </w:r>
            <w:r w:rsidRPr="000255E3">
              <w:rPr>
                <w:rFonts w:asciiTheme="minorHAnsi" w:hAnsiTheme="minorHAnsi"/>
                <w:sz w:val="18"/>
                <w:szCs w:val="18"/>
              </w:rPr>
              <w:t>32%</w:t>
            </w:r>
          </w:p>
        </w:tc>
        <w:tc>
          <w:tcPr>
            <w:tcW w:w="1260" w:type="dxa"/>
            <w:gridSpan w:val="3"/>
            <w:shd w:val="clear" w:color="auto" w:fill="DBE5F1" w:themeFill="accent1" w:themeFillTint="3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27.3</w:t>
            </w:r>
            <w:r>
              <w:rPr>
                <w:rFonts w:asciiTheme="minorHAnsi" w:hAnsiTheme="minorHAnsi"/>
                <w:sz w:val="18"/>
                <w:szCs w:val="18"/>
              </w:rPr>
              <w:t>/</w:t>
            </w:r>
            <w:r w:rsidRPr="000255E3">
              <w:rPr>
                <w:rFonts w:asciiTheme="minorHAnsi" w:hAnsiTheme="minorHAnsi"/>
                <w:sz w:val="18"/>
                <w:szCs w:val="18"/>
              </w:rPr>
              <w:t>20%</w:t>
            </w:r>
          </w:p>
        </w:tc>
        <w:tc>
          <w:tcPr>
            <w:tcW w:w="1174" w:type="dxa"/>
            <w:shd w:val="clear" w:color="auto" w:fill="DBE5F1" w:themeFill="accent1" w:themeFillTint="3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14.2</w:t>
            </w:r>
            <w:r>
              <w:rPr>
                <w:rFonts w:asciiTheme="minorHAnsi" w:hAnsiTheme="minorHAnsi"/>
                <w:sz w:val="18"/>
                <w:szCs w:val="18"/>
              </w:rPr>
              <w:t>/</w:t>
            </w:r>
            <w:r w:rsidRPr="000255E3">
              <w:rPr>
                <w:rFonts w:asciiTheme="minorHAnsi" w:hAnsiTheme="minorHAnsi"/>
                <w:sz w:val="18"/>
                <w:szCs w:val="18"/>
              </w:rPr>
              <w:t>10%</w:t>
            </w:r>
          </w:p>
        </w:tc>
        <w:tc>
          <w:tcPr>
            <w:tcW w:w="1168" w:type="dxa"/>
            <w:shd w:val="clear" w:color="auto" w:fill="DBE5F1" w:themeFill="accent1" w:themeFillTint="3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58.1</w:t>
            </w:r>
            <w:r>
              <w:rPr>
                <w:rFonts w:asciiTheme="minorHAnsi" w:hAnsiTheme="minorHAnsi"/>
                <w:sz w:val="18"/>
                <w:szCs w:val="18"/>
              </w:rPr>
              <w:t>/</w:t>
            </w:r>
            <w:r w:rsidRPr="000255E3">
              <w:rPr>
                <w:rFonts w:asciiTheme="minorHAnsi" w:hAnsiTheme="minorHAnsi"/>
                <w:sz w:val="18"/>
                <w:szCs w:val="18"/>
              </w:rPr>
              <w:t>43%</w:t>
            </w:r>
          </w:p>
        </w:tc>
        <w:tc>
          <w:tcPr>
            <w:tcW w:w="1260" w:type="dxa"/>
            <w:gridSpan w:val="3"/>
            <w:shd w:val="clear" w:color="auto" w:fill="DBE5F1" w:themeFill="accent1" w:themeFillTint="3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63.2</w:t>
            </w:r>
            <w:r>
              <w:rPr>
                <w:rFonts w:asciiTheme="minorHAnsi" w:hAnsiTheme="minorHAnsi"/>
                <w:sz w:val="18"/>
                <w:szCs w:val="18"/>
              </w:rPr>
              <w:t>/</w:t>
            </w:r>
            <w:r w:rsidRPr="000255E3">
              <w:rPr>
                <w:rFonts w:asciiTheme="minorHAnsi" w:hAnsiTheme="minorHAnsi"/>
                <w:sz w:val="18"/>
                <w:szCs w:val="18"/>
              </w:rPr>
              <w:t>35%</w:t>
            </w:r>
          </w:p>
        </w:tc>
        <w:tc>
          <w:tcPr>
            <w:tcW w:w="1302" w:type="dxa"/>
            <w:shd w:val="clear" w:color="auto" w:fill="DBE5F1" w:themeFill="accent1" w:themeFillTint="3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23.8</w:t>
            </w:r>
            <w:r>
              <w:rPr>
                <w:rFonts w:asciiTheme="minorHAnsi" w:hAnsiTheme="minorHAnsi"/>
                <w:sz w:val="18"/>
                <w:szCs w:val="18"/>
              </w:rPr>
              <w:t>/</w:t>
            </w:r>
            <w:r w:rsidRPr="000255E3">
              <w:rPr>
                <w:rFonts w:asciiTheme="minorHAnsi" w:hAnsiTheme="minorHAnsi"/>
                <w:sz w:val="18"/>
                <w:szCs w:val="18"/>
              </w:rPr>
              <w:t>17%</w:t>
            </w:r>
          </w:p>
        </w:tc>
      </w:tr>
      <w:tr w:rsidR="00070BB1" w:rsidRPr="000255E3" w:rsidTr="00070BB1">
        <w:trPr>
          <w:cantSplit/>
          <w:jc w:val="center"/>
        </w:trPr>
        <w:tc>
          <w:tcPr>
            <w:tcW w:w="1502" w:type="dxa"/>
            <w:vMerge/>
            <w:shd w:val="clear" w:color="auto" w:fill="DBE5F1" w:themeFill="accent1" w:themeFillTint="33"/>
            <w:vAlign w:val="center"/>
          </w:tcPr>
          <w:p w:rsidR="00070BB1" w:rsidRPr="000255E3" w:rsidRDefault="00070BB1" w:rsidP="007642C0">
            <w:pPr>
              <w:pStyle w:val="ListParagraph"/>
              <w:spacing w:before="40" w:after="40" w:line="240" w:lineRule="auto"/>
              <w:ind w:left="0"/>
              <w:rPr>
                <w:rFonts w:asciiTheme="minorHAnsi" w:hAnsiTheme="minorHAnsi"/>
                <w:b/>
                <w:sz w:val="18"/>
                <w:szCs w:val="18"/>
              </w:rPr>
            </w:pPr>
          </w:p>
        </w:tc>
        <w:tc>
          <w:tcPr>
            <w:tcW w:w="1227" w:type="dxa"/>
            <w:shd w:val="clear" w:color="auto" w:fill="DBE5F1" w:themeFill="accent1" w:themeFillTint="33"/>
            <w:vAlign w:val="center"/>
          </w:tcPr>
          <w:p w:rsidR="00070BB1" w:rsidRPr="00070BB1" w:rsidRDefault="00070BB1" w:rsidP="007642C0">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 xml:space="preserve">NG </w:t>
            </w:r>
            <w:r>
              <w:rPr>
                <w:rFonts w:asciiTheme="minorHAnsi" w:hAnsiTheme="minorHAnsi"/>
                <w:sz w:val="18"/>
                <w:szCs w:val="18"/>
              </w:rPr>
              <w:t>s</w:t>
            </w:r>
            <w:r w:rsidRPr="00070BB1">
              <w:rPr>
                <w:rFonts w:asciiTheme="minorHAnsi" w:hAnsiTheme="minorHAnsi"/>
                <w:sz w:val="18"/>
                <w:szCs w:val="18"/>
              </w:rPr>
              <w:t>ingle</w:t>
            </w:r>
            <w:r>
              <w:rPr>
                <w:rFonts w:asciiTheme="minorHAnsi" w:hAnsiTheme="minorHAnsi"/>
                <w:sz w:val="18"/>
                <w:szCs w:val="18"/>
              </w:rPr>
              <w:t>-c</w:t>
            </w:r>
            <w:r w:rsidRPr="00070BB1">
              <w:rPr>
                <w:rFonts w:asciiTheme="minorHAnsi" w:hAnsiTheme="minorHAnsi"/>
                <w:sz w:val="18"/>
                <w:szCs w:val="18"/>
              </w:rPr>
              <w:t>ycle CT</w:t>
            </w:r>
          </w:p>
        </w:tc>
        <w:tc>
          <w:tcPr>
            <w:tcW w:w="1310" w:type="dxa"/>
            <w:shd w:val="clear" w:color="auto" w:fill="DBE5F1" w:themeFill="accent1" w:themeFillTint="3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Pr>
                <w:rFonts w:asciiTheme="minorHAnsi" w:hAnsiTheme="minorHAnsi"/>
                <w:sz w:val="18"/>
                <w:szCs w:val="18"/>
              </w:rPr>
              <w:t>/</w:t>
            </w:r>
            <w:r w:rsidRPr="000255E3">
              <w:rPr>
                <w:rFonts w:asciiTheme="minorHAnsi" w:hAnsiTheme="minorHAnsi"/>
                <w:sz w:val="18"/>
                <w:szCs w:val="18"/>
              </w:rPr>
              <w:t>0%</w:t>
            </w:r>
          </w:p>
        </w:tc>
        <w:tc>
          <w:tcPr>
            <w:tcW w:w="1260" w:type="dxa"/>
            <w:gridSpan w:val="3"/>
            <w:shd w:val="clear" w:color="auto" w:fill="DBE5F1" w:themeFill="accent1" w:themeFillTint="3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Pr>
                <w:rFonts w:asciiTheme="minorHAnsi" w:hAnsiTheme="minorHAnsi"/>
                <w:sz w:val="18"/>
                <w:szCs w:val="18"/>
              </w:rPr>
              <w:t>/</w:t>
            </w:r>
            <w:r w:rsidRPr="000255E3">
              <w:rPr>
                <w:rFonts w:asciiTheme="minorHAnsi" w:hAnsiTheme="minorHAnsi"/>
                <w:sz w:val="18"/>
                <w:szCs w:val="18"/>
              </w:rPr>
              <w:t>0%</w:t>
            </w:r>
          </w:p>
        </w:tc>
        <w:tc>
          <w:tcPr>
            <w:tcW w:w="1174" w:type="dxa"/>
            <w:shd w:val="clear" w:color="auto" w:fill="DBE5F1" w:themeFill="accent1" w:themeFillTint="3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Pr>
                <w:rFonts w:asciiTheme="minorHAnsi" w:hAnsiTheme="minorHAnsi"/>
                <w:sz w:val="18"/>
                <w:szCs w:val="18"/>
              </w:rPr>
              <w:t>/</w:t>
            </w:r>
            <w:r w:rsidRPr="000255E3">
              <w:rPr>
                <w:rFonts w:asciiTheme="minorHAnsi" w:hAnsiTheme="minorHAnsi"/>
                <w:sz w:val="18"/>
                <w:szCs w:val="18"/>
              </w:rPr>
              <w:t>0%</w:t>
            </w:r>
          </w:p>
        </w:tc>
        <w:tc>
          <w:tcPr>
            <w:tcW w:w="1168" w:type="dxa"/>
            <w:shd w:val="clear" w:color="auto" w:fill="DBE5F1" w:themeFill="accent1" w:themeFillTint="3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0.1</w:t>
            </w:r>
            <w:r>
              <w:rPr>
                <w:rFonts w:asciiTheme="minorHAnsi" w:hAnsiTheme="minorHAnsi"/>
                <w:sz w:val="18"/>
                <w:szCs w:val="18"/>
              </w:rPr>
              <w:t>/</w:t>
            </w:r>
            <w:r w:rsidRPr="000255E3">
              <w:rPr>
                <w:rFonts w:asciiTheme="minorHAnsi" w:hAnsiTheme="minorHAnsi"/>
                <w:sz w:val="18"/>
                <w:szCs w:val="18"/>
              </w:rPr>
              <w:t>1%</w:t>
            </w:r>
          </w:p>
        </w:tc>
        <w:tc>
          <w:tcPr>
            <w:tcW w:w="1260" w:type="dxa"/>
            <w:gridSpan w:val="3"/>
            <w:shd w:val="clear" w:color="auto" w:fill="DBE5F1" w:themeFill="accent1" w:themeFillTint="3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Pr>
                <w:rFonts w:asciiTheme="minorHAnsi" w:hAnsiTheme="minorHAnsi"/>
                <w:sz w:val="18"/>
                <w:szCs w:val="18"/>
              </w:rPr>
              <w:t>/</w:t>
            </w:r>
            <w:r w:rsidRPr="000255E3">
              <w:rPr>
                <w:rFonts w:asciiTheme="minorHAnsi" w:hAnsiTheme="minorHAnsi"/>
                <w:sz w:val="18"/>
                <w:szCs w:val="18"/>
              </w:rPr>
              <w:t>0%</w:t>
            </w:r>
          </w:p>
        </w:tc>
        <w:tc>
          <w:tcPr>
            <w:tcW w:w="1302" w:type="dxa"/>
            <w:shd w:val="clear" w:color="auto" w:fill="DBE5F1" w:themeFill="accent1" w:themeFillTint="3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Pr>
                <w:rFonts w:asciiTheme="minorHAnsi" w:hAnsiTheme="minorHAnsi"/>
                <w:sz w:val="18"/>
                <w:szCs w:val="18"/>
              </w:rPr>
              <w:t>/</w:t>
            </w:r>
            <w:r w:rsidRPr="000255E3">
              <w:rPr>
                <w:rFonts w:asciiTheme="minorHAnsi" w:hAnsiTheme="minorHAnsi"/>
                <w:sz w:val="18"/>
                <w:szCs w:val="18"/>
              </w:rPr>
              <w:t>0%</w:t>
            </w:r>
          </w:p>
        </w:tc>
      </w:tr>
      <w:tr w:rsidR="00070BB1" w:rsidRPr="000255E3" w:rsidTr="00070BB1">
        <w:trPr>
          <w:cantSplit/>
          <w:jc w:val="center"/>
        </w:trPr>
        <w:tc>
          <w:tcPr>
            <w:tcW w:w="1502" w:type="dxa"/>
            <w:vMerge/>
            <w:shd w:val="clear" w:color="auto" w:fill="DBE5F1" w:themeFill="accent1" w:themeFillTint="33"/>
            <w:vAlign w:val="center"/>
          </w:tcPr>
          <w:p w:rsidR="00070BB1" w:rsidRPr="000255E3" w:rsidRDefault="00070BB1" w:rsidP="007642C0">
            <w:pPr>
              <w:pStyle w:val="ListParagraph"/>
              <w:spacing w:before="40" w:after="40" w:line="240" w:lineRule="auto"/>
              <w:ind w:left="0"/>
              <w:rPr>
                <w:rFonts w:asciiTheme="minorHAnsi" w:hAnsiTheme="minorHAnsi"/>
                <w:b/>
                <w:sz w:val="18"/>
                <w:szCs w:val="18"/>
              </w:rPr>
            </w:pPr>
          </w:p>
        </w:tc>
        <w:tc>
          <w:tcPr>
            <w:tcW w:w="1227" w:type="dxa"/>
            <w:shd w:val="clear" w:color="auto" w:fill="DBE5F1" w:themeFill="accent1" w:themeFillTint="33"/>
            <w:vAlign w:val="center"/>
          </w:tcPr>
          <w:p w:rsidR="00070BB1" w:rsidRPr="00070BB1" w:rsidRDefault="00070BB1" w:rsidP="007642C0">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Nuclear</w:t>
            </w:r>
          </w:p>
        </w:tc>
        <w:tc>
          <w:tcPr>
            <w:tcW w:w="1310" w:type="dxa"/>
            <w:shd w:val="clear" w:color="auto" w:fill="DBE5F1" w:themeFill="accent1" w:themeFillTint="3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27.3</w:t>
            </w:r>
            <w:r>
              <w:rPr>
                <w:rFonts w:asciiTheme="minorHAnsi" w:hAnsiTheme="minorHAnsi"/>
                <w:sz w:val="18"/>
                <w:szCs w:val="18"/>
              </w:rPr>
              <w:t>/</w:t>
            </w:r>
            <w:r w:rsidRPr="000255E3">
              <w:rPr>
                <w:rFonts w:asciiTheme="minorHAnsi" w:hAnsiTheme="minorHAnsi"/>
                <w:sz w:val="18"/>
                <w:szCs w:val="18"/>
              </w:rPr>
              <w:t>97%</w:t>
            </w:r>
          </w:p>
        </w:tc>
        <w:tc>
          <w:tcPr>
            <w:tcW w:w="1260" w:type="dxa"/>
            <w:gridSpan w:val="3"/>
            <w:shd w:val="clear" w:color="auto" w:fill="DBE5F1" w:themeFill="accent1" w:themeFillTint="3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27.3</w:t>
            </w:r>
            <w:r>
              <w:rPr>
                <w:rFonts w:asciiTheme="minorHAnsi" w:hAnsiTheme="minorHAnsi"/>
                <w:sz w:val="18"/>
                <w:szCs w:val="18"/>
              </w:rPr>
              <w:t>/</w:t>
            </w:r>
            <w:r w:rsidRPr="000255E3">
              <w:rPr>
                <w:rFonts w:asciiTheme="minorHAnsi" w:hAnsiTheme="minorHAnsi"/>
                <w:sz w:val="18"/>
                <w:szCs w:val="18"/>
              </w:rPr>
              <w:t>97%</w:t>
            </w:r>
          </w:p>
        </w:tc>
        <w:tc>
          <w:tcPr>
            <w:tcW w:w="1174" w:type="dxa"/>
            <w:shd w:val="clear" w:color="auto" w:fill="DBE5F1" w:themeFill="accent1" w:themeFillTint="3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27.2</w:t>
            </w:r>
            <w:r>
              <w:rPr>
                <w:rFonts w:asciiTheme="minorHAnsi" w:hAnsiTheme="minorHAnsi"/>
                <w:sz w:val="18"/>
                <w:szCs w:val="18"/>
              </w:rPr>
              <w:t>/</w:t>
            </w:r>
            <w:r w:rsidRPr="000255E3">
              <w:rPr>
                <w:rFonts w:asciiTheme="minorHAnsi" w:hAnsiTheme="minorHAnsi"/>
                <w:sz w:val="18"/>
                <w:szCs w:val="18"/>
              </w:rPr>
              <w:t>97%</w:t>
            </w:r>
          </w:p>
        </w:tc>
        <w:tc>
          <w:tcPr>
            <w:tcW w:w="1168" w:type="dxa"/>
            <w:shd w:val="clear" w:color="auto" w:fill="DBE5F1" w:themeFill="accent1" w:themeFillTint="3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27.3</w:t>
            </w:r>
            <w:r>
              <w:rPr>
                <w:rFonts w:asciiTheme="minorHAnsi" w:hAnsiTheme="minorHAnsi"/>
                <w:sz w:val="18"/>
                <w:szCs w:val="18"/>
              </w:rPr>
              <w:t>/</w:t>
            </w:r>
            <w:r w:rsidRPr="000255E3">
              <w:rPr>
                <w:rFonts w:asciiTheme="minorHAnsi" w:hAnsiTheme="minorHAnsi"/>
                <w:sz w:val="18"/>
                <w:szCs w:val="18"/>
              </w:rPr>
              <w:t>97%</w:t>
            </w:r>
          </w:p>
        </w:tc>
        <w:tc>
          <w:tcPr>
            <w:tcW w:w="1260" w:type="dxa"/>
            <w:gridSpan w:val="3"/>
            <w:shd w:val="clear" w:color="auto" w:fill="DBE5F1" w:themeFill="accent1" w:themeFillTint="3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27.3</w:t>
            </w:r>
            <w:r>
              <w:rPr>
                <w:rFonts w:asciiTheme="minorHAnsi" w:hAnsiTheme="minorHAnsi"/>
                <w:sz w:val="18"/>
                <w:szCs w:val="18"/>
              </w:rPr>
              <w:t>/</w:t>
            </w:r>
            <w:r w:rsidRPr="000255E3">
              <w:rPr>
                <w:rFonts w:asciiTheme="minorHAnsi" w:hAnsiTheme="minorHAnsi"/>
                <w:sz w:val="18"/>
                <w:szCs w:val="18"/>
              </w:rPr>
              <w:t>97%</w:t>
            </w:r>
          </w:p>
        </w:tc>
        <w:tc>
          <w:tcPr>
            <w:tcW w:w="1302" w:type="dxa"/>
            <w:shd w:val="clear" w:color="auto" w:fill="DBE5F1" w:themeFill="accent1" w:themeFillTint="3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27.3</w:t>
            </w:r>
            <w:r>
              <w:rPr>
                <w:rFonts w:asciiTheme="minorHAnsi" w:hAnsiTheme="minorHAnsi"/>
                <w:sz w:val="18"/>
                <w:szCs w:val="18"/>
              </w:rPr>
              <w:t>/</w:t>
            </w:r>
            <w:r w:rsidRPr="000255E3">
              <w:rPr>
                <w:rFonts w:asciiTheme="minorHAnsi" w:hAnsiTheme="minorHAnsi"/>
                <w:sz w:val="18"/>
                <w:szCs w:val="18"/>
              </w:rPr>
              <w:t>97%</w:t>
            </w:r>
          </w:p>
        </w:tc>
      </w:tr>
      <w:tr w:rsidR="00070BB1" w:rsidRPr="000255E3" w:rsidTr="00070BB1">
        <w:trPr>
          <w:cantSplit/>
          <w:jc w:val="center"/>
        </w:trPr>
        <w:tc>
          <w:tcPr>
            <w:tcW w:w="1502" w:type="dxa"/>
            <w:vMerge/>
            <w:shd w:val="clear" w:color="auto" w:fill="DBE5F1" w:themeFill="accent1" w:themeFillTint="33"/>
            <w:vAlign w:val="center"/>
          </w:tcPr>
          <w:p w:rsidR="00070BB1" w:rsidRPr="000255E3" w:rsidRDefault="00070BB1" w:rsidP="007642C0">
            <w:pPr>
              <w:pStyle w:val="ListParagraph"/>
              <w:spacing w:before="40" w:after="40" w:line="240" w:lineRule="auto"/>
              <w:ind w:left="0"/>
              <w:rPr>
                <w:rFonts w:asciiTheme="minorHAnsi" w:hAnsiTheme="minorHAnsi"/>
                <w:b/>
                <w:sz w:val="18"/>
                <w:szCs w:val="18"/>
              </w:rPr>
            </w:pPr>
          </w:p>
        </w:tc>
        <w:tc>
          <w:tcPr>
            <w:tcW w:w="1227" w:type="dxa"/>
            <w:shd w:val="clear" w:color="auto" w:fill="DBE5F1" w:themeFill="accent1" w:themeFillTint="33"/>
            <w:vAlign w:val="center"/>
          </w:tcPr>
          <w:p w:rsidR="00070BB1" w:rsidRPr="00070BB1" w:rsidRDefault="00070BB1" w:rsidP="007642C0">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Coal</w:t>
            </w:r>
          </w:p>
        </w:tc>
        <w:tc>
          <w:tcPr>
            <w:tcW w:w="1310" w:type="dxa"/>
            <w:shd w:val="clear" w:color="auto" w:fill="DBE5F1" w:themeFill="accent1" w:themeFillTint="3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(a)</w:t>
            </w:r>
          </w:p>
        </w:tc>
        <w:tc>
          <w:tcPr>
            <w:tcW w:w="1260" w:type="dxa"/>
            <w:gridSpan w:val="3"/>
            <w:shd w:val="clear" w:color="auto" w:fill="DBE5F1" w:themeFill="accent1" w:themeFillTint="3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(a)</w:t>
            </w:r>
          </w:p>
        </w:tc>
        <w:tc>
          <w:tcPr>
            <w:tcW w:w="1174" w:type="dxa"/>
            <w:shd w:val="clear" w:color="auto" w:fill="DBE5F1" w:themeFill="accent1" w:themeFillTint="3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(a)</w:t>
            </w:r>
          </w:p>
        </w:tc>
        <w:tc>
          <w:tcPr>
            <w:tcW w:w="1168" w:type="dxa"/>
            <w:shd w:val="clear" w:color="auto" w:fill="DBE5F1" w:themeFill="accent1" w:themeFillTint="3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5.2</w:t>
            </w:r>
            <w:r>
              <w:rPr>
                <w:rFonts w:asciiTheme="minorHAnsi" w:hAnsiTheme="minorHAnsi"/>
                <w:sz w:val="18"/>
                <w:szCs w:val="18"/>
              </w:rPr>
              <w:t>/</w:t>
            </w:r>
            <w:r w:rsidRPr="000255E3">
              <w:rPr>
                <w:rFonts w:asciiTheme="minorHAnsi" w:hAnsiTheme="minorHAnsi"/>
                <w:sz w:val="18"/>
                <w:szCs w:val="18"/>
              </w:rPr>
              <w:t>61%</w:t>
            </w:r>
          </w:p>
        </w:tc>
        <w:tc>
          <w:tcPr>
            <w:tcW w:w="1260" w:type="dxa"/>
            <w:gridSpan w:val="3"/>
            <w:shd w:val="clear" w:color="auto" w:fill="DBE5F1" w:themeFill="accent1" w:themeFillTint="3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(a)</w:t>
            </w:r>
          </w:p>
        </w:tc>
        <w:tc>
          <w:tcPr>
            <w:tcW w:w="1302" w:type="dxa"/>
            <w:shd w:val="clear" w:color="auto" w:fill="DBE5F1" w:themeFill="accent1" w:themeFillTint="3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(a)</w:t>
            </w:r>
          </w:p>
        </w:tc>
      </w:tr>
      <w:tr w:rsidR="00070BB1" w:rsidRPr="000255E3" w:rsidTr="00070BB1">
        <w:trPr>
          <w:cantSplit/>
          <w:jc w:val="center"/>
        </w:trPr>
        <w:tc>
          <w:tcPr>
            <w:tcW w:w="1502" w:type="dxa"/>
            <w:vMerge/>
            <w:shd w:val="clear" w:color="auto" w:fill="DBE5F1" w:themeFill="accent1" w:themeFillTint="33"/>
            <w:vAlign w:val="center"/>
          </w:tcPr>
          <w:p w:rsidR="00070BB1" w:rsidRPr="000255E3" w:rsidRDefault="00070BB1" w:rsidP="007642C0">
            <w:pPr>
              <w:pStyle w:val="ListParagraph"/>
              <w:spacing w:before="40" w:after="40" w:line="240" w:lineRule="auto"/>
              <w:ind w:left="0"/>
              <w:rPr>
                <w:rFonts w:asciiTheme="minorHAnsi" w:hAnsiTheme="minorHAnsi"/>
                <w:b/>
                <w:sz w:val="18"/>
                <w:szCs w:val="18"/>
              </w:rPr>
            </w:pPr>
          </w:p>
        </w:tc>
        <w:tc>
          <w:tcPr>
            <w:tcW w:w="1227" w:type="dxa"/>
            <w:shd w:val="clear" w:color="auto" w:fill="DBE5F1" w:themeFill="accent1" w:themeFillTint="33"/>
            <w:vAlign w:val="center"/>
          </w:tcPr>
          <w:p w:rsidR="00070BB1" w:rsidRPr="00070BB1" w:rsidRDefault="00070BB1" w:rsidP="007642C0">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 xml:space="preserve">Residual </w:t>
            </w:r>
            <w:r>
              <w:rPr>
                <w:rFonts w:asciiTheme="minorHAnsi" w:hAnsiTheme="minorHAnsi"/>
                <w:sz w:val="18"/>
                <w:szCs w:val="18"/>
              </w:rPr>
              <w:t>f</w:t>
            </w:r>
            <w:r w:rsidRPr="00070BB1">
              <w:rPr>
                <w:rFonts w:asciiTheme="minorHAnsi" w:hAnsiTheme="minorHAnsi"/>
                <w:sz w:val="18"/>
                <w:szCs w:val="18"/>
              </w:rPr>
              <w:t xml:space="preserve">uel </w:t>
            </w:r>
            <w:r>
              <w:rPr>
                <w:rFonts w:asciiTheme="minorHAnsi" w:hAnsiTheme="minorHAnsi"/>
                <w:sz w:val="18"/>
                <w:szCs w:val="18"/>
              </w:rPr>
              <w:t>o</w:t>
            </w:r>
            <w:r w:rsidRPr="00070BB1">
              <w:rPr>
                <w:rFonts w:asciiTheme="minorHAnsi" w:hAnsiTheme="minorHAnsi"/>
                <w:sz w:val="18"/>
                <w:szCs w:val="18"/>
              </w:rPr>
              <w:t>il</w:t>
            </w:r>
          </w:p>
        </w:tc>
        <w:tc>
          <w:tcPr>
            <w:tcW w:w="1310" w:type="dxa"/>
            <w:shd w:val="clear" w:color="auto" w:fill="DBE5F1" w:themeFill="accent1" w:themeFillTint="3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Pr>
                <w:rFonts w:asciiTheme="minorHAnsi" w:hAnsiTheme="minorHAnsi"/>
                <w:sz w:val="18"/>
                <w:szCs w:val="18"/>
              </w:rPr>
              <w:t>/</w:t>
            </w:r>
            <w:r w:rsidRPr="000255E3">
              <w:rPr>
                <w:rFonts w:asciiTheme="minorHAnsi" w:hAnsiTheme="minorHAnsi"/>
                <w:sz w:val="18"/>
                <w:szCs w:val="18"/>
              </w:rPr>
              <w:t>0%</w:t>
            </w:r>
          </w:p>
        </w:tc>
        <w:tc>
          <w:tcPr>
            <w:tcW w:w="1260" w:type="dxa"/>
            <w:gridSpan w:val="3"/>
            <w:shd w:val="clear" w:color="auto" w:fill="DBE5F1" w:themeFill="accent1" w:themeFillTint="3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Pr>
                <w:rFonts w:asciiTheme="minorHAnsi" w:hAnsiTheme="minorHAnsi"/>
                <w:sz w:val="18"/>
                <w:szCs w:val="18"/>
              </w:rPr>
              <w:t>/</w:t>
            </w:r>
            <w:r w:rsidRPr="000255E3">
              <w:rPr>
                <w:rFonts w:asciiTheme="minorHAnsi" w:hAnsiTheme="minorHAnsi"/>
                <w:sz w:val="18"/>
                <w:szCs w:val="18"/>
              </w:rPr>
              <w:t>0%</w:t>
            </w:r>
          </w:p>
        </w:tc>
        <w:tc>
          <w:tcPr>
            <w:tcW w:w="1174" w:type="dxa"/>
            <w:shd w:val="clear" w:color="auto" w:fill="DBE5F1" w:themeFill="accent1" w:themeFillTint="3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Pr>
                <w:rFonts w:asciiTheme="minorHAnsi" w:hAnsiTheme="minorHAnsi"/>
                <w:sz w:val="18"/>
                <w:szCs w:val="18"/>
              </w:rPr>
              <w:t>/</w:t>
            </w:r>
            <w:r w:rsidRPr="000255E3">
              <w:rPr>
                <w:rFonts w:asciiTheme="minorHAnsi" w:hAnsiTheme="minorHAnsi"/>
                <w:sz w:val="18"/>
                <w:szCs w:val="18"/>
              </w:rPr>
              <w:t>0%</w:t>
            </w:r>
          </w:p>
        </w:tc>
        <w:tc>
          <w:tcPr>
            <w:tcW w:w="1168" w:type="dxa"/>
            <w:shd w:val="clear" w:color="auto" w:fill="DBE5F1" w:themeFill="accent1" w:themeFillTint="3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Pr>
                <w:rFonts w:asciiTheme="minorHAnsi" w:hAnsiTheme="minorHAnsi"/>
                <w:sz w:val="18"/>
                <w:szCs w:val="18"/>
              </w:rPr>
              <w:t>/</w:t>
            </w:r>
            <w:r w:rsidRPr="000255E3">
              <w:rPr>
                <w:rFonts w:asciiTheme="minorHAnsi" w:hAnsiTheme="minorHAnsi"/>
                <w:sz w:val="18"/>
                <w:szCs w:val="18"/>
              </w:rPr>
              <w:t>0%</w:t>
            </w:r>
          </w:p>
        </w:tc>
        <w:tc>
          <w:tcPr>
            <w:tcW w:w="1260" w:type="dxa"/>
            <w:gridSpan w:val="3"/>
            <w:shd w:val="clear" w:color="auto" w:fill="DBE5F1" w:themeFill="accent1" w:themeFillTint="3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Pr>
                <w:rFonts w:asciiTheme="minorHAnsi" w:hAnsiTheme="minorHAnsi"/>
                <w:sz w:val="18"/>
                <w:szCs w:val="18"/>
              </w:rPr>
              <w:t>/</w:t>
            </w:r>
            <w:r w:rsidRPr="000255E3">
              <w:rPr>
                <w:rFonts w:asciiTheme="minorHAnsi" w:hAnsiTheme="minorHAnsi"/>
                <w:sz w:val="18"/>
                <w:szCs w:val="18"/>
              </w:rPr>
              <w:t>0%</w:t>
            </w:r>
          </w:p>
        </w:tc>
        <w:tc>
          <w:tcPr>
            <w:tcW w:w="1302" w:type="dxa"/>
            <w:shd w:val="clear" w:color="auto" w:fill="DBE5F1" w:themeFill="accent1" w:themeFillTint="3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0.0</w:t>
            </w:r>
            <w:r>
              <w:rPr>
                <w:rFonts w:asciiTheme="minorHAnsi" w:hAnsiTheme="minorHAnsi"/>
                <w:sz w:val="18"/>
                <w:szCs w:val="18"/>
              </w:rPr>
              <w:t>/</w:t>
            </w:r>
            <w:r w:rsidRPr="000255E3">
              <w:rPr>
                <w:rFonts w:asciiTheme="minorHAnsi" w:hAnsiTheme="minorHAnsi"/>
                <w:sz w:val="18"/>
                <w:szCs w:val="18"/>
              </w:rPr>
              <w:t>0%</w:t>
            </w:r>
          </w:p>
        </w:tc>
      </w:tr>
      <w:tr w:rsidR="00070BB1" w:rsidRPr="000255E3" w:rsidTr="00070BB1">
        <w:trPr>
          <w:cantSplit/>
          <w:jc w:val="center"/>
        </w:trPr>
        <w:tc>
          <w:tcPr>
            <w:tcW w:w="1502" w:type="dxa"/>
            <w:vMerge/>
            <w:shd w:val="clear" w:color="auto" w:fill="DBE5F1" w:themeFill="accent1" w:themeFillTint="33"/>
            <w:vAlign w:val="center"/>
          </w:tcPr>
          <w:p w:rsidR="00070BB1" w:rsidRPr="000255E3" w:rsidRDefault="00070BB1" w:rsidP="007642C0">
            <w:pPr>
              <w:pStyle w:val="ListParagraph"/>
              <w:spacing w:before="40" w:after="40" w:line="240" w:lineRule="auto"/>
              <w:ind w:left="0"/>
              <w:rPr>
                <w:rFonts w:asciiTheme="minorHAnsi" w:hAnsiTheme="minorHAnsi"/>
                <w:b/>
                <w:sz w:val="18"/>
                <w:szCs w:val="18"/>
              </w:rPr>
            </w:pPr>
          </w:p>
        </w:tc>
        <w:tc>
          <w:tcPr>
            <w:tcW w:w="1227" w:type="dxa"/>
            <w:shd w:val="clear" w:color="auto" w:fill="DBE5F1" w:themeFill="accent1" w:themeFillTint="33"/>
            <w:vAlign w:val="center"/>
          </w:tcPr>
          <w:p w:rsidR="00070BB1" w:rsidRPr="00070BB1" w:rsidRDefault="00070BB1" w:rsidP="007642C0">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 xml:space="preserve">Offshore </w:t>
            </w:r>
            <w:r>
              <w:rPr>
                <w:rFonts w:asciiTheme="minorHAnsi" w:hAnsiTheme="minorHAnsi"/>
                <w:sz w:val="18"/>
                <w:szCs w:val="18"/>
              </w:rPr>
              <w:t>w</w:t>
            </w:r>
            <w:r w:rsidRPr="00070BB1">
              <w:rPr>
                <w:rFonts w:asciiTheme="minorHAnsi" w:hAnsiTheme="minorHAnsi"/>
                <w:sz w:val="18"/>
                <w:szCs w:val="18"/>
              </w:rPr>
              <w:t>ind</w:t>
            </w:r>
          </w:p>
        </w:tc>
        <w:tc>
          <w:tcPr>
            <w:tcW w:w="1310" w:type="dxa"/>
            <w:shd w:val="clear" w:color="auto" w:fill="DBE5F1" w:themeFill="accent1" w:themeFillTint="3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1.9</w:t>
            </w:r>
            <w:r>
              <w:rPr>
                <w:rFonts w:asciiTheme="minorHAnsi" w:hAnsiTheme="minorHAnsi"/>
                <w:sz w:val="18"/>
                <w:szCs w:val="18"/>
              </w:rPr>
              <w:t>/</w:t>
            </w:r>
            <w:r w:rsidRPr="000255E3">
              <w:rPr>
                <w:rFonts w:asciiTheme="minorHAnsi" w:hAnsiTheme="minorHAnsi"/>
                <w:sz w:val="18"/>
                <w:szCs w:val="18"/>
              </w:rPr>
              <w:t>46%</w:t>
            </w:r>
          </w:p>
        </w:tc>
        <w:tc>
          <w:tcPr>
            <w:tcW w:w="1260" w:type="dxa"/>
            <w:gridSpan w:val="3"/>
            <w:shd w:val="clear" w:color="auto" w:fill="DBE5F1" w:themeFill="accent1" w:themeFillTint="3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6.8</w:t>
            </w:r>
            <w:r>
              <w:rPr>
                <w:rFonts w:asciiTheme="minorHAnsi" w:hAnsiTheme="minorHAnsi"/>
                <w:sz w:val="18"/>
                <w:szCs w:val="18"/>
              </w:rPr>
              <w:t>/</w:t>
            </w:r>
            <w:r w:rsidRPr="000255E3">
              <w:rPr>
                <w:rFonts w:asciiTheme="minorHAnsi" w:hAnsiTheme="minorHAnsi"/>
                <w:sz w:val="18"/>
                <w:szCs w:val="18"/>
              </w:rPr>
              <w:t>46%</w:t>
            </w:r>
          </w:p>
        </w:tc>
        <w:tc>
          <w:tcPr>
            <w:tcW w:w="1174" w:type="dxa"/>
            <w:shd w:val="clear" w:color="auto" w:fill="DBE5F1" w:themeFill="accent1" w:themeFillTint="3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9.4</w:t>
            </w:r>
            <w:r>
              <w:rPr>
                <w:rFonts w:asciiTheme="minorHAnsi" w:hAnsiTheme="minorHAnsi"/>
                <w:sz w:val="18"/>
                <w:szCs w:val="18"/>
              </w:rPr>
              <w:t>/</w:t>
            </w:r>
            <w:r w:rsidRPr="000255E3">
              <w:rPr>
                <w:rFonts w:asciiTheme="minorHAnsi" w:hAnsiTheme="minorHAnsi"/>
                <w:sz w:val="18"/>
                <w:szCs w:val="18"/>
              </w:rPr>
              <w:t>43%</w:t>
            </w:r>
          </w:p>
        </w:tc>
        <w:tc>
          <w:tcPr>
            <w:tcW w:w="1168" w:type="dxa"/>
            <w:shd w:val="clear" w:color="auto" w:fill="DBE5F1" w:themeFill="accent1" w:themeFillTint="3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1.9</w:t>
            </w:r>
            <w:r>
              <w:rPr>
                <w:rFonts w:asciiTheme="minorHAnsi" w:hAnsiTheme="minorHAnsi"/>
                <w:sz w:val="18"/>
                <w:szCs w:val="18"/>
              </w:rPr>
              <w:t>/</w:t>
            </w:r>
            <w:r w:rsidRPr="000255E3">
              <w:rPr>
                <w:rFonts w:asciiTheme="minorHAnsi" w:hAnsiTheme="minorHAnsi"/>
                <w:sz w:val="18"/>
                <w:szCs w:val="18"/>
              </w:rPr>
              <w:t>46%</w:t>
            </w:r>
          </w:p>
        </w:tc>
        <w:tc>
          <w:tcPr>
            <w:tcW w:w="1260" w:type="dxa"/>
            <w:gridSpan w:val="3"/>
            <w:shd w:val="clear" w:color="auto" w:fill="DBE5F1" w:themeFill="accent1" w:themeFillTint="3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1.9</w:t>
            </w:r>
            <w:r>
              <w:rPr>
                <w:rFonts w:asciiTheme="minorHAnsi" w:hAnsiTheme="minorHAnsi"/>
                <w:sz w:val="18"/>
                <w:szCs w:val="18"/>
              </w:rPr>
              <w:t>/</w:t>
            </w:r>
            <w:r w:rsidRPr="000255E3">
              <w:rPr>
                <w:rFonts w:asciiTheme="minorHAnsi" w:hAnsiTheme="minorHAnsi"/>
                <w:sz w:val="18"/>
                <w:szCs w:val="18"/>
              </w:rPr>
              <w:t>46%</w:t>
            </w:r>
          </w:p>
        </w:tc>
        <w:tc>
          <w:tcPr>
            <w:tcW w:w="1302" w:type="dxa"/>
            <w:shd w:val="clear" w:color="auto" w:fill="DBE5F1" w:themeFill="accent1" w:themeFillTint="3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25.2</w:t>
            </w:r>
            <w:r>
              <w:rPr>
                <w:rFonts w:asciiTheme="minorHAnsi" w:hAnsiTheme="minorHAnsi"/>
                <w:sz w:val="18"/>
                <w:szCs w:val="18"/>
              </w:rPr>
              <w:t>/</w:t>
            </w:r>
            <w:r w:rsidRPr="000255E3">
              <w:rPr>
                <w:rFonts w:asciiTheme="minorHAnsi" w:hAnsiTheme="minorHAnsi"/>
                <w:sz w:val="18"/>
                <w:szCs w:val="18"/>
              </w:rPr>
              <w:t>49%</w:t>
            </w:r>
          </w:p>
        </w:tc>
      </w:tr>
      <w:tr w:rsidR="00070BB1" w:rsidRPr="000255E3" w:rsidTr="00070BB1">
        <w:trPr>
          <w:cantSplit/>
          <w:trHeight w:val="58"/>
          <w:jc w:val="center"/>
        </w:trPr>
        <w:tc>
          <w:tcPr>
            <w:tcW w:w="1502" w:type="dxa"/>
            <w:vMerge/>
            <w:shd w:val="clear" w:color="auto" w:fill="DBE5F1" w:themeFill="accent1" w:themeFillTint="33"/>
            <w:vAlign w:val="center"/>
          </w:tcPr>
          <w:p w:rsidR="00070BB1" w:rsidRPr="000255E3" w:rsidRDefault="00070BB1" w:rsidP="007642C0">
            <w:pPr>
              <w:pStyle w:val="ListParagraph"/>
              <w:spacing w:before="40" w:after="40" w:line="240" w:lineRule="auto"/>
              <w:ind w:left="0"/>
              <w:rPr>
                <w:rFonts w:asciiTheme="minorHAnsi" w:hAnsiTheme="minorHAnsi"/>
                <w:b/>
                <w:sz w:val="18"/>
                <w:szCs w:val="18"/>
              </w:rPr>
            </w:pPr>
          </w:p>
        </w:tc>
        <w:tc>
          <w:tcPr>
            <w:tcW w:w="1227" w:type="dxa"/>
            <w:shd w:val="clear" w:color="auto" w:fill="DBE5F1" w:themeFill="accent1" w:themeFillTint="33"/>
            <w:vAlign w:val="center"/>
          </w:tcPr>
          <w:p w:rsidR="00070BB1" w:rsidRPr="00070BB1" w:rsidRDefault="00070BB1" w:rsidP="00E401C4">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Onshore</w:t>
            </w:r>
          </w:p>
          <w:p w:rsidR="00070BB1" w:rsidRPr="00070BB1" w:rsidRDefault="00070BB1" w:rsidP="007642C0">
            <w:pPr>
              <w:pStyle w:val="ListParagraph"/>
              <w:spacing w:before="40" w:after="40" w:line="240" w:lineRule="auto"/>
              <w:ind w:left="0"/>
              <w:rPr>
                <w:rFonts w:asciiTheme="minorHAnsi" w:hAnsiTheme="minorHAnsi"/>
                <w:sz w:val="18"/>
                <w:szCs w:val="18"/>
              </w:rPr>
            </w:pPr>
            <w:r>
              <w:rPr>
                <w:rFonts w:asciiTheme="minorHAnsi" w:hAnsiTheme="minorHAnsi"/>
                <w:sz w:val="18"/>
                <w:szCs w:val="18"/>
              </w:rPr>
              <w:t>w</w:t>
            </w:r>
            <w:r w:rsidRPr="00070BB1">
              <w:rPr>
                <w:rFonts w:asciiTheme="minorHAnsi" w:hAnsiTheme="minorHAnsi"/>
                <w:sz w:val="18"/>
                <w:szCs w:val="18"/>
              </w:rPr>
              <w:t>ind</w:t>
            </w:r>
          </w:p>
        </w:tc>
        <w:tc>
          <w:tcPr>
            <w:tcW w:w="1310" w:type="dxa"/>
            <w:shd w:val="clear" w:color="auto" w:fill="DBE5F1" w:themeFill="accent1" w:themeFillTint="3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12.8</w:t>
            </w:r>
            <w:r>
              <w:rPr>
                <w:rFonts w:asciiTheme="minorHAnsi" w:hAnsiTheme="minorHAnsi"/>
                <w:sz w:val="18"/>
                <w:szCs w:val="18"/>
              </w:rPr>
              <w:t>/</w:t>
            </w:r>
            <w:r w:rsidRPr="000255E3">
              <w:rPr>
                <w:rFonts w:asciiTheme="minorHAnsi" w:hAnsiTheme="minorHAnsi"/>
                <w:sz w:val="18"/>
                <w:szCs w:val="18"/>
              </w:rPr>
              <w:t>37%</w:t>
            </w:r>
          </w:p>
        </w:tc>
        <w:tc>
          <w:tcPr>
            <w:tcW w:w="1260" w:type="dxa"/>
            <w:gridSpan w:val="3"/>
            <w:shd w:val="clear" w:color="auto" w:fill="DBE5F1" w:themeFill="accent1" w:themeFillTint="3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41.3</w:t>
            </w:r>
            <w:r>
              <w:rPr>
                <w:rFonts w:asciiTheme="minorHAnsi" w:hAnsiTheme="minorHAnsi"/>
                <w:sz w:val="18"/>
                <w:szCs w:val="18"/>
              </w:rPr>
              <w:t>/</w:t>
            </w:r>
            <w:r w:rsidRPr="000255E3">
              <w:rPr>
                <w:rFonts w:asciiTheme="minorHAnsi" w:hAnsiTheme="minorHAnsi"/>
                <w:sz w:val="18"/>
                <w:szCs w:val="18"/>
              </w:rPr>
              <w:t>33%</w:t>
            </w:r>
          </w:p>
        </w:tc>
        <w:tc>
          <w:tcPr>
            <w:tcW w:w="1174" w:type="dxa"/>
            <w:shd w:val="clear" w:color="auto" w:fill="DBE5F1" w:themeFill="accent1" w:themeFillTint="3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14.9</w:t>
            </w:r>
            <w:r>
              <w:rPr>
                <w:rFonts w:asciiTheme="minorHAnsi" w:hAnsiTheme="minorHAnsi"/>
                <w:sz w:val="18"/>
                <w:szCs w:val="18"/>
              </w:rPr>
              <w:t>/</w:t>
            </w:r>
            <w:r w:rsidRPr="000255E3">
              <w:rPr>
                <w:rFonts w:asciiTheme="minorHAnsi" w:hAnsiTheme="minorHAnsi"/>
                <w:sz w:val="18"/>
                <w:szCs w:val="18"/>
              </w:rPr>
              <w:t>37%</w:t>
            </w:r>
          </w:p>
        </w:tc>
        <w:tc>
          <w:tcPr>
            <w:tcW w:w="1168" w:type="dxa"/>
            <w:shd w:val="clear" w:color="auto" w:fill="DBE5F1" w:themeFill="accent1" w:themeFillTint="3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4.6</w:t>
            </w:r>
            <w:r>
              <w:rPr>
                <w:rFonts w:asciiTheme="minorHAnsi" w:hAnsiTheme="minorHAnsi"/>
                <w:sz w:val="18"/>
                <w:szCs w:val="18"/>
              </w:rPr>
              <w:t>/</w:t>
            </w:r>
            <w:r w:rsidRPr="000255E3">
              <w:rPr>
                <w:rFonts w:asciiTheme="minorHAnsi" w:hAnsiTheme="minorHAnsi"/>
                <w:sz w:val="18"/>
                <w:szCs w:val="18"/>
              </w:rPr>
              <w:t>41%</w:t>
            </w:r>
          </w:p>
        </w:tc>
        <w:tc>
          <w:tcPr>
            <w:tcW w:w="1260" w:type="dxa"/>
            <w:gridSpan w:val="3"/>
            <w:shd w:val="clear" w:color="auto" w:fill="DBE5F1" w:themeFill="accent1" w:themeFillTint="3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4.6</w:t>
            </w:r>
            <w:r>
              <w:rPr>
                <w:rFonts w:asciiTheme="minorHAnsi" w:hAnsiTheme="minorHAnsi"/>
                <w:sz w:val="18"/>
                <w:szCs w:val="18"/>
              </w:rPr>
              <w:t>/</w:t>
            </w:r>
            <w:r w:rsidRPr="000255E3">
              <w:rPr>
                <w:rFonts w:asciiTheme="minorHAnsi" w:hAnsiTheme="minorHAnsi"/>
                <w:sz w:val="18"/>
                <w:szCs w:val="18"/>
              </w:rPr>
              <w:t>41%</w:t>
            </w:r>
          </w:p>
        </w:tc>
        <w:tc>
          <w:tcPr>
            <w:tcW w:w="1302" w:type="dxa"/>
            <w:shd w:val="clear" w:color="auto" w:fill="DBE5F1" w:themeFill="accent1" w:themeFillTint="3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21.5</w:t>
            </w:r>
            <w:r>
              <w:rPr>
                <w:rFonts w:asciiTheme="minorHAnsi" w:hAnsiTheme="minorHAnsi"/>
                <w:sz w:val="18"/>
                <w:szCs w:val="18"/>
              </w:rPr>
              <w:t>/</w:t>
            </w:r>
            <w:r w:rsidRPr="000255E3">
              <w:rPr>
                <w:rFonts w:asciiTheme="minorHAnsi" w:hAnsiTheme="minorHAnsi"/>
                <w:sz w:val="18"/>
                <w:szCs w:val="18"/>
              </w:rPr>
              <w:t>35%</w:t>
            </w:r>
          </w:p>
        </w:tc>
      </w:tr>
      <w:tr w:rsidR="00070BB1" w:rsidRPr="000255E3" w:rsidTr="00070BB1">
        <w:trPr>
          <w:cantSplit/>
          <w:jc w:val="center"/>
        </w:trPr>
        <w:tc>
          <w:tcPr>
            <w:tcW w:w="1502" w:type="dxa"/>
            <w:vMerge/>
            <w:shd w:val="clear" w:color="auto" w:fill="DBE5F1" w:themeFill="accent1" w:themeFillTint="33"/>
            <w:vAlign w:val="center"/>
          </w:tcPr>
          <w:p w:rsidR="00070BB1" w:rsidRPr="000255E3" w:rsidRDefault="00070BB1" w:rsidP="007642C0">
            <w:pPr>
              <w:pStyle w:val="ListParagraph"/>
              <w:spacing w:before="40" w:after="40" w:line="240" w:lineRule="auto"/>
              <w:ind w:left="0"/>
              <w:rPr>
                <w:rFonts w:asciiTheme="minorHAnsi" w:hAnsiTheme="minorHAnsi"/>
                <w:b/>
                <w:sz w:val="18"/>
                <w:szCs w:val="18"/>
              </w:rPr>
            </w:pPr>
          </w:p>
        </w:tc>
        <w:tc>
          <w:tcPr>
            <w:tcW w:w="1227" w:type="dxa"/>
            <w:shd w:val="clear" w:color="auto" w:fill="DBE5F1" w:themeFill="accent1" w:themeFillTint="33"/>
            <w:vAlign w:val="center"/>
          </w:tcPr>
          <w:p w:rsidR="00070BB1" w:rsidRPr="00070BB1" w:rsidRDefault="00070BB1" w:rsidP="007642C0">
            <w:pPr>
              <w:pStyle w:val="ListParagraph"/>
              <w:spacing w:before="40" w:after="40" w:line="240" w:lineRule="auto"/>
              <w:ind w:left="0"/>
              <w:rPr>
                <w:rFonts w:asciiTheme="minorHAnsi" w:hAnsiTheme="minorHAnsi"/>
                <w:sz w:val="18"/>
                <w:szCs w:val="18"/>
              </w:rPr>
            </w:pPr>
            <w:r w:rsidRPr="00070BB1">
              <w:rPr>
                <w:rFonts w:asciiTheme="minorHAnsi" w:hAnsiTheme="minorHAnsi"/>
                <w:sz w:val="18"/>
                <w:szCs w:val="18"/>
              </w:rPr>
              <w:t>Hydro</w:t>
            </w:r>
          </w:p>
        </w:tc>
        <w:tc>
          <w:tcPr>
            <w:tcW w:w="1310" w:type="dxa"/>
            <w:shd w:val="clear" w:color="auto" w:fill="DBE5F1" w:themeFill="accent1" w:themeFillTint="3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4.0</w:t>
            </w:r>
            <w:r>
              <w:rPr>
                <w:rFonts w:asciiTheme="minorHAnsi" w:hAnsiTheme="minorHAnsi"/>
                <w:sz w:val="18"/>
                <w:szCs w:val="18"/>
              </w:rPr>
              <w:t>/</w:t>
            </w:r>
            <w:r w:rsidRPr="000255E3">
              <w:rPr>
                <w:rFonts w:asciiTheme="minorHAnsi" w:hAnsiTheme="minorHAnsi"/>
                <w:sz w:val="18"/>
                <w:szCs w:val="18"/>
              </w:rPr>
              <w:t>29%</w:t>
            </w:r>
          </w:p>
        </w:tc>
        <w:tc>
          <w:tcPr>
            <w:tcW w:w="1260" w:type="dxa"/>
            <w:gridSpan w:val="3"/>
            <w:shd w:val="clear" w:color="auto" w:fill="DBE5F1" w:themeFill="accent1" w:themeFillTint="3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3.8</w:t>
            </w:r>
            <w:r>
              <w:rPr>
                <w:rFonts w:asciiTheme="minorHAnsi" w:hAnsiTheme="minorHAnsi"/>
                <w:sz w:val="18"/>
                <w:szCs w:val="18"/>
              </w:rPr>
              <w:t>/</w:t>
            </w:r>
            <w:r w:rsidRPr="000255E3">
              <w:rPr>
                <w:rFonts w:asciiTheme="minorHAnsi" w:hAnsiTheme="minorHAnsi"/>
                <w:sz w:val="18"/>
                <w:szCs w:val="18"/>
              </w:rPr>
              <w:t>28%</w:t>
            </w:r>
          </w:p>
        </w:tc>
        <w:tc>
          <w:tcPr>
            <w:tcW w:w="1174" w:type="dxa"/>
            <w:shd w:val="clear" w:color="auto" w:fill="DBE5F1" w:themeFill="accent1" w:themeFillTint="3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3.9</w:t>
            </w:r>
            <w:r>
              <w:rPr>
                <w:rFonts w:asciiTheme="minorHAnsi" w:hAnsiTheme="minorHAnsi"/>
                <w:sz w:val="18"/>
                <w:szCs w:val="18"/>
              </w:rPr>
              <w:t>/</w:t>
            </w:r>
            <w:r w:rsidRPr="000255E3">
              <w:rPr>
                <w:rFonts w:asciiTheme="minorHAnsi" w:hAnsiTheme="minorHAnsi"/>
                <w:sz w:val="18"/>
                <w:szCs w:val="18"/>
              </w:rPr>
              <w:t>29%</w:t>
            </w:r>
          </w:p>
        </w:tc>
        <w:tc>
          <w:tcPr>
            <w:tcW w:w="1168" w:type="dxa"/>
            <w:shd w:val="clear" w:color="auto" w:fill="DBE5F1" w:themeFill="accent1" w:themeFillTint="3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4.0</w:t>
            </w:r>
            <w:r>
              <w:rPr>
                <w:rFonts w:asciiTheme="minorHAnsi" w:hAnsiTheme="minorHAnsi"/>
                <w:sz w:val="18"/>
                <w:szCs w:val="18"/>
              </w:rPr>
              <w:t>/</w:t>
            </w:r>
            <w:r w:rsidRPr="000255E3">
              <w:rPr>
                <w:rFonts w:asciiTheme="minorHAnsi" w:hAnsiTheme="minorHAnsi"/>
                <w:sz w:val="18"/>
                <w:szCs w:val="18"/>
              </w:rPr>
              <w:t>29%</w:t>
            </w:r>
          </w:p>
        </w:tc>
        <w:tc>
          <w:tcPr>
            <w:tcW w:w="1260" w:type="dxa"/>
            <w:gridSpan w:val="3"/>
            <w:shd w:val="clear" w:color="auto" w:fill="DBE5F1" w:themeFill="accent1" w:themeFillTint="3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4.0</w:t>
            </w:r>
            <w:r>
              <w:rPr>
                <w:rFonts w:asciiTheme="minorHAnsi" w:hAnsiTheme="minorHAnsi"/>
                <w:sz w:val="18"/>
                <w:szCs w:val="18"/>
              </w:rPr>
              <w:t>/</w:t>
            </w:r>
            <w:r w:rsidRPr="000255E3">
              <w:rPr>
                <w:rFonts w:asciiTheme="minorHAnsi" w:hAnsiTheme="minorHAnsi"/>
                <w:sz w:val="18"/>
                <w:szCs w:val="18"/>
              </w:rPr>
              <w:t>29%</w:t>
            </w:r>
          </w:p>
        </w:tc>
        <w:tc>
          <w:tcPr>
            <w:tcW w:w="1302" w:type="dxa"/>
            <w:shd w:val="clear" w:color="auto" w:fill="DBE5F1" w:themeFill="accent1" w:themeFillTint="33"/>
            <w:vAlign w:val="center"/>
          </w:tcPr>
          <w:p w:rsidR="00070BB1" w:rsidRPr="000255E3" w:rsidRDefault="00070BB1" w:rsidP="007642C0">
            <w:pPr>
              <w:pStyle w:val="ListParagraph"/>
              <w:spacing w:before="40" w:after="40" w:line="240" w:lineRule="auto"/>
              <w:ind w:left="0"/>
              <w:jc w:val="center"/>
              <w:rPr>
                <w:rFonts w:asciiTheme="minorHAnsi" w:hAnsiTheme="minorHAnsi"/>
                <w:sz w:val="18"/>
                <w:szCs w:val="18"/>
              </w:rPr>
            </w:pPr>
            <w:r w:rsidRPr="000255E3">
              <w:rPr>
                <w:rFonts w:asciiTheme="minorHAnsi" w:hAnsiTheme="minorHAnsi"/>
                <w:sz w:val="18"/>
                <w:szCs w:val="18"/>
              </w:rPr>
              <w:t>3.7</w:t>
            </w:r>
            <w:r>
              <w:rPr>
                <w:rFonts w:asciiTheme="minorHAnsi" w:hAnsiTheme="minorHAnsi"/>
                <w:sz w:val="18"/>
                <w:szCs w:val="18"/>
              </w:rPr>
              <w:t>/</w:t>
            </w:r>
            <w:r w:rsidRPr="000255E3">
              <w:rPr>
                <w:rFonts w:asciiTheme="minorHAnsi" w:hAnsiTheme="minorHAnsi"/>
                <w:sz w:val="18"/>
                <w:szCs w:val="18"/>
              </w:rPr>
              <w:t>27%</w:t>
            </w:r>
          </w:p>
        </w:tc>
      </w:tr>
    </w:tbl>
    <w:p w:rsidR="005E406A" w:rsidRPr="00066F69" w:rsidRDefault="004E4A14" w:rsidP="00070BB1">
      <w:pPr>
        <w:pStyle w:val="ListParagraph"/>
        <w:spacing w:before="120" w:after="240" w:line="240" w:lineRule="auto"/>
        <w:ind w:left="-360"/>
        <w:rPr>
          <w:rFonts w:asciiTheme="minorHAnsi" w:hAnsiTheme="minorHAnsi"/>
          <w:sz w:val="16"/>
          <w:szCs w:val="16"/>
        </w:rPr>
      </w:pPr>
      <w:r w:rsidRPr="00066F69">
        <w:rPr>
          <w:rFonts w:asciiTheme="minorHAnsi" w:hAnsiTheme="minorHAnsi"/>
          <w:sz w:val="16"/>
          <w:szCs w:val="16"/>
        </w:rPr>
        <w:t>(a) Legacy coal units retired</w:t>
      </w:r>
      <w:r w:rsidR="00066F69">
        <w:rPr>
          <w:rFonts w:asciiTheme="minorHAnsi" w:hAnsiTheme="minorHAnsi"/>
          <w:sz w:val="16"/>
          <w:szCs w:val="16"/>
        </w:rPr>
        <w:t>.</w:t>
      </w:r>
    </w:p>
    <w:p w:rsidR="009C72DA" w:rsidRDefault="00066F69" w:rsidP="009C72DA">
      <w:r>
        <w:fldChar w:fldCharType="begin"/>
      </w:r>
      <w:r>
        <w:instrText xml:space="preserve"> REF _Ref485803919 \h </w:instrText>
      </w:r>
      <w:r w:rsidR="009C72DA">
        <w:instrText xml:space="preserve"> \* MERGEFORMAT </w:instrText>
      </w:r>
      <w:r>
        <w:fldChar w:fldCharType="separate"/>
      </w:r>
      <w:r>
        <w:t xml:space="preserve">Table </w:t>
      </w:r>
      <w:r>
        <w:rPr>
          <w:noProof/>
        </w:rPr>
        <w:t>6</w:t>
      </w:r>
      <w:r>
        <w:noBreakHyphen/>
      </w:r>
      <w:r>
        <w:rPr>
          <w:noProof/>
        </w:rPr>
        <w:t>3</w:t>
      </w:r>
      <w:r>
        <w:fldChar w:fldCharType="end"/>
      </w:r>
      <w:r>
        <w:t xml:space="preserve"> shows t</w:t>
      </w:r>
      <w:r w:rsidR="009C72DA">
        <w:t>h</w:t>
      </w:r>
      <w:r w:rsidR="00AE388D">
        <w:t xml:space="preserve">e range of capacity factors for </w:t>
      </w:r>
      <w:r w:rsidR="00AE388D" w:rsidRPr="009C4556">
        <w:t>simple</w:t>
      </w:r>
      <w:r>
        <w:t>-</w:t>
      </w:r>
      <w:r w:rsidR="00AE388D" w:rsidRPr="009C4556">
        <w:t>cycle natural gas, combined</w:t>
      </w:r>
      <w:r>
        <w:t>-</w:t>
      </w:r>
      <w:r w:rsidR="00AE388D" w:rsidRPr="009C4556">
        <w:t>cycle natural gas</w:t>
      </w:r>
      <w:r w:rsidR="00006EB9">
        <w:t>,</w:t>
      </w:r>
      <w:r w:rsidR="00AE388D" w:rsidRPr="009C4556">
        <w:t xml:space="preserve"> and </w:t>
      </w:r>
      <w:r w:rsidR="00AE388D" w:rsidRPr="00D01B32">
        <w:t>nuclear</w:t>
      </w:r>
      <w:r w:rsidRPr="00D01B32">
        <w:t xml:space="preserve">. </w:t>
      </w:r>
      <w:r w:rsidR="00AE388D" w:rsidRPr="00D01B32">
        <w:t>The table shows that the lower</w:t>
      </w:r>
      <w:r w:rsidRPr="00D01B32">
        <w:t>-</w:t>
      </w:r>
      <w:r w:rsidR="00AE388D" w:rsidRPr="00D01B32">
        <w:t>efficiency si</w:t>
      </w:r>
      <w:r w:rsidR="00006EB9" w:rsidRPr="00D01B32">
        <w:t>ngle</w:t>
      </w:r>
      <w:r w:rsidR="009C72DA" w:rsidRPr="00D01B32">
        <w:t>-</w:t>
      </w:r>
      <w:r w:rsidR="00AE388D" w:rsidRPr="00D01B32">
        <w:t xml:space="preserve">cycle </w:t>
      </w:r>
      <w:r w:rsidR="00D01B32" w:rsidRPr="00D01B32">
        <w:t xml:space="preserve">natural gas </w:t>
      </w:r>
      <w:r w:rsidR="00AE388D" w:rsidRPr="00D01B32">
        <w:t>combustion</w:t>
      </w:r>
      <w:r w:rsidR="00AE388D">
        <w:t xml:space="preserve"> turbines have capacity factor</w:t>
      </w:r>
      <w:r w:rsidR="00F00D1A">
        <w:t>s</w:t>
      </w:r>
      <w:r w:rsidR="00AE388D">
        <w:t xml:space="preserve"> rang</w:t>
      </w:r>
      <w:r w:rsidR="009C72DA">
        <w:t>ing</w:t>
      </w:r>
      <w:r w:rsidR="00AE388D">
        <w:t xml:space="preserve"> from 0.0% to 1.5% across all scenarios. The lowest capacity factors for this type of resource </w:t>
      </w:r>
      <w:r w:rsidR="00B83191">
        <w:t>are</w:t>
      </w:r>
      <w:r w:rsidR="00AE388D">
        <w:t xml:space="preserve"> seen in the “Renewable</w:t>
      </w:r>
      <w:r w:rsidR="00B83191">
        <w:t>s</w:t>
      </w:r>
      <w:r w:rsidR="00AE388D">
        <w:t xml:space="preserve"> Plus” scenarios where they show a negligible amount of operation. In the “No Retire” scenarios</w:t>
      </w:r>
      <w:r>
        <w:t>,</w:t>
      </w:r>
      <w:r w:rsidR="00AE388D">
        <w:t xml:space="preserve"> this resource type reaches the highest level of operation at approximately 1.5%. </w:t>
      </w:r>
    </w:p>
    <w:p w:rsidR="00AE388D" w:rsidRPr="009C72DA" w:rsidRDefault="00AE388D" w:rsidP="009C72DA">
      <w:pPr>
        <w:pStyle w:val="Caption"/>
        <w:jc w:val="center"/>
        <w:rPr>
          <w:rFonts w:asciiTheme="minorHAnsi" w:hAnsiTheme="minorHAnsi"/>
          <w:sz w:val="18"/>
          <w:szCs w:val="18"/>
        </w:rPr>
      </w:pPr>
      <w:bookmarkStart w:id="270" w:name="_Ref485803919"/>
      <w:bookmarkStart w:id="271" w:name="_Toc486406038"/>
      <w:r w:rsidRPr="009C72DA">
        <w:rPr>
          <w:rFonts w:asciiTheme="minorHAnsi" w:hAnsiTheme="minorHAnsi"/>
          <w:sz w:val="18"/>
          <w:szCs w:val="18"/>
        </w:rPr>
        <w:lastRenderedPageBreak/>
        <w:t xml:space="preserve">Table </w:t>
      </w:r>
      <w:r w:rsidR="004248FE">
        <w:rPr>
          <w:rFonts w:asciiTheme="minorHAnsi" w:hAnsiTheme="minorHAnsi"/>
          <w:sz w:val="18"/>
          <w:szCs w:val="18"/>
        </w:rPr>
        <w:fldChar w:fldCharType="begin"/>
      </w:r>
      <w:r w:rsidR="004248FE">
        <w:rPr>
          <w:rFonts w:asciiTheme="minorHAnsi" w:hAnsiTheme="minorHAnsi"/>
          <w:sz w:val="18"/>
          <w:szCs w:val="18"/>
        </w:rPr>
        <w:instrText xml:space="preserve"> STYLEREF 1 \s </w:instrText>
      </w:r>
      <w:r w:rsidR="004248FE">
        <w:rPr>
          <w:rFonts w:asciiTheme="minorHAnsi" w:hAnsiTheme="minorHAnsi"/>
          <w:sz w:val="18"/>
          <w:szCs w:val="18"/>
        </w:rPr>
        <w:fldChar w:fldCharType="separate"/>
      </w:r>
      <w:r w:rsidR="004248FE">
        <w:rPr>
          <w:rFonts w:asciiTheme="minorHAnsi" w:hAnsiTheme="minorHAnsi"/>
          <w:noProof/>
          <w:sz w:val="18"/>
          <w:szCs w:val="18"/>
        </w:rPr>
        <w:t>6</w:t>
      </w:r>
      <w:r w:rsidR="004248FE">
        <w:rPr>
          <w:rFonts w:asciiTheme="minorHAnsi" w:hAnsiTheme="minorHAnsi"/>
          <w:sz w:val="18"/>
          <w:szCs w:val="18"/>
        </w:rPr>
        <w:fldChar w:fldCharType="end"/>
      </w:r>
      <w:r w:rsidR="004248FE">
        <w:rPr>
          <w:rFonts w:asciiTheme="minorHAnsi" w:hAnsiTheme="minorHAnsi"/>
          <w:sz w:val="18"/>
          <w:szCs w:val="18"/>
        </w:rPr>
        <w:noBreakHyphen/>
      </w:r>
      <w:r w:rsidR="004248FE">
        <w:rPr>
          <w:rFonts w:asciiTheme="minorHAnsi" w:hAnsiTheme="minorHAnsi"/>
          <w:sz w:val="18"/>
          <w:szCs w:val="18"/>
        </w:rPr>
        <w:fldChar w:fldCharType="begin"/>
      </w:r>
      <w:r w:rsidR="004248FE">
        <w:rPr>
          <w:rFonts w:asciiTheme="minorHAnsi" w:hAnsiTheme="minorHAnsi"/>
          <w:sz w:val="18"/>
          <w:szCs w:val="18"/>
        </w:rPr>
        <w:instrText xml:space="preserve"> SEQ Table \* ARABIC \s 1 </w:instrText>
      </w:r>
      <w:r w:rsidR="004248FE">
        <w:rPr>
          <w:rFonts w:asciiTheme="minorHAnsi" w:hAnsiTheme="minorHAnsi"/>
          <w:sz w:val="18"/>
          <w:szCs w:val="18"/>
        </w:rPr>
        <w:fldChar w:fldCharType="separate"/>
      </w:r>
      <w:r w:rsidR="004248FE">
        <w:rPr>
          <w:rFonts w:asciiTheme="minorHAnsi" w:hAnsiTheme="minorHAnsi"/>
          <w:noProof/>
          <w:sz w:val="18"/>
          <w:szCs w:val="18"/>
        </w:rPr>
        <w:t>3</w:t>
      </w:r>
      <w:r w:rsidR="004248FE">
        <w:rPr>
          <w:rFonts w:asciiTheme="minorHAnsi" w:hAnsiTheme="minorHAnsi"/>
          <w:sz w:val="18"/>
          <w:szCs w:val="18"/>
        </w:rPr>
        <w:fldChar w:fldCharType="end"/>
      </w:r>
      <w:bookmarkEnd w:id="270"/>
      <w:r w:rsidRPr="009C72DA">
        <w:rPr>
          <w:rFonts w:asciiTheme="minorHAnsi" w:hAnsiTheme="minorHAnsi"/>
          <w:sz w:val="18"/>
          <w:szCs w:val="18"/>
        </w:rPr>
        <w:br/>
        <w:t>Range of Capacity Factors for Selected Unit Types</w:t>
      </w:r>
      <w:bookmarkEnd w:id="271"/>
    </w:p>
    <w:tbl>
      <w:tblPr>
        <w:tblW w:w="851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4A0" w:firstRow="1" w:lastRow="0" w:firstColumn="1" w:lastColumn="0" w:noHBand="0" w:noVBand="1"/>
      </w:tblPr>
      <w:tblGrid>
        <w:gridCol w:w="2009"/>
        <w:gridCol w:w="1526"/>
        <w:gridCol w:w="1661"/>
        <w:gridCol w:w="1661"/>
        <w:gridCol w:w="1661"/>
      </w:tblGrid>
      <w:tr w:rsidR="009C72DA" w:rsidRPr="009C72DA" w:rsidTr="00A808AD">
        <w:trPr>
          <w:trHeight w:val="432"/>
          <w:jc w:val="center"/>
        </w:trPr>
        <w:tc>
          <w:tcPr>
            <w:tcW w:w="2009" w:type="dxa"/>
            <w:tcBorders>
              <w:top w:val="single" w:sz="2" w:space="0" w:color="auto"/>
              <w:left w:val="single" w:sz="2" w:space="0" w:color="auto"/>
              <w:bottom w:val="single" w:sz="2" w:space="0" w:color="auto"/>
              <w:right w:val="single" w:sz="2" w:space="0" w:color="auto"/>
            </w:tcBorders>
            <w:shd w:val="clear" w:color="auto" w:fill="0070C0"/>
            <w:tcMar>
              <w:top w:w="29" w:type="dxa"/>
              <w:left w:w="29" w:type="dxa"/>
              <w:bottom w:w="29" w:type="dxa"/>
              <w:right w:w="29" w:type="dxa"/>
            </w:tcMar>
            <w:vAlign w:val="center"/>
            <w:hideMark/>
          </w:tcPr>
          <w:p w:rsidR="009C72DA" w:rsidRPr="009C72DA" w:rsidRDefault="009C72DA" w:rsidP="009C72DA">
            <w:pPr>
              <w:keepNext/>
              <w:keepLines/>
              <w:spacing w:before="40" w:after="40" w:line="240" w:lineRule="auto"/>
              <w:jc w:val="center"/>
              <w:rPr>
                <w:rFonts w:asciiTheme="minorHAnsi" w:hAnsiTheme="minorHAnsi"/>
                <w:b/>
                <w:color w:val="FFFFFF"/>
                <w:sz w:val="18"/>
                <w:szCs w:val="18"/>
              </w:rPr>
            </w:pPr>
            <w:r w:rsidRPr="009C72DA">
              <w:rPr>
                <w:rFonts w:asciiTheme="minorHAnsi" w:hAnsiTheme="minorHAnsi"/>
                <w:b/>
                <w:color w:val="FFFFFF"/>
                <w:sz w:val="18"/>
                <w:szCs w:val="18"/>
              </w:rPr>
              <w:t>Transmission</w:t>
            </w:r>
            <w:r>
              <w:rPr>
                <w:rFonts w:asciiTheme="minorHAnsi" w:hAnsiTheme="minorHAnsi"/>
                <w:b/>
                <w:color w:val="FFFFFF"/>
                <w:sz w:val="18"/>
                <w:szCs w:val="18"/>
              </w:rPr>
              <w:t xml:space="preserve"> and </w:t>
            </w:r>
            <w:r w:rsidRPr="009C72DA">
              <w:rPr>
                <w:rFonts w:asciiTheme="minorHAnsi" w:hAnsiTheme="minorHAnsi"/>
                <w:b/>
                <w:color w:val="FFFFFF"/>
                <w:sz w:val="18"/>
                <w:szCs w:val="18"/>
              </w:rPr>
              <w:t>Year</w:t>
            </w:r>
          </w:p>
        </w:tc>
        <w:tc>
          <w:tcPr>
            <w:tcW w:w="1526" w:type="dxa"/>
            <w:tcBorders>
              <w:top w:val="single" w:sz="2" w:space="0" w:color="auto"/>
              <w:left w:val="single" w:sz="2" w:space="0" w:color="auto"/>
              <w:bottom w:val="single" w:sz="2" w:space="0" w:color="auto"/>
              <w:right w:val="single" w:sz="2" w:space="0" w:color="auto"/>
            </w:tcBorders>
            <w:shd w:val="clear" w:color="auto" w:fill="0070C0"/>
            <w:tcMar>
              <w:top w:w="29" w:type="dxa"/>
              <w:left w:w="29" w:type="dxa"/>
              <w:bottom w:w="29" w:type="dxa"/>
              <w:right w:w="29" w:type="dxa"/>
            </w:tcMar>
            <w:vAlign w:val="center"/>
            <w:hideMark/>
          </w:tcPr>
          <w:p w:rsidR="009C72DA" w:rsidRPr="009C72DA" w:rsidRDefault="009C72DA" w:rsidP="009C72DA">
            <w:pPr>
              <w:keepNext/>
              <w:keepLines/>
              <w:spacing w:before="40" w:after="40" w:line="240" w:lineRule="auto"/>
              <w:jc w:val="center"/>
              <w:rPr>
                <w:rFonts w:asciiTheme="minorHAnsi" w:hAnsiTheme="minorHAnsi"/>
                <w:b/>
                <w:color w:val="FFFFFF"/>
                <w:sz w:val="18"/>
                <w:szCs w:val="18"/>
              </w:rPr>
            </w:pPr>
            <w:r w:rsidRPr="009C72DA">
              <w:rPr>
                <w:rFonts w:asciiTheme="minorHAnsi" w:hAnsiTheme="minorHAnsi"/>
                <w:b/>
                <w:color w:val="FFFFFF"/>
                <w:sz w:val="18"/>
                <w:szCs w:val="18"/>
              </w:rPr>
              <w:t>Scenario</w:t>
            </w:r>
          </w:p>
        </w:tc>
        <w:tc>
          <w:tcPr>
            <w:tcW w:w="1661" w:type="dxa"/>
            <w:tcBorders>
              <w:top w:val="single" w:sz="2" w:space="0" w:color="auto"/>
              <w:left w:val="single" w:sz="2" w:space="0" w:color="auto"/>
              <w:bottom w:val="single" w:sz="2" w:space="0" w:color="auto"/>
              <w:right w:val="single" w:sz="2" w:space="0" w:color="auto"/>
            </w:tcBorders>
            <w:shd w:val="clear" w:color="auto" w:fill="0070C0"/>
            <w:vAlign w:val="center"/>
          </w:tcPr>
          <w:p w:rsidR="009C72DA" w:rsidRPr="009C72DA" w:rsidRDefault="009C72DA" w:rsidP="009C72DA">
            <w:pPr>
              <w:keepNext/>
              <w:keepLines/>
              <w:spacing w:before="40" w:after="40" w:line="240" w:lineRule="auto"/>
              <w:jc w:val="center"/>
              <w:rPr>
                <w:rFonts w:asciiTheme="minorHAnsi" w:hAnsiTheme="minorHAnsi"/>
                <w:b/>
                <w:color w:val="FFFFFF"/>
                <w:sz w:val="18"/>
                <w:szCs w:val="18"/>
              </w:rPr>
            </w:pPr>
            <w:r w:rsidRPr="009C72DA">
              <w:rPr>
                <w:rFonts w:asciiTheme="minorHAnsi" w:hAnsiTheme="minorHAnsi"/>
                <w:b/>
                <w:color w:val="FFFFFF"/>
                <w:sz w:val="18"/>
                <w:szCs w:val="18"/>
              </w:rPr>
              <w:t>Simple</w:t>
            </w:r>
            <w:r>
              <w:rPr>
                <w:rFonts w:asciiTheme="minorHAnsi" w:hAnsiTheme="minorHAnsi"/>
                <w:b/>
                <w:color w:val="FFFFFF"/>
                <w:sz w:val="18"/>
                <w:szCs w:val="18"/>
              </w:rPr>
              <w:t>-</w:t>
            </w:r>
            <w:r w:rsidRPr="009C72DA">
              <w:rPr>
                <w:rFonts w:asciiTheme="minorHAnsi" w:hAnsiTheme="minorHAnsi"/>
                <w:b/>
                <w:color w:val="FFFFFF"/>
                <w:sz w:val="18"/>
                <w:szCs w:val="18"/>
              </w:rPr>
              <w:t>Cycle Natural Gas</w:t>
            </w:r>
          </w:p>
        </w:tc>
        <w:tc>
          <w:tcPr>
            <w:tcW w:w="1661" w:type="dxa"/>
            <w:tcBorders>
              <w:top w:val="single" w:sz="2" w:space="0" w:color="auto"/>
              <w:left w:val="single" w:sz="2" w:space="0" w:color="auto"/>
              <w:bottom w:val="single" w:sz="2" w:space="0" w:color="auto"/>
              <w:right w:val="single" w:sz="2" w:space="0" w:color="auto"/>
            </w:tcBorders>
            <w:shd w:val="clear" w:color="auto" w:fill="0070C0"/>
            <w:tcMar>
              <w:top w:w="29" w:type="dxa"/>
              <w:left w:w="29" w:type="dxa"/>
              <w:bottom w:w="29" w:type="dxa"/>
              <w:right w:w="29" w:type="dxa"/>
            </w:tcMar>
            <w:vAlign w:val="center"/>
            <w:hideMark/>
          </w:tcPr>
          <w:p w:rsidR="009C72DA" w:rsidRPr="009C72DA" w:rsidRDefault="009C72DA" w:rsidP="009C72DA">
            <w:pPr>
              <w:keepNext/>
              <w:keepLines/>
              <w:spacing w:before="40" w:after="40" w:line="240" w:lineRule="auto"/>
              <w:jc w:val="center"/>
              <w:rPr>
                <w:rFonts w:asciiTheme="minorHAnsi" w:hAnsiTheme="minorHAnsi"/>
                <w:b/>
                <w:color w:val="FFFFFF"/>
                <w:sz w:val="18"/>
                <w:szCs w:val="18"/>
              </w:rPr>
            </w:pPr>
            <w:r w:rsidRPr="009C72DA">
              <w:rPr>
                <w:rFonts w:asciiTheme="minorHAnsi" w:hAnsiTheme="minorHAnsi"/>
                <w:b/>
                <w:color w:val="FFFFFF"/>
                <w:sz w:val="18"/>
                <w:szCs w:val="18"/>
              </w:rPr>
              <w:t>Combined</w:t>
            </w:r>
            <w:r>
              <w:rPr>
                <w:rFonts w:asciiTheme="minorHAnsi" w:hAnsiTheme="minorHAnsi"/>
                <w:b/>
                <w:color w:val="FFFFFF"/>
                <w:sz w:val="18"/>
                <w:szCs w:val="18"/>
              </w:rPr>
              <w:t>-</w:t>
            </w:r>
            <w:r w:rsidRPr="009C72DA">
              <w:rPr>
                <w:rFonts w:asciiTheme="minorHAnsi" w:hAnsiTheme="minorHAnsi"/>
                <w:b/>
                <w:color w:val="FFFFFF"/>
                <w:sz w:val="18"/>
                <w:szCs w:val="18"/>
              </w:rPr>
              <w:t>Cycle Natural Gas</w:t>
            </w:r>
          </w:p>
        </w:tc>
        <w:tc>
          <w:tcPr>
            <w:tcW w:w="1661" w:type="dxa"/>
            <w:tcBorders>
              <w:top w:val="single" w:sz="2" w:space="0" w:color="auto"/>
              <w:left w:val="single" w:sz="2" w:space="0" w:color="auto"/>
              <w:bottom w:val="single" w:sz="2" w:space="0" w:color="auto"/>
              <w:right w:val="single" w:sz="2" w:space="0" w:color="auto"/>
            </w:tcBorders>
            <w:shd w:val="clear" w:color="auto" w:fill="0070C0"/>
            <w:tcMar>
              <w:top w:w="29" w:type="dxa"/>
              <w:left w:w="29" w:type="dxa"/>
              <w:bottom w:w="29" w:type="dxa"/>
              <w:right w:w="29" w:type="dxa"/>
            </w:tcMar>
            <w:vAlign w:val="center"/>
            <w:hideMark/>
          </w:tcPr>
          <w:p w:rsidR="009C72DA" w:rsidRPr="009C72DA" w:rsidRDefault="009C72DA" w:rsidP="009C72DA">
            <w:pPr>
              <w:keepNext/>
              <w:keepLines/>
              <w:spacing w:before="40" w:after="40" w:line="240" w:lineRule="auto"/>
              <w:jc w:val="center"/>
              <w:rPr>
                <w:rFonts w:asciiTheme="minorHAnsi" w:hAnsiTheme="minorHAnsi"/>
                <w:b/>
                <w:color w:val="FFFFFF"/>
                <w:sz w:val="18"/>
                <w:szCs w:val="18"/>
              </w:rPr>
            </w:pPr>
            <w:r w:rsidRPr="009C72DA">
              <w:rPr>
                <w:rFonts w:asciiTheme="minorHAnsi" w:hAnsiTheme="minorHAnsi"/>
                <w:b/>
                <w:color w:val="FFFFFF"/>
                <w:sz w:val="18"/>
                <w:szCs w:val="18"/>
              </w:rPr>
              <w:t>Nuclear</w:t>
            </w:r>
          </w:p>
        </w:tc>
      </w:tr>
      <w:tr w:rsidR="009C72DA" w:rsidRPr="009C72DA" w:rsidTr="009B3C6A">
        <w:trPr>
          <w:trHeight w:hRule="exact" w:val="432"/>
          <w:jc w:val="center"/>
        </w:trPr>
        <w:tc>
          <w:tcPr>
            <w:tcW w:w="2009" w:type="dxa"/>
            <w:vMerge w:val="restart"/>
            <w:tcBorders>
              <w:top w:val="single" w:sz="2" w:space="0" w:color="auto"/>
              <w:left w:val="single" w:sz="2" w:space="0" w:color="auto"/>
              <w:right w:val="single" w:sz="2" w:space="0" w:color="auto"/>
            </w:tcBorders>
            <w:shd w:val="clear" w:color="auto" w:fill="auto"/>
            <w:tcMar>
              <w:top w:w="29" w:type="dxa"/>
              <w:left w:w="29" w:type="dxa"/>
              <w:bottom w:w="29" w:type="dxa"/>
              <w:right w:w="29" w:type="dxa"/>
            </w:tcMar>
            <w:vAlign w:val="center"/>
          </w:tcPr>
          <w:p w:rsidR="009C72DA" w:rsidRPr="009C72DA" w:rsidRDefault="009C72DA" w:rsidP="009C72DA">
            <w:pPr>
              <w:keepNext/>
              <w:keepLines/>
              <w:spacing w:before="40" w:after="40" w:line="240" w:lineRule="auto"/>
              <w:jc w:val="center"/>
              <w:rPr>
                <w:rFonts w:asciiTheme="minorHAnsi" w:hAnsiTheme="minorHAnsi"/>
                <w:sz w:val="18"/>
                <w:szCs w:val="18"/>
              </w:rPr>
            </w:pPr>
            <w:r>
              <w:rPr>
                <w:rFonts w:asciiTheme="minorHAnsi" w:hAnsiTheme="minorHAnsi"/>
                <w:b/>
                <w:sz w:val="18"/>
                <w:szCs w:val="18"/>
              </w:rPr>
              <w:t xml:space="preserve">2025 </w:t>
            </w:r>
            <w:r w:rsidRPr="009C72DA">
              <w:rPr>
                <w:rFonts w:asciiTheme="minorHAnsi" w:hAnsiTheme="minorHAnsi"/>
                <w:b/>
                <w:sz w:val="18"/>
                <w:szCs w:val="18"/>
              </w:rPr>
              <w:t>Constrained</w:t>
            </w:r>
          </w:p>
          <w:p w:rsidR="009C72DA" w:rsidRPr="009C72DA" w:rsidRDefault="009C72DA" w:rsidP="009C72DA">
            <w:pPr>
              <w:keepNext/>
              <w:keepLines/>
              <w:spacing w:before="40" w:after="40" w:line="240" w:lineRule="auto"/>
              <w:jc w:val="center"/>
              <w:rPr>
                <w:rFonts w:asciiTheme="minorHAnsi" w:hAnsiTheme="minorHAnsi"/>
                <w:sz w:val="18"/>
                <w:szCs w:val="18"/>
              </w:rPr>
            </w:pPr>
          </w:p>
        </w:tc>
        <w:tc>
          <w:tcPr>
            <w:tcW w:w="1526" w:type="dxa"/>
            <w:tcBorders>
              <w:top w:val="single" w:sz="2" w:space="0" w:color="auto"/>
              <w:left w:val="single" w:sz="2" w:space="0" w:color="auto"/>
              <w:bottom w:val="single" w:sz="2" w:space="0" w:color="auto"/>
              <w:right w:val="single" w:sz="2" w:space="0" w:color="auto"/>
            </w:tcBorders>
            <w:shd w:val="clear" w:color="auto" w:fill="auto"/>
            <w:tcMar>
              <w:top w:w="29" w:type="dxa"/>
              <w:left w:w="58" w:type="dxa"/>
              <w:bottom w:w="29" w:type="dxa"/>
              <w:right w:w="0" w:type="dxa"/>
            </w:tcMar>
            <w:vAlign w:val="center"/>
            <w:hideMark/>
          </w:tcPr>
          <w:p w:rsidR="009C72DA" w:rsidRPr="009C72DA" w:rsidRDefault="009C72DA" w:rsidP="009B3C6A">
            <w:pPr>
              <w:keepNext/>
              <w:keepLines/>
              <w:spacing w:before="40" w:after="40" w:line="240" w:lineRule="auto"/>
              <w:rPr>
                <w:rFonts w:asciiTheme="minorHAnsi" w:hAnsiTheme="minorHAnsi"/>
                <w:sz w:val="18"/>
                <w:szCs w:val="18"/>
              </w:rPr>
            </w:pPr>
            <w:r w:rsidRPr="009C72DA">
              <w:rPr>
                <w:rFonts w:asciiTheme="minorHAnsi" w:hAnsiTheme="minorHAnsi"/>
                <w:sz w:val="18"/>
                <w:szCs w:val="18"/>
              </w:rPr>
              <w:t>RPS + Gas</w:t>
            </w:r>
          </w:p>
        </w:tc>
        <w:tc>
          <w:tcPr>
            <w:tcW w:w="1661" w:type="dxa"/>
            <w:tcBorders>
              <w:top w:val="single" w:sz="2" w:space="0" w:color="auto"/>
              <w:left w:val="single" w:sz="2" w:space="0" w:color="auto"/>
              <w:bottom w:val="single" w:sz="2" w:space="0" w:color="auto"/>
              <w:right w:val="single" w:sz="2" w:space="0" w:color="auto"/>
            </w:tcBorders>
            <w:shd w:val="clear" w:color="auto" w:fill="auto"/>
            <w:vAlign w:val="center"/>
          </w:tcPr>
          <w:p w:rsidR="009C72DA" w:rsidRPr="009C72DA" w:rsidRDefault="009C72DA" w:rsidP="00AB5D04">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 xml:space="preserve">– </w:t>
            </w:r>
            <w:r w:rsidRPr="009C72DA">
              <w:rPr>
                <w:rFonts w:asciiTheme="minorHAnsi" w:hAnsiTheme="minorHAnsi"/>
                <w:sz w:val="18"/>
                <w:szCs w:val="18"/>
              </w:rPr>
              <w:t>1.3%</w:t>
            </w:r>
          </w:p>
        </w:tc>
        <w:tc>
          <w:tcPr>
            <w:tcW w:w="1661" w:type="dxa"/>
            <w:tcBorders>
              <w:top w:val="single" w:sz="2" w:space="0" w:color="auto"/>
              <w:left w:val="single" w:sz="2" w:space="0" w:color="auto"/>
              <w:bottom w:val="single" w:sz="2" w:space="0" w:color="auto"/>
              <w:right w:val="single" w:sz="2" w:space="0" w:color="auto"/>
            </w:tcBorders>
            <w:shd w:val="clear" w:color="auto" w:fill="auto"/>
            <w:tcMar>
              <w:top w:w="29" w:type="dxa"/>
              <w:left w:w="14" w:type="dxa"/>
              <w:bottom w:w="29" w:type="dxa"/>
              <w:right w:w="58" w:type="dxa"/>
            </w:tcMar>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0.1% </w:t>
            </w:r>
            <w:r w:rsidR="00AB5D04">
              <w:rPr>
                <w:rFonts w:asciiTheme="minorHAnsi" w:hAnsiTheme="minorHAnsi"/>
                <w:sz w:val="18"/>
                <w:szCs w:val="18"/>
              </w:rPr>
              <w:t>–</w:t>
            </w:r>
            <w:r w:rsidRPr="009C72DA">
              <w:rPr>
                <w:rFonts w:asciiTheme="minorHAnsi" w:hAnsiTheme="minorHAnsi"/>
                <w:sz w:val="18"/>
                <w:szCs w:val="18"/>
              </w:rPr>
              <w:t xml:space="preserve"> 94.9%</w:t>
            </w:r>
          </w:p>
        </w:tc>
        <w:tc>
          <w:tcPr>
            <w:tcW w:w="1661" w:type="dxa"/>
            <w:tcBorders>
              <w:top w:val="single" w:sz="2" w:space="0" w:color="auto"/>
              <w:left w:val="single" w:sz="2" w:space="0" w:color="auto"/>
              <w:bottom w:val="single" w:sz="2" w:space="0" w:color="auto"/>
              <w:right w:val="single" w:sz="2" w:space="0" w:color="auto"/>
            </w:tcBorders>
            <w:shd w:val="clear" w:color="auto" w:fill="auto"/>
            <w:tcMar>
              <w:top w:w="29" w:type="dxa"/>
              <w:left w:w="14" w:type="dxa"/>
              <w:bottom w:w="29" w:type="dxa"/>
              <w:right w:w="58" w:type="dxa"/>
            </w:tcMar>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96.3% </w:t>
            </w:r>
            <w:r w:rsidR="00AB5D04">
              <w:rPr>
                <w:rFonts w:asciiTheme="minorHAnsi" w:hAnsiTheme="minorHAnsi"/>
                <w:sz w:val="18"/>
                <w:szCs w:val="18"/>
              </w:rPr>
              <w:t>–</w:t>
            </w:r>
            <w:r w:rsidRPr="009C72DA">
              <w:rPr>
                <w:rFonts w:asciiTheme="minorHAnsi" w:hAnsiTheme="minorHAnsi"/>
                <w:sz w:val="18"/>
                <w:szCs w:val="18"/>
              </w:rPr>
              <w:t xml:space="preserve"> 98.7%</w:t>
            </w:r>
          </w:p>
        </w:tc>
      </w:tr>
      <w:tr w:rsidR="009C72DA" w:rsidRPr="009C72DA" w:rsidTr="009B3C6A">
        <w:trPr>
          <w:trHeight w:hRule="exact" w:val="432"/>
          <w:jc w:val="center"/>
        </w:trPr>
        <w:tc>
          <w:tcPr>
            <w:tcW w:w="2009" w:type="dxa"/>
            <w:vMerge/>
            <w:tcBorders>
              <w:left w:val="single" w:sz="2" w:space="0" w:color="auto"/>
              <w:right w:val="single" w:sz="2" w:space="0" w:color="auto"/>
            </w:tcBorders>
            <w:shd w:val="clear" w:color="auto" w:fill="auto"/>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p>
        </w:tc>
        <w:tc>
          <w:tcPr>
            <w:tcW w:w="1526" w:type="dxa"/>
            <w:tcBorders>
              <w:top w:val="single" w:sz="2" w:space="0" w:color="auto"/>
              <w:left w:val="single" w:sz="2" w:space="0" w:color="auto"/>
              <w:bottom w:val="single" w:sz="2" w:space="0" w:color="auto"/>
              <w:right w:val="single" w:sz="2" w:space="0" w:color="auto"/>
            </w:tcBorders>
            <w:shd w:val="clear" w:color="auto" w:fill="auto"/>
            <w:tcMar>
              <w:top w:w="29" w:type="dxa"/>
              <w:left w:w="58" w:type="dxa"/>
              <w:bottom w:w="29" w:type="dxa"/>
              <w:right w:w="0" w:type="dxa"/>
            </w:tcMar>
            <w:vAlign w:val="center"/>
            <w:hideMark/>
          </w:tcPr>
          <w:p w:rsidR="009C72DA" w:rsidRPr="009C72DA" w:rsidRDefault="009C72DA" w:rsidP="009B3C6A">
            <w:pPr>
              <w:keepNext/>
              <w:keepLines/>
              <w:spacing w:before="40" w:after="40" w:line="240" w:lineRule="auto"/>
              <w:rPr>
                <w:rFonts w:asciiTheme="minorHAnsi" w:hAnsiTheme="minorHAnsi"/>
                <w:sz w:val="18"/>
                <w:szCs w:val="18"/>
              </w:rPr>
            </w:pPr>
            <w:r w:rsidRPr="009C72DA">
              <w:rPr>
                <w:rFonts w:asciiTheme="minorHAnsi" w:hAnsiTheme="minorHAnsi"/>
                <w:sz w:val="18"/>
                <w:szCs w:val="18"/>
              </w:rPr>
              <w:t>ISO Queue</w:t>
            </w:r>
          </w:p>
        </w:tc>
        <w:tc>
          <w:tcPr>
            <w:tcW w:w="1661" w:type="dxa"/>
            <w:tcBorders>
              <w:top w:val="single" w:sz="2" w:space="0" w:color="auto"/>
              <w:left w:val="single" w:sz="2" w:space="0" w:color="auto"/>
              <w:bottom w:val="single" w:sz="2" w:space="0" w:color="auto"/>
              <w:right w:val="single" w:sz="2" w:space="0" w:color="auto"/>
            </w:tcBorders>
            <w:shd w:val="clear" w:color="auto" w:fill="auto"/>
            <w:vAlign w:val="center"/>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0.1% </w:t>
            </w:r>
            <w:r w:rsidR="00AB5D04">
              <w:rPr>
                <w:rFonts w:asciiTheme="minorHAnsi" w:hAnsiTheme="minorHAnsi"/>
                <w:sz w:val="18"/>
                <w:szCs w:val="18"/>
              </w:rPr>
              <w:t>–</w:t>
            </w:r>
            <w:r w:rsidRPr="009C72DA">
              <w:rPr>
                <w:rFonts w:asciiTheme="minorHAnsi" w:hAnsiTheme="minorHAnsi"/>
                <w:sz w:val="18"/>
                <w:szCs w:val="18"/>
              </w:rPr>
              <w:t xml:space="preserve"> 1.4%</w:t>
            </w:r>
          </w:p>
        </w:tc>
        <w:tc>
          <w:tcPr>
            <w:tcW w:w="1661" w:type="dxa"/>
            <w:tcBorders>
              <w:top w:val="single" w:sz="2" w:space="0" w:color="auto"/>
              <w:left w:val="single" w:sz="2" w:space="0" w:color="auto"/>
              <w:bottom w:val="single" w:sz="2" w:space="0" w:color="auto"/>
              <w:right w:val="single" w:sz="2" w:space="0" w:color="auto"/>
            </w:tcBorders>
            <w:shd w:val="clear" w:color="auto" w:fill="auto"/>
            <w:tcMar>
              <w:top w:w="29" w:type="dxa"/>
              <w:left w:w="14" w:type="dxa"/>
              <w:bottom w:w="29" w:type="dxa"/>
              <w:right w:w="58" w:type="dxa"/>
            </w:tcMar>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0.1% </w:t>
            </w:r>
            <w:r w:rsidR="00AB5D04">
              <w:rPr>
                <w:rFonts w:asciiTheme="minorHAnsi" w:hAnsiTheme="minorHAnsi"/>
                <w:sz w:val="18"/>
                <w:szCs w:val="18"/>
              </w:rPr>
              <w:t>–</w:t>
            </w:r>
            <w:r w:rsidRPr="009C72DA">
              <w:rPr>
                <w:rFonts w:asciiTheme="minorHAnsi" w:hAnsiTheme="minorHAnsi"/>
                <w:sz w:val="18"/>
                <w:szCs w:val="18"/>
              </w:rPr>
              <w:t xml:space="preserve"> 93.5%</w:t>
            </w:r>
          </w:p>
        </w:tc>
        <w:tc>
          <w:tcPr>
            <w:tcW w:w="1661" w:type="dxa"/>
            <w:tcBorders>
              <w:top w:val="single" w:sz="2" w:space="0" w:color="auto"/>
              <w:left w:val="single" w:sz="2" w:space="0" w:color="auto"/>
              <w:bottom w:val="single" w:sz="2" w:space="0" w:color="auto"/>
              <w:right w:val="single" w:sz="2" w:space="0" w:color="auto"/>
            </w:tcBorders>
            <w:shd w:val="clear" w:color="auto" w:fill="auto"/>
            <w:tcMar>
              <w:top w:w="29" w:type="dxa"/>
              <w:left w:w="14" w:type="dxa"/>
              <w:bottom w:w="29" w:type="dxa"/>
              <w:right w:w="58" w:type="dxa"/>
            </w:tcMar>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96.3% </w:t>
            </w:r>
            <w:r w:rsidR="00AB5D04">
              <w:rPr>
                <w:rFonts w:asciiTheme="minorHAnsi" w:hAnsiTheme="minorHAnsi"/>
                <w:sz w:val="18"/>
                <w:szCs w:val="18"/>
              </w:rPr>
              <w:t>–</w:t>
            </w:r>
            <w:r w:rsidRPr="009C72DA">
              <w:rPr>
                <w:rFonts w:asciiTheme="minorHAnsi" w:hAnsiTheme="minorHAnsi"/>
                <w:sz w:val="18"/>
                <w:szCs w:val="18"/>
              </w:rPr>
              <w:t xml:space="preserve"> 98.7%</w:t>
            </w:r>
          </w:p>
        </w:tc>
      </w:tr>
      <w:tr w:rsidR="009C72DA" w:rsidRPr="009C72DA" w:rsidTr="009B3C6A">
        <w:trPr>
          <w:trHeight w:hRule="exact" w:val="432"/>
          <w:jc w:val="center"/>
        </w:trPr>
        <w:tc>
          <w:tcPr>
            <w:tcW w:w="2009" w:type="dxa"/>
            <w:vMerge/>
            <w:tcBorders>
              <w:left w:val="single" w:sz="2" w:space="0" w:color="auto"/>
              <w:right w:val="single" w:sz="2" w:space="0" w:color="auto"/>
            </w:tcBorders>
            <w:shd w:val="clear" w:color="auto" w:fill="auto"/>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p>
        </w:tc>
        <w:tc>
          <w:tcPr>
            <w:tcW w:w="1526" w:type="dxa"/>
            <w:tcBorders>
              <w:top w:val="single" w:sz="2" w:space="0" w:color="auto"/>
              <w:left w:val="single" w:sz="2" w:space="0" w:color="auto"/>
              <w:bottom w:val="single" w:sz="2" w:space="0" w:color="auto"/>
              <w:right w:val="single" w:sz="2" w:space="0" w:color="auto"/>
            </w:tcBorders>
            <w:shd w:val="clear" w:color="auto" w:fill="auto"/>
            <w:tcMar>
              <w:top w:w="29" w:type="dxa"/>
              <w:left w:w="58" w:type="dxa"/>
              <w:bottom w:w="29" w:type="dxa"/>
              <w:right w:w="0" w:type="dxa"/>
            </w:tcMar>
            <w:vAlign w:val="center"/>
            <w:hideMark/>
          </w:tcPr>
          <w:p w:rsidR="009C72DA" w:rsidRPr="009C72DA" w:rsidRDefault="009C72DA" w:rsidP="009B3C6A">
            <w:pPr>
              <w:keepNext/>
              <w:keepLines/>
              <w:spacing w:before="40" w:after="40" w:line="240" w:lineRule="auto"/>
              <w:rPr>
                <w:rFonts w:asciiTheme="minorHAnsi" w:hAnsiTheme="minorHAnsi"/>
                <w:sz w:val="18"/>
                <w:szCs w:val="18"/>
              </w:rPr>
            </w:pPr>
            <w:r w:rsidRPr="009C72DA">
              <w:rPr>
                <w:rFonts w:asciiTheme="minorHAnsi" w:hAnsiTheme="minorHAnsi"/>
                <w:sz w:val="18"/>
                <w:szCs w:val="18"/>
              </w:rPr>
              <w:t>Renew Plus</w:t>
            </w:r>
          </w:p>
        </w:tc>
        <w:tc>
          <w:tcPr>
            <w:tcW w:w="1661" w:type="dxa"/>
            <w:tcBorders>
              <w:top w:val="single" w:sz="2" w:space="0" w:color="auto"/>
              <w:left w:val="single" w:sz="2" w:space="0" w:color="auto"/>
              <w:bottom w:val="single" w:sz="2" w:space="0" w:color="auto"/>
              <w:right w:val="single" w:sz="2" w:space="0" w:color="auto"/>
            </w:tcBorders>
            <w:shd w:val="clear" w:color="auto" w:fill="auto"/>
            <w:vAlign w:val="center"/>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0.0%</w:t>
            </w:r>
          </w:p>
        </w:tc>
        <w:tc>
          <w:tcPr>
            <w:tcW w:w="1661" w:type="dxa"/>
            <w:tcBorders>
              <w:top w:val="single" w:sz="2" w:space="0" w:color="auto"/>
              <w:left w:val="single" w:sz="2" w:space="0" w:color="auto"/>
              <w:bottom w:val="single" w:sz="2" w:space="0" w:color="auto"/>
              <w:right w:val="single" w:sz="2" w:space="0" w:color="auto"/>
            </w:tcBorders>
            <w:shd w:val="clear" w:color="auto" w:fill="auto"/>
            <w:tcMar>
              <w:top w:w="29" w:type="dxa"/>
              <w:left w:w="14" w:type="dxa"/>
              <w:bottom w:w="29" w:type="dxa"/>
              <w:right w:w="58" w:type="dxa"/>
            </w:tcMar>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77.4%</w:t>
            </w:r>
          </w:p>
        </w:tc>
        <w:tc>
          <w:tcPr>
            <w:tcW w:w="1661" w:type="dxa"/>
            <w:tcBorders>
              <w:top w:val="single" w:sz="2" w:space="0" w:color="auto"/>
              <w:left w:val="single" w:sz="2" w:space="0" w:color="auto"/>
              <w:bottom w:val="single" w:sz="2" w:space="0" w:color="auto"/>
              <w:right w:val="single" w:sz="2" w:space="0" w:color="auto"/>
            </w:tcBorders>
            <w:shd w:val="clear" w:color="auto" w:fill="auto"/>
            <w:tcMar>
              <w:top w:w="29" w:type="dxa"/>
              <w:left w:w="14" w:type="dxa"/>
              <w:bottom w:w="29" w:type="dxa"/>
              <w:right w:w="58" w:type="dxa"/>
            </w:tcMar>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96.3% </w:t>
            </w:r>
            <w:r w:rsidR="00AB5D04">
              <w:rPr>
                <w:rFonts w:asciiTheme="minorHAnsi" w:hAnsiTheme="minorHAnsi"/>
                <w:sz w:val="18"/>
                <w:szCs w:val="18"/>
              </w:rPr>
              <w:t>–</w:t>
            </w:r>
            <w:r w:rsidRPr="009C72DA">
              <w:rPr>
                <w:rFonts w:asciiTheme="minorHAnsi" w:hAnsiTheme="minorHAnsi"/>
                <w:sz w:val="18"/>
                <w:szCs w:val="18"/>
              </w:rPr>
              <w:t xml:space="preserve"> 98.7%</w:t>
            </w:r>
          </w:p>
        </w:tc>
      </w:tr>
      <w:tr w:rsidR="009C72DA" w:rsidRPr="009C72DA" w:rsidTr="009B3C6A">
        <w:trPr>
          <w:trHeight w:hRule="exact" w:val="432"/>
          <w:jc w:val="center"/>
        </w:trPr>
        <w:tc>
          <w:tcPr>
            <w:tcW w:w="2009" w:type="dxa"/>
            <w:vMerge/>
            <w:tcBorders>
              <w:left w:val="single" w:sz="2" w:space="0" w:color="auto"/>
              <w:right w:val="single" w:sz="2" w:space="0" w:color="auto"/>
            </w:tcBorders>
            <w:shd w:val="clear" w:color="auto" w:fill="auto"/>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p>
        </w:tc>
        <w:tc>
          <w:tcPr>
            <w:tcW w:w="1526" w:type="dxa"/>
            <w:tcBorders>
              <w:top w:val="single" w:sz="2" w:space="0" w:color="auto"/>
              <w:left w:val="single" w:sz="2" w:space="0" w:color="auto"/>
              <w:bottom w:val="single" w:sz="2" w:space="0" w:color="auto"/>
              <w:right w:val="single" w:sz="2" w:space="0" w:color="auto"/>
            </w:tcBorders>
            <w:shd w:val="clear" w:color="auto" w:fill="auto"/>
            <w:tcMar>
              <w:top w:w="29" w:type="dxa"/>
              <w:left w:w="58" w:type="dxa"/>
              <w:bottom w:w="29" w:type="dxa"/>
              <w:right w:w="0" w:type="dxa"/>
            </w:tcMar>
            <w:vAlign w:val="center"/>
            <w:hideMark/>
          </w:tcPr>
          <w:p w:rsidR="009C72DA" w:rsidRPr="009C72DA" w:rsidRDefault="009C72DA" w:rsidP="009B3C6A">
            <w:pPr>
              <w:keepNext/>
              <w:keepLines/>
              <w:spacing w:before="40" w:after="40" w:line="240" w:lineRule="auto"/>
              <w:rPr>
                <w:rFonts w:asciiTheme="minorHAnsi" w:hAnsiTheme="minorHAnsi"/>
                <w:sz w:val="18"/>
                <w:szCs w:val="18"/>
              </w:rPr>
            </w:pPr>
            <w:r w:rsidRPr="009C72DA">
              <w:rPr>
                <w:rFonts w:asciiTheme="minorHAnsi" w:hAnsiTheme="minorHAnsi"/>
                <w:sz w:val="18"/>
                <w:szCs w:val="18"/>
              </w:rPr>
              <w:t>No Retire</w:t>
            </w:r>
          </w:p>
        </w:tc>
        <w:tc>
          <w:tcPr>
            <w:tcW w:w="1661" w:type="dxa"/>
            <w:tcBorders>
              <w:top w:val="single" w:sz="2" w:space="0" w:color="auto"/>
              <w:left w:val="single" w:sz="2" w:space="0" w:color="auto"/>
              <w:bottom w:val="single" w:sz="2" w:space="0" w:color="auto"/>
              <w:right w:val="single" w:sz="2" w:space="0" w:color="auto"/>
            </w:tcBorders>
            <w:shd w:val="clear" w:color="auto" w:fill="auto"/>
            <w:vAlign w:val="center"/>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1.4%</w:t>
            </w:r>
          </w:p>
        </w:tc>
        <w:tc>
          <w:tcPr>
            <w:tcW w:w="1661" w:type="dxa"/>
            <w:tcBorders>
              <w:top w:val="single" w:sz="2" w:space="0" w:color="auto"/>
              <w:left w:val="single" w:sz="2" w:space="0" w:color="auto"/>
              <w:bottom w:val="single" w:sz="2" w:space="0" w:color="auto"/>
              <w:right w:val="single" w:sz="2" w:space="0" w:color="auto"/>
            </w:tcBorders>
            <w:shd w:val="clear" w:color="auto" w:fill="auto"/>
            <w:tcMar>
              <w:top w:w="29" w:type="dxa"/>
              <w:left w:w="14" w:type="dxa"/>
              <w:bottom w:w="29" w:type="dxa"/>
              <w:right w:w="58" w:type="dxa"/>
            </w:tcMar>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96.1%</w:t>
            </w:r>
          </w:p>
        </w:tc>
        <w:tc>
          <w:tcPr>
            <w:tcW w:w="1661" w:type="dxa"/>
            <w:tcBorders>
              <w:top w:val="single" w:sz="2" w:space="0" w:color="auto"/>
              <w:left w:val="single" w:sz="2" w:space="0" w:color="auto"/>
              <w:bottom w:val="single" w:sz="2" w:space="0" w:color="auto"/>
              <w:right w:val="single" w:sz="2" w:space="0" w:color="auto"/>
            </w:tcBorders>
            <w:shd w:val="clear" w:color="auto" w:fill="auto"/>
            <w:tcMar>
              <w:top w:w="29" w:type="dxa"/>
              <w:left w:w="14" w:type="dxa"/>
              <w:bottom w:w="29" w:type="dxa"/>
              <w:right w:w="58" w:type="dxa"/>
            </w:tcMar>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96.3% </w:t>
            </w:r>
            <w:r w:rsidR="00AB5D04">
              <w:rPr>
                <w:rFonts w:asciiTheme="minorHAnsi" w:hAnsiTheme="minorHAnsi"/>
                <w:sz w:val="18"/>
                <w:szCs w:val="18"/>
              </w:rPr>
              <w:t>–</w:t>
            </w:r>
            <w:r w:rsidRPr="009C72DA">
              <w:rPr>
                <w:rFonts w:asciiTheme="minorHAnsi" w:hAnsiTheme="minorHAnsi"/>
                <w:sz w:val="18"/>
                <w:szCs w:val="18"/>
              </w:rPr>
              <w:t xml:space="preserve"> 98.7%</w:t>
            </w:r>
          </w:p>
        </w:tc>
      </w:tr>
      <w:tr w:rsidR="009C72DA" w:rsidRPr="009C72DA" w:rsidTr="009B3C6A">
        <w:trPr>
          <w:trHeight w:hRule="exact" w:val="432"/>
          <w:jc w:val="center"/>
        </w:trPr>
        <w:tc>
          <w:tcPr>
            <w:tcW w:w="2009" w:type="dxa"/>
            <w:vMerge/>
            <w:tcBorders>
              <w:left w:val="single" w:sz="2" w:space="0" w:color="auto"/>
              <w:right w:val="single" w:sz="2" w:space="0" w:color="auto"/>
            </w:tcBorders>
            <w:shd w:val="clear" w:color="auto" w:fill="auto"/>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p>
        </w:tc>
        <w:tc>
          <w:tcPr>
            <w:tcW w:w="1526" w:type="dxa"/>
            <w:tcBorders>
              <w:top w:val="single" w:sz="2" w:space="0" w:color="auto"/>
              <w:left w:val="single" w:sz="2" w:space="0" w:color="auto"/>
              <w:bottom w:val="single" w:sz="2" w:space="0" w:color="auto"/>
              <w:right w:val="single" w:sz="2" w:space="0" w:color="auto"/>
            </w:tcBorders>
            <w:shd w:val="clear" w:color="auto" w:fill="auto"/>
            <w:tcMar>
              <w:top w:w="29" w:type="dxa"/>
              <w:left w:w="58" w:type="dxa"/>
              <w:bottom w:w="29" w:type="dxa"/>
              <w:right w:w="0" w:type="dxa"/>
            </w:tcMar>
            <w:vAlign w:val="center"/>
            <w:hideMark/>
          </w:tcPr>
          <w:p w:rsidR="009C72DA" w:rsidRPr="009C72DA" w:rsidRDefault="009C72DA" w:rsidP="009B3C6A">
            <w:pPr>
              <w:keepNext/>
              <w:keepLines/>
              <w:spacing w:before="40" w:after="40" w:line="240" w:lineRule="auto"/>
              <w:rPr>
                <w:rFonts w:asciiTheme="minorHAnsi" w:hAnsiTheme="minorHAnsi"/>
                <w:sz w:val="18"/>
                <w:szCs w:val="18"/>
              </w:rPr>
            </w:pPr>
            <w:r w:rsidRPr="009C72DA">
              <w:rPr>
                <w:rFonts w:asciiTheme="minorHAnsi" w:hAnsiTheme="minorHAnsi"/>
                <w:sz w:val="18"/>
                <w:szCs w:val="18"/>
              </w:rPr>
              <w:t>ACP + Gas</w:t>
            </w:r>
          </w:p>
        </w:tc>
        <w:tc>
          <w:tcPr>
            <w:tcW w:w="1661" w:type="dxa"/>
            <w:tcBorders>
              <w:top w:val="single" w:sz="2" w:space="0" w:color="auto"/>
              <w:left w:val="single" w:sz="2" w:space="0" w:color="auto"/>
              <w:bottom w:val="single" w:sz="2" w:space="0" w:color="auto"/>
              <w:right w:val="single" w:sz="2" w:space="0" w:color="auto"/>
            </w:tcBorders>
            <w:shd w:val="clear" w:color="auto" w:fill="auto"/>
            <w:vAlign w:val="center"/>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1.3%</w:t>
            </w:r>
          </w:p>
        </w:tc>
        <w:tc>
          <w:tcPr>
            <w:tcW w:w="1661" w:type="dxa"/>
            <w:tcBorders>
              <w:top w:val="single" w:sz="2" w:space="0" w:color="auto"/>
              <w:left w:val="single" w:sz="2" w:space="0" w:color="auto"/>
              <w:bottom w:val="single" w:sz="2" w:space="0" w:color="auto"/>
              <w:right w:val="single" w:sz="2" w:space="0" w:color="auto"/>
            </w:tcBorders>
            <w:shd w:val="clear" w:color="auto" w:fill="auto"/>
            <w:tcMar>
              <w:top w:w="29" w:type="dxa"/>
              <w:left w:w="14" w:type="dxa"/>
              <w:bottom w:w="29" w:type="dxa"/>
              <w:right w:w="58" w:type="dxa"/>
            </w:tcMar>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97.7%</w:t>
            </w:r>
          </w:p>
        </w:tc>
        <w:tc>
          <w:tcPr>
            <w:tcW w:w="1661" w:type="dxa"/>
            <w:tcBorders>
              <w:top w:val="single" w:sz="2" w:space="0" w:color="auto"/>
              <w:left w:val="single" w:sz="2" w:space="0" w:color="auto"/>
              <w:bottom w:val="single" w:sz="2" w:space="0" w:color="auto"/>
              <w:right w:val="single" w:sz="2" w:space="0" w:color="auto"/>
            </w:tcBorders>
            <w:shd w:val="clear" w:color="auto" w:fill="auto"/>
            <w:tcMar>
              <w:top w:w="29" w:type="dxa"/>
              <w:left w:w="14" w:type="dxa"/>
              <w:bottom w:w="29" w:type="dxa"/>
              <w:right w:w="58" w:type="dxa"/>
            </w:tcMar>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96.3% </w:t>
            </w:r>
            <w:r w:rsidR="00AB5D04">
              <w:rPr>
                <w:rFonts w:asciiTheme="minorHAnsi" w:hAnsiTheme="minorHAnsi"/>
                <w:sz w:val="18"/>
                <w:szCs w:val="18"/>
              </w:rPr>
              <w:t>–</w:t>
            </w:r>
            <w:r w:rsidRPr="009C72DA">
              <w:rPr>
                <w:rFonts w:asciiTheme="minorHAnsi" w:hAnsiTheme="minorHAnsi"/>
                <w:sz w:val="18"/>
                <w:szCs w:val="18"/>
              </w:rPr>
              <w:t xml:space="preserve"> 98.7%</w:t>
            </w:r>
          </w:p>
        </w:tc>
      </w:tr>
      <w:tr w:rsidR="009C72DA" w:rsidRPr="009C72DA" w:rsidTr="009B3C6A">
        <w:trPr>
          <w:trHeight w:hRule="exact" w:val="432"/>
          <w:jc w:val="center"/>
        </w:trPr>
        <w:tc>
          <w:tcPr>
            <w:tcW w:w="2009" w:type="dxa"/>
            <w:vMerge/>
            <w:tcBorders>
              <w:left w:val="single" w:sz="2" w:space="0" w:color="auto"/>
              <w:bottom w:val="single" w:sz="2" w:space="0" w:color="auto"/>
              <w:right w:val="single" w:sz="2" w:space="0" w:color="auto"/>
            </w:tcBorders>
            <w:shd w:val="clear" w:color="auto" w:fill="auto"/>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p>
        </w:tc>
        <w:tc>
          <w:tcPr>
            <w:tcW w:w="1526" w:type="dxa"/>
            <w:tcBorders>
              <w:top w:val="single" w:sz="2" w:space="0" w:color="auto"/>
              <w:left w:val="single" w:sz="2" w:space="0" w:color="auto"/>
              <w:bottom w:val="single" w:sz="2" w:space="0" w:color="auto"/>
              <w:right w:val="single" w:sz="2" w:space="0" w:color="auto"/>
            </w:tcBorders>
            <w:shd w:val="clear" w:color="auto" w:fill="auto"/>
            <w:tcMar>
              <w:top w:w="29" w:type="dxa"/>
              <w:left w:w="58" w:type="dxa"/>
              <w:bottom w:w="29" w:type="dxa"/>
              <w:right w:w="0" w:type="dxa"/>
            </w:tcMar>
            <w:vAlign w:val="center"/>
            <w:hideMark/>
          </w:tcPr>
          <w:p w:rsidR="009C72DA" w:rsidRPr="009C72DA" w:rsidRDefault="009C72DA" w:rsidP="009B3C6A">
            <w:pPr>
              <w:keepNext/>
              <w:keepLines/>
              <w:spacing w:before="40" w:after="40" w:line="240" w:lineRule="auto"/>
              <w:rPr>
                <w:rFonts w:asciiTheme="minorHAnsi" w:hAnsiTheme="minorHAnsi"/>
                <w:sz w:val="18"/>
                <w:szCs w:val="18"/>
              </w:rPr>
            </w:pPr>
            <w:r w:rsidRPr="009C72DA">
              <w:rPr>
                <w:rFonts w:asciiTheme="minorHAnsi" w:hAnsiTheme="minorHAnsi"/>
                <w:sz w:val="18"/>
                <w:szCs w:val="18"/>
              </w:rPr>
              <w:t>RPS + Geo Renew</w:t>
            </w:r>
          </w:p>
        </w:tc>
        <w:tc>
          <w:tcPr>
            <w:tcW w:w="1661" w:type="dxa"/>
            <w:tcBorders>
              <w:top w:val="single" w:sz="2" w:space="0" w:color="auto"/>
              <w:left w:val="single" w:sz="2" w:space="0" w:color="auto"/>
              <w:bottom w:val="single" w:sz="2" w:space="0" w:color="auto"/>
              <w:right w:val="single" w:sz="2" w:space="0" w:color="auto"/>
            </w:tcBorders>
            <w:shd w:val="clear" w:color="auto" w:fill="auto"/>
            <w:vAlign w:val="center"/>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1.1%</w:t>
            </w:r>
          </w:p>
        </w:tc>
        <w:tc>
          <w:tcPr>
            <w:tcW w:w="1661" w:type="dxa"/>
            <w:tcBorders>
              <w:top w:val="single" w:sz="2" w:space="0" w:color="auto"/>
              <w:left w:val="single" w:sz="2" w:space="0" w:color="auto"/>
              <w:bottom w:val="single" w:sz="2" w:space="0" w:color="auto"/>
              <w:right w:val="single" w:sz="2" w:space="0" w:color="auto"/>
            </w:tcBorders>
            <w:shd w:val="clear" w:color="auto" w:fill="auto"/>
            <w:tcMar>
              <w:top w:w="29" w:type="dxa"/>
              <w:left w:w="14" w:type="dxa"/>
              <w:bottom w:w="29" w:type="dxa"/>
              <w:right w:w="58" w:type="dxa"/>
            </w:tcMar>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92.8%</w:t>
            </w:r>
          </w:p>
        </w:tc>
        <w:tc>
          <w:tcPr>
            <w:tcW w:w="1661" w:type="dxa"/>
            <w:tcBorders>
              <w:top w:val="single" w:sz="2" w:space="0" w:color="auto"/>
              <w:left w:val="single" w:sz="2" w:space="0" w:color="auto"/>
              <w:bottom w:val="single" w:sz="2" w:space="0" w:color="auto"/>
              <w:right w:val="single" w:sz="2" w:space="0" w:color="auto"/>
            </w:tcBorders>
            <w:shd w:val="clear" w:color="auto" w:fill="auto"/>
            <w:tcMar>
              <w:top w:w="29" w:type="dxa"/>
              <w:left w:w="14" w:type="dxa"/>
              <w:bottom w:w="29" w:type="dxa"/>
              <w:right w:w="58" w:type="dxa"/>
            </w:tcMar>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96.3% </w:t>
            </w:r>
            <w:r w:rsidR="00AB5D04">
              <w:rPr>
                <w:rFonts w:asciiTheme="minorHAnsi" w:hAnsiTheme="minorHAnsi"/>
                <w:sz w:val="18"/>
                <w:szCs w:val="18"/>
              </w:rPr>
              <w:t>–</w:t>
            </w:r>
            <w:r w:rsidRPr="009C72DA">
              <w:rPr>
                <w:rFonts w:asciiTheme="minorHAnsi" w:hAnsiTheme="minorHAnsi"/>
                <w:sz w:val="18"/>
                <w:szCs w:val="18"/>
              </w:rPr>
              <w:t xml:space="preserve"> 98.7%</w:t>
            </w:r>
          </w:p>
        </w:tc>
      </w:tr>
      <w:tr w:rsidR="009C72DA" w:rsidRPr="009C72DA" w:rsidTr="009B3C6A">
        <w:trPr>
          <w:trHeight w:hRule="exact" w:val="432"/>
          <w:jc w:val="center"/>
        </w:trPr>
        <w:tc>
          <w:tcPr>
            <w:tcW w:w="2009" w:type="dxa"/>
            <w:vMerge w:val="restart"/>
            <w:tcBorders>
              <w:top w:val="single" w:sz="2" w:space="0" w:color="auto"/>
              <w:left w:val="single" w:sz="2" w:space="0" w:color="auto"/>
              <w:right w:val="single" w:sz="2" w:space="0" w:color="auto"/>
            </w:tcBorders>
            <w:shd w:val="clear" w:color="auto" w:fill="DBE5F1" w:themeFill="accent1" w:themeFillTint="33"/>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Pr>
                <w:rFonts w:asciiTheme="minorHAnsi" w:hAnsiTheme="minorHAnsi"/>
                <w:b/>
                <w:sz w:val="18"/>
                <w:szCs w:val="18"/>
              </w:rPr>
              <w:t xml:space="preserve">2030 </w:t>
            </w:r>
            <w:r w:rsidRPr="009C72DA">
              <w:rPr>
                <w:rFonts w:asciiTheme="minorHAnsi" w:hAnsiTheme="minorHAnsi"/>
                <w:b/>
                <w:sz w:val="18"/>
                <w:szCs w:val="18"/>
              </w:rPr>
              <w:t>Constrained</w:t>
            </w:r>
          </w:p>
          <w:p w:rsidR="009C72DA" w:rsidRPr="009C72DA" w:rsidRDefault="009C72DA" w:rsidP="009C72DA">
            <w:pPr>
              <w:keepNext/>
              <w:keepLines/>
              <w:spacing w:before="40" w:after="40" w:line="240" w:lineRule="auto"/>
              <w:jc w:val="center"/>
              <w:rPr>
                <w:rFonts w:asciiTheme="minorHAnsi" w:hAnsiTheme="minorHAnsi"/>
                <w:sz w:val="18"/>
                <w:szCs w:val="18"/>
              </w:rPr>
            </w:pPr>
          </w:p>
        </w:tc>
        <w:tc>
          <w:tcPr>
            <w:tcW w:w="1526"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58" w:type="dxa"/>
              <w:bottom w:w="29" w:type="dxa"/>
              <w:right w:w="0" w:type="dxa"/>
            </w:tcMar>
            <w:vAlign w:val="center"/>
            <w:hideMark/>
          </w:tcPr>
          <w:p w:rsidR="009C72DA" w:rsidRPr="009C72DA" w:rsidRDefault="009C72DA" w:rsidP="009B3C6A">
            <w:pPr>
              <w:keepNext/>
              <w:keepLines/>
              <w:spacing w:before="40" w:after="40" w:line="240" w:lineRule="auto"/>
              <w:rPr>
                <w:rFonts w:asciiTheme="minorHAnsi" w:hAnsiTheme="minorHAnsi"/>
                <w:sz w:val="18"/>
                <w:szCs w:val="18"/>
              </w:rPr>
            </w:pPr>
            <w:r w:rsidRPr="009C72DA">
              <w:rPr>
                <w:rFonts w:asciiTheme="minorHAnsi" w:hAnsiTheme="minorHAnsi"/>
                <w:sz w:val="18"/>
                <w:szCs w:val="18"/>
              </w:rPr>
              <w:t>RPS + Gas</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0.3%</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14" w:type="dxa"/>
              <w:bottom w:w="29" w:type="dxa"/>
              <w:right w:w="58" w:type="dxa"/>
            </w:tcMar>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98.8%</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14" w:type="dxa"/>
              <w:bottom w:w="29" w:type="dxa"/>
              <w:right w:w="58" w:type="dxa"/>
            </w:tcMar>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96.3% </w:t>
            </w:r>
            <w:r w:rsidR="00AB5D04">
              <w:rPr>
                <w:rFonts w:asciiTheme="minorHAnsi" w:hAnsiTheme="minorHAnsi"/>
                <w:sz w:val="18"/>
                <w:szCs w:val="18"/>
              </w:rPr>
              <w:t>–</w:t>
            </w:r>
            <w:r w:rsidRPr="009C72DA">
              <w:rPr>
                <w:rFonts w:asciiTheme="minorHAnsi" w:hAnsiTheme="minorHAnsi"/>
                <w:sz w:val="18"/>
                <w:szCs w:val="18"/>
              </w:rPr>
              <w:t xml:space="preserve"> 98.7%</w:t>
            </w:r>
          </w:p>
        </w:tc>
      </w:tr>
      <w:tr w:rsidR="009C72DA" w:rsidRPr="009C72DA" w:rsidTr="009B3C6A">
        <w:trPr>
          <w:trHeight w:hRule="exact" w:val="432"/>
          <w:jc w:val="center"/>
        </w:trPr>
        <w:tc>
          <w:tcPr>
            <w:tcW w:w="2009" w:type="dxa"/>
            <w:vMerge/>
            <w:tcBorders>
              <w:left w:val="single" w:sz="2" w:space="0" w:color="auto"/>
              <w:right w:val="single" w:sz="2" w:space="0" w:color="auto"/>
            </w:tcBorders>
            <w:shd w:val="clear" w:color="auto" w:fill="DBE5F1" w:themeFill="accent1" w:themeFillTint="33"/>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p>
        </w:tc>
        <w:tc>
          <w:tcPr>
            <w:tcW w:w="1526"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58" w:type="dxa"/>
              <w:bottom w:w="29" w:type="dxa"/>
              <w:right w:w="0" w:type="dxa"/>
            </w:tcMar>
            <w:vAlign w:val="center"/>
            <w:hideMark/>
          </w:tcPr>
          <w:p w:rsidR="009C72DA" w:rsidRPr="009C72DA" w:rsidRDefault="009C72DA" w:rsidP="009B3C6A">
            <w:pPr>
              <w:keepNext/>
              <w:keepLines/>
              <w:spacing w:before="40" w:after="40" w:line="240" w:lineRule="auto"/>
              <w:rPr>
                <w:rFonts w:asciiTheme="minorHAnsi" w:hAnsiTheme="minorHAnsi"/>
                <w:sz w:val="18"/>
                <w:szCs w:val="18"/>
              </w:rPr>
            </w:pPr>
            <w:r w:rsidRPr="009C72DA">
              <w:rPr>
                <w:rFonts w:asciiTheme="minorHAnsi" w:hAnsiTheme="minorHAnsi"/>
                <w:sz w:val="18"/>
                <w:szCs w:val="18"/>
              </w:rPr>
              <w:t>ISO Queue</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1.1%</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14" w:type="dxa"/>
              <w:bottom w:w="29" w:type="dxa"/>
              <w:right w:w="58" w:type="dxa"/>
            </w:tcMar>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0.1% </w:t>
            </w:r>
            <w:r w:rsidR="00AB5D04">
              <w:rPr>
                <w:rFonts w:asciiTheme="minorHAnsi" w:hAnsiTheme="minorHAnsi"/>
                <w:sz w:val="18"/>
                <w:szCs w:val="18"/>
              </w:rPr>
              <w:t>–</w:t>
            </w:r>
            <w:r w:rsidRPr="009C72DA">
              <w:rPr>
                <w:rFonts w:asciiTheme="minorHAnsi" w:hAnsiTheme="minorHAnsi"/>
                <w:sz w:val="18"/>
                <w:szCs w:val="18"/>
              </w:rPr>
              <w:t xml:space="preserve"> 93.5%</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14" w:type="dxa"/>
              <w:bottom w:w="29" w:type="dxa"/>
              <w:right w:w="58" w:type="dxa"/>
            </w:tcMar>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96.3% </w:t>
            </w:r>
            <w:r w:rsidR="00AB5D04">
              <w:rPr>
                <w:rFonts w:asciiTheme="minorHAnsi" w:hAnsiTheme="minorHAnsi"/>
                <w:sz w:val="18"/>
                <w:szCs w:val="18"/>
              </w:rPr>
              <w:t>–</w:t>
            </w:r>
            <w:r w:rsidRPr="009C72DA">
              <w:rPr>
                <w:rFonts w:asciiTheme="minorHAnsi" w:hAnsiTheme="minorHAnsi"/>
                <w:sz w:val="18"/>
                <w:szCs w:val="18"/>
              </w:rPr>
              <w:t xml:space="preserve"> 98.7%</w:t>
            </w:r>
          </w:p>
        </w:tc>
      </w:tr>
      <w:tr w:rsidR="009C72DA" w:rsidRPr="009C72DA" w:rsidTr="009B3C6A">
        <w:trPr>
          <w:trHeight w:hRule="exact" w:val="432"/>
          <w:jc w:val="center"/>
        </w:trPr>
        <w:tc>
          <w:tcPr>
            <w:tcW w:w="2009" w:type="dxa"/>
            <w:vMerge/>
            <w:tcBorders>
              <w:left w:val="single" w:sz="2" w:space="0" w:color="auto"/>
              <w:right w:val="single" w:sz="2" w:space="0" w:color="auto"/>
            </w:tcBorders>
            <w:shd w:val="clear" w:color="auto" w:fill="DBE5F1" w:themeFill="accent1" w:themeFillTint="33"/>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p>
        </w:tc>
        <w:tc>
          <w:tcPr>
            <w:tcW w:w="1526"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58" w:type="dxa"/>
              <w:bottom w:w="29" w:type="dxa"/>
              <w:right w:w="0" w:type="dxa"/>
            </w:tcMar>
            <w:vAlign w:val="center"/>
            <w:hideMark/>
          </w:tcPr>
          <w:p w:rsidR="009C72DA" w:rsidRPr="009C72DA" w:rsidRDefault="009C72DA" w:rsidP="009B3C6A">
            <w:pPr>
              <w:keepNext/>
              <w:keepLines/>
              <w:spacing w:before="40" w:after="40" w:line="240" w:lineRule="auto"/>
              <w:rPr>
                <w:rFonts w:asciiTheme="minorHAnsi" w:hAnsiTheme="minorHAnsi"/>
                <w:sz w:val="18"/>
                <w:szCs w:val="18"/>
              </w:rPr>
            </w:pPr>
            <w:r w:rsidRPr="009C72DA">
              <w:rPr>
                <w:rFonts w:asciiTheme="minorHAnsi" w:hAnsiTheme="minorHAnsi"/>
                <w:sz w:val="18"/>
                <w:szCs w:val="18"/>
              </w:rPr>
              <w:t>Renew Plus</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0.0%</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14" w:type="dxa"/>
              <w:bottom w:w="29" w:type="dxa"/>
              <w:right w:w="58" w:type="dxa"/>
            </w:tcMar>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60.6%</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14" w:type="dxa"/>
              <w:bottom w:w="29" w:type="dxa"/>
              <w:right w:w="58" w:type="dxa"/>
            </w:tcMar>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96.2% </w:t>
            </w:r>
            <w:r w:rsidR="00AB5D04">
              <w:rPr>
                <w:rFonts w:asciiTheme="minorHAnsi" w:hAnsiTheme="minorHAnsi"/>
                <w:sz w:val="18"/>
                <w:szCs w:val="18"/>
              </w:rPr>
              <w:t>–</w:t>
            </w:r>
            <w:r w:rsidRPr="009C72DA">
              <w:rPr>
                <w:rFonts w:asciiTheme="minorHAnsi" w:hAnsiTheme="minorHAnsi"/>
                <w:sz w:val="18"/>
                <w:szCs w:val="18"/>
              </w:rPr>
              <w:t xml:space="preserve"> 98.6%</w:t>
            </w:r>
          </w:p>
        </w:tc>
      </w:tr>
      <w:tr w:rsidR="009C72DA" w:rsidRPr="009C72DA" w:rsidTr="009B3C6A">
        <w:trPr>
          <w:trHeight w:hRule="exact" w:val="432"/>
          <w:jc w:val="center"/>
        </w:trPr>
        <w:tc>
          <w:tcPr>
            <w:tcW w:w="2009" w:type="dxa"/>
            <w:vMerge/>
            <w:tcBorders>
              <w:left w:val="single" w:sz="2" w:space="0" w:color="auto"/>
              <w:right w:val="single" w:sz="2" w:space="0" w:color="auto"/>
            </w:tcBorders>
            <w:shd w:val="clear" w:color="auto" w:fill="DBE5F1" w:themeFill="accent1" w:themeFillTint="33"/>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p>
        </w:tc>
        <w:tc>
          <w:tcPr>
            <w:tcW w:w="1526"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58" w:type="dxa"/>
              <w:bottom w:w="29" w:type="dxa"/>
              <w:right w:w="0" w:type="dxa"/>
            </w:tcMar>
            <w:vAlign w:val="center"/>
            <w:hideMark/>
          </w:tcPr>
          <w:p w:rsidR="009C72DA" w:rsidRPr="009C72DA" w:rsidRDefault="009C72DA" w:rsidP="009B3C6A">
            <w:pPr>
              <w:keepNext/>
              <w:keepLines/>
              <w:spacing w:before="40" w:after="40" w:line="240" w:lineRule="auto"/>
              <w:rPr>
                <w:rFonts w:asciiTheme="minorHAnsi" w:hAnsiTheme="minorHAnsi"/>
                <w:sz w:val="18"/>
                <w:szCs w:val="18"/>
              </w:rPr>
            </w:pPr>
            <w:r w:rsidRPr="009C72DA">
              <w:rPr>
                <w:rFonts w:asciiTheme="minorHAnsi" w:hAnsiTheme="minorHAnsi"/>
                <w:sz w:val="18"/>
                <w:szCs w:val="18"/>
              </w:rPr>
              <w:t>No Retire</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0.1% </w:t>
            </w:r>
            <w:r w:rsidR="00AB5D04">
              <w:rPr>
                <w:rFonts w:asciiTheme="minorHAnsi" w:hAnsiTheme="minorHAnsi"/>
                <w:sz w:val="18"/>
                <w:szCs w:val="18"/>
              </w:rPr>
              <w:t>–</w:t>
            </w:r>
            <w:r w:rsidRPr="009C72DA">
              <w:rPr>
                <w:rFonts w:asciiTheme="minorHAnsi" w:hAnsiTheme="minorHAnsi"/>
                <w:sz w:val="18"/>
                <w:szCs w:val="18"/>
              </w:rPr>
              <w:t xml:space="preserve"> 1.5%</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14" w:type="dxa"/>
              <w:bottom w:w="29" w:type="dxa"/>
              <w:right w:w="58" w:type="dxa"/>
            </w:tcMar>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0.1% </w:t>
            </w:r>
            <w:r w:rsidR="00AB5D04">
              <w:rPr>
                <w:rFonts w:asciiTheme="minorHAnsi" w:hAnsiTheme="minorHAnsi"/>
                <w:sz w:val="18"/>
                <w:szCs w:val="18"/>
              </w:rPr>
              <w:t>–</w:t>
            </w:r>
            <w:r w:rsidRPr="009C72DA">
              <w:rPr>
                <w:rFonts w:asciiTheme="minorHAnsi" w:hAnsiTheme="minorHAnsi"/>
                <w:sz w:val="18"/>
                <w:szCs w:val="18"/>
              </w:rPr>
              <w:t xml:space="preserve"> 98.3%</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14" w:type="dxa"/>
              <w:bottom w:w="29" w:type="dxa"/>
              <w:right w:w="58" w:type="dxa"/>
            </w:tcMar>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96.3% </w:t>
            </w:r>
            <w:r w:rsidR="00AB5D04">
              <w:rPr>
                <w:rFonts w:asciiTheme="minorHAnsi" w:hAnsiTheme="minorHAnsi"/>
                <w:sz w:val="18"/>
                <w:szCs w:val="18"/>
              </w:rPr>
              <w:t>–</w:t>
            </w:r>
            <w:r w:rsidRPr="009C72DA">
              <w:rPr>
                <w:rFonts w:asciiTheme="minorHAnsi" w:hAnsiTheme="minorHAnsi"/>
                <w:sz w:val="18"/>
                <w:szCs w:val="18"/>
              </w:rPr>
              <w:t xml:space="preserve"> 98.7%</w:t>
            </w:r>
          </w:p>
        </w:tc>
      </w:tr>
      <w:tr w:rsidR="009C72DA" w:rsidRPr="009C72DA" w:rsidTr="009B3C6A">
        <w:trPr>
          <w:trHeight w:hRule="exact" w:val="432"/>
          <w:jc w:val="center"/>
        </w:trPr>
        <w:tc>
          <w:tcPr>
            <w:tcW w:w="2009" w:type="dxa"/>
            <w:vMerge/>
            <w:tcBorders>
              <w:left w:val="single" w:sz="2" w:space="0" w:color="auto"/>
              <w:right w:val="single" w:sz="2" w:space="0" w:color="auto"/>
            </w:tcBorders>
            <w:shd w:val="clear" w:color="auto" w:fill="DBE5F1" w:themeFill="accent1" w:themeFillTint="33"/>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p>
        </w:tc>
        <w:tc>
          <w:tcPr>
            <w:tcW w:w="1526"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58" w:type="dxa"/>
              <w:bottom w:w="29" w:type="dxa"/>
              <w:right w:w="0" w:type="dxa"/>
            </w:tcMar>
            <w:vAlign w:val="center"/>
            <w:hideMark/>
          </w:tcPr>
          <w:p w:rsidR="009C72DA" w:rsidRPr="009C72DA" w:rsidRDefault="009C72DA" w:rsidP="009B3C6A">
            <w:pPr>
              <w:keepNext/>
              <w:keepLines/>
              <w:spacing w:before="40" w:after="40" w:line="240" w:lineRule="auto"/>
              <w:rPr>
                <w:rFonts w:asciiTheme="minorHAnsi" w:hAnsiTheme="minorHAnsi"/>
                <w:sz w:val="18"/>
                <w:szCs w:val="18"/>
              </w:rPr>
            </w:pPr>
            <w:r w:rsidRPr="009C72DA">
              <w:rPr>
                <w:rFonts w:asciiTheme="minorHAnsi" w:hAnsiTheme="minorHAnsi"/>
                <w:sz w:val="18"/>
                <w:szCs w:val="18"/>
              </w:rPr>
              <w:t>ACP + Gas</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0.2%</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14" w:type="dxa"/>
              <w:bottom w:w="29" w:type="dxa"/>
              <w:right w:w="58" w:type="dxa"/>
            </w:tcMar>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98.7%</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14" w:type="dxa"/>
              <w:bottom w:w="29" w:type="dxa"/>
              <w:right w:w="58" w:type="dxa"/>
            </w:tcMar>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96.3% </w:t>
            </w:r>
            <w:r w:rsidR="00AB5D04">
              <w:rPr>
                <w:rFonts w:asciiTheme="minorHAnsi" w:hAnsiTheme="minorHAnsi"/>
                <w:sz w:val="18"/>
                <w:szCs w:val="18"/>
              </w:rPr>
              <w:t>–</w:t>
            </w:r>
            <w:r w:rsidRPr="009C72DA">
              <w:rPr>
                <w:rFonts w:asciiTheme="minorHAnsi" w:hAnsiTheme="minorHAnsi"/>
                <w:sz w:val="18"/>
                <w:szCs w:val="18"/>
              </w:rPr>
              <w:t xml:space="preserve"> 98.7%</w:t>
            </w:r>
          </w:p>
        </w:tc>
      </w:tr>
      <w:tr w:rsidR="009C72DA" w:rsidRPr="009C72DA" w:rsidTr="009B3C6A">
        <w:trPr>
          <w:trHeight w:hRule="exact" w:val="432"/>
          <w:jc w:val="center"/>
        </w:trPr>
        <w:tc>
          <w:tcPr>
            <w:tcW w:w="2009" w:type="dxa"/>
            <w:vMerge/>
            <w:tcBorders>
              <w:left w:val="single" w:sz="2" w:space="0" w:color="auto"/>
              <w:bottom w:val="single" w:sz="2" w:space="0" w:color="auto"/>
              <w:right w:val="single" w:sz="2" w:space="0" w:color="auto"/>
            </w:tcBorders>
            <w:shd w:val="clear" w:color="auto" w:fill="DBE5F1" w:themeFill="accent1" w:themeFillTint="33"/>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p>
        </w:tc>
        <w:tc>
          <w:tcPr>
            <w:tcW w:w="1526"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58" w:type="dxa"/>
              <w:bottom w:w="29" w:type="dxa"/>
              <w:right w:w="0" w:type="dxa"/>
            </w:tcMar>
            <w:vAlign w:val="center"/>
            <w:hideMark/>
          </w:tcPr>
          <w:p w:rsidR="009C72DA" w:rsidRPr="009C72DA" w:rsidRDefault="009C72DA" w:rsidP="009B3C6A">
            <w:pPr>
              <w:keepNext/>
              <w:keepLines/>
              <w:spacing w:before="40" w:after="40" w:line="240" w:lineRule="auto"/>
              <w:rPr>
                <w:rFonts w:asciiTheme="minorHAnsi" w:hAnsiTheme="minorHAnsi"/>
                <w:sz w:val="18"/>
                <w:szCs w:val="18"/>
              </w:rPr>
            </w:pPr>
            <w:r w:rsidRPr="009C72DA">
              <w:rPr>
                <w:rFonts w:asciiTheme="minorHAnsi" w:hAnsiTheme="minorHAnsi"/>
                <w:sz w:val="18"/>
                <w:szCs w:val="18"/>
              </w:rPr>
              <w:t>RPS + Geo Renew</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0.2%</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14" w:type="dxa"/>
              <w:bottom w:w="29" w:type="dxa"/>
              <w:right w:w="58" w:type="dxa"/>
            </w:tcMar>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59.2%</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14" w:type="dxa"/>
              <w:bottom w:w="29" w:type="dxa"/>
              <w:right w:w="58" w:type="dxa"/>
            </w:tcMar>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96.3% </w:t>
            </w:r>
            <w:r w:rsidR="00AB5D04">
              <w:rPr>
                <w:rFonts w:asciiTheme="minorHAnsi" w:hAnsiTheme="minorHAnsi"/>
                <w:sz w:val="18"/>
                <w:szCs w:val="18"/>
              </w:rPr>
              <w:t>–</w:t>
            </w:r>
            <w:r w:rsidRPr="009C72DA">
              <w:rPr>
                <w:rFonts w:asciiTheme="minorHAnsi" w:hAnsiTheme="minorHAnsi"/>
                <w:sz w:val="18"/>
                <w:szCs w:val="18"/>
              </w:rPr>
              <w:t xml:space="preserve"> 98.7%</w:t>
            </w:r>
          </w:p>
        </w:tc>
      </w:tr>
      <w:tr w:rsidR="009C72DA" w:rsidRPr="009C72DA" w:rsidTr="009B3C6A">
        <w:trPr>
          <w:trHeight w:hRule="exact" w:val="432"/>
          <w:jc w:val="center"/>
        </w:trPr>
        <w:tc>
          <w:tcPr>
            <w:tcW w:w="2009" w:type="dxa"/>
            <w:vMerge w:val="restart"/>
            <w:tcBorders>
              <w:top w:val="single" w:sz="2" w:space="0" w:color="auto"/>
              <w:left w:val="single" w:sz="2" w:space="0" w:color="auto"/>
              <w:right w:val="single" w:sz="2" w:space="0" w:color="auto"/>
            </w:tcBorders>
            <w:shd w:val="clear" w:color="auto" w:fill="auto"/>
            <w:tcMar>
              <w:top w:w="29" w:type="dxa"/>
              <w:left w:w="29" w:type="dxa"/>
              <w:bottom w:w="29" w:type="dxa"/>
              <w:right w:w="29" w:type="dxa"/>
            </w:tcMar>
            <w:vAlign w:val="center"/>
          </w:tcPr>
          <w:p w:rsidR="009C72DA" w:rsidRPr="009C72DA" w:rsidRDefault="009C72DA" w:rsidP="009C72DA">
            <w:pPr>
              <w:keepNext/>
              <w:keepLines/>
              <w:spacing w:before="40" w:after="40" w:line="240" w:lineRule="auto"/>
              <w:jc w:val="center"/>
              <w:rPr>
                <w:rFonts w:asciiTheme="minorHAnsi" w:hAnsiTheme="minorHAnsi"/>
                <w:sz w:val="18"/>
                <w:szCs w:val="18"/>
              </w:rPr>
            </w:pPr>
            <w:r>
              <w:rPr>
                <w:rFonts w:asciiTheme="minorHAnsi" w:hAnsiTheme="minorHAnsi"/>
                <w:b/>
                <w:sz w:val="18"/>
                <w:szCs w:val="18"/>
              </w:rPr>
              <w:t xml:space="preserve">2025 </w:t>
            </w:r>
            <w:r w:rsidRPr="009C72DA">
              <w:rPr>
                <w:rFonts w:asciiTheme="minorHAnsi" w:hAnsiTheme="minorHAnsi"/>
                <w:b/>
                <w:sz w:val="18"/>
                <w:szCs w:val="18"/>
              </w:rPr>
              <w:t>Unconstrained</w:t>
            </w:r>
          </w:p>
          <w:p w:rsidR="009C72DA" w:rsidRPr="009C72DA" w:rsidRDefault="009C72DA" w:rsidP="009C72DA">
            <w:pPr>
              <w:keepNext/>
              <w:keepLines/>
              <w:spacing w:before="40" w:after="40" w:line="240" w:lineRule="auto"/>
              <w:jc w:val="center"/>
              <w:rPr>
                <w:rFonts w:asciiTheme="minorHAnsi" w:hAnsiTheme="minorHAnsi"/>
                <w:sz w:val="18"/>
                <w:szCs w:val="18"/>
              </w:rPr>
            </w:pPr>
          </w:p>
        </w:tc>
        <w:tc>
          <w:tcPr>
            <w:tcW w:w="1526" w:type="dxa"/>
            <w:tcBorders>
              <w:top w:val="single" w:sz="2" w:space="0" w:color="auto"/>
              <w:left w:val="single" w:sz="2" w:space="0" w:color="auto"/>
              <w:bottom w:val="single" w:sz="2" w:space="0" w:color="auto"/>
              <w:right w:val="single" w:sz="2" w:space="0" w:color="auto"/>
            </w:tcBorders>
            <w:shd w:val="clear" w:color="auto" w:fill="auto"/>
            <w:tcMar>
              <w:top w:w="29" w:type="dxa"/>
              <w:left w:w="58" w:type="dxa"/>
              <w:bottom w:w="29" w:type="dxa"/>
              <w:right w:w="0" w:type="dxa"/>
            </w:tcMar>
            <w:vAlign w:val="center"/>
            <w:hideMark/>
          </w:tcPr>
          <w:p w:rsidR="009C72DA" w:rsidRPr="009C72DA" w:rsidRDefault="009C72DA" w:rsidP="009B3C6A">
            <w:pPr>
              <w:keepNext/>
              <w:keepLines/>
              <w:spacing w:before="40" w:after="40" w:line="240" w:lineRule="auto"/>
              <w:rPr>
                <w:rFonts w:asciiTheme="minorHAnsi" w:hAnsiTheme="minorHAnsi"/>
                <w:sz w:val="18"/>
                <w:szCs w:val="18"/>
              </w:rPr>
            </w:pPr>
            <w:r w:rsidRPr="009C72DA">
              <w:rPr>
                <w:rFonts w:asciiTheme="minorHAnsi" w:hAnsiTheme="minorHAnsi"/>
                <w:sz w:val="18"/>
                <w:szCs w:val="18"/>
              </w:rPr>
              <w:t>RPS + Gas</w:t>
            </w:r>
          </w:p>
        </w:tc>
        <w:tc>
          <w:tcPr>
            <w:tcW w:w="1661" w:type="dxa"/>
            <w:tcBorders>
              <w:top w:val="single" w:sz="2" w:space="0" w:color="auto"/>
              <w:left w:val="single" w:sz="2" w:space="0" w:color="auto"/>
              <w:bottom w:val="single" w:sz="2" w:space="0" w:color="auto"/>
              <w:right w:val="single" w:sz="2" w:space="0" w:color="auto"/>
            </w:tcBorders>
            <w:shd w:val="clear" w:color="auto" w:fill="auto"/>
            <w:vAlign w:val="center"/>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1.3%</w:t>
            </w:r>
          </w:p>
        </w:tc>
        <w:tc>
          <w:tcPr>
            <w:tcW w:w="1661" w:type="dxa"/>
            <w:tcBorders>
              <w:top w:val="single" w:sz="2" w:space="0" w:color="auto"/>
              <w:left w:val="single" w:sz="2" w:space="0" w:color="auto"/>
              <w:bottom w:val="single" w:sz="2" w:space="0" w:color="auto"/>
              <w:right w:val="single" w:sz="2" w:space="0" w:color="auto"/>
            </w:tcBorders>
            <w:shd w:val="clear" w:color="auto" w:fill="auto"/>
            <w:tcMar>
              <w:top w:w="29" w:type="dxa"/>
              <w:left w:w="14" w:type="dxa"/>
              <w:bottom w:w="29" w:type="dxa"/>
              <w:right w:w="58" w:type="dxa"/>
            </w:tcMar>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94.0%</w:t>
            </w:r>
          </w:p>
        </w:tc>
        <w:tc>
          <w:tcPr>
            <w:tcW w:w="1661" w:type="dxa"/>
            <w:tcBorders>
              <w:top w:val="single" w:sz="2" w:space="0" w:color="auto"/>
              <w:left w:val="single" w:sz="2" w:space="0" w:color="auto"/>
              <w:bottom w:val="single" w:sz="2" w:space="0" w:color="auto"/>
              <w:right w:val="single" w:sz="2" w:space="0" w:color="auto"/>
            </w:tcBorders>
            <w:shd w:val="clear" w:color="auto" w:fill="auto"/>
            <w:tcMar>
              <w:top w:w="29" w:type="dxa"/>
              <w:left w:w="14" w:type="dxa"/>
              <w:bottom w:w="29" w:type="dxa"/>
              <w:right w:w="58" w:type="dxa"/>
            </w:tcMar>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96.3% </w:t>
            </w:r>
            <w:r w:rsidR="00AB5D04">
              <w:rPr>
                <w:rFonts w:asciiTheme="minorHAnsi" w:hAnsiTheme="minorHAnsi"/>
                <w:sz w:val="18"/>
                <w:szCs w:val="18"/>
              </w:rPr>
              <w:t>–</w:t>
            </w:r>
            <w:r w:rsidRPr="009C72DA">
              <w:rPr>
                <w:rFonts w:asciiTheme="minorHAnsi" w:hAnsiTheme="minorHAnsi"/>
                <w:sz w:val="18"/>
                <w:szCs w:val="18"/>
              </w:rPr>
              <w:t xml:space="preserve"> 98.7%</w:t>
            </w:r>
          </w:p>
        </w:tc>
      </w:tr>
      <w:tr w:rsidR="009C72DA" w:rsidRPr="009C72DA" w:rsidTr="009B3C6A">
        <w:trPr>
          <w:trHeight w:hRule="exact" w:val="432"/>
          <w:jc w:val="center"/>
        </w:trPr>
        <w:tc>
          <w:tcPr>
            <w:tcW w:w="2009" w:type="dxa"/>
            <w:vMerge/>
            <w:tcBorders>
              <w:left w:val="single" w:sz="2" w:space="0" w:color="auto"/>
              <w:right w:val="single" w:sz="2" w:space="0" w:color="auto"/>
            </w:tcBorders>
            <w:shd w:val="clear" w:color="auto" w:fill="auto"/>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p>
        </w:tc>
        <w:tc>
          <w:tcPr>
            <w:tcW w:w="1526" w:type="dxa"/>
            <w:tcBorders>
              <w:top w:val="single" w:sz="2" w:space="0" w:color="auto"/>
              <w:left w:val="single" w:sz="2" w:space="0" w:color="auto"/>
              <w:bottom w:val="single" w:sz="2" w:space="0" w:color="auto"/>
              <w:right w:val="single" w:sz="2" w:space="0" w:color="auto"/>
            </w:tcBorders>
            <w:shd w:val="clear" w:color="auto" w:fill="auto"/>
            <w:tcMar>
              <w:top w:w="29" w:type="dxa"/>
              <w:left w:w="58" w:type="dxa"/>
              <w:bottom w:w="29" w:type="dxa"/>
              <w:right w:w="0" w:type="dxa"/>
            </w:tcMar>
            <w:vAlign w:val="center"/>
            <w:hideMark/>
          </w:tcPr>
          <w:p w:rsidR="009C72DA" w:rsidRPr="009C72DA" w:rsidRDefault="009C72DA" w:rsidP="009B3C6A">
            <w:pPr>
              <w:keepNext/>
              <w:keepLines/>
              <w:spacing w:before="40" w:after="40" w:line="240" w:lineRule="auto"/>
              <w:rPr>
                <w:rFonts w:asciiTheme="minorHAnsi" w:hAnsiTheme="minorHAnsi"/>
                <w:sz w:val="18"/>
                <w:szCs w:val="18"/>
              </w:rPr>
            </w:pPr>
            <w:r w:rsidRPr="009C72DA">
              <w:rPr>
                <w:rFonts w:asciiTheme="minorHAnsi" w:hAnsiTheme="minorHAnsi"/>
                <w:sz w:val="18"/>
                <w:szCs w:val="18"/>
              </w:rPr>
              <w:t>ISO Queue</w:t>
            </w:r>
          </w:p>
        </w:tc>
        <w:tc>
          <w:tcPr>
            <w:tcW w:w="1661" w:type="dxa"/>
            <w:tcBorders>
              <w:top w:val="single" w:sz="2" w:space="0" w:color="auto"/>
              <w:left w:val="single" w:sz="2" w:space="0" w:color="auto"/>
              <w:bottom w:val="single" w:sz="2" w:space="0" w:color="auto"/>
              <w:right w:val="single" w:sz="2" w:space="0" w:color="auto"/>
            </w:tcBorders>
            <w:shd w:val="clear" w:color="auto" w:fill="auto"/>
            <w:vAlign w:val="center"/>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1.3%</w:t>
            </w:r>
          </w:p>
        </w:tc>
        <w:tc>
          <w:tcPr>
            <w:tcW w:w="1661" w:type="dxa"/>
            <w:tcBorders>
              <w:top w:val="single" w:sz="2" w:space="0" w:color="auto"/>
              <w:left w:val="single" w:sz="2" w:space="0" w:color="auto"/>
              <w:bottom w:val="single" w:sz="2" w:space="0" w:color="auto"/>
              <w:right w:val="single" w:sz="2" w:space="0" w:color="auto"/>
            </w:tcBorders>
            <w:shd w:val="clear" w:color="auto" w:fill="auto"/>
            <w:tcMar>
              <w:top w:w="29" w:type="dxa"/>
              <w:left w:w="14" w:type="dxa"/>
              <w:bottom w:w="29" w:type="dxa"/>
              <w:right w:w="58" w:type="dxa"/>
            </w:tcMar>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91.8%</w:t>
            </w:r>
          </w:p>
        </w:tc>
        <w:tc>
          <w:tcPr>
            <w:tcW w:w="1661" w:type="dxa"/>
            <w:tcBorders>
              <w:top w:val="single" w:sz="2" w:space="0" w:color="auto"/>
              <w:left w:val="single" w:sz="2" w:space="0" w:color="auto"/>
              <w:bottom w:val="single" w:sz="2" w:space="0" w:color="auto"/>
              <w:right w:val="single" w:sz="2" w:space="0" w:color="auto"/>
            </w:tcBorders>
            <w:shd w:val="clear" w:color="auto" w:fill="auto"/>
            <w:tcMar>
              <w:top w:w="29" w:type="dxa"/>
              <w:left w:w="14" w:type="dxa"/>
              <w:bottom w:w="29" w:type="dxa"/>
              <w:right w:w="58" w:type="dxa"/>
            </w:tcMar>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96.3% </w:t>
            </w:r>
            <w:r w:rsidR="00AB5D04">
              <w:rPr>
                <w:rFonts w:asciiTheme="minorHAnsi" w:hAnsiTheme="minorHAnsi"/>
                <w:sz w:val="18"/>
                <w:szCs w:val="18"/>
              </w:rPr>
              <w:t>–</w:t>
            </w:r>
            <w:r w:rsidRPr="009C72DA">
              <w:rPr>
                <w:rFonts w:asciiTheme="minorHAnsi" w:hAnsiTheme="minorHAnsi"/>
                <w:sz w:val="18"/>
                <w:szCs w:val="18"/>
              </w:rPr>
              <w:t xml:space="preserve"> 98.7%</w:t>
            </w:r>
          </w:p>
        </w:tc>
      </w:tr>
      <w:tr w:rsidR="009C72DA" w:rsidRPr="009C72DA" w:rsidTr="009B3C6A">
        <w:trPr>
          <w:trHeight w:hRule="exact" w:val="432"/>
          <w:jc w:val="center"/>
        </w:trPr>
        <w:tc>
          <w:tcPr>
            <w:tcW w:w="2009" w:type="dxa"/>
            <w:vMerge/>
            <w:tcBorders>
              <w:left w:val="single" w:sz="2" w:space="0" w:color="auto"/>
              <w:right w:val="single" w:sz="2" w:space="0" w:color="auto"/>
            </w:tcBorders>
            <w:shd w:val="clear" w:color="auto" w:fill="auto"/>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p>
        </w:tc>
        <w:tc>
          <w:tcPr>
            <w:tcW w:w="1526" w:type="dxa"/>
            <w:tcBorders>
              <w:top w:val="single" w:sz="2" w:space="0" w:color="auto"/>
              <w:left w:val="single" w:sz="2" w:space="0" w:color="auto"/>
              <w:bottom w:val="single" w:sz="2" w:space="0" w:color="auto"/>
              <w:right w:val="single" w:sz="2" w:space="0" w:color="auto"/>
            </w:tcBorders>
            <w:shd w:val="clear" w:color="auto" w:fill="auto"/>
            <w:tcMar>
              <w:top w:w="29" w:type="dxa"/>
              <w:left w:w="58" w:type="dxa"/>
              <w:bottom w:w="29" w:type="dxa"/>
              <w:right w:w="0" w:type="dxa"/>
            </w:tcMar>
            <w:vAlign w:val="center"/>
            <w:hideMark/>
          </w:tcPr>
          <w:p w:rsidR="009C72DA" w:rsidRPr="009C72DA" w:rsidRDefault="009C72DA" w:rsidP="009B3C6A">
            <w:pPr>
              <w:keepNext/>
              <w:keepLines/>
              <w:spacing w:before="40" w:after="40" w:line="240" w:lineRule="auto"/>
              <w:rPr>
                <w:rFonts w:asciiTheme="minorHAnsi" w:hAnsiTheme="minorHAnsi"/>
                <w:sz w:val="18"/>
                <w:szCs w:val="18"/>
              </w:rPr>
            </w:pPr>
            <w:r w:rsidRPr="009C72DA">
              <w:rPr>
                <w:rFonts w:asciiTheme="minorHAnsi" w:hAnsiTheme="minorHAnsi"/>
                <w:sz w:val="18"/>
                <w:szCs w:val="18"/>
              </w:rPr>
              <w:t>Renew Plus</w:t>
            </w:r>
          </w:p>
        </w:tc>
        <w:tc>
          <w:tcPr>
            <w:tcW w:w="1661" w:type="dxa"/>
            <w:tcBorders>
              <w:top w:val="single" w:sz="2" w:space="0" w:color="auto"/>
              <w:left w:val="single" w:sz="2" w:space="0" w:color="auto"/>
              <w:bottom w:val="single" w:sz="2" w:space="0" w:color="auto"/>
              <w:right w:val="single" w:sz="2" w:space="0" w:color="auto"/>
            </w:tcBorders>
            <w:shd w:val="clear" w:color="auto" w:fill="auto"/>
            <w:vAlign w:val="center"/>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0.0%</w:t>
            </w:r>
          </w:p>
        </w:tc>
        <w:tc>
          <w:tcPr>
            <w:tcW w:w="1661" w:type="dxa"/>
            <w:tcBorders>
              <w:top w:val="single" w:sz="2" w:space="0" w:color="auto"/>
              <w:left w:val="single" w:sz="2" w:space="0" w:color="auto"/>
              <w:bottom w:val="single" w:sz="2" w:space="0" w:color="auto"/>
              <w:right w:val="single" w:sz="2" w:space="0" w:color="auto"/>
            </w:tcBorders>
            <w:shd w:val="clear" w:color="auto" w:fill="auto"/>
            <w:tcMar>
              <w:top w:w="29" w:type="dxa"/>
              <w:left w:w="14" w:type="dxa"/>
              <w:bottom w:w="29" w:type="dxa"/>
              <w:right w:w="58" w:type="dxa"/>
            </w:tcMar>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70.8%</w:t>
            </w:r>
          </w:p>
        </w:tc>
        <w:tc>
          <w:tcPr>
            <w:tcW w:w="1661" w:type="dxa"/>
            <w:tcBorders>
              <w:top w:val="single" w:sz="2" w:space="0" w:color="auto"/>
              <w:left w:val="single" w:sz="2" w:space="0" w:color="auto"/>
              <w:bottom w:val="single" w:sz="2" w:space="0" w:color="auto"/>
              <w:right w:val="single" w:sz="2" w:space="0" w:color="auto"/>
            </w:tcBorders>
            <w:shd w:val="clear" w:color="auto" w:fill="auto"/>
            <w:tcMar>
              <w:top w:w="29" w:type="dxa"/>
              <w:left w:w="14" w:type="dxa"/>
              <w:bottom w:w="29" w:type="dxa"/>
              <w:right w:w="58" w:type="dxa"/>
            </w:tcMar>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96.3% </w:t>
            </w:r>
            <w:r w:rsidR="00AB5D04">
              <w:rPr>
                <w:rFonts w:asciiTheme="minorHAnsi" w:hAnsiTheme="minorHAnsi"/>
                <w:sz w:val="18"/>
                <w:szCs w:val="18"/>
              </w:rPr>
              <w:t>–</w:t>
            </w:r>
            <w:r w:rsidRPr="009C72DA">
              <w:rPr>
                <w:rFonts w:asciiTheme="minorHAnsi" w:hAnsiTheme="minorHAnsi"/>
                <w:sz w:val="18"/>
                <w:szCs w:val="18"/>
              </w:rPr>
              <w:t xml:space="preserve"> 98.7%</w:t>
            </w:r>
          </w:p>
        </w:tc>
      </w:tr>
      <w:tr w:rsidR="009C72DA" w:rsidRPr="009C72DA" w:rsidTr="009B3C6A">
        <w:trPr>
          <w:trHeight w:hRule="exact" w:val="432"/>
          <w:jc w:val="center"/>
        </w:trPr>
        <w:tc>
          <w:tcPr>
            <w:tcW w:w="2009" w:type="dxa"/>
            <w:vMerge/>
            <w:tcBorders>
              <w:left w:val="single" w:sz="2" w:space="0" w:color="auto"/>
              <w:right w:val="single" w:sz="2" w:space="0" w:color="auto"/>
            </w:tcBorders>
            <w:shd w:val="clear" w:color="auto" w:fill="auto"/>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p>
        </w:tc>
        <w:tc>
          <w:tcPr>
            <w:tcW w:w="1526" w:type="dxa"/>
            <w:tcBorders>
              <w:top w:val="single" w:sz="2" w:space="0" w:color="auto"/>
              <w:left w:val="single" w:sz="2" w:space="0" w:color="auto"/>
              <w:bottom w:val="single" w:sz="2" w:space="0" w:color="auto"/>
              <w:right w:val="single" w:sz="2" w:space="0" w:color="auto"/>
            </w:tcBorders>
            <w:shd w:val="clear" w:color="auto" w:fill="auto"/>
            <w:tcMar>
              <w:top w:w="29" w:type="dxa"/>
              <w:left w:w="58" w:type="dxa"/>
              <w:bottom w:w="29" w:type="dxa"/>
              <w:right w:w="0" w:type="dxa"/>
            </w:tcMar>
            <w:vAlign w:val="center"/>
            <w:hideMark/>
          </w:tcPr>
          <w:p w:rsidR="009C72DA" w:rsidRPr="009C72DA" w:rsidRDefault="009C72DA" w:rsidP="009B3C6A">
            <w:pPr>
              <w:keepNext/>
              <w:keepLines/>
              <w:spacing w:before="40" w:after="40" w:line="240" w:lineRule="auto"/>
              <w:rPr>
                <w:rFonts w:asciiTheme="minorHAnsi" w:hAnsiTheme="minorHAnsi"/>
                <w:sz w:val="18"/>
                <w:szCs w:val="18"/>
              </w:rPr>
            </w:pPr>
            <w:r w:rsidRPr="009C72DA">
              <w:rPr>
                <w:rFonts w:asciiTheme="minorHAnsi" w:hAnsiTheme="minorHAnsi"/>
                <w:sz w:val="18"/>
                <w:szCs w:val="18"/>
              </w:rPr>
              <w:t>No Retire</w:t>
            </w:r>
          </w:p>
        </w:tc>
        <w:tc>
          <w:tcPr>
            <w:tcW w:w="1661" w:type="dxa"/>
            <w:tcBorders>
              <w:top w:val="single" w:sz="2" w:space="0" w:color="auto"/>
              <w:left w:val="single" w:sz="2" w:space="0" w:color="auto"/>
              <w:bottom w:val="single" w:sz="2" w:space="0" w:color="auto"/>
              <w:right w:val="single" w:sz="2" w:space="0" w:color="auto"/>
            </w:tcBorders>
            <w:shd w:val="clear" w:color="auto" w:fill="auto"/>
            <w:vAlign w:val="center"/>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1.4%</w:t>
            </w:r>
          </w:p>
        </w:tc>
        <w:tc>
          <w:tcPr>
            <w:tcW w:w="1661" w:type="dxa"/>
            <w:tcBorders>
              <w:top w:val="single" w:sz="2" w:space="0" w:color="auto"/>
              <w:left w:val="single" w:sz="2" w:space="0" w:color="auto"/>
              <w:bottom w:val="single" w:sz="2" w:space="0" w:color="auto"/>
              <w:right w:val="single" w:sz="2" w:space="0" w:color="auto"/>
            </w:tcBorders>
            <w:shd w:val="clear" w:color="auto" w:fill="auto"/>
            <w:tcMar>
              <w:top w:w="29" w:type="dxa"/>
              <w:left w:w="14" w:type="dxa"/>
              <w:bottom w:w="29" w:type="dxa"/>
              <w:right w:w="58" w:type="dxa"/>
            </w:tcMar>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94.8%</w:t>
            </w:r>
          </w:p>
        </w:tc>
        <w:tc>
          <w:tcPr>
            <w:tcW w:w="1661" w:type="dxa"/>
            <w:tcBorders>
              <w:top w:val="single" w:sz="2" w:space="0" w:color="auto"/>
              <w:left w:val="single" w:sz="2" w:space="0" w:color="auto"/>
              <w:bottom w:val="single" w:sz="2" w:space="0" w:color="auto"/>
              <w:right w:val="single" w:sz="2" w:space="0" w:color="auto"/>
            </w:tcBorders>
            <w:shd w:val="clear" w:color="auto" w:fill="auto"/>
            <w:tcMar>
              <w:top w:w="29" w:type="dxa"/>
              <w:left w:w="14" w:type="dxa"/>
              <w:bottom w:w="29" w:type="dxa"/>
              <w:right w:w="58" w:type="dxa"/>
            </w:tcMar>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96.3% </w:t>
            </w:r>
            <w:r w:rsidR="00AB5D04">
              <w:rPr>
                <w:rFonts w:asciiTheme="minorHAnsi" w:hAnsiTheme="minorHAnsi"/>
                <w:sz w:val="18"/>
                <w:szCs w:val="18"/>
              </w:rPr>
              <w:t>–</w:t>
            </w:r>
            <w:r w:rsidRPr="009C72DA">
              <w:rPr>
                <w:rFonts w:asciiTheme="minorHAnsi" w:hAnsiTheme="minorHAnsi"/>
                <w:sz w:val="18"/>
                <w:szCs w:val="18"/>
              </w:rPr>
              <w:t xml:space="preserve"> 98.7%</w:t>
            </w:r>
          </w:p>
        </w:tc>
      </w:tr>
      <w:tr w:rsidR="009C72DA" w:rsidRPr="009C72DA" w:rsidTr="009B3C6A">
        <w:trPr>
          <w:trHeight w:hRule="exact" w:val="432"/>
          <w:jc w:val="center"/>
        </w:trPr>
        <w:tc>
          <w:tcPr>
            <w:tcW w:w="2009" w:type="dxa"/>
            <w:vMerge/>
            <w:tcBorders>
              <w:left w:val="single" w:sz="2" w:space="0" w:color="auto"/>
              <w:right w:val="single" w:sz="2" w:space="0" w:color="auto"/>
            </w:tcBorders>
            <w:shd w:val="clear" w:color="auto" w:fill="auto"/>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p>
        </w:tc>
        <w:tc>
          <w:tcPr>
            <w:tcW w:w="1526" w:type="dxa"/>
            <w:tcBorders>
              <w:top w:val="single" w:sz="2" w:space="0" w:color="auto"/>
              <w:left w:val="single" w:sz="2" w:space="0" w:color="auto"/>
              <w:bottom w:val="single" w:sz="2" w:space="0" w:color="auto"/>
              <w:right w:val="single" w:sz="2" w:space="0" w:color="auto"/>
            </w:tcBorders>
            <w:shd w:val="clear" w:color="auto" w:fill="auto"/>
            <w:tcMar>
              <w:top w:w="29" w:type="dxa"/>
              <w:left w:w="58" w:type="dxa"/>
              <w:bottom w:w="29" w:type="dxa"/>
              <w:right w:w="0" w:type="dxa"/>
            </w:tcMar>
            <w:vAlign w:val="center"/>
            <w:hideMark/>
          </w:tcPr>
          <w:p w:rsidR="009C72DA" w:rsidRPr="009C72DA" w:rsidRDefault="009C72DA" w:rsidP="009B3C6A">
            <w:pPr>
              <w:keepNext/>
              <w:keepLines/>
              <w:spacing w:before="40" w:after="40" w:line="240" w:lineRule="auto"/>
              <w:rPr>
                <w:rFonts w:asciiTheme="minorHAnsi" w:hAnsiTheme="minorHAnsi"/>
                <w:sz w:val="18"/>
                <w:szCs w:val="18"/>
              </w:rPr>
            </w:pPr>
            <w:r w:rsidRPr="009C72DA">
              <w:rPr>
                <w:rFonts w:asciiTheme="minorHAnsi" w:hAnsiTheme="minorHAnsi"/>
                <w:sz w:val="18"/>
                <w:szCs w:val="18"/>
              </w:rPr>
              <w:t>ACP + Gas</w:t>
            </w:r>
          </w:p>
        </w:tc>
        <w:tc>
          <w:tcPr>
            <w:tcW w:w="1661" w:type="dxa"/>
            <w:tcBorders>
              <w:top w:val="single" w:sz="2" w:space="0" w:color="auto"/>
              <w:left w:val="single" w:sz="2" w:space="0" w:color="auto"/>
              <w:bottom w:val="single" w:sz="2" w:space="0" w:color="auto"/>
              <w:right w:val="single" w:sz="2" w:space="0" w:color="auto"/>
            </w:tcBorders>
            <w:shd w:val="clear" w:color="auto" w:fill="auto"/>
            <w:vAlign w:val="center"/>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1.3%</w:t>
            </w:r>
          </w:p>
        </w:tc>
        <w:tc>
          <w:tcPr>
            <w:tcW w:w="1661" w:type="dxa"/>
            <w:tcBorders>
              <w:top w:val="single" w:sz="2" w:space="0" w:color="auto"/>
              <w:left w:val="single" w:sz="2" w:space="0" w:color="auto"/>
              <w:bottom w:val="single" w:sz="2" w:space="0" w:color="auto"/>
              <w:right w:val="single" w:sz="2" w:space="0" w:color="auto"/>
            </w:tcBorders>
            <w:shd w:val="clear" w:color="auto" w:fill="auto"/>
            <w:tcMar>
              <w:top w:w="29" w:type="dxa"/>
              <w:left w:w="14" w:type="dxa"/>
              <w:bottom w:w="29" w:type="dxa"/>
              <w:right w:w="58" w:type="dxa"/>
            </w:tcMar>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97.2%</w:t>
            </w:r>
          </w:p>
        </w:tc>
        <w:tc>
          <w:tcPr>
            <w:tcW w:w="1661" w:type="dxa"/>
            <w:tcBorders>
              <w:top w:val="single" w:sz="2" w:space="0" w:color="auto"/>
              <w:left w:val="single" w:sz="2" w:space="0" w:color="auto"/>
              <w:bottom w:val="single" w:sz="2" w:space="0" w:color="auto"/>
              <w:right w:val="single" w:sz="2" w:space="0" w:color="auto"/>
            </w:tcBorders>
            <w:shd w:val="clear" w:color="auto" w:fill="auto"/>
            <w:tcMar>
              <w:top w:w="29" w:type="dxa"/>
              <w:left w:w="14" w:type="dxa"/>
              <w:bottom w:w="29" w:type="dxa"/>
              <w:right w:w="58" w:type="dxa"/>
            </w:tcMar>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96.3% </w:t>
            </w:r>
            <w:r w:rsidR="00AB5D04">
              <w:rPr>
                <w:rFonts w:asciiTheme="minorHAnsi" w:hAnsiTheme="minorHAnsi"/>
                <w:sz w:val="18"/>
                <w:szCs w:val="18"/>
              </w:rPr>
              <w:t>–</w:t>
            </w:r>
            <w:r w:rsidRPr="009C72DA">
              <w:rPr>
                <w:rFonts w:asciiTheme="minorHAnsi" w:hAnsiTheme="minorHAnsi"/>
                <w:sz w:val="18"/>
                <w:szCs w:val="18"/>
              </w:rPr>
              <w:t xml:space="preserve"> 98.7%</w:t>
            </w:r>
          </w:p>
        </w:tc>
      </w:tr>
      <w:tr w:rsidR="009C72DA" w:rsidRPr="009C72DA" w:rsidTr="009B3C6A">
        <w:trPr>
          <w:trHeight w:hRule="exact" w:val="432"/>
          <w:jc w:val="center"/>
        </w:trPr>
        <w:tc>
          <w:tcPr>
            <w:tcW w:w="2009" w:type="dxa"/>
            <w:vMerge/>
            <w:tcBorders>
              <w:left w:val="single" w:sz="2" w:space="0" w:color="auto"/>
              <w:bottom w:val="single" w:sz="2" w:space="0" w:color="auto"/>
              <w:right w:val="single" w:sz="2" w:space="0" w:color="auto"/>
            </w:tcBorders>
            <w:shd w:val="clear" w:color="auto" w:fill="auto"/>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p>
        </w:tc>
        <w:tc>
          <w:tcPr>
            <w:tcW w:w="1526" w:type="dxa"/>
            <w:tcBorders>
              <w:top w:val="single" w:sz="2" w:space="0" w:color="auto"/>
              <w:left w:val="single" w:sz="2" w:space="0" w:color="auto"/>
              <w:bottom w:val="single" w:sz="2" w:space="0" w:color="auto"/>
              <w:right w:val="single" w:sz="2" w:space="0" w:color="auto"/>
            </w:tcBorders>
            <w:shd w:val="clear" w:color="auto" w:fill="auto"/>
            <w:tcMar>
              <w:top w:w="29" w:type="dxa"/>
              <w:left w:w="58" w:type="dxa"/>
              <w:bottom w:w="29" w:type="dxa"/>
              <w:right w:w="0" w:type="dxa"/>
            </w:tcMar>
            <w:vAlign w:val="center"/>
            <w:hideMark/>
          </w:tcPr>
          <w:p w:rsidR="009C72DA" w:rsidRPr="009C72DA" w:rsidRDefault="009C72DA" w:rsidP="009B3C6A">
            <w:pPr>
              <w:keepNext/>
              <w:keepLines/>
              <w:spacing w:before="40" w:after="40" w:line="240" w:lineRule="auto"/>
              <w:rPr>
                <w:rFonts w:asciiTheme="minorHAnsi" w:hAnsiTheme="minorHAnsi"/>
                <w:sz w:val="18"/>
                <w:szCs w:val="18"/>
              </w:rPr>
            </w:pPr>
            <w:r w:rsidRPr="009C72DA">
              <w:rPr>
                <w:rFonts w:asciiTheme="minorHAnsi" w:hAnsiTheme="minorHAnsi"/>
                <w:sz w:val="18"/>
                <w:szCs w:val="18"/>
              </w:rPr>
              <w:t>RPS + Geo Renew</w:t>
            </w:r>
          </w:p>
        </w:tc>
        <w:tc>
          <w:tcPr>
            <w:tcW w:w="1661" w:type="dxa"/>
            <w:tcBorders>
              <w:top w:val="single" w:sz="2" w:space="0" w:color="auto"/>
              <w:left w:val="single" w:sz="2" w:space="0" w:color="auto"/>
              <w:bottom w:val="single" w:sz="2" w:space="0" w:color="auto"/>
              <w:right w:val="single" w:sz="2" w:space="0" w:color="auto"/>
            </w:tcBorders>
            <w:shd w:val="clear" w:color="auto" w:fill="auto"/>
            <w:vAlign w:val="center"/>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1.1%</w:t>
            </w:r>
          </w:p>
        </w:tc>
        <w:tc>
          <w:tcPr>
            <w:tcW w:w="1661" w:type="dxa"/>
            <w:tcBorders>
              <w:top w:val="single" w:sz="2" w:space="0" w:color="auto"/>
              <w:left w:val="single" w:sz="2" w:space="0" w:color="auto"/>
              <w:bottom w:val="single" w:sz="2" w:space="0" w:color="auto"/>
              <w:right w:val="single" w:sz="2" w:space="0" w:color="auto"/>
            </w:tcBorders>
            <w:shd w:val="clear" w:color="auto" w:fill="auto"/>
            <w:tcMar>
              <w:top w:w="29" w:type="dxa"/>
              <w:left w:w="14" w:type="dxa"/>
              <w:bottom w:w="29" w:type="dxa"/>
              <w:right w:w="58" w:type="dxa"/>
            </w:tcMar>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92.1%</w:t>
            </w:r>
          </w:p>
        </w:tc>
        <w:tc>
          <w:tcPr>
            <w:tcW w:w="1661" w:type="dxa"/>
            <w:tcBorders>
              <w:top w:val="single" w:sz="2" w:space="0" w:color="auto"/>
              <w:left w:val="single" w:sz="2" w:space="0" w:color="auto"/>
              <w:bottom w:val="single" w:sz="2" w:space="0" w:color="auto"/>
              <w:right w:val="single" w:sz="2" w:space="0" w:color="auto"/>
            </w:tcBorders>
            <w:shd w:val="clear" w:color="auto" w:fill="auto"/>
            <w:tcMar>
              <w:top w:w="29" w:type="dxa"/>
              <w:left w:w="14" w:type="dxa"/>
              <w:bottom w:w="29" w:type="dxa"/>
              <w:right w:w="58" w:type="dxa"/>
            </w:tcMar>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96.3% </w:t>
            </w:r>
            <w:r w:rsidR="00AB5D04">
              <w:rPr>
                <w:rFonts w:asciiTheme="minorHAnsi" w:hAnsiTheme="minorHAnsi"/>
                <w:sz w:val="18"/>
                <w:szCs w:val="18"/>
              </w:rPr>
              <w:t>–</w:t>
            </w:r>
            <w:r w:rsidRPr="009C72DA">
              <w:rPr>
                <w:rFonts w:asciiTheme="minorHAnsi" w:hAnsiTheme="minorHAnsi"/>
                <w:sz w:val="18"/>
                <w:szCs w:val="18"/>
              </w:rPr>
              <w:t xml:space="preserve"> 98.7%</w:t>
            </w:r>
          </w:p>
        </w:tc>
      </w:tr>
      <w:tr w:rsidR="009C72DA" w:rsidRPr="009C72DA" w:rsidTr="009B3C6A">
        <w:trPr>
          <w:trHeight w:hRule="exact" w:val="432"/>
          <w:jc w:val="center"/>
        </w:trPr>
        <w:tc>
          <w:tcPr>
            <w:tcW w:w="2009" w:type="dxa"/>
            <w:vMerge w:val="restart"/>
            <w:tcBorders>
              <w:top w:val="single" w:sz="2" w:space="0" w:color="auto"/>
              <w:left w:val="single" w:sz="2" w:space="0" w:color="auto"/>
              <w:right w:val="single" w:sz="2" w:space="0" w:color="auto"/>
            </w:tcBorders>
            <w:shd w:val="clear" w:color="auto" w:fill="DBE5F1" w:themeFill="accent1" w:themeFillTint="33"/>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Pr>
                <w:rFonts w:asciiTheme="minorHAnsi" w:hAnsiTheme="minorHAnsi"/>
                <w:b/>
                <w:sz w:val="18"/>
                <w:szCs w:val="18"/>
              </w:rPr>
              <w:t>2030 Unconstrained</w:t>
            </w:r>
          </w:p>
          <w:p w:rsidR="009C72DA" w:rsidRPr="009C72DA" w:rsidRDefault="009C72DA" w:rsidP="009C72DA">
            <w:pPr>
              <w:keepNext/>
              <w:keepLines/>
              <w:spacing w:before="40" w:after="40" w:line="240" w:lineRule="auto"/>
              <w:jc w:val="center"/>
              <w:rPr>
                <w:rFonts w:asciiTheme="minorHAnsi" w:hAnsiTheme="minorHAnsi"/>
                <w:sz w:val="18"/>
                <w:szCs w:val="18"/>
              </w:rPr>
            </w:pPr>
          </w:p>
        </w:tc>
        <w:tc>
          <w:tcPr>
            <w:tcW w:w="1526"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58" w:type="dxa"/>
              <w:bottom w:w="29" w:type="dxa"/>
              <w:right w:w="0" w:type="dxa"/>
            </w:tcMar>
            <w:vAlign w:val="center"/>
            <w:hideMark/>
          </w:tcPr>
          <w:p w:rsidR="009C72DA" w:rsidRPr="009C72DA" w:rsidRDefault="009C72DA" w:rsidP="009B3C6A">
            <w:pPr>
              <w:keepNext/>
              <w:keepLines/>
              <w:spacing w:before="40" w:after="40" w:line="240" w:lineRule="auto"/>
              <w:rPr>
                <w:rFonts w:asciiTheme="minorHAnsi" w:hAnsiTheme="minorHAnsi"/>
                <w:sz w:val="18"/>
                <w:szCs w:val="18"/>
              </w:rPr>
            </w:pPr>
            <w:r w:rsidRPr="009C72DA">
              <w:rPr>
                <w:rFonts w:asciiTheme="minorHAnsi" w:hAnsiTheme="minorHAnsi"/>
                <w:sz w:val="18"/>
                <w:szCs w:val="18"/>
              </w:rPr>
              <w:t>RPS + Gas</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0.2%</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14" w:type="dxa"/>
              <w:bottom w:w="29" w:type="dxa"/>
              <w:right w:w="58" w:type="dxa"/>
            </w:tcMar>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97.0%</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14" w:type="dxa"/>
              <w:bottom w:w="29" w:type="dxa"/>
              <w:right w:w="58" w:type="dxa"/>
            </w:tcMar>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96.3% </w:t>
            </w:r>
            <w:r w:rsidR="00AB5D04">
              <w:rPr>
                <w:rFonts w:asciiTheme="minorHAnsi" w:hAnsiTheme="minorHAnsi"/>
                <w:sz w:val="18"/>
                <w:szCs w:val="18"/>
              </w:rPr>
              <w:t>–</w:t>
            </w:r>
            <w:r w:rsidRPr="009C72DA">
              <w:rPr>
                <w:rFonts w:asciiTheme="minorHAnsi" w:hAnsiTheme="minorHAnsi"/>
                <w:sz w:val="18"/>
                <w:szCs w:val="18"/>
              </w:rPr>
              <w:t xml:space="preserve"> 98.7%</w:t>
            </w:r>
          </w:p>
        </w:tc>
      </w:tr>
      <w:tr w:rsidR="009C72DA" w:rsidRPr="009C72DA" w:rsidTr="009B3C6A">
        <w:trPr>
          <w:trHeight w:hRule="exact" w:val="432"/>
          <w:jc w:val="center"/>
        </w:trPr>
        <w:tc>
          <w:tcPr>
            <w:tcW w:w="2009" w:type="dxa"/>
            <w:vMerge/>
            <w:tcBorders>
              <w:left w:val="single" w:sz="2" w:space="0" w:color="auto"/>
              <w:right w:val="single" w:sz="2" w:space="0" w:color="auto"/>
            </w:tcBorders>
            <w:shd w:val="clear" w:color="auto" w:fill="DBE5F1" w:themeFill="accent1" w:themeFillTint="33"/>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p>
        </w:tc>
        <w:tc>
          <w:tcPr>
            <w:tcW w:w="1526"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58" w:type="dxa"/>
              <w:bottom w:w="29" w:type="dxa"/>
              <w:right w:w="0" w:type="dxa"/>
            </w:tcMar>
            <w:vAlign w:val="center"/>
            <w:hideMark/>
          </w:tcPr>
          <w:p w:rsidR="009C72DA" w:rsidRPr="009C72DA" w:rsidRDefault="009C72DA" w:rsidP="009B3C6A">
            <w:pPr>
              <w:keepNext/>
              <w:keepLines/>
              <w:spacing w:before="40" w:after="40" w:line="240" w:lineRule="auto"/>
              <w:rPr>
                <w:rFonts w:asciiTheme="minorHAnsi" w:hAnsiTheme="minorHAnsi"/>
                <w:sz w:val="18"/>
                <w:szCs w:val="18"/>
              </w:rPr>
            </w:pPr>
            <w:r w:rsidRPr="009C72DA">
              <w:rPr>
                <w:rFonts w:asciiTheme="minorHAnsi" w:hAnsiTheme="minorHAnsi"/>
                <w:sz w:val="18"/>
                <w:szCs w:val="18"/>
              </w:rPr>
              <w:t>ISO Queue</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0.4%</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14" w:type="dxa"/>
              <w:bottom w:w="29" w:type="dxa"/>
              <w:right w:w="58" w:type="dxa"/>
            </w:tcMar>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53.6%</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14" w:type="dxa"/>
              <w:bottom w:w="29" w:type="dxa"/>
              <w:right w:w="58" w:type="dxa"/>
            </w:tcMar>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96.3% </w:t>
            </w:r>
            <w:r w:rsidR="00AB5D04">
              <w:rPr>
                <w:rFonts w:asciiTheme="minorHAnsi" w:hAnsiTheme="minorHAnsi"/>
                <w:sz w:val="18"/>
                <w:szCs w:val="18"/>
              </w:rPr>
              <w:t>–</w:t>
            </w:r>
            <w:r w:rsidRPr="009C72DA">
              <w:rPr>
                <w:rFonts w:asciiTheme="minorHAnsi" w:hAnsiTheme="minorHAnsi"/>
                <w:sz w:val="18"/>
                <w:szCs w:val="18"/>
              </w:rPr>
              <w:t xml:space="preserve"> 98.7%</w:t>
            </w:r>
          </w:p>
        </w:tc>
      </w:tr>
      <w:tr w:rsidR="009C72DA" w:rsidRPr="009C72DA" w:rsidTr="009B3C6A">
        <w:trPr>
          <w:trHeight w:hRule="exact" w:val="432"/>
          <w:jc w:val="center"/>
        </w:trPr>
        <w:tc>
          <w:tcPr>
            <w:tcW w:w="2009" w:type="dxa"/>
            <w:vMerge/>
            <w:tcBorders>
              <w:left w:val="single" w:sz="2" w:space="0" w:color="auto"/>
              <w:right w:val="single" w:sz="2" w:space="0" w:color="auto"/>
            </w:tcBorders>
            <w:shd w:val="clear" w:color="auto" w:fill="DBE5F1" w:themeFill="accent1" w:themeFillTint="33"/>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p>
        </w:tc>
        <w:tc>
          <w:tcPr>
            <w:tcW w:w="1526"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58" w:type="dxa"/>
              <w:bottom w:w="29" w:type="dxa"/>
              <w:right w:w="0" w:type="dxa"/>
            </w:tcMar>
            <w:vAlign w:val="center"/>
            <w:hideMark/>
          </w:tcPr>
          <w:p w:rsidR="009C72DA" w:rsidRPr="009C72DA" w:rsidRDefault="009C72DA" w:rsidP="009B3C6A">
            <w:pPr>
              <w:keepNext/>
              <w:keepLines/>
              <w:spacing w:before="40" w:after="40" w:line="240" w:lineRule="auto"/>
              <w:rPr>
                <w:rFonts w:asciiTheme="minorHAnsi" w:hAnsiTheme="minorHAnsi"/>
                <w:sz w:val="18"/>
                <w:szCs w:val="18"/>
              </w:rPr>
            </w:pPr>
            <w:r w:rsidRPr="009C72DA">
              <w:rPr>
                <w:rFonts w:asciiTheme="minorHAnsi" w:hAnsiTheme="minorHAnsi"/>
                <w:sz w:val="18"/>
                <w:szCs w:val="18"/>
              </w:rPr>
              <w:t>Renew Plus</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0.0%</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14" w:type="dxa"/>
              <w:bottom w:w="29" w:type="dxa"/>
              <w:right w:w="58" w:type="dxa"/>
            </w:tcMar>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53.9%</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14" w:type="dxa"/>
              <w:bottom w:w="29" w:type="dxa"/>
              <w:right w:w="58" w:type="dxa"/>
            </w:tcMar>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96.2% </w:t>
            </w:r>
            <w:r w:rsidR="00AB5D04">
              <w:rPr>
                <w:rFonts w:asciiTheme="minorHAnsi" w:hAnsiTheme="minorHAnsi"/>
                <w:sz w:val="18"/>
                <w:szCs w:val="18"/>
              </w:rPr>
              <w:t>–</w:t>
            </w:r>
            <w:r w:rsidRPr="009C72DA">
              <w:rPr>
                <w:rFonts w:asciiTheme="minorHAnsi" w:hAnsiTheme="minorHAnsi"/>
                <w:sz w:val="18"/>
                <w:szCs w:val="18"/>
              </w:rPr>
              <w:t xml:space="preserve"> 98.6%</w:t>
            </w:r>
          </w:p>
        </w:tc>
      </w:tr>
      <w:tr w:rsidR="009C72DA" w:rsidRPr="009C72DA" w:rsidTr="009B3C6A">
        <w:trPr>
          <w:trHeight w:hRule="exact" w:val="432"/>
          <w:jc w:val="center"/>
        </w:trPr>
        <w:tc>
          <w:tcPr>
            <w:tcW w:w="2009" w:type="dxa"/>
            <w:vMerge/>
            <w:tcBorders>
              <w:left w:val="single" w:sz="2" w:space="0" w:color="auto"/>
              <w:right w:val="single" w:sz="2" w:space="0" w:color="auto"/>
            </w:tcBorders>
            <w:shd w:val="clear" w:color="auto" w:fill="DBE5F1" w:themeFill="accent1" w:themeFillTint="33"/>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p>
        </w:tc>
        <w:tc>
          <w:tcPr>
            <w:tcW w:w="1526"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58" w:type="dxa"/>
              <w:bottom w:w="29" w:type="dxa"/>
              <w:right w:w="0" w:type="dxa"/>
            </w:tcMar>
            <w:vAlign w:val="center"/>
            <w:hideMark/>
          </w:tcPr>
          <w:p w:rsidR="009C72DA" w:rsidRPr="009C72DA" w:rsidRDefault="009C72DA" w:rsidP="009B3C6A">
            <w:pPr>
              <w:keepNext/>
              <w:keepLines/>
              <w:spacing w:before="40" w:after="40" w:line="240" w:lineRule="auto"/>
              <w:rPr>
                <w:rFonts w:asciiTheme="minorHAnsi" w:hAnsiTheme="minorHAnsi"/>
                <w:sz w:val="18"/>
                <w:szCs w:val="18"/>
              </w:rPr>
            </w:pPr>
            <w:r w:rsidRPr="009C72DA">
              <w:rPr>
                <w:rFonts w:asciiTheme="minorHAnsi" w:hAnsiTheme="minorHAnsi"/>
                <w:sz w:val="18"/>
                <w:szCs w:val="18"/>
              </w:rPr>
              <w:t>No Retire</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0.1% </w:t>
            </w:r>
            <w:r w:rsidR="00AB5D04">
              <w:rPr>
                <w:rFonts w:asciiTheme="minorHAnsi" w:hAnsiTheme="minorHAnsi"/>
                <w:sz w:val="18"/>
                <w:szCs w:val="18"/>
              </w:rPr>
              <w:t>–</w:t>
            </w:r>
            <w:r w:rsidRPr="009C72DA">
              <w:rPr>
                <w:rFonts w:asciiTheme="minorHAnsi" w:hAnsiTheme="minorHAnsi"/>
                <w:sz w:val="18"/>
                <w:szCs w:val="18"/>
              </w:rPr>
              <w:t xml:space="preserve"> 1.5%</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14" w:type="dxa"/>
              <w:bottom w:w="29" w:type="dxa"/>
              <w:right w:w="58" w:type="dxa"/>
            </w:tcMar>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0.1% </w:t>
            </w:r>
            <w:r w:rsidR="00AB5D04">
              <w:rPr>
                <w:rFonts w:asciiTheme="minorHAnsi" w:hAnsiTheme="minorHAnsi"/>
                <w:sz w:val="18"/>
                <w:szCs w:val="18"/>
              </w:rPr>
              <w:t>–</w:t>
            </w:r>
            <w:r w:rsidRPr="009C72DA">
              <w:rPr>
                <w:rFonts w:asciiTheme="minorHAnsi" w:hAnsiTheme="minorHAnsi"/>
                <w:sz w:val="18"/>
                <w:szCs w:val="18"/>
              </w:rPr>
              <w:t xml:space="preserve"> 98.2%</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14" w:type="dxa"/>
              <w:bottom w:w="29" w:type="dxa"/>
              <w:right w:w="58" w:type="dxa"/>
            </w:tcMar>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96.3% </w:t>
            </w:r>
            <w:r w:rsidR="00AB5D04">
              <w:rPr>
                <w:rFonts w:asciiTheme="minorHAnsi" w:hAnsiTheme="minorHAnsi"/>
                <w:sz w:val="18"/>
                <w:szCs w:val="18"/>
              </w:rPr>
              <w:t>–</w:t>
            </w:r>
            <w:r w:rsidRPr="009C72DA">
              <w:rPr>
                <w:rFonts w:asciiTheme="minorHAnsi" w:hAnsiTheme="minorHAnsi"/>
                <w:sz w:val="18"/>
                <w:szCs w:val="18"/>
              </w:rPr>
              <w:t xml:space="preserve"> 98.7%</w:t>
            </w:r>
          </w:p>
        </w:tc>
      </w:tr>
      <w:tr w:rsidR="009C72DA" w:rsidRPr="009C72DA" w:rsidTr="009B3C6A">
        <w:trPr>
          <w:trHeight w:hRule="exact" w:val="432"/>
          <w:jc w:val="center"/>
        </w:trPr>
        <w:tc>
          <w:tcPr>
            <w:tcW w:w="2009" w:type="dxa"/>
            <w:vMerge/>
            <w:tcBorders>
              <w:left w:val="single" w:sz="2" w:space="0" w:color="auto"/>
              <w:right w:val="single" w:sz="2" w:space="0" w:color="auto"/>
            </w:tcBorders>
            <w:shd w:val="clear" w:color="auto" w:fill="DBE5F1" w:themeFill="accent1" w:themeFillTint="33"/>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p>
        </w:tc>
        <w:tc>
          <w:tcPr>
            <w:tcW w:w="1526"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58" w:type="dxa"/>
              <w:bottom w:w="29" w:type="dxa"/>
              <w:right w:w="0" w:type="dxa"/>
            </w:tcMar>
            <w:vAlign w:val="center"/>
            <w:hideMark/>
          </w:tcPr>
          <w:p w:rsidR="009C72DA" w:rsidRPr="009C72DA" w:rsidRDefault="009C72DA" w:rsidP="009B3C6A">
            <w:pPr>
              <w:keepNext/>
              <w:keepLines/>
              <w:spacing w:before="40" w:after="40" w:line="240" w:lineRule="auto"/>
              <w:rPr>
                <w:rFonts w:asciiTheme="minorHAnsi" w:hAnsiTheme="minorHAnsi"/>
                <w:sz w:val="18"/>
                <w:szCs w:val="18"/>
              </w:rPr>
            </w:pPr>
            <w:r w:rsidRPr="009C72DA">
              <w:rPr>
                <w:rFonts w:asciiTheme="minorHAnsi" w:hAnsiTheme="minorHAnsi"/>
                <w:sz w:val="18"/>
                <w:szCs w:val="18"/>
              </w:rPr>
              <w:t>ACP + Gas</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0.2%</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14" w:type="dxa"/>
              <w:bottom w:w="29" w:type="dxa"/>
              <w:right w:w="58" w:type="dxa"/>
            </w:tcMar>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98.6%</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14" w:type="dxa"/>
              <w:bottom w:w="29" w:type="dxa"/>
              <w:right w:w="58" w:type="dxa"/>
            </w:tcMar>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96.3% </w:t>
            </w:r>
            <w:r w:rsidR="00AB5D04">
              <w:rPr>
                <w:rFonts w:asciiTheme="minorHAnsi" w:hAnsiTheme="minorHAnsi"/>
                <w:sz w:val="18"/>
                <w:szCs w:val="18"/>
              </w:rPr>
              <w:t>–</w:t>
            </w:r>
            <w:r w:rsidRPr="009C72DA">
              <w:rPr>
                <w:rFonts w:asciiTheme="minorHAnsi" w:hAnsiTheme="minorHAnsi"/>
                <w:sz w:val="18"/>
                <w:szCs w:val="18"/>
              </w:rPr>
              <w:t xml:space="preserve"> 98.7%</w:t>
            </w:r>
          </w:p>
        </w:tc>
      </w:tr>
      <w:tr w:rsidR="009C72DA" w:rsidRPr="009C72DA" w:rsidTr="009B3C6A">
        <w:trPr>
          <w:trHeight w:hRule="exact" w:val="432"/>
          <w:jc w:val="center"/>
        </w:trPr>
        <w:tc>
          <w:tcPr>
            <w:tcW w:w="2009" w:type="dxa"/>
            <w:vMerge/>
            <w:tcBorders>
              <w:left w:val="single" w:sz="2" w:space="0" w:color="auto"/>
              <w:bottom w:val="single" w:sz="2" w:space="0" w:color="auto"/>
              <w:right w:val="single" w:sz="2" w:space="0" w:color="auto"/>
            </w:tcBorders>
            <w:shd w:val="clear" w:color="auto" w:fill="DBE5F1" w:themeFill="accent1" w:themeFillTint="33"/>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p>
        </w:tc>
        <w:tc>
          <w:tcPr>
            <w:tcW w:w="1526"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58" w:type="dxa"/>
              <w:bottom w:w="29" w:type="dxa"/>
              <w:right w:w="0" w:type="dxa"/>
            </w:tcMar>
            <w:vAlign w:val="center"/>
            <w:hideMark/>
          </w:tcPr>
          <w:p w:rsidR="009C72DA" w:rsidRPr="009C72DA" w:rsidRDefault="009C72DA" w:rsidP="009B3C6A">
            <w:pPr>
              <w:keepNext/>
              <w:keepLines/>
              <w:spacing w:before="40" w:after="40" w:line="240" w:lineRule="auto"/>
              <w:rPr>
                <w:rFonts w:asciiTheme="minorHAnsi" w:hAnsiTheme="minorHAnsi"/>
                <w:sz w:val="18"/>
                <w:szCs w:val="18"/>
              </w:rPr>
            </w:pPr>
            <w:r w:rsidRPr="009C72DA">
              <w:rPr>
                <w:rFonts w:asciiTheme="minorHAnsi" w:hAnsiTheme="minorHAnsi"/>
                <w:sz w:val="18"/>
                <w:szCs w:val="18"/>
              </w:rPr>
              <w:t>RPS + Geo Renew</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0.1%</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14" w:type="dxa"/>
              <w:bottom w:w="29" w:type="dxa"/>
              <w:right w:w="58" w:type="dxa"/>
            </w:tcMar>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0.0% </w:t>
            </w:r>
            <w:r w:rsidR="00AB5D04">
              <w:rPr>
                <w:rFonts w:asciiTheme="minorHAnsi" w:hAnsiTheme="minorHAnsi"/>
                <w:sz w:val="18"/>
                <w:szCs w:val="18"/>
              </w:rPr>
              <w:t>–</w:t>
            </w:r>
            <w:r w:rsidRPr="009C72DA">
              <w:rPr>
                <w:rFonts w:asciiTheme="minorHAnsi" w:hAnsiTheme="minorHAnsi"/>
                <w:sz w:val="18"/>
                <w:szCs w:val="18"/>
              </w:rPr>
              <w:t xml:space="preserve"> 51.0%</w:t>
            </w:r>
          </w:p>
        </w:tc>
        <w:tc>
          <w:tcPr>
            <w:tcW w:w="1661" w:type="dxa"/>
            <w:tcBorders>
              <w:top w:val="single" w:sz="2" w:space="0" w:color="auto"/>
              <w:left w:val="single" w:sz="2" w:space="0" w:color="auto"/>
              <w:bottom w:val="single" w:sz="2" w:space="0" w:color="auto"/>
              <w:right w:val="single" w:sz="2" w:space="0" w:color="auto"/>
            </w:tcBorders>
            <w:shd w:val="clear" w:color="auto" w:fill="DBE5F1" w:themeFill="accent1" w:themeFillTint="33"/>
            <w:tcMar>
              <w:top w:w="29" w:type="dxa"/>
              <w:left w:w="14" w:type="dxa"/>
              <w:bottom w:w="29" w:type="dxa"/>
              <w:right w:w="58" w:type="dxa"/>
            </w:tcMar>
            <w:vAlign w:val="center"/>
            <w:hideMark/>
          </w:tcPr>
          <w:p w:rsidR="009C72DA" w:rsidRPr="009C72DA" w:rsidRDefault="009C72DA" w:rsidP="009C72DA">
            <w:pPr>
              <w:keepNext/>
              <w:keepLines/>
              <w:spacing w:before="40" w:after="40" w:line="240" w:lineRule="auto"/>
              <w:jc w:val="center"/>
              <w:rPr>
                <w:rFonts w:asciiTheme="minorHAnsi" w:hAnsiTheme="minorHAnsi"/>
                <w:sz w:val="18"/>
                <w:szCs w:val="18"/>
              </w:rPr>
            </w:pPr>
            <w:r w:rsidRPr="009C72DA">
              <w:rPr>
                <w:rFonts w:asciiTheme="minorHAnsi" w:hAnsiTheme="minorHAnsi"/>
                <w:sz w:val="18"/>
                <w:szCs w:val="18"/>
              </w:rPr>
              <w:t xml:space="preserve">96.3% </w:t>
            </w:r>
            <w:r w:rsidR="00AB5D04">
              <w:rPr>
                <w:rFonts w:asciiTheme="minorHAnsi" w:hAnsiTheme="minorHAnsi"/>
                <w:sz w:val="18"/>
                <w:szCs w:val="18"/>
              </w:rPr>
              <w:t>–</w:t>
            </w:r>
            <w:r w:rsidRPr="009C72DA">
              <w:rPr>
                <w:rFonts w:asciiTheme="minorHAnsi" w:hAnsiTheme="minorHAnsi"/>
                <w:sz w:val="18"/>
                <w:szCs w:val="18"/>
              </w:rPr>
              <w:t xml:space="preserve"> 98.7%</w:t>
            </w:r>
          </w:p>
        </w:tc>
      </w:tr>
    </w:tbl>
    <w:p w:rsidR="009C72DA" w:rsidRDefault="009C72DA" w:rsidP="009C72DA"/>
    <w:p w:rsidR="00AE388D" w:rsidRDefault="009C72DA" w:rsidP="00AE388D">
      <w:r>
        <w:lastRenderedPageBreak/>
        <w:t xml:space="preserve">The </w:t>
      </w:r>
      <w:r w:rsidRPr="007142D0">
        <w:t>natural</w:t>
      </w:r>
      <w:r>
        <w:t>-</w:t>
      </w:r>
      <w:r w:rsidRPr="007142D0">
        <w:t>gas</w:t>
      </w:r>
      <w:r>
        <w:t>-</w:t>
      </w:r>
      <w:r w:rsidRPr="007142D0">
        <w:t xml:space="preserve">fired </w:t>
      </w:r>
      <w:r>
        <w:t>combined-cycle resources have different efficiencies that result in capacity factors that range from 0.0% to 98.2%.  The lowest capacity factors for NGCC resources occur in the scenarios with large amounts of renewable resources without transmission constraints. The nuclear units only exhibit a change in capacity factors in the 2030 “Renewable</w:t>
      </w:r>
      <w:r w:rsidR="00B83191">
        <w:t>s</w:t>
      </w:r>
      <w:r>
        <w:t xml:space="preserve"> Plus” scenarios </w:t>
      </w:r>
      <w:r w:rsidRPr="00AE63C5">
        <w:t xml:space="preserve">where both the upper and lower </w:t>
      </w:r>
      <w:r w:rsidR="00AB5D04" w:rsidRPr="00AE63C5">
        <w:t xml:space="preserve">ends of the capacity-factor </w:t>
      </w:r>
      <w:r w:rsidRPr="00AE63C5">
        <w:t>range</w:t>
      </w:r>
      <w:r w:rsidR="00AB5D04" w:rsidRPr="00AE63C5">
        <w:t xml:space="preserve"> </w:t>
      </w:r>
      <w:r w:rsidRPr="00AE63C5">
        <w:t>decrease by 0.1%</w:t>
      </w:r>
      <w:r w:rsidR="00AB5D04" w:rsidRPr="00AE63C5">
        <w:t>.</w:t>
      </w:r>
      <w:r>
        <w:t xml:space="preserve"> </w:t>
      </w:r>
    </w:p>
    <w:p w:rsidR="004766D0" w:rsidRPr="00712F7A" w:rsidRDefault="004766D0" w:rsidP="00AF716F">
      <w:pPr>
        <w:pStyle w:val="Heading3"/>
      </w:pPr>
      <w:bookmarkStart w:id="272" w:name="_Toc486405997"/>
      <w:bookmarkStart w:id="273" w:name="_Ref487194148"/>
      <w:r w:rsidRPr="00712F7A">
        <w:t>Systemwide Production Costs</w:t>
      </w:r>
      <w:r w:rsidR="000701ED" w:rsidRPr="00712F7A">
        <w:t xml:space="preserve"> for </w:t>
      </w:r>
      <w:r w:rsidR="008E2AA0" w:rsidRPr="00712F7A">
        <w:t>Unconstrained and Constrained</w:t>
      </w:r>
      <w:r w:rsidR="000701ED" w:rsidRPr="00712F7A">
        <w:t xml:space="preserve"> Transmission</w:t>
      </w:r>
      <w:r w:rsidR="00E2336A">
        <w:t xml:space="preserve"> and Congest</w:t>
      </w:r>
      <w:r w:rsidR="00F5539E">
        <w:t>i</w:t>
      </w:r>
      <w:r w:rsidR="00E2336A">
        <w:t>on Costs</w:t>
      </w:r>
      <w:bookmarkEnd w:id="272"/>
      <w:bookmarkEnd w:id="273"/>
      <w:r w:rsidR="00F00D1A">
        <w:t xml:space="preserve"> </w:t>
      </w:r>
    </w:p>
    <w:p w:rsidR="00992318" w:rsidRDefault="000701ED" w:rsidP="008E2AA0">
      <w:r w:rsidRPr="00712F7A">
        <w:t>Production costs</w:t>
      </w:r>
      <w:r w:rsidR="008E2AA0" w:rsidRPr="00712F7A">
        <w:t xml:space="preserve"> reflect </w:t>
      </w:r>
      <w:r w:rsidR="00CD76AA" w:rsidRPr="00712F7A">
        <w:t>operating costs</w:t>
      </w:r>
      <w:r w:rsidR="00C363ED" w:rsidRPr="00712F7A">
        <w:t xml:space="preserve"> (which</w:t>
      </w:r>
      <w:r w:rsidR="00CD76AA" w:rsidRPr="00712F7A">
        <w:t xml:space="preserve"> </w:t>
      </w:r>
      <w:r w:rsidR="00EF78BE" w:rsidRPr="00712F7A">
        <w:t xml:space="preserve">account for </w:t>
      </w:r>
      <w:r w:rsidR="008E2AA0" w:rsidRPr="00712F7A">
        <w:t>fuel-related costs</w:t>
      </w:r>
      <w:r w:rsidR="00C363ED" w:rsidRPr="00712F7A">
        <w:t>)</w:t>
      </w:r>
      <w:r w:rsidR="008E2AA0" w:rsidRPr="00712F7A">
        <w:t>, dispatch</w:t>
      </w:r>
      <w:r w:rsidR="00CD76AA" w:rsidRPr="00712F7A">
        <w:t xml:space="preserve"> and</w:t>
      </w:r>
      <w:r w:rsidR="008E2AA0" w:rsidRPr="00712F7A">
        <w:t xml:space="preserve"> unit commitment, and emission allowance</w:t>
      </w:r>
      <w:r w:rsidR="00EF78BE" w:rsidRPr="00712F7A">
        <w:t>s</w:t>
      </w:r>
      <w:r w:rsidR="00992318" w:rsidRPr="00712F7A">
        <w:t>.</w:t>
      </w:r>
      <w:r w:rsidR="00992318">
        <w:t xml:space="preserve"> </w:t>
      </w:r>
      <w:r w:rsidR="0007591B">
        <w:fldChar w:fldCharType="begin"/>
      </w:r>
      <w:r w:rsidR="0007591B">
        <w:instrText xml:space="preserve"> REF _Ref480816227 \h </w:instrText>
      </w:r>
      <w:r w:rsidR="0007591B">
        <w:fldChar w:fldCharType="separate"/>
      </w:r>
      <w:r w:rsidR="00742B49">
        <w:t xml:space="preserve">Figure </w:t>
      </w:r>
      <w:r w:rsidR="00742B49">
        <w:rPr>
          <w:noProof/>
        </w:rPr>
        <w:t>6</w:t>
      </w:r>
      <w:r w:rsidR="00742B49">
        <w:noBreakHyphen/>
      </w:r>
      <w:r w:rsidR="00742B49">
        <w:rPr>
          <w:noProof/>
        </w:rPr>
        <w:t>3</w:t>
      </w:r>
      <w:r w:rsidR="0007591B">
        <w:fldChar w:fldCharType="end"/>
      </w:r>
      <w:r w:rsidR="006961F4">
        <w:t xml:space="preserve"> </w:t>
      </w:r>
      <w:r w:rsidR="00C363ED">
        <w:t xml:space="preserve">and </w:t>
      </w:r>
      <w:r w:rsidR="0007591B">
        <w:fldChar w:fldCharType="begin"/>
      </w:r>
      <w:r w:rsidR="0007591B">
        <w:instrText xml:space="preserve"> REF _Ref480816235 \h </w:instrText>
      </w:r>
      <w:r w:rsidR="0007591B">
        <w:fldChar w:fldCharType="separate"/>
      </w:r>
      <w:r w:rsidR="00742B49">
        <w:t xml:space="preserve">Figure </w:t>
      </w:r>
      <w:r w:rsidR="00742B49">
        <w:rPr>
          <w:noProof/>
        </w:rPr>
        <w:t>6</w:t>
      </w:r>
      <w:r w:rsidR="00742B49">
        <w:noBreakHyphen/>
      </w:r>
      <w:r w:rsidR="00742B49">
        <w:rPr>
          <w:noProof/>
        </w:rPr>
        <w:t>4</w:t>
      </w:r>
      <w:r w:rsidR="0007591B">
        <w:fldChar w:fldCharType="end"/>
      </w:r>
      <w:r w:rsidR="00C363ED">
        <w:t xml:space="preserve"> </w:t>
      </w:r>
      <w:r w:rsidR="006961F4">
        <w:t xml:space="preserve">show the </w:t>
      </w:r>
      <w:r w:rsidR="00992318">
        <w:t xml:space="preserve">system </w:t>
      </w:r>
      <w:r w:rsidR="006961F4">
        <w:t xml:space="preserve">production costs for the </w:t>
      </w:r>
      <w:r w:rsidR="00992318">
        <w:t>un</w:t>
      </w:r>
      <w:r w:rsidR="006961F4">
        <w:t xml:space="preserve">constrained and the </w:t>
      </w:r>
      <w:r w:rsidR="00992318">
        <w:t>c</w:t>
      </w:r>
      <w:r w:rsidR="006961F4">
        <w:t>onstrained system</w:t>
      </w:r>
      <w:r w:rsidR="00C363ED">
        <w:t xml:space="preserve"> for both study years</w:t>
      </w:r>
      <w:r w:rsidR="00992318">
        <w:t>.</w:t>
      </w:r>
      <w:r w:rsidR="006961F4">
        <w:t xml:space="preserve"> </w:t>
      </w:r>
      <w:r w:rsidR="00C6259F">
        <w:fldChar w:fldCharType="begin"/>
      </w:r>
      <w:r w:rsidR="00C6259F">
        <w:instrText xml:space="preserve"> REF _Ref483829321 \h </w:instrText>
      </w:r>
      <w:r w:rsidR="00C6259F">
        <w:fldChar w:fldCharType="separate"/>
      </w:r>
      <w:r w:rsidR="00742B49" w:rsidRPr="00203A5C">
        <w:t xml:space="preserve">Table </w:t>
      </w:r>
      <w:r w:rsidR="00742B49">
        <w:rPr>
          <w:noProof/>
        </w:rPr>
        <w:t>6</w:t>
      </w:r>
      <w:r w:rsidR="00742B49">
        <w:noBreakHyphen/>
      </w:r>
      <w:r w:rsidR="00742B49">
        <w:rPr>
          <w:noProof/>
        </w:rPr>
        <w:t>4</w:t>
      </w:r>
      <w:r w:rsidR="00C6259F">
        <w:fldChar w:fldCharType="end"/>
      </w:r>
      <w:r w:rsidR="00C6259F">
        <w:t xml:space="preserve"> shows the data behind the figures. </w:t>
      </w:r>
      <w:r w:rsidR="00992318">
        <w:t>In general, the results reflect the same trends shown by</w:t>
      </w:r>
      <w:r w:rsidR="00C84D2C">
        <w:t xml:space="preserve"> the metric for t</w:t>
      </w:r>
      <w:r w:rsidR="00992318" w:rsidRPr="00992318">
        <w:t xml:space="preserve">otal </w:t>
      </w:r>
      <w:r w:rsidR="00C84D2C">
        <w:t>e</w:t>
      </w:r>
      <w:r w:rsidR="00992318" w:rsidRPr="00992318">
        <w:t xml:space="preserve">nergy </w:t>
      </w:r>
      <w:r w:rsidR="00C84D2C">
        <w:t>p</w:t>
      </w:r>
      <w:r w:rsidR="00992318" w:rsidRPr="00992318">
        <w:t xml:space="preserve">roduction by </w:t>
      </w:r>
      <w:r w:rsidR="00C84D2C">
        <w:t>r</w:t>
      </w:r>
      <w:r w:rsidR="00992318" w:rsidRPr="00992318">
        <w:t xml:space="preserve">esource </w:t>
      </w:r>
      <w:r w:rsidR="00C84D2C">
        <w:t>t</w:t>
      </w:r>
      <w:r w:rsidR="00992318" w:rsidRPr="00992318">
        <w:t>ype</w:t>
      </w:r>
      <w:r w:rsidR="005559A8">
        <w:t xml:space="preserve"> where </w:t>
      </w:r>
      <w:r w:rsidR="002E22EB">
        <w:t xml:space="preserve">larger amounts of </w:t>
      </w:r>
      <w:r w:rsidR="00491864">
        <w:t xml:space="preserve">renewable or imported energy with </w:t>
      </w:r>
      <w:r w:rsidR="005559A8" w:rsidRPr="00712F7A">
        <w:t>$0/MWh</w:t>
      </w:r>
      <w:r w:rsidR="005559A8">
        <w:t xml:space="preserve"> production cost</w:t>
      </w:r>
      <w:r w:rsidR="00491864">
        <w:t>s</w:t>
      </w:r>
      <w:r w:rsidR="005559A8">
        <w:t xml:space="preserve"> reduce the production</w:t>
      </w:r>
      <w:r w:rsidR="00491864">
        <w:t>-</w:t>
      </w:r>
      <w:r w:rsidR="005559A8">
        <w:t>cost metric</w:t>
      </w:r>
      <w:r w:rsidR="00992318">
        <w:t xml:space="preserve">. </w:t>
      </w:r>
    </w:p>
    <w:p w:rsidR="00EB3B07" w:rsidRDefault="00EB3B07" w:rsidP="00203A5C">
      <w:pPr>
        <w:keepNext/>
        <w:spacing w:after="0" w:line="240" w:lineRule="auto"/>
        <w:jc w:val="center"/>
      </w:pPr>
      <w:r w:rsidRPr="00EB3B07">
        <w:rPr>
          <w:noProof/>
        </w:rPr>
        <w:drawing>
          <wp:inline distT="0" distB="0" distL="0" distR="0" wp14:anchorId="01C2C156" wp14:editId="277FB897">
            <wp:extent cx="3736848" cy="2206184"/>
            <wp:effectExtent l="19050" t="19050" r="16510" b="22860"/>
            <wp:docPr id="7178" name="Picture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36745" cy="2206123"/>
                    </a:xfrm>
                    <a:prstGeom prst="rect">
                      <a:avLst/>
                    </a:prstGeom>
                    <a:noFill/>
                    <a:ln w="3175">
                      <a:solidFill>
                        <a:schemeClr val="tx1"/>
                      </a:solidFill>
                    </a:ln>
                  </pic:spPr>
                </pic:pic>
              </a:graphicData>
            </a:graphic>
          </wp:inline>
        </w:drawing>
      </w:r>
    </w:p>
    <w:p w:rsidR="00C363ED" w:rsidRDefault="00C363ED" w:rsidP="00D2504C">
      <w:pPr>
        <w:pStyle w:val="Caption"/>
        <w:spacing w:before="120" w:after="240"/>
        <w:ind w:left="1800" w:right="994"/>
      </w:pPr>
      <w:bookmarkStart w:id="274" w:name="_Ref480816227"/>
      <w:bookmarkStart w:id="275" w:name="_Toc486406073"/>
      <w:r>
        <w:t xml:space="preserve">Figure </w:t>
      </w:r>
      <w:fldSimple w:instr=" STYLEREF 1 \s ">
        <w:r w:rsidR="00742B49">
          <w:rPr>
            <w:noProof/>
          </w:rPr>
          <w:t>6</w:t>
        </w:r>
      </w:fldSimple>
      <w:r w:rsidR="00024994">
        <w:noBreakHyphen/>
      </w:r>
      <w:fldSimple w:instr=" SEQ Figure \* ARABIC \s 1 ">
        <w:r w:rsidR="00742B49">
          <w:rPr>
            <w:noProof/>
          </w:rPr>
          <w:t>3</w:t>
        </w:r>
      </w:fldSimple>
      <w:bookmarkEnd w:id="274"/>
      <w:r>
        <w:t xml:space="preserve">: Production </w:t>
      </w:r>
      <w:r w:rsidR="00D2504C">
        <w:t>c</w:t>
      </w:r>
      <w:r>
        <w:t>ost</w:t>
      </w:r>
      <w:r w:rsidR="00C6259F">
        <w:t>s</w:t>
      </w:r>
      <w:r w:rsidR="00D2504C">
        <w:t xml:space="preserve">, </w:t>
      </w:r>
      <w:r>
        <w:t>2025</w:t>
      </w:r>
      <w:r w:rsidR="00D2504C">
        <w:t xml:space="preserve"> ($ millions).</w:t>
      </w:r>
      <w:bookmarkEnd w:id="275"/>
      <w:r w:rsidR="00D2504C">
        <w:t xml:space="preserve"> </w:t>
      </w:r>
    </w:p>
    <w:p w:rsidR="00EB3B07" w:rsidRDefault="00EB3B07" w:rsidP="00203A5C">
      <w:pPr>
        <w:keepNext/>
        <w:spacing w:after="0" w:line="240" w:lineRule="auto"/>
        <w:jc w:val="center"/>
      </w:pPr>
      <w:r w:rsidRPr="00EB3B07">
        <w:rPr>
          <w:noProof/>
        </w:rPr>
        <w:drawing>
          <wp:inline distT="0" distB="0" distL="0" distR="0" wp14:anchorId="69D9431C" wp14:editId="4EF07A3D">
            <wp:extent cx="3674862" cy="2169590"/>
            <wp:effectExtent l="19050" t="19050" r="20955" b="21590"/>
            <wp:docPr id="7179" name="Pictu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82001" cy="2173805"/>
                    </a:xfrm>
                    <a:prstGeom prst="rect">
                      <a:avLst/>
                    </a:prstGeom>
                    <a:noFill/>
                    <a:ln w="3175">
                      <a:solidFill>
                        <a:schemeClr val="tx1"/>
                      </a:solidFill>
                    </a:ln>
                  </pic:spPr>
                </pic:pic>
              </a:graphicData>
            </a:graphic>
          </wp:inline>
        </w:drawing>
      </w:r>
    </w:p>
    <w:p w:rsidR="00C363ED" w:rsidRDefault="00C363ED" w:rsidP="00491864">
      <w:pPr>
        <w:pStyle w:val="Caption"/>
        <w:keepNext w:val="0"/>
        <w:keepLines w:val="0"/>
        <w:spacing w:before="120" w:after="240"/>
        <w:ind w:left="1800"/>
      </w:pPr>
      <w:bookmarkStart w:id="276" w:name="_Ref480816235"/>
      <w:bookmarkStart w:id="277" w:name="_Toc486406074"/>
      <w:r>
        <w:t xml:space="preserve">Figure </w:t>
      </w:r>
      <w:fldSimple w:instr=" STYLEREF 1 \s ">
        <w:r w:rsidR="00742B49">
          <w:rPr>
            <w:noProof/>
          </w:rPr>
          <w:t>6</w:t>
        </w:r>
      </w:fldSimple>
      <w:r w:rsidR="00024994">
        <w:noBreakHyphen/>
      </w:r>
      <w:fldSimple w:instr=" SEQ Figure \* ARABIC \s 1 ">
        <w:r w:rsidR="00742B49">
          <w:rPr>
            <w:noProof/>
          </w:rPr>
          <w:t>4</w:t>
        </w:r>
      </w:fldSimple>
      <w:bookmarkEnd w:id="276"/>
      <w:r>
        <w:t xml:space="preserve">: Production </w:t>
      </w:r>
      <w:r w:rsidR="00C6259F">
        <w:t>c</w:t>
      </w:r>
      <w:r>
        <w:t>ost</w:t>
      </w:r>
      <w:r w:rsidR="00C6259F">
        <w:t xml:space="preserve">s, </w:t>
      </w:r>
      <w:r>
        <w:t>2030</w:t>
      </w:r>
      <w:r w:rsidR="00C6259F">
        <w:t xml:space="preserve"> ($ millions).</w:t>
      </w:r>
      <w:bookmarkEnd w:id="277"/>
    </w:p>
    <w:p w:rsidR="00203A5C" w:rsidRDefault="00203A5C" w:rsidP="00491864">
      <w:pPr>
        <w:pStyle w:val="Caption"/>
        <w:jc w:val="center"/>
        <w:rPr>
          <w:rFonts w:asciiTheme="minorHAnsi" w:hAnsiTheme="minorHAnsi"/>
        </w:rPr>
      </w:pPr>
      <w:bookmarkStart w:id="278" w:name="_Ref483829321"/>
      <w:bookmarkStart w:id="279" w:name="_Toc486406039"/>
      <w:r w:rsidRPr="00203A5C">
        <w:lastRenderedPageBreak/>
        <w:t xml:space="preserve">Table </w:t>
      </w:r>
      <w:fldSimple w:instr=" STYLEREF 1 \s ">
        <w:r w:rsidR="004248FE">
          <w:rPr>
            <w:noProof/>
          </w:rPr>
          <w:t>6</w:t>
        </w:r>
      </w:fldSimple>
      <w:r w:rsidR="004248FE">
        <w:noBreakHyphen/>
      </w:r>
      <w:fldSimple w:instr=" SEQ Table \* ARABIC \s 1 ">
        <w:r w:rsidR="004248FE">
          <w:rPr>
            <w:noProof/>
          </w:rPr>
          <w:t>4</w:t>
        </w:r>
      </w:fldSimple>
      <w:bookmarkEnd w:id="278"/>
      <w:r w:rsidRPr="00203A5C">
        <w:br/>
      </w:r>
      <w:r w:rsidRPr="00203A5C">
        <w:rPr>
          <w:rFonts w:asciiTheme="minorHAnsi" w:hAnsiTheme="minorHAnsi"/>
        </w:rPr>
        <w:t>Production Cost</w:t>
      </w:r>
      <w:r w:rsidR="00C6259F">
        <w:rPr>
          <w:rFonts w:asciiTheme="minorHAnsi" w:hAnsiTheme="minorHAnsi"/>
        </w:rPr>
        <w:t>s</w:t>
      </w:r>
      <w:r w:rsidRPr="00203A5C">
        <w:rPr>
          <w:rFonts w:asciiTheme="minorHAnsi" w:hAnsiTheme="minorHAnsi"/>
        </w:rPr>
        <w:t xml:space="preserve">, </w:t>
      </w:r>
      <w:r w:rsidR="00C6259F">
        <w:rPr>
          <w:rFonts w:asciiTheme="minorHAnsi" w:hAnsiTheme="minorHAnsi"/>
        </w:rPr>
        <w:t xml:space="preserve">2025 and </w:t>
      </w:r>
      <w:r w:rsidRPr="00203A5C">
        <w:rPr>
          <w:rFonts w:asciiTheme="minorHAnsi" w:hAnsiTheme="minorHAnsi"/>
        </w:rPr>
        <w:t>2030 ($ Millions)</w:t>
      </w:r>
      <w:bookmarkEnd w:id="279"/>
    </w:p>
    <w:tbl>
      <w:tblPr>
        <w:tblW w:w="0" w:type="auto"/>
        <w:jc w:val="center"/>
        <w:tblInd w:w="-17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55"/>
        <w:gridCol w:w="1114"/>
        <w:gridCol w:w="1169"/>
        <w:gridCol w:w="1177"/>
        <w:gridCol w:w="1137"/>
        <w:gridCol w:w="1114"/>
        <w:gridCol w:w="1177"/>
      </w:tblGrid>
      <w:tr w:rsidR="00491864" w:rsidRPr="00203A5C" w:rsidTr="00491864">
        <w:trPr>
          <w:jc w:val="center"/>
        </w:trPr>
        <w:tc>
          <w:tcPr>
            <w:tcW w:w="1755" w:type="dxa"/>
            <w:shd w:val="clear" w:color="auto" w:fill="0070C0"/>
            <w:vAlign w:val="center"/>
          </w:tcPr>
          <w:p w:rsidR="00491864" w:rsidRPr="00203A5C" w:rsidRDefault="00491864" w:rsidP="00491864">
            <w:pPr>
              <w:keepNext/>
              <w:keepLines/>
              <w:adjustRightInd/>
              <w:spacing w:before="40" w:after="40" w:line="240" w:lineRule="auto"/>
              <w:jc w:val="center"/>
              <w:textAlignment w:val="auto"/>
              <w:rPr>
                <w:rFonts w:ascii="Calibri" w:eastAsia="Calibri" w:hAnsi="Calibri"/>
                <w:b/>
                <w:color w:val="FFFFFF" w:themeColor="background1"/>
                <w:sz w:val="18"/>
                <w:szCs w:val="18"/>
              </w:rPr>
            </w:pPr>
            <w:r w:rsidRPr="00203A5C">
              <w:rPr>
                <w:rFonts w:ascii="Calibri" w:eastAsia="Calibri" w:hAnsi="Calibri"/>
                <w:b/>
                <w:color w:val="FFFFFF" w:themeColor="background1"/>
                <w:sz w:val="18"/>
                <w:szCs w:val="18"/>
              </w:rPr>
              <w:t>Transmission</w:t>
            </w:r>
            <w:r>
              <w:rPr>
                <w:rFonts w:ascii="Calibri" w:eastAsia="Calibri" w:hAnsi="Calibri"/>
                <w:b/>
                <w:color w:val="FFFFFF" w:themeColor="background1"/>
                <w:sz w:val="18"/>
                <w:szCs w:val="18"/>
              </w:rPr>
              <w:t xml:space="preserve"> and Year</w:t>
            </w:r>
          </w:p>
        </w:tc>
        <w:tc>
          <w:tcPr>
            <w:tcW w:w="1114" w:type="dxa"/>
            <w:shd w:val="clear" w:color="auto" w:fill="0070C0"/>
            <w:vAlign w:val="center"/>
          </w:tcPr>
          <w:p w:rsidR="00491864" w:rsidRPr="00203A5C" w:rsidRDefault="00491864" w:rsidP="00491864">
            <w:pPr>
              <w:keepNext/>
              <w:keepLines/>
              <w:adjustRightInd/>
              <w:spacing w:before="40" w:after="40" w:line="240" w:lineRule="auto"/>
              <w:jc w:val="center"/>
              <w:textAlignment w:val="auto"/>
              <w:rPr>
                <w:rFonts w:ascii="Calibri" w:eastAsia="Calibri" w:hAnsi="Calibri"/>
                <w:b/>
                <w:color w:val="FFFFFF" w:themeColor="background1"/>
                <w:sz w:val="18"/>
                <w:szCs w:val="18"/>
              </w:rPr>
            </w:pPr>
            <w:r w:rsidRPr="00203A5C">
              <w:rPr>
                <w:rFonts w:ascii="Calibri" w:eastAsia="Calibri" w:hAnsi="Calibri"/>
                <w:b/>
                <w:color w:val="FFFFFF" w:themeColor="background1"/>
                <w:sz w:val="18"/>
                <w:szCs w:val="18"/>
              </w:rPr>
              <w:t>RPS + Gas</w:t>
            </w:r>
          </w:p>
        </w:tc>
        <w:tc>
          <w:tcPr>
            <w:tcW w:w="1169" w:type="dxa"/>
            <w:shd w:val="clear" w:color="auto" w:fill="0070C0"/>
            <w:vAlign w:val="center"/>
          </w:tcPr>
          <w:p w:rsidR="00491864" w:rsidRPr="00203A5C" w:rsidRDefault="00491864" w:rsidP="00491864">
            <w:pPr>
              <w:keepNext/>
              <w:keepLines/>
              <w:adjustRightInd/>
              <w:spacing w:before="40" w:after="40" w:line="240" w:lineRule="auto"/>
              <w:jc w:val="center"/>
              <w:textAlignment w:val="auto"/>
              <w:rPr>
                <w:rFonts w:ascii="Calibri" w:eastAsia="Calibri" w:hAnsi="Calibri"/>
                <w:b/>
                <w:color w:val="FFFFFF" w:themeColor="background1"/>
                <w:sz w:val="18"/>
                <w:szCs w:val="18"/>
              </w:rPr>
            </w:pPr>
            <w:r w:rsidRPr="00203A5C">
              <w:rPr>
                <w:rFonts w:ascii="Calibri" w:eastAsia="Calibri" w:hAnsi="Calibri"/>
                <w:b/>
                <w:color w:val="FFFFFF" w:themeColor="background1"/>
                <w:sz w:val="18"/>
                <w:szCs w:val="18"/>
              </w:rPr>
              <w:t>ISO Queue</w:t>
            </w:r>
          </w:p>
        </w:tc>
        <w:tc>
          <w:tcPr>
            <w:tcW w:w="1177" w:type="dxa"/>
            <w:shd w:val="clear" w:color="auto" w:fill="0070C0"/>
            <w:vAlign w:val="center"/>
          </w:tcPr>
          <w:p w:rsidR="00491864" w:rsidRPr="00203A5C" w:rsidRDefault="00491864" w:rsidP="00491864">
            <w:pPr>
              <w:keepNext/>
              <w:keepLines/>
              <w:adjustRightInd/>
              <w:spacing w:before="40" w:after="40" w:line="240" w:lineRule="auto"/>
              <w:jc w:val="center"/>
              <w:textAlignment w:val="auto"/>
              <w:rPr>
                <w:rFonts w:ascii="Calibri" w:eastAsia="Calibri" w:hAnsi="Calibri"/>
                <w:b/>
                <w:color w:val="FFFFFF" w:themeColor="background1"/>
                <w:sz w:val="18"/>
                <w:szCs w:val="18"/>
              </w:rPr>
            </w:pPr>
            <w:r w:rsidRPr="00203A5C">
              <w:rPr>
                <w:rFonts w:ascii="Calibri" w:eastAsia="Calibri" w:hAnsi="Calibri"/>
                <w:b/>
                <w:color w:val="FFFFFF" w:themeColor="background1"/>
                <w:sz w:val="18"/>
                <w:szCs w:val="18"/>
              </w:rPr>
              <w:t>Renew Plus</w:t>
            </w:r>
          </w:p>
        </w:tc>
        <w:tc>
          <w:tcPr>
            <w:tcW w:w="1137" w:type="dxa"/>
            <w:shd w:val="clear" w:color="auto" w:fill="0070C0"/>
            <w:vAlign w:val="center"/>
          </w:tcPr>
          <w:p w:rsidR="00491864" w:rsidRPr="00203A5C" w:rsidRDefault="00491864" w:rsidP="00491864">
            <w:pPr>
              <w:keepNext/>
              <w:keepLines/>
              <w:adjustRightInd/>
              <w:spacing w:before="40" w:after="40" w:line="240" w:lineRule="auto"/>
              <w:jc w:val="center"/>
              <w:textAlignment w:val="auto"/>
              <w:rPr>
                <w:rFonts w:ascii="Calibri" w:eastAsia="Calibri" w:hAnsi="Calibri"/>
                <w:b/>
                <w:color w:val="FFFFFF" w:themeColor="background1"/>
                <w:sz w:val="18"/>
                <w:szCs w:val="18"/>
              </w:rPr>
            </w:pPr>
            <w:r w:rsidRPr="00203A5C">
              <w:rPr>
                <w:rFonts w:ascii="Calibri" w:eastAsia="Calibri" w:hAnsi="Calibri"/>
                <w:b/>
                <w:color w:val="FFFFFF" w:themeColor="background1"/>
                <w:sz w:val="18"/>
                <w:szCs w:val="18"/>
              </w:rPr>
              <w:t>No Retire</w:t>
            </w:r>
          </w:p>
        </w:tc>
        <w:tc>
          <w:tcPr>
            <w:tcW w:w="1114" w:type="dxa"/>
            <w:shd w:val="clear" w:color="auto" w:fill="0070C0"/>
            <w:vAlign w:val="center"/>
          </w:tcPr>
          <w:p w:rsidR="00491864" w:rsidRPr="00203A5C" w:rsidRDefault="00491864" w:rsidP="00491864">
            <w:pPr>
              <w:keepNext/>
              <w:keepLines/>
              <w:adjustRightInd/>
              <w:spacing w:before="40" w:after="40" w:line="240" w:lineRule="auto"/>
              <w:jc w:val="center"/>
              <w:textAlignment w:val="auto"/>
              <w:rPr>
                <w:rFonts w:ascii="Calibri" w:eastAsia="Calibri" w:hAnsi="Calibri"/>
                <w:b/>
                <w:color w:val="FFFFFF" w:themeColor="background1"/>
                <w:sz w:val="18"/>
                <w:szCs w:val="18"/>
              </w:rPr>
            </w:pPr>
            <w:r w:rsidRPr="00203A5C">
              <w:rPr>
                <w:rFonts w:ascii="Calibri" w:eastAsia="Calibri" w:hAnsi="Calibri"/>
                <w:b/>
                <w:color w:val="FFFFFF" w:themeColor="background1"/>
                <w:sz w:val="18"/>
                <w:szCs w:val="18"/>
              </w:rPr>
              <w:t>ACP + Gas</w:t>
            </w:r>
          </w:p>
        </w:tc>
        <w:tc>
          <w:tcPr>
            <w:tcW w:w="1177" w:type="dxa"/>
            <w:shd w:val="clear" w:color="auto" w:fill="0070C0"/>
            <w:vAlign w:val="center"/>
          </w:tcPr>
          <w:p w:rsidR="00491864" w:rsidRPr="00203A5C" w:rsidRDefault="00491864" w:rsidP="00491864">
            <w:pPr>
              <w:keepNext/>
              <w:keepLines/>
              <w:adjustRightInd/>
              <w:spacing w:before="40" w:after="40" w:line="240" w:lineRule="auto"/>
              <w:jc w:val="center"/>
              <w:textAlignment w:val="auto"/>
              <w:rPr>
                <w:rFonts w:ascii="Calibri" w:eastAsia="Calibri" w:hAnsi="Calibri"/>
                <w:b/>
                <w:color w:val="FFFFFF" w:themeColor="background1"/>
                <w:sz w:val="18"/>
                <w:szCs w:val="18"/>
              </w:rPr>
            </w:pPr>
            <w:r w:rsidRPr="00203A5C">
              <w:rPr>
                <w:rFonts w:ascii="Calibri" w:eastAsia="Calibri" w:hAnsi="Calibri"/>
                <w:b/>
                <w:color w:val="FFFFFF" w:themeColor="background1"/>
                <w:sz w:val="18"/>
                <w:szCs w:val="18"/>
              </w:rPr>
              <w:t>RPS + Geo Renew</w:t>
            </w:r>
          </w:p>
        </w:tc>
      </w:tr>
      <w:tr w:rsidR="00491864" w:rsidRPr="00203A5C" w:rsidTr="00491864">
        <w:trPr>
          <w:jc w:val="center"/>
        </w:trPr>
        <w:tc>
          <w:tcPr>
            <w:tcW w:w="1755" w:type="dxa"/>
            <w:shd w:val="clear" w:color="auto" w:fill="auto"/>
            <w:vAlign w:val="center"/>
          </w:tcPr>
          <w:p w:rsidR="00491864" w:rsidRPr="00203A5C" w:rsidRDefault="00491864" w:rsidP="00491864">
            <w:pPr>
              <w:keepNext/>
              <w:keepLines/>
              <w:adjustRightInd/>
              <w:spacing w:before="40" w:after="40" w:line="240" w:lineRule="auto"/>
              <w:textAlignment w:val="auto"/>
              <w:rPr>
                <w:rFonts w:ascii="Calibri" w:eastAsia="Calibri" w:hAnsi="Calibri"/>
                <w:b/>
                <w:sz w:val="18"/>
                <w:szCs w:val="18"/>
              </w:rPr>
            </w:pPr>
            <w:r>
              <w:rPr>
                <w:rFonts w:ascii="Calibri" w:eastAsia="Calibri" w:hAnsi="Calibri"/>
                <w:b/>
                <w:sz w:val="18"/>
                <w:szCs w:val="18"/>
              </w:rPr>
              <w:t xml:space="preserve">2025 </w:t>
            </w:r>
            <w:r w:rsidRPr="00203A5C">
              <w:rPr>
                <w:rFonts w:ascii="Calibri" w:eastAsia="Calibri" w:hAnsi="Calibri"/>
                <w:b/>
                <w:sz w:val="18"/>
                <w:szCs w:val="18"/>
              </w:rPr>
              <w:t>Unconstrained</w:t>
            </w:r>
          </w:p>
        </w:tc>
        <w:tc>
          <w:tcPr>
            <w:tcW w:w="1114" w:type="dxa"/>
            <w:shd w:val="clear" w:color="auto" w:fill="auto"/>
            <w:tcMar>
              <w:left w:w="144" w:type="dxa"/>
              <w:right w:w="144" w:type="dxa"/>
            </w:tcMar>
            <w:vAlign w:val="center"/>
          </w:tcPr>
          <w:p w:rsidR="00491864" w:rsidRPr="00203A5C" w:rsidRDefault="00491864" w:rsidP="00491864">
            <w:pPr>
              <w:keepNext/>
              <w:keepLines/>
              <w:adjustRightInd/>
              <w:spacing w:before="40" w:after="40" w:line="240" w:lineRule="auto"/>
              <w:jc w:val="right"/>
              <w:textAlignment w:val="auto"/>
              <w:rPr>
                <w:rFonts w:ascii="Calibri" w:eastAsia="Calibri" w:hAnsi="Calibri"/>
                <w:sz w:val="18"/>
                <w:szCs w:val="18"/>
              </w:rPr>
            </w:pPr>
            <w:r w:rsidRPr="00203A5C">
              <w:rPr>
                <w:rFonts w:ascii="Calibri" w:eastAsia="Calibri" w:hAnsi="Calibri"/>
                <w:sz w:val="18"/>
                <w:szCs w:val="18"/>
              </w:rPr>
              <w:t>2,918</w:t>
            </w:r>
          </w:p>
        </w:tc>
        <w:tc>
          <w:tcPr>
            <w:tcW w:w="1169" w:type="dxa"/>
            <w:shd w:val="clear" w:color="auto" w:fill="auto"/>
            <w:tcMar>
              <w:left w:w="144" w:type="dxa"/>
              <w:right w:w="144" w:type="dxa"/>
            </w:tcMar>
            <w:vAlign w:val="center"/>
          </w:tcPr>
          <w:p w:rsidR="00491864" w:rsidRPr="00203A5C" w:rsidRDefault="00491864" w:rsidP="00491864">
            <w:pPr>
              <w:keepNext/>
              <w:keepLines/>
              <w:adjustRightInd/>
              <w:spacing w:before="40" w:after="40" w:line="240" w:lineRule="auto"/>
              <w:jc w:val="right"/>
              <w:textAlignment w:val="auto"/>
              <w:rPr>
                <w:rFonts w:ascii="Calibri" w:eastAsia="Calibri" w:hAnsi="Calibri"/>
                <w:sz w:val="18"/>
                <w:szCs w:val="18"/>
              </w:rPr>
            </w:pPr>
            <w:r w:rsidRPr="00203A5C">
              <w:rPr>
                <w:rFonts w:ascii="Calibri" w:eastAsia="Calibri" w:hAnsi="Calibri"/>
                <w:sz w:val="18"/>
                <w:szCs w:val="18"/>
              </w:rPr>
              <w:t>2,683</w:t>
            </w:r>
          </w:p>
        </w:tc>
        <w:tc>
          <w:tcPr>
            <w:tcW w:w="1177" w:type="dxa"/>
            <w:shd w:val="clear" w:color="auto" w:fill="auto"/>
            <w:tcMar>
              <w:left w:w="144" w:type="dxa"/>
              <w:right w:w="144" w:type="dxa"/>
            </w:tcMar>
            <w:vAlign w:val="center"/>
          </w:tcPr>
          <w:p w:rsidR="00491864" w:rsidRPr="00203A5C" w:rsidRDefault="00491864" w:rsidP="00491864">
            <w:pPr>
              <w:keepNext/>
              <w:keepLines/>
              <w:adjustRightInd/>
              <w:spacing w:before="40" w:after="40" w:line="240" w:lineRule="auto"/>
              <w:jc w:val="right"/>
              <w:textAlignment w:val="auto"/>
              <w:rPr>
                <w:rFonts w:ascii="Calibri" w:eastAsia="Calibri" w:hAnsi="Calibri"/>
                <w:sz w:val="18"/>
                <w:szCs w:val="18"/>
              </w:rPr>
            </w:pPr>
            <w:r w:rsidRPr="00203A5C">
              <w:rPr>
                <w:rFonts w:ascii="Calibri" w:eastAsia="Calibri" w:hAnsi="Calibri"/>
                <w:sz w:val="18"/>
                <w:szCs w:val="18"/>
              </w:rPr>
              <w:t>1,667</w:t>
            </w:r>
          </w:p>
        </w:tc>
        <w:tc>
          <w:tcPr>
            <w:tcW w:w="1137" w:type="dxa"/>
            <w:shd w:val="clear" w:color="auto" w:fill="auto"/>
            <w:tcMar>
              <w:left w:w="144" w:type="dxa"/>
              <w:right w:w="144" w:type="dxa"/>
            </w:tcMar>
            <w:vAlign w:val="center"/>
          </w:tcPr>
          <w:p w:rsidR="00491864" w:rsidRPr="00203A5C" w:rsidRDefault="00491864" w:rsidP="00491864">
            <w:pPr>
              <w:keepNext/>
              <w:keepLines/>
              <w:adjustRightInd/>
              <w:spacing w:before="40" w:after="40" w:line="240" w:lineRule="auto"/>
              <w:jc w:val="right"/>
              <w:textAlignment w:val="auto"/>
              <w:rPr>
                <w:rFonts w:ascii="Calibri" w:eastAsia="Calibri" w:hAnsi="Calibri"/>
                <w:sz w:val="18"/>
                <w:szCs w:val="18"/>
              </w:rPr>
            </w:pPr>
            <w:r w:rsidRPr="00203A5C">
              <w:rPr>
                <w:rFonts w:ascii="Calibri" w:eastAsia="Calibri" w:hAnsi="Calibri"/>
                <w:sz w:val="18"/>
                <w:szCs w:val="18"/>
              </w:rPr>
              <w:t>3,198</w:t>
            </w:r>
          </w:p>
        </w:tc>
        <w:tc>
          <w:tcPr>
            <w:tcW w:w="1114" w:type="dxa"/>
            <w:shd w:val="clear" w:color="auto" w:fill="auto"/>
            <w:tcMar>
              <w:left w:w="144" w:type="dxa"/>
              <w:right w:w="144" w:type="dxa"/>
            </w:tcMar>
            <w:vAlign w:val="center"/>
          </w:tcPr>
          <w:p w:rsidR="00491864" w:rsidRPr="00203A5C" w:rsidRDefault="00491864" w:rsidP="00491864">
            <w:pPr>
              <w:keepNext/>
              <w:keepLines/>
              <w:adjustRightInd/>
              <w:spacing w:before="40" w:after="40" w:line="240" w:lineRule="auto"/>
              <w:jc w:val="right"/>
              <w:textAlignment w:val="auto"/>
              <w:rPr>
                <w:rFonts w:ascii="Calibri" w:eastAsia="Calibri" w:hAnsi="Calibri"/>
                <w:sz w:val="18"/>
                <w:szCs w:val="18"/>
              </w:rPr>
            </w:pPr>
            <w:r w:rsidRPr="00203A5C">
              <w:rPr>
                <w:rFonts w:ascii="Calibri" w:eastAsia="Calibri" w:hAnsi="Calibri"/>
                <w:sz w:val="18"/>
                <w:szCs w:val="18"/>
              </w:rPr>
              <w:t>3,185</w:t>
            </w:r>
          </w:p>
        </w:tc>
        <w:tc>
          <w:tcPr>
            <w:tcW w:w="1177" w:type="dxa"/>
            <w:shd w:val="clear" w:color="auto" w:fill="auto"/>
            <w:tcMar>
              <w:left w:w="144" w:type="dxa"/>
              <w:right w:w="144" w:type="dxa"/>
            </w:tcMar>
            <w:vAlign w:val="center"/>
          </w:tcPr>
          <w:p w:rsidR="00491864" w:rsidRPr="00203A5C" w:rsidRDefault="00491864" w:rsidP="00491864">
            <w:pPr>
              <w:keepNext/>
              <w:keepLines/>
              <w:adjustRightInd/>
              <w:spacing w:before="40" w:after="40" w:line="240" w:lineRule="auto"/>
              <w:jc w:val="right"/>
              <w:textAlignment w:val="auto"/>
              <w:rPr>
                <w:rFonts w:ascii="Calibri" w:eastAsia="Calibri" w:hAnsi="Calibri"/>
                <w:sz w:val="18"/>
                <w:szCs w:val="18"/>
              </w:rPr>
            </w:pPr>
            <w:r w:rsidRPr="00203A5C">
              <w:rPr>
                <w:rFonts w:ascii="Calibri" w:eastAsia="Calibri" w:hAnsi="Calibri"/>
                <w:sz w:val="18"/>
                <w:szCs w:val="18"/>
              </w:rPr>
              <w:t>2,669</w:t>
            </w:r>
          </w:p>
        </w:tc>
      </w:tr>
      <w:tr w:rsidR="00491864" w:rsidRPr="00203A5C" w:rsidTr="00491864">
        <w:trPr>
          <w:jc w:val="center"/>
        </w:trPr>
        <w:tc>
          <w:tcPr>
            <w:tcW w:w="1755" w:type="dxa"/>
            <w:shd w:val="clear" w:color="auto" w:fill="DBE5F1" w:themeFill="accent1" w:themeFillTint="33"/>
            <w:vAlign w:val="center"/>
          </w:tcPr>
          <w:p w:rsidR="00491864" w:rsidRPr="00203A5C" w:rsidRDefault="00491864" w:rsidP="00491864">
            <w:pPr>
              <w:keepNext/>
              <w:keepLines/>
              <w:adjustRightInd/>
              <w:spacing w:before="40" w:after="40" w:line="240" w:lineRule="auto"/>
              <w:textAlignment w:val="auto"/>
              <w:rPr>
                <w:rFonts w:ascii="Calibri" w:eastAsia="Calibri" w:hAnsi="Calibri"/>
                <w:b/>
                <w:sz w:val="18"/>
                <w:szCs w:val="18"/>
              </w:rPr>
            </w:pPr>
            <w:r>
              <w:rPr>
                <w:rFonts w:ascii="Calibri" w:eastAsia="Calibri" w:hAnsi="Calibri"/>
                <w:b/>
                <w:sz w:val="18"/>
                <w:szCs w:val="18"/>
              </w:rPr>
              <w:t xml:space="preserve">2025 </w:t>
            </w:r>
            <w:r w:rsidRPr="00203A5C">
              <w:rPr>
                <w:rFonts w:ascii="Calibri" w:eastAsia="Calibri" w:hAnsi="Calibri"/>
                <w:b/>
                <w:sz w:val="18"/>
                <w:szCs w:val="18"/>
              </w:rPr>
              <w:t>Constrained</w:t>
            </w:r>
          </w:p>
        </w:tc>
        <w:tc>
          <w:tcPr>
            <w:tcW w:w="1114" w:type="dxa"/>
            <w:shd w:val="clear" w:color="auto" w:fill="DBE5F1" w:themeFill="accent1" w:themeFillTint="33"/>
            <w:tcMar>
              <w:left w:w="144" w:type="dxa"/>
              <w:right w:w="144" w:type="dxa"/>
            </w:tcMar>
            <w:vAlign w:val="center"/>
          </w:tcPr>
          <w:p w:rsidR="00491864" w:rsidRPr="00203A5C" w:rsidRDefault="00491864" w:rsidP="00491864">
            <w:pPr>
              <w:keepNext/>
              <w:keepLines/>
              <w:adjustRightInd/>
              <w:spacing w:before="40" w:after="40" w:line="240" w:lineRule="auto"/>
              <w:jc w:val="right"/>
              <w:textAlignment w:val="auto"/>
              <w:rPr>
                <w:rFonts w:ascii="Calibri" w:eastAsia="Calibri" w:hAnsi="Calibri"/>
                <w:sz w:val="18"/>
                <w:szCs w:val="18"/>
              </w:rPr>
            </w:pPr>
            <w:r w:rsidRPr="00203A5C">
              <w:rPr>
                <w:rFonts w:ascii="Calibri" w:eastAsia="Calibri" w:hAnsi="Calibri"/>
                <w:sz w:val="18"/>
                <w:szCs w:val="18"/>
              </w:rPr>
              <w:t>2,998</w:t>
            </w:r>
          </w:p>
        </w:tc>
        <w:tc>
          <w:tcPr>
            <w:tcW w:w="1169" w:type="dxa"/>
            <w:shd w:val="clear" w:color="auto" w:fill="DBE5F1" w:themeFill="accent1" w:themeFillTint="33"/>
            <w:tcMar>
              <w:left w:w="144" w:type="dxa"/>
              <w:right w:w="144" w:type="dxa"/>
            </w:tcMar>
            <w:vAlign w:val="center"/>
          </w:tcPr>
          <w:p w:rsidR="00491864" w:rsidRPr="00203A5C" w:rsidRDefault="00491864" w:rsidP="00491864">
            <w:pPr>
              <w:keepNext/>
              <w:keepLines/>
              <w:adjustRightInd/>
              <w:spacing w:before="40" w:after="40" w:line="240" w:lineRule="auto"/>
              <w:jc w:val="right"/>
              <w:textAlignment w:val="auto"/>
              <w:rPr>
                <w:rFonts w:ascii="Calibri" w:eastAsia="Calibri" w:hAnsi="Calibri"/>
                <w:sz w:val="18"/>
                <w:szCs w:val="18"/>
              </w:rPr>
            </w:pPr>
            <w:r w:rsidRPr="00203A5C">
              <w:rPr>
                <w:rFonts w:ascii="Calibri" w:eastAsia="Calibri" w:hAnsi="Calibri"/>
                <w:sz w:val="18"/>
                <w:szCs w:val="18"/>
              </w:rPr>
              <w:t>2,882</w:t>
            </w:r>
          </w:p>
        </w:tc>
        <w:tc>
          <w:tcPr>
            <w:tcW w:w="1177" w:type="dxa"/>
            <w:shd w:val="clear" w:color="auto" w:fill="DBE5F1" w:themeFill="accent1" w:themeFillTint="33"/>
            <w:tcMar>
              <w:left w:w="144" w:type="dxa"/>
              <w:right w:w="144" w:type="dxa"/>
            </w:tcMar>
            <w:vAlign w:val="center"/>
          </w:tcPr>
          <w:p w:rsidR="00491864" w:rsidRPr="00203A5C" w:rsidRDefault="00491864" w:rsidP="00491864">
            <w:pPr>
              <w:keepNext/>
              <w:keepLines/>
              <w:adjustRightInd/>
              <w:spacing w:before="40" w:after="40" w:line="240" w:lineRule="auto"/>
              <w:jc w:val="right"/>
              <w:textAlignment w:val="auto"/>
              <w:rPr>
                <w:rFonts w:ascii="Calibri" w:eastAsia="Calibri" w:hAnsi="Calibri"/>
                <w:sz w:val="18"/>
                <w:szCs w:val="18"/>
              </w:rPr>
            </w:pPr>
            <w:r w:rsidRPr="00203A5C">
              <w:rPr>
                <w:rFonts w:ascii="Calibri" w:eastAsia="Calibri" w:hAnsi="Calibri"/>
                <w:sz w:val="18"/>
                <w:szCs w:val="18"/>
              </w:rPr>
              <w:t>1,811</w:t>
            </w:r>
          </w:p>
        </w:tc>
        <w:tc>
          <w:tcPr>
            <w:tcW w:w="1137" w:type="dxa"/>
            <w:shd w:val="clear" w:color="auto" w:fill="DBE5F1" w:themeFill="accent1" w:themeFillTint="33"/>
            <w:tcMar>
              <w:left w:w="144" w:type="dxa"/>
              <w:right w:w="144" w:type="dxa"/>
            </w:tcMar>
            <w:vAlign w:val="center"/>
          </w:tcPr>
          <w:p w:rsidR="00491864" w:rsidRPr="00203A5C" w:rsidRDefault="00491864" w:rsidP="00491864">
            <w:pPr>
              <w:keepNext/>
              <w:keepLines/>
              <w:adjustRightInd/>
              <w:spacing w:before="40" w:after="40" w:line="240" w:lineRule="auto"/>
              <w:jc w:val="right"/>
              <w:textAlignment w:val="auto"/>
              <w:rPr>
                <w:rFonts w:ascii="Calibri" w:eastAsia="Calibri" w:hAnsi="Calibri"/>
                <w:sz w:val="18"/>
                <w:szCs w:val="18"/>
              </w:rPr>
            </w:pPr>
            <w:r w:rsidRPr="00203A5C">
              <w:rPr>
                <w:rFonts w:ascii="Calibri" w:eastAsia="Calibri" w:hAnsi="Calibri"/>
                <w:sz w:val="18"/>
                <w:szCs w:val="18"/>
              </w:rPr>
              <w:t>3,198</w:t>
            </w:r>
          </w:p>
        </w:tc>
        <w:tc>
          <w:tcPr>
            <w:tcW w:w="1114" w:type="dxa"/>
            <w:shd w:val="clear" w:color="auto" w:fill="DBE5F1" w:themeFill="accent1" w:themeFillTint="33"/>
            <w:tcMar>
              <w:left w:w="144" w:type="dxa"/>
              <w:right w:w="144" w:type="dxa"/>
            </w:tcMar>
            <w:vAlign w:val="center"/>
          </w:tcPr>
          <w:p w:rsidR="00491864" w:rsidRPr="00203A5C" w:rsidRDefault="00491864" w:rsidP="00491864">
            <w:pPr>
              <w:keepNext/>
              <w:keepLines/>
              <w:adjustRightInd/>
              <w:spacing w:before="40" w:after="40" w:line="240" w:lineRule="auto"/>
              <w:jc w:val="right"/>
              <w:textAlignment w:val="auto"/>
              <w:rPr>
                <w:rFonts w:ascii="Calibri" w:eastAsia="Calibri" w:hAnsi="Calibri"/>
                <w:sz w:val="18"/>
                <w:szCs w:val="18"/>
              </w:rPr>
            </w:pPr>
            <w:r w:rsidRPr="00203A5C">
              <w:rPr>
                <w:rFonts w:ascii="Calibri" w:eastAsia="Calibri" w:hAnsi="Calibri"/>
                <w:sz w:val="18"/>
                <w:szCs w:val="18"/>
              </w:rPr>
              <w:t>3,188</w:t>
            </w:r>
          </w:p>
        </w:tc>
        <w:tc>
          <w:tcPr>
            <w:tcW w:w="1177" w:type="dxa"/>
            <w:shd w:val="clear" w:color="auto" w:fill="DBE5F1" w:themeFill="accent1" w:themeFillTint="33"/>
            <w:tcMar>
              <w:left w:w="144" w:type="dxa"/>
              <w:right w:w="144" w:type="dxa"/>
            </w:tcMar>
            <w:vAlign w:val="center"/>
          </w:tcPr>
          <w:p w:rsidR="00491864" w:rsidRPr="00203A5C" w:rsidRDefault="00491864" w:rsidP="00491864">
            <w:pPr>
              <w:keepNext/>
              <w:keepLines/>
              <w:adjustRightInd/>
              <w:spacing w:before="40" w:after="40" w:line="240" w:lineRule="auto"/>
              <w:jc w:val="right"/>
              <w:textAlignment w:val="auto"/>
              <w:rPr>
                <w:rFonts w:ascii="Calibri" w:eastAsia="Calibri" w:hAnsi="Calibri"/>
                <w:sz w:val="18"/>
                <w:szCs w:val="18"/>
              </w:rPr>
            </w:pPr>
            <w:r w:rsidRPr="00203A5C">
              <w:rPr>
                <w:rFonts w:ascii="Calibri" w:eastAsia="Calibri" w:hAnsi="Calibri"/>
                <w:sz w:val="18"/>
                <w:szCs w:val="18"/>
              </w:rPr>
              <w:t>2,708</w:t>
            </w:r>
          </w:p>
        </w:tc>
      </w:tr>
      <w:tr w:rsidR="00491864" w:rsidRPr="00203A5C" w:rsidTr="00491864">
        <w:trPr>
          <w:jc w:val="center"/>
        </w:trPr>
        <w:tc>
          <w:tcPr>
            <w:tcW w:w="1755" w:type="dxa"/>
            <w:shd w:val="clear" w:color="auto" w:fill="auto"/>
            <w:vAlign w:val="center"/>
          </w:tcPr>
          <w:p w:rsidR="00491864" w:rsidRPr="00203A5C" w:rsidRDefault="00491864" w:rsidP="00491864">
            <w:pPr>
              <w:keepNext/>
              <w:keepLines/>
              <w:adjustRightInd/>
              <w:spacing w:before="40" w:after="40" w:line="240" w:lineRule="auto"/>
              <w:textAlignment w:val="auto"/>
              <w:rPr>
                <w:rFonts w:ascii="Calibri" w:eastAsia="Calibri" w:hAnsi="Calibri"/>
                <w:b/>
                <w:sz w:val="18"/>
                <w:szCs w:val="18"/>
              </w:rPr>
            </w:pPr>
            <w:r>
              <w:rPr>
                <w:rFonts w:ascii="Calibri" w:eastAsia="Calibri" w:hAnsi="Calibri"/>
                <w:b/>
                <w:sz w:val="18"/>
                <w:szCs w:val="18"/>
              </w:rPr>
              <w:t xml:space="preserve">2030 </w:t>
            </w:r>
            <w:r w:rsidRPr="00203A5C">
              <w:rPr>
                <w:rFonts w:ascii="Calibri" w:eastAsia="Calibri" w:hAnsi="Calibri"/>
                <w:b/>
                <w:sz w:val="18"/>
                <w:szCs w:val="18"/>
              </w:rPr>
              <w:t>Unconstrained</w:t>
            </w:r>
          </w:p>
        </w:tc>
        <w:tc>
          <w:tcPr>
            <w:tcW w:w="1114" w:type="dxa"/>
            <w:shd w:val="clear" w:color="auto" w:fill="auto"/>
            <w:tcMar>
              <w:left w:w="144" w:type="dxa"/>
              <w:right w:w="144" w:type="dxa"/>
            </w:tcMar>
            <w:vAlign w:val="center"/>
          </w:tcPr>
          <w:p w:rsidR="00491864" w:rsidRPr="00203A5C" w:rsidRDefault="00491864" w:rsidP="00491864">
            <w:pPr>
              <w:keepNext/>
              <w:keepLines/>
              <w:adjustRightInd/>
              <w:spacing w:before="40" w:after="40" w:line="240" w:lineRule="auto"/>
              <w:jc w:val="right"/>
              <w:textAlignment w:val="auto"/>
              <w:rPr>
                <w:rFonts w:ascii="Calibri" w:eastAsia="Calibri" w:hAnsi="Calibri"/>
                <w:sz w:val="18"/>
                <w:szCs w:val="18"/>
              </w:rPr>
            </w:pPr>
            <w:r w:rsidRPr="00203A5C">
              <w:rPr>
                <w:rFonts w:ascii="Calibri" w:eastAsia="Calibri" w:hAnsi="Calibri"/>
                <w:sz w:val="18"/>
                <w:szCs w:val="18"/>
              </w:rPr>
              <w:t>3,384</w:t>
            </w:r>
          </w:p>
        </w:tc>
        <w:tc>
          <w:tcPr>
            <w:tcW w:w="1169" w:type="dxa"/>
            <w:shd w:val="clear" w:color="auto" w:fill="auto"/>
            <w:tcMar>
              <w:left w:w="144" w:type="dxa"/>
              <w:right w:w="144" w:type="dxa"/>
            </w:tcMar>
            <w:vAlign w:val="center"/>
          </w:tcPr>
          <w:p w:rsidR="00491864" w:rsidRPr="00203A5C" w:rsidRDefault="00491864" w:rsidP="00491864">
            <w:pPr>
              <w:keepNext/>
              <w:keepLines/>
              <w:adjustRightInd/>
              <w:spacing w:before="40" w:after="40" w:line="240" w:lineRule="auto"/>
              <w:jc w:val="right"/>
              <w:textAlignment w:val="auto"/>
              <w:rPr>
                <w:rFonts w:ascii="Calibri" w:eastAsia="Calibri" w:hAnsi="Calibri"/>
                <w:sz w:val="18"/>
                <w:szCs w:val="18"/>
              </w:rPr>
            </w:pPr>
            <w:r w:rsidRPr="00203A5C">
              <w:rPr>
                <w:rFonts w:ascii="Calibri" w:eastAsia="Calibri" w:hAnsi="Calibri"/>
                <w:sz w:val="18"/>
                <w:szCs w:val="18"/>
              </w:rPr>
              <w:t>1,781</w:t>
            </w:r>
          </w:p>
        </w:tc>
        <w:tc>
          <w:tcPr>
            <w:tcW w:w="1177" w:type="dxa"/>
            <w:shd w:val="clear" w:color="auto" w:fill="auto"/>
            <w:tcMar>
              <w:left w:w="144" w:type="dxa"/>
              <w:right w:w="144" w:type="dxa"/>
            </w:tcMar>
            <w:vAlign w:val="center"/>
          </w:tcPr>
          <w:p w:rsidR="00491864" w:rsidRPr="00203A5C" w:rsidRDefault="00491864" w:rsidP="00491864">
            <w:pPr>
              <w:keepNext/>
              <w:keepLines/>
              <w:adjustRightInd/>
              <w:spacing w:before="40" w:after="40" w:line="240" w:lineRule="auto"/>
              <w:jc w:val="right"/>
              <w:textAlignment w:val="auto"/>
              <w:rPr>
                <w:rFonts w:ascii="Calibri" w:eastAsia="Calibri" w:hAnsi="Calibri"/>
                <w:sz w:val="18"/>
                <w:szCs w:val="18"/>
              </w:rPr>
            </w:pPr>
            <w:r w:rsidRPr="00203A5C">
              <w:rPr>
                <w:rFonts w:ascii="Calibri" w:eastAsia="Calibri" w:hAnsi="Calibri"/>
                <w:sz w:val="18"/>
                <w:szCs w:val="18"/>
              </w:rPr>
              <w:t>1,086</w:t>
            </w:r>
          </w:p>
        </w:tc>
        <w:tc>
          <w:tcPr>
            <w:tcW w:w="1137" w:type="dxa"/>
            <w:shd w:val="clear" w:color="auto" w:fill="auto"/>
            <w:tcMar>
              <w:left w:w="144" w:type="dxa"/>
              <w:right w:w="144" w:type="dxa"/>
            </w:tcMar>
            <w:vAlign w:val="center"/>
          </w:tcPr>
          <w:p w:rsidR="00491864" w:rsidRPr="00203A5C" w:rsidRDefault="00491864" w:rsidP="00491864">
            <w:pPr>
              <w:keepNext/>
              <w:keepLines/>
              <w:adjustRightInd/>
              <w:spacing w:before="40" w:after="40" w:line="240" w:lineRule="auto"/>
              <w:jc w:val="right"/>
              <w:textAlignment w:val="auto"/>
              <w:rPr>
                <w:rFonts w:ascii="Calibri" w:eastAsia="Calibri" w:hAnsi="Calibri"/>
                <w:sz w:val="18"/>
                <w:szCs w:val="18"/>
              </w:rPr>
            </w:pPr>
            <w:r w:rsidRPr="00203A5C">
              <w:rPr>
                <w:rFonts w:ascii="Calibri" w:eastAsia="Calibri" w:hAnsi="Calibri"/>
                <w:sz w:val="18"/>
                <w:szCs w:val="18"/>
              </w:rPr>
              <w:t>3,858</w:t>
            </w:r>
          </w:p>
        </w:tc>
        <w:tc>
          <w:tcPr>
            <w:tcW w:w="1114" w:type="dxa"/>
            <w:shd w:val="clear" w:color="auto" w:fill="auto"/>
            <w:tcMar>
              <w:left w:w="144" w:type="dxa"/>
              <w:right w:w="144" w:type="dxa"/>
            </w:tcMar>
            <w:vAlign w:val="center"/>
          </w:tcPr>
          <w:p w:rsidR="00491864" w:rsidRPr="00203A5C" w:rsidRDefault="00491864" w:rsidP="00491864">
            <w:pPr>
              <w:keepNext/>
              <w:keepLines/>
              <w:adjustRightInd/>
              <w:spacing w:before="40" w:after="40" w:line="240" w:lineRule="auto"/>
              <w:jc w:val="right"/>
              <w:textAlignment w:val="auto"/>
              <w:rPr>
                <w:rFonts w:ascii="Calibri" w:eastAsia="Calibri" w:hAnsi="Calibri"/>
                <w:sz w:val="18"/>
                <w:szCs w:val="18"/>
              </w:rPr>
            </w:pPr>
            <w:r w:rsidRPr="00203A5C">
              <w:rPr>
                <w:rFonts w:ascii="Calibri" w:eastAsia="Calibri" w:hAnsi="Calibri"/>
                <w:sz w:val="18"/>
                <w:szCs w:val="18"/>
              </w:rPr>
              <w:t>3,831</w:t>
            </w:r>
          </w:p>
        </w:tc>
        <w:tc>
          <w:tcPr>
            <w:tcW w:w="1177" w:type="dxa"/>
            <w:shd w:val="clear" w:color="auto" w:fill="auto"/>
            <w:tcMar>
              <w:left w:w="144" w:type="dxa"/>
              <w:right w:w="144" w:type="dxa"/>
            </w:tcMar>
            <w:vAlign w:val="center"/>
          </w:tcPr>
          <w:p w:rsidR="00491864" w:rsidRPr="00203A5C" w:rsidRDefault="00491864" w:rsidP="00491864">
            <w:pPr>
              <w:keepNext/>
              <w:keepLines/>
              <w:adjustRightInd/>
              <w:spacing w:before="40" w:after="40" w:line="240" w:lineRule="auto"/>
              <w:jc w:val="right"/>
              <w:textAlignment w:val="auto"/>
              <w:rPr>
                <w:rFonts w:ascii="Calibri" w:eastAsia="Calibri" w:hAnsi="Calibri"/>
                <w:sz w:val="18"/>
                <w:szCs w:val="18"/>
              </w:rPr>
            </w:pPr>
            <w:r w:rsidRPr="00203A5C">
              <w:rPr>
                <w:rFonts w:ascii="Calibri" w:eastAsia="Calibri" w:hAnsi="Calibri"/>
                <w:sz w:val="18"/>
                <w:szCs w:val="18"/>
              </w:rPr>
              <w:t>1,584</w:t>
            </w:r>
          </w:p>
        </w:tc>
      </w:tr>
      <w:tr w:rsidR="00491864" w:rsidRPr="00203A5C" w:rsidTr="00491864">
        <w:trPr>
          <w:jc w:val="center"/>
        </w:trPr>
        <w:tc>
          <w:tcPr>
            <w:tcW w:w="1755" w:type="dxa"/>
            <w:shd w:val="clear" w:color="auto" w:fill="DBE5F1" w:themeFill="accent1" w:themeFillTint="33"/>
            <w:vAlign w:val="center"/>
          </w:tcPr>
          <w:p w:rsidR="00491864" w:rsidRPr="00203A5C" w:rsidRDefault="00491864" w:rsidP="00491864">
            <w:pPr>
              <w:keepNext/>
              <w:keepLines/>
              <w:adjustRightInd/>
              <w:spacing w:before="40" w:after="40" w:line="240" w:lineRule="auto"/>
              <w:textAlignment w:val="auto"/>
              <w:rPr>
                <w:rFonts w:ascii="Calibri" w:eastAsia="Calibri" w:hAnsi="Calibri"/>
                <w:b/>
                <w:sz w:val="18"/>
                <w:szCs w:val="18"/>
              </w:rPr>
            </w:pPr>
            <w:r>
              <w:rPr>
                <w:rFonts w:ascii="Calibri" w:eastAsia="Calibri" w:hAnsi="Calibri"/>
                <w:b/>
                <w:sz w:val="18"/>
                <w:szCs w:val="18"/>
              </w:rPr>
              <w:t xml:space="preserve">2030 </w:t>
            </w:r>
            <w:r w:rsidRPr="00203A5C">
              <w:rPr>
                <w:rFonts w:ascii="Calibri" w:eastAsia="Calibri" w:hAnsi="Calibri"/>
                <w:b/>
                <w:sz w:val="18"/>
                <w:szCs w:val="18"/>
              </w:rPr>
              <w:t>Constrained</w:t>
            </w:r>
          </w:p>
        </w:tc>
        <w:tc>
          <w:tcPr>
            <w:tcW w:w="1114" w:type="dxa"/>
            <w:shd w:val="clear" w:color="auto" w:fill="DBE5F1" w:themeFill="accent1" w:themeFillTint="33"/>
            <w:tcMar>
              <w:left w:w="144" w:type="dxa"/>
              <w:right w:w="144" w:type="dxa"/>
            </w:tcMar>
            <w:vAlign w:val="center"/>
          </w:tcPr>
          <w:p w:rsidR="00491864" w:rsidRPr="00203A5C" w:rsidRDefault="00491864" w:rsidP="00491864">
            <w:pPr>
              <w:keepNext/>
              <w:keepLines/>
              <w:adjustRightInd/>
              <w:spacing w:before="40" w:after="40" w:line="240" w:lineRule="auto"/>
              <w:jc w:val="right"/>
              <w:textAlignment w:val="auto"/>
              <w:rPr>
                <w:rFonts w:ascii="Calibri" w:eastAsia="Calibri" w:hAnsi="Calibri"/>
                <w:sz w:val="18"/>
                <w:szCs w:val="18"/>
              </w:rPr>
            </w:pPr>
            <w:r w:rsidRPr="00203A5C">
              <w:rPr>
                <w:rFonts w:ascii="Calibri" w:eastAsia="Calibri" w:hAnsi="Calibri"/>
                <w:sz w:val="18"/>
                <w:szCs w:val="18"/>
              </w:rPr>
              <w:t>3,562</w:t>
            </w:r>
          </w:p>
        </w:tc>
        <w:tc>
          <w:tcPr>
            <w:tcW w:w="1169" w:type="dxa"/>
            <w:shd w:val="clear" w:color="auto" w:fill="DBE5F1" w:themeFill="accent1" w:themeFillTint="33"/>
            <w:tcMar>
              <w:left w:w="144" w:type="dxa"/>
              <w:right w:w="144" w:type="dxa"/>
            </w:tcMar>
            <w:vAlign w:val="center"/>
          </w:tcPr>
          <w:p w:rsidR="00491864" w:rsidRPr="00203A5C" w:rsidRDefault="00491864" w:rsidP="00491864">
            <w:pPr>
              <w:keepNext/>
              <w:keepLines/>
              <w:adjustRightInd/>
              <w:spacing w:before="40" w:after="40" w:line="240" w:lineRule="auto"/>
              <w:jc w:val="right"/>
              <w:textAlignment w:val="auto"/>
              <w:rPr>
                <w:rFonts w:ascii="Calibri" w:eastAsia="Calibri" w:hAnsi="Calibri"/>
                <w:sz w:val="18"/>
                <w:szCs w:val="18"/>
              </w:rPr>
            </w:pPr>
            <w:r w:rsidRPr="00203A5C">
              <w:rPr>
                <w:rFonts w:ascii="Calibri" w:eastAsia="Calibri" w:hAnsi="Calibri"/>
                <w:sz w:val="18"/>
                <w:szCs w:val="18"/>
              </w:rPr>
              <w:t>2,895</w:t>
            </w:r>
          </w:p>
        </w:tc>
        <w:tc>
          <w:tcPr>
            <w:tcW w:w="1177" w:type="dxa"/>
            <w:shd w:val="clear" w:color="auto" w:fill="DBE5F1" w:themeFill="accent1" w:themeFillTint="33"/>
            <w:tcMar>
              <w:left w:w="144" w:type="dxa"/>
              <w:right w:w="144" w:type="dxa"/>
            </w:tcMar>
            <w:vAlign w:val="center"/>
          </w:tcPr>
          <w:p w:rsidR="00491864" w:rsidRPr="00203A5C" w:rsidRDefault="00491864" w:rsidP="00491864">
            <w:pPr>
              <w:keepNext/>
              <w:keepLines/>
              <w:adjustRightInd/>
              <w:spacing w:before="40" w:after="40" w:line="240" w:lineRule="auto"/>
              <w:jc w:val="right"/>
              <w:textAlignment w:val="auto"/>
              <w:rPr>
                <w:rFonts w:ascii="Calibri" w:eastAsia="Calibri" w:hAnsi="Calibri"/>
                <w:sz w:val="18"/>
                <w:szCs w:val="18"/>
              </w:rPr>
            </w:pPr>
            <w:r w:rsidRPr="00203A5C">
              <w:rPr>
                <w:rFonts w:ascii="Calibri" w:eastAsia="Calibri" w:hAnsi="Calibri"/>
                <w:sz w:val="18"/>
                <w:szCs w:val="18"/>
              </w:rPr>
              <w:t>1,253</w:t>
            </w:r>
          </w:p>
        </w:tc>
        <w:tc>
          <w:tcPr>
            <w:tcW w:w="1137" w:type="dxa"/>
            <w:shd w:val="clear" w:color="auto" w:fill="DBE5F1" w:themeFill="accent1" w:themeFillTint="33"/>
            <w:tcMar>
              <w:left w:w="144" w:type="dxa"/>
              <w:right w:w="144" w:type="dxa"/>
            </w:tcMar>
            <w:vAlign w:val="center"/>
          </w:tcPr>
          <w:p w:rsidR="00491864" w:rsidRPr="00203A5C" w:rsidRDefault="00491864" w:rsidP="00491864">
            <w:pPr>
              <w:keepNext/>
              <w:keepLines/>
              <w:adjustRightInd/>
              <w:spacing w:before="40" w:after="40" w:line="240" w:lineRule="auto"/>
              <w:jc w:val="right"/>
              <w:textAlignment w:val="auto"/>
              <w:rPr>
                <w:rFonts w:ascii="Calibri" w:eastAsia="Calibri" w:hAnsi="Calibri"/>
                <w:sz w:val="18"/>
                <w:szCs w:val="18"/>
              </w:rPr>
            </w:pPr>
            <w:r w:rsidRPr="00203A5C">
              <w:rPr>
                <w:rFonts w:ascii="Calibri" w:eastAsia="Calibri" w:hAnsi="Calibri"/>
                <w:sz w:val="18"/>
                <w:szCs w:val="18"/>
              </w:rPr>
              <w:t>3,861</w:t>
            </w:r>
          </w:p>
        </w:tc>
        <w:tc>
          <w:tcPr>
            <w:tcW w:w="1114" w:type="dxa"/>
            <w:shd w:val="clear" w:color="auto" w:fill="DBE5F1" w:themeFill="accent1" w:themeFillTint="33"/>
            <w:tcMar>
              <w:left w:w="144" w:type="dxa"/>
              <w:right w:w="144" w:type="dxa"/>
            </w:tcMar>
            <w:vAlign w:val="center"/>
          </w:tcPr>
          <w:p w:rsidR="00491864" w:rsidRPr="00203A5C" w:rsidRDefault="00491864" w:rsidP="00491864">
            <w:pPr>
              <w:keepNext/>
              <w:keepLines/>
              <w:adjustRightInd/>
              <w:spacing w:before="40" w:after="40" w:line="240" w:lineRule="auto"/>
              <w:jc w:val="right"/>
              <w:textAlignment w:val="auto"/>
              <w:rPr>
                <w:rFonts w:ascii="Calibri" w:eastAsia="Calibri" w:hAnsi="Calibri"/>
                <w:sz w:val="18"/>
                <w:szCs w:val="18"/>
              </w:rPr>
            </w:pPr>
            <w:r w:rsidRPr="00203A5C">
              <w:rPr>
                <w:rFonts w:ascii="Calibri" w:eastAsia="Calibri" w:hAnsi="Calibri"/>
                <w:sz w:val="18"/>
                <w:szCs w:val="18"/>
              </w:rPr>
              <w:t>3,833</w:t>
            </w:r>
          </w:p>
        </w:tc>
        <w:tc>
          <w:tcPr>
            <w:tcW w:w="1177" w:type="dxa"/>
            <w:shd w:val="clear" w:color="auto" w:fill="DBE5F1" w:themeFill="accent1" w:themeFillTint="33"/>
            <w:tcMar>
              <w:left w:w="144" w:type="dxa"/>
              <w:right w:w="144" w:type="dxa"/>
            </w:tcMar>
            <w:vAlign w:val="center"/>
          </w:tcPr>
          <w:p w:rsidR="00491864" w:rsidRPr="00203A5C" w:rsidRDefault="00491864" w:rsidP="00491864">
            <w:pPr>
              <w:keepNext/>
              <w:keepLines/>
              <w:adjustRightInd/>
              <w:spacing w:before="40" w:after="40" w:line="240" w:lineRule="auto"/>
              <w:jc w:val="right"/>
              <w:textAlignment w:val="auto"/>
              <w:rPr>
                <w:rFonts w:ascii="Calibri" w:eastAsia="Calibri" w:hAnsi="Calibri"/>
                <w:sz w:val="18"/>
                <w:szCs w:val="18"/>
              </w:rPr>
            </w:pPr>
            <w:r w:rsidRPr="00203A5C">
              <w:rPr>
                <w:rFonts w:ascii="Calibri" w:eastAsia="Calibri" w:hAnsi="Calibri"/>
                <w:sz w:val="18"/>
                <w:szCs w:val="18"/>
              </w:rPr>
              <w:t>1,865</w:t>
            </w:r>
          </w:p>
        </w:tc>
      </w:tr>
    </w:tbl>
    <w:p w:rsidR="00EB3B07" w:rsidRPr="0007591B" w:rsidRDefault="00EB3B07" w:rsidP="00203A5C">
      <w:pPr>
        <w:spacing w:line="240" w:lineRule="auto"/>
        <w:rPr>
          <w:rFonts w:asciiTheme="minorHAnsi" w:hAnsiTheme="minorHAnsi"/>
          <w:sz w:val="18"/>
          <w:szCs w:val="18"/>
        </w:rPr>
      </w:pPr>
    </w:p>
    <w:p w:rsidR="008E2AA0" w:rsidRDefault="008E2AA0" w:rsidP="008E2AA0">
      <w:r>
        <w:t>The production costs for Scenarios 2</w:t>
      </w:r>
      <w:r w:rsidR="00B803C4">
        <w:t xml:space="preserve">, </w:t>
      </w:r>
      <w:r>
        <w:t>3</w:t>
      </w:r>
      <w:r w:rsidR="00B803C4">
        <w:t>, and 6</w:t>
      </w:r>
      <w:r>
        <w:t xml:space="preserve"> are lower in 2030 than 2025 because these scenarios have more renewables and EE development in 2030 than 2025</w:t>
      </w:r>
      <w:r w:rsidR="009E7B29">
        <w:t xml:space="preserve">. </w:t>
      </w:r>
      <w:r w:rsidR="00B53AEA">
        <w:t xml:space="preserve">Scenario 3 also reflects additional </w:t>
      </w:r>
      <w:r w:rsidR="00B53AEA" w:rsidRPr="00712F7A">
        <w:t>$0</w:t>
      </w:r>
      <w:r w:rsidR="00C84D2C" w:rsidRPr="00712F7A">
        <w:t>/MWh</w:t>
      </w:r>
      <w:r w:rsidR="00B53AEA">
        <w:t xml:space="preserve"> cost imports from Canada. </w:t>
      </w:r>
      <w:r>
        <w:t>The production costs for Scenarios 1, 4, and 5 are higher in 2030 than 2025</w:t>
      </w:r>
      <w:r w:rsidR="005906A9">
        <w:t xml:space="preserve"> as a result of higher fuel costs</w:t>
      </w:r>
      <w:r w:rsidR="0081330B">
        <w:t xml:space="preserve"> coupled with hi</w:t>
      </w:r>
      <w:r w:rsidR="00CD76AA">
        <w:t xml:space="preserve">gher </w:t>
      </w:r>
      <w:r w:rsidR="0081330B">
        <w:t>energy production from fossil-fueled generation in 2030</w:t>
      </w:r>
      <w:r>
        <w:t xml:space="preserve">. </w:t>
      </w:r>
    </w:p>
    <w:p w:rsidR="006000B5" w:rsidRDefault="008E2AA0" w:rsidP="00201D25">
      <w:r>
        <w:t>As expected, the larger amounts of wind, EE, and PV resources in Scenarios 2</w:t>
      </w:r>
      <w:r w:rsidR="00992318">
        <w:t xml:space="preserve">, </w:t>
      </w:r>
      <w:r>
        <w:t>3</w:t>
      </w:r>
      <w:r w:rsidR="00992318">
        <w:t>, and 6</w:t>
      </w:r>
      <w:r>
        <w:t xml:space="preserve"> resulted in lower production costs than the other scenarios. More expensive production by fossil generating units in Scenarios</w:t>
      </w:r>
      <w:r w:rsidR="00244911">
        <w:t> </w:t>
      </w:r>
      <w:r>
        <w:t>4 and 5 caused higher production cost</w:t>
      </w:r>
      <w:r w:rsidR="00992318">
        <w:t>s</w:t>
      </w:r>
      <w:r>
        <w:t xml:space="preserve"> than for the other scenarios</w:t>
      </w:r>
      <w:r w:rsidR="006961F4">
        <w:t xml:space="preserve">. </w:t>
      </w:r>
    </w:p>
    <w:p w:rsidR="00311C1A" w:rsidRDefault="006000B5" w:rsidP="00491864">
      <w:r>
        <w:t xml:space="preserve">The production cost metric shows the effect of transmission constraints on wind generation in Maine. Greater amounts </w:t>
      </w:r>
      <w:r w:rsidRPr="00FC5478">
        <w:t>of bottled wind generation</w:t>
      </w:r>
      <w:r>
        <w:t xml:space="preserve">, such as in Scenario 2, results in higher systemwide production costs </w:t>
      </w:r>
      <w:r w:rsidR="00091215">
        <w:t>due to</w:t>
      </w:r>
      <w:r>
        <w:t xml:space="preserve"> </w:t>
      </w:r>
      <w:r w:rsidR="00FC5478">
        <w:t xml:space="preserve">the </w:t>
      </w:r>
      <w:r>
        <w:t>greater use of natural gas resources near the load center in southern New England</w:t>
      </w:r>
      <w:r w:rsidR="009E7B29">
        <w:t>.</w:t>
      </w:r>
      <w:bookmarkStart w:id="280" w:name="_Toc458675658"/>
      <w:r w:rsidR="002158B2">
        <w:t xml:space="preserve"> Table 6-</w:t>
      </w:r>
      <w:r w:rsidR="007D3B55">
        <w:t>5</w:t>
      </w:r>
      <w:r w:rsidR="002158B2">
        <w:t xml:space="preserve"> shows the congestion cost</w:t>
      </w:r>
      <w:r w:rsidR="005559A8">
        <w:t xml:space="preserve"> metric</w:t>
      </w:r>
      <w:r w:rsidR="002158B2">
        <w:t xml:space="preserve"> for </w:t>
      </w:r>
      <w:r w:rsidR="005559A8">
        <w:t xml:space="preserve">the </w:t>
      </w:r>
      <w:r w:rsidR="002158B2">
        <w:t>major interfaces</w:t>
      </w:r>
      <w:r w:rsidR="00491864">
        <w:t>,</w:t>
      </w:r>
      <w:r w:rsidR="005559A8">
        <w:t xml:space="preserve"> which is based on the congestion component of the LMP and the amount of energy flowing across the interface</w:t>
      </w:r>
      <w:r w:rsidR="002158B2">
        <w:t xml:space="preserve">. </w:t>
      </w:r>
    </w:p>
    <w:p w:rsidR="00A3145F" w:rsidRDefault="00A3145F" w:rsidP="00750A22">
      <w:pPr>
        <w:pStyle w:val="Caption"/>
        <w:jc w:val="center"/>
        <w:rPr>
          <w:rFonts w:asciiTheme="minorHAnsi" w:hAnsiTheme="minorHAnsi"/>
        </w:rPr>
      </w:pPr>
      <w:bookmarkStart w:id="281" w:name="_Toc486406040"/>
      <w:r w:rsidRPr="00203A5C">
        <w:lastRenderedPageBreak/>
        <w:t xml:space="preserve">Table </w:t>
      </w:r>
      <w:fldSimple w:instr=" STYLEREF 1 \s ">
        <w:r w:rsidR="004248FE">
          <w:rPr>
            <w:noProof/>
          </w:rPr>
          <w:t>6</w:t>
        </w:r>
      </w:fldSimple>
      <w:r w:rsidR="004248FE">
        <w:noBreakHyphen/>
      </w:r>
      <w:fldSimple w:instr=" SEQ Table \* ARABIC \s 1 ">
        <w:r w:rsidR="004248FE">
          <w:rPr>
            <w:noProof/>
          </w:rPr>
          <w:t>5</w:t>
        </w:r>
      </w:fldSimple>
      <w:r w:rsidRPr="00203A5C">
        <w:br/>
      </w:r>
      <w:r>
        <w:rPr>
          <w:rFonts w:asciiTheme="minorHAnsi" w:hAnsiTheme="minorHAnsi"/>
        </w:rPr>
        <w:t>Congestion</w:t>
      </w:r>
      <w:r w:rsidR="00521087">
        <w:rPr>
          <w:rFonts w:asciiTheme="minorHAnsi" w:hAnsiTheme="minorHAnsi"/>
        </w:rPr>
        <w:t xml:space="preserve"> Costs</w:t>
      </w:r>
      <w:r w:rsidRPr="00203A5C">
        <w:rPr>
          <w:rFonts w:asciiTheme="minorHAnsi" w:hAnsiTheme="minorHAnsi"/>
        </w:rPr>
        <w:t xml:space="preserve">, </w:t>
      </w:r>
      <w:r>
        <w:rPr>
          <w:rFonts w:asciiTheme="minorHAnsi" w:hAnsiTheme="minorHAnsi"/>
        </w:rPr>
        <w:t xml:space="preserve">2025 and </w:t>
      </w:r>
      <w:r w:rsidRPr="00203A5C">
        <w:rPr>
          <w:rFonts w:asciiTheme="minorHAnsi" w:hAnsiTheme="minorHAnsi"/>
        </w:rPr>
        <w:t>2030 ($ Millions)</w:t>
      </w:r>
      <w:r w:rsidR="00750A22" w:rsidRPr="00750A22">
        <w:rPr>
          <w:rFonts w:asciiTheme="minorHAnsi" w:hAnsiTheme="minorHAnsi"/>
          <w:vertAlign w:val="superscript"/>
        </w:rPr>
        <w:t>(a)</w:t>
      </w:r>
      <w:bookmarkEnd w:id="281"/>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19"/>
        <w:gridCol w:w="1490"/>
        <w:gridCol w:w="1114"/>
        <w:gridCol w:w="1169"/>
        <w:gridCol w:w="1177"/>
        <w:gridCol w:w="1137"/>
        <w:gridCol w:w="1114"/>
        <w:gridCol w:w="1177"/>
      </w:tblGrid>
      <w:tr w:rsidR="0045709D" w:rsidRPr="00491864" w:rsidTr="002A7121">
        <w:trPr>
          <w:jc w:val="center"/>
        </w:trPr>
        <w:tc>
          <w:tcPr>
            <w:tcW w:w="819" w:type="dxa"/>
            <w:shd w:val="clear" w:color="auto" w:fill="0070C0"/>
            <w:vAlign w:val="center"/>
          </w:tcPr>
          <w:p w:rsidR="0045709D" w:rsidRPr="00491864" w:rsidRDefault="0045709D" w:rsidP="00D3304E">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491864">
              <w:rPr>
                <w:rFonts w:asciiTheme="minorHAnsi" w:eastAsia="Calibri" w:hAnsiTheme="minorHAnsi"/>
                <w:b/>
                <w:color w:val="FFFFFF" w:themeColor="background1"/>
                <w:sz w:val="18"/>
                <w:szCs w:val="18"/>
              </w:rPr>
              <w:t>Year</w:t>
            </w:r>
          </w:p>
        </w:tc>
        <w:tc>
          <w:tcPr>
            <w:tcW w:w="1490" w:type="dxa"/>
            <w:shd w:val="clear" w:color="auto" w:fill="0070C0"/>
          </w:tcPr>
          <w:p w:rsidR="0045709D" w:rsidRPr="00491864" w:rsidRDefault="0045709D" w:rsidP="00D3304E">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491864">
              <w:rPr>
                <w:rFonts w:asciiTheme="minorHAnsi" w:eastAsia="Calibri" w:hAnsiTheme="minorHAnsi"/>
                <w:b/>
                <w:color w:val="FFFFFF" w:themeColor="background1"/>
                <w:sz w:val="18"/>
                <w:szCs w:val="18"/>
              </w:rPr>
              <w:t>Transmission</w:t>
            </w:r>
          </w:p>
          <w:p w:rsidR="0045709D" w:rsidRPr="00491864" w:rsidRDefault="0045709D" w:rsidP="00D3304E">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491864">
              <w:rPr>
                <w:rFonts w:asciiTheme="minorHAnsi" w:eastAsia="Calibri" w:hAnsiTheme="minorHAnsi"/>
                <w:b/>
                <w:color w:val="FFFFFF" w:themeColor="background1"/>
                <w:sz w:val="18"/>
                <w:szCs w:val="18"/>
              </w:rPr>
              <w:t>Interfaces</w:t>
            </w:r>
          </w:p>
        </w:tc>
        <w:tc>
          <w:tcPr>
            <w:tcW w:w="1114" w:type="dxa"/>
            <w:shd w:val="clear" w:color="auto" w:fill="0070C0"/>
            <w:vAlign w:val="center"/>
          </w:tcPr>
          <w:p w:rsidR="0045709D" w:rsidRPr="00491864" w:rsidRDefault="0045709D" w:rsidP="00D3304E">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491864">
              <w:rPr>
                <w:rFonts w:asciiTheme="minorHAnsi" w:eastAsia="Calibri" w:hAnsiTheme="minorHAnsi"/>
                <w:b/>
                <w:color w:val="FFFFFF" w:themeColor="background1"/>
                <w:sz w:val="18"/>
                <w:szCs w:val="18"/>
              </w:rPr>
              <w:t>RPS + Gas</w:t>
            </w:r>
          </w:p>
        </w:tc>
        <w:tc>
          <w:tcPr>
            <w:tcW w:w="1169" w:type="dxa"/>
            <w:shd w:val="clear" w:color="auto" w:fill="0070C0"/>
            <w:vAlign w:val="center"/>
          </w:tcPr>
          <w:p w:rsidR="0045709D" w:rsidRPr="00491864" w:rsidRDefault="0045709D" w:rsidP="00D3304E">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491864">
              <w:rPr>
                <w:rFonts w:asciiTheme="minorHAnsi" w:eastAsia="Calibri" w:hAnsiTheme="minorHAnsi"/>
                <w:b/>
                <w:color w:val="FFFFFF" w:themeColor="background1"/>
                <w:sz w:val="18"/>
                <w:szCs w:val="18"/>
              </w:rPr>
              <w:t>ISO Queue</w:t>
            </w:r>
          </w:p>
        </w:tc>
        <w:tc>
          <w:tcPr>
            <w:tcW w:w="1177" w:type="dxa"/>
            <w:shd w:val="clear" w:color="auto" w:fill="0070C0"/>
            <w:vAlign w:val="center"/>
          </w:tcPr>
          <w:p w:rsidR="0045709D" w:rsidRPr="00491864" w:rsidRDefault="0045709D" w:rsidP="00D3304E">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491864">
              <w:rPr>
                <w:rFonts w:asciiTheme="minorHAnsi" w:eastAsia="Calibri" w:hAnsiTheme="minorHAnsi"/>
                <w:b/>
                <w:color w:val="FFFFFF" w:themeColor="background1"/>
                <w:sz w:val="18"/>
                <w:szCs w:val="18"/>
              </w:rPr>
              <w:t>Renew Plus</w:t>
            </w:r>
          </w:p>
        </w:tc>
        <w:tc>
          <w:tcPr>
            <w:tcW w:w="1137" w:type="dxa"/>
            <w:shd w:val="clear" w:color="auto" w:fill="0070C0"/>
            <w:vAlign w:val="center"/>
          </w:tcPr>
          <w:p w:rsidR="0045709D" w:rsidRPr="00491864" w:rsidRDefault="0045709D" w:rsidP="00D3304E">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491864">
              <w:rPr>
                <w:rFonts w:asciiTheme="minorHAnsi" w:eastAsia="Calibri" w:hAnsiTheme="minorHAnsi"/>
                <w:b/>
                <w:color w:val="FFFFFF" w:themeColor="background1"/>
                <w:sz w:val="18"/>
                <w:szCs w:val="18"/>
              </w:rPr>
              <w:t>No Retire</w:t>
            </w:r>
          </w:p>
        </w:tc>
        <w:tc>
          <w:tcPr>
            <w:tcW w:w="1114" w:type="dxa"/>
            <w:shd w:val="clear" w:color="auto" w:fill="0070C0"/>
            <w:vAlign w:val="center"/>
          </w:tcPr>
          <w:p w:rsidR="0045709D" w:rsidRPr="00491864" w:rsidRDefault="0045709D" w:rsidP="00D3304E">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491864">
              <w:rPr>
                <w:rFonts w:asciiTheme="minorHAnsi" w:eastAsia="Calibri" w:hAnsiTheme="minorHAnsi"/>
                <w:b/>
                <w:color w:val="FFFFFF" w:themeColor="background1"/>
                <w:sz w:val="18"/>
                <w:szCs w:val="18"/>
              </w:rPr>
              <w:t>ACP + Gas</w:t>
            </w:r>
          </w:p>
        </w:tc>
        <w:tc>
          <w:tcPr>
            <w:tcW w:w="1177" w:type="dxa"/>
            <w:shd w:val="clear" w:color="auto" w:fill="0070C0"/>
            <w:vAlign w:val="center"/>
          </w:tcPr>
          <w:p w:rsidR="0045709D" w:rsidRPr="00491864" w:rsidRDefault="0045709D" w:rsidP="00D3304E">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491864">
              <w:rPr>
                <w:rFonts w:asciiTheme="minorHAnsi" w:eastAsia="Calibri" w:hAnsiTheme="minorHAnsi"/>
                <w:b/>
                <w:color w:val="FFFFFF" w:themeColor="background1"/>
                <w:sz w:val="18"/>
                <w:szCs w:val="18"/>
              </w:rPr>
              <w:t>RPS + Geo Renew</w:t>
            </w:r>
          </w:p>
        </w:tc>
      </w:tr>
      <w:tr w:rsidR="002A7121" w:rsidRPr="00491864" w:rsidTr="002A7121">
        <w:trPr>
          <w:jc w:val="center"/>
        </w:trPr>
        <w:tc>
          <w:tcPr>
            <w:tcW w:w="819" w:type="dxa"/>
            <w:vMerge w:val="restart"/>
            <w:vAlign w:val="center"/>
          </w:tcPr>
          <w:p w:rsidR="002A7121" w:rsidRPr="00D3304E" w:rsidRDefault="002A7121" w:rsidP="00D3304E">
            <w:pPr>
              <w:keepNext/>
              <w:keepLines/>
              <w:adjustRightInd/>
              <w:spacing w:before="40" w:after="40" w:line="240" w:lineRule="auto"/>
              <w:jc w:val="center"/>
              <w:textAlignment w:val="auto"/>
              <w:rPr>
                <w:rFonts w:asciiTheme="minorHAnsi" w:eastAsia="Calibri" w:hAnsiTheme="minorHAnsi"/>
                <w:b/>
                <w:sz w:val="18"/>
                <w:szCs w:val="18"/>
              </w:rPr>
            </w:pPr>
            <w:r w:rsidRPr="00D3304E">
              <w:rPr>
                <w:rFonts w:asciiTheme="minorHAnsi" w:eastAsia="Calibri" w:hAnsiTheme="minorHAnsi"/>
                <w:b/>
                <w:sz w:val="18"/>
                <w:szCs w:val="18"/>
              </w:rPr>
              <w:t>2025</w:t>
            </w:r>
          </w:p>
        </w:tc>
        <w:tc>
          <w:tcPr>
            <w:tcW w:w="1490" w:type="dxa"/>
          </w:tcPr>
          <w:p w:rsidR="002A7121" w:rsidRPr="00491864" w:rsidRDefault="002A7121" w:rsidP="009B3C6A">
            <w:pPr>
              <w:keepNext/>
              <w:keepLines/>
              <w:adjustRightInd/>
              <w:spacing w:before="40" w:after="40" w:line="240" w:lineRule="auto"/>
              <w:textAlignment w:val="auto"/>
              <w:rPr>
                <w:rFonts w:asciiTheme="minorHAnsi" w:eastAsia="Calibri" w:hAnsiTheme="minorHAnsi"/>
                <w:sz w:val="18"/>
                <w:szCs w:val="18"/>
              </w:rPr>
            </w:pPr>
            <w:r w:rsidRPr="00491864">
              <w:rPr>
                <w:rFonts w:asciiTheme="minorHAnsi" w:eastAsia="Calibri" w:hAnsiTheme="minorHAnsi"/>
                <w:sz w:val="18"/>
                <w:szCs w:val="18"/>
              </w:rPr>
              <w:t>Orrington South</w:t>
            </w:r>
          </w:p>
        </w:tc>
        <w:tc>
          <w:tcPr>
            <w:tcW w:w="1114"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169.0</w:t>
            </w:r>
          </w:p>
        </w:tc>
        <w:tc>
          <w:tcPr>
            <w:tcW w:w="1169"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95.5</w:t>
            </w:r>
          </w:p>
        </w:tc>
        <w:tc>
          <w:tcPr>
            <w:tcW w:w="1177"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168.8</w:t>
            </w:r>
          </w:p>
        </w:tc>
        <w:tc>
          <w:tcPr>
            <w:tcW w:w="1137"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3.9</w:t>
            </w:r>
          </w:p>
        </w:tc>
        <w:tc>
          <w:tcPr>
            <w:tcW w:w="1114"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3.7</w:t>
            </w:r>
          </w:p>
        </w:tc>
        <w:tc>
          <w:tcPr>
            <w:tcW w:w="1177"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114.4</w:t>
            </w:r>
          </w:p>
        </w:tc>
      </w:tr>
      <w:tr w:rsidR="002A7121" w:rsidRPr="00491864" w:rsidTr="002A7121">
        <w:trPr>
          <w:jc w:val="center"/>
        </w:trPr>
        <w:tc>
          <w:tcPr>
            <w:tcW w:w="819" w:type="dxa"/>
            <w:vMerge/>
            <w:vAlign w:val="center"/>
          </w:tcPr>
          <w:p w:rsidR="002A7121" w:rsidRPr="00D3304E" w:rsidRDefault="002A7121" w:rsidP="00D3304E">
            <w:pPr>
              <w:keepNext/>
              <w:keepLines/>
              <w:adjustRightInd/>
              <w:spacing w:before="40" w:after="40" w:line="240" w:lineRule="auto"/>
              <w:jc w:val="center"/>
              <w:textAlignment w:val="auto"/>
              <w:rPr>
                <w:rFonts w:asciiTheme="minorHAnsi" w:eastAsia="Calibri" w:hAnsiTheme="minorHAnsi"/>
                <w:b/>
                <w:sz w:val="18"/>
                <w:szCs w:val="18"/>
              </w:rPr>
            </w:pPr>
          </w:p>
        </w:tc>
        <w:tc>
          <w:tcPr>
            <w:tcW w:w="1490" w:type="dxa"/>
          </w:tcPr>
          <w:p w:rsidR="002A7121" w:rsidRPr="00491864" w:rsidRDefault="002A7121" w:rsidP="009B3C6A">
            <w:pPr>
              <w:keepNext/>
              <w:keepLines/>
              <w:adjustRightInd/>
              <w:spacing w:before="40" w:after="40" w:line="240" w:lineRule="auto"/>
              <w:textAlignment w:val="auto"/>
              <w:rPr>
                <w:rFonts w:asciiTheme="minorHAnsi" w:eastAsia="Calibri" w:hAnsiTheme="minorHAnsi"/>
                <w:sz w:val="18"/>
                <w:szCs w:val="18"/>
              </w:rPr>
            </w:pPr>
            <w:r w:rsidRPr="00491864">
              <w:rPr>
                <w:rFonts w:asciiTheme="minorHAnsi" w:eastAsia="Calibri" w:hAnsiTheme="minorHAnsi"/>
                <w:sz w:val="18"/>
                <w:szCs w:val="18"/>
              </w:rPr>
              <w:t>Surowiec South</w:t>
            </w:r>
          </w:p>
        </w:tc>
        <w:tc>
          <w:tcPr>
            <w:tcW w:w="1114"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15.5</w:t>
            </w:r>
          </w:p>
        </w:tc>
        <w:tc>
          <w:tcPr>
            <w:tcW w:w="1169"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180.6</w:t>
            </w:r>
          </w:p>
        </w:tc>
        <w:tc>
          <w:tcPr>
            <w:tcW w:w="1177"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35.4</w:t>
            </w:r>
          </w:p>
        </w:tc>
        <w:tc>
          <w:tcPr>
            <w:tcW w:w="1137"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1.4</w:t>
            </w:r>
          </w:p>
        </w:tc>
        <w:tc>
          <w:tcPr>
            <w:tcW w:w="1114"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2.6</w:t>
            </w:r>
          </w:p>
        </w:tc>
        <w:tc>
          <w:tcPr>
            <w:tcW w:w="1177"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13.5</w:t>
            </w:r>
          </w:p>
        </w:tc>
      </w:tr>
      <w:tr w:rsidR="002A7121" w:rsidRPr="00491864" w:rsidTr="002A7121">
        <w:trPr>
          <w:jc w:val="center"/>
        </w:trPr>
        <w:tc>
          <w:tcPr>
            <w:tcW w:w="819" w:type="dxa"/>
            <w:vMerge/>
            <w:vAlign w:val="center"/>
          </w:tcPr>
          <w:p w:rsidR="002A7121" w:rsidRPr="00D3304E" w:rsidRDefault="002A7121" w:rsidP="00D3304E">
            <w:pPr>
              <w:keepNext/>
              <w:keepLines/>
              <w:adjustRightInd/>
              <w:spacing w:before="40" w:after="40" w:line="240" w:lineRule="auto"/>
              <w:jc w:val="center"/>
              <w:textAlignment w:val="auto"/>
              <w:rPr>
                <w:rFonts w:asciiTheme="minorHAnsi" w:eastAsia="Calibri" w:hAnsiTheme="minorHAnsi"/>
                <w:b/>
                <w:sz w:val="18"/>
                <w:szCs w:val="18"/>
              </w:rPr>
            </w:pPr>
          </w:p>
        </w:tc>
        <w:tc>
          <w:tcPr>
            <w:tcW w:w="1490" w:type="dxa"/>
          </w:tcPr>
          <w:p w:rsidR="002A7121" w:rsidRPr="00491864" w:rsidRDefault="002A7121" w:rsidP="009B3C6A">
            <w:pPr>
              <w:keepNext/>
              <w:keepLines/>
              <w:adjustRightInd/>
              <w:spacing w:before="40" w:after="40" w:line="240" w:lineRule="auto"/>
              <w:textAlignment w:val="auto"/>
              <w:rPr>
                <w:rFonts w:asciiTheme="minorHAnsi" w:eastAsia="Calibri" w:hAnsiTheme="minorHAnsi"/>
                <w:sz w:val="18"/>
                <w:szCs w:val="18"/>
              </w:rPr>
            </w:pPr>
            <w:r w:rsidRPr="00491864">
              <w:rPr>
                <w:rFonts w:asciiTheme="minorHAnsi" w:eastAsia="Calibri" w:hAnsiTheme="minorHAnsi"/>
                <w:sz w:val="18"/>
                <w:szCs w:val="18"/>
              </w:rPr>
              <w:t>Maine-New Hampshire</w:t>
            </w:r>
          </w:p>
        </w:tc>
        <w:tc>
          <w:tcPr>
            <w:tcW w:w="1114"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0.0</w:t>
            </w:r>
          </w:p>
        </w:tc>
        <w:tc>
          <w:tcPr>
            <w:tcW w:w="1169"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0.0</w:t>
            </w:r>
          </w:p>
        </w:tc>
        <w:tc>
          <w:tcPr>
            <w:tcW w:w="1177"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0.0</w:t>
            </w:r>
          </w:p>
        </w:tc>
        <w:tc>
          <w:tcPr>
            <w:tcW w:w="1137"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0.0</w:t>
            </w:r>
          </w:p>
        </w:tc>
        <w:tc>
          <w:tcPr>
            <w:tcW w:w="1114"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0.0</w:t>
            </w:r>
          </w:p>
        </w:tc>
        <w:tc>
          <w:tcPr>
            <w:tcW w:w="1177"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0.0</w:t>
            </w:r>
          </w:p>
        </w:tc>
      </w:tr>
      <w:tr w:rsidR="002A7121" w:rsidRPr="00491864" w:rsidTr="002A7121">
        <w:trPr>
          <w:jc w:val="center"/>
        </w:trPr>
        <w:tc>
          <w:tcPr>
            <w:tcW w:w="819" w:type="dxa"/>
            <w:vMerge/>
            <w:vAlign w:val="center"/>
          </w:tcPr>
          <w:p w:rsidR="002A7121" w:rsidRPr="00D3304E" w:rsidRDefault="002A7121" w:rsidP="00D3304E">
            <w:pPr>
              <w:keepNext/>
              <w:keepLines/>
              <w:adjustRightInd/>
              <w:spacing w:before="40" w:after="40" w:line="240" w:lineRule="auto"/>
              <w:jc w:val="center"/>
              <w:textAlignment w:val="auto"/>
              <w:rPr>
                <w:rFonts w:asciiTheme="minorHAnsi" w:eastAsia="Calibri" w:hAnsiTheme="minorHAnsi"/>
                <w:b/>
                <w:sz w:val="18"/>
                <w:szCs w:val="18"/>
              </w:rPr>
            </w:pPr>
          </w:p>
        </w:tc>
        <w:tc>
          <w:tcPr>
            <w:tcW w:w="1490" w:type="dxa"/>
          </w:tcPr>
          <w:p w:rsidR="002A7121" w:rsidRPr="00491864" w:rsidRDefault="002A7121" w:rsidP="009B3C6A">
            <w:pPr>
              <w:keepNext/>
              <w:keepLines/>
              <w:adjustRightInd/>
              <w:spacing w:before="40" w:after="40" w:line="240" w:lineRule="auto"/>
              <w:textAlignment w:val="auto"/>
              <w:rPr>
                <w:rFonts w:asciiTheme="minorHAnsi" w:eastAsia="Calibri" w:hAnsiTheme="minorHAnsi"/>
                <w:sz w:val="18"/>
                <w:szCs w:val="18"/>
              </w:rPr>
            </w:pPr>
            <w:r w:rsidRPr="00491864">
              <w:rPr>
                <w:rFonts w:asciiTheme="minorHAnsi" w:eastAsia="Calibri" w:hAnsiTheme="minorHAnsi"/>
                <w:sz w:val="18"/>
                <w:szCs w:val="18"/>
              </w:rPr>
              <w:t>North-South</w:t>
            </w:r>
          </w:p>
        </w:tc>
        <w:tc>
          <w:tcPr>
            <w:tcW w:w="1114"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0.1</w:t>
            </w:r>
          </w:p>
        </w:tc>
        <w:tc>
          <w:tcPr>
            <w:tcW w:w="1169"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0.2</w:t>
            </w:r>
          </w:p>
        </w:tc>
        <w:tc>
          <w:tcPr>
            <w:tcW w:w="1177"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0.1</w:t>
            </w:r>
          </w:p>
        </w:tc>
        <w:tc>
          <w:tcPr>
            <w:tcW w:w="1137"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1.0</w:t>
            </w:r>
          </w:p>
        </w:tc>
        <w:tc>
          <w:tcPr>
            <w:tcW w:w="1114"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0.0</w:t>
            </w:r>
          </w:p>
        </w:tc>
        <w:tc>
          <w:tcPr>
            <w:tcW w:w="1177"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0.1</w:t>
            </w:r>
          </w:p>
        </w:tc>
      </w:tr>
      <w:tr w:rsidR="002A7121" w:rsidRPr="00491864" w:rsidTr="002A7121">
        <w:trPr>
          <w:jc w:val="center"/>
        </w:trPr>
        <w:tc>
          <w:tcPr>
            <w:tcW w:w="819" w:type="dxa"/>
            <w:vMerge/>
            <w:vAlign w:val="center"/>
          </w:tcPr>
          <w:p w:rsidR="002A7121" w:rsidRPr="00D3304E" w:rsidRDefault="002A7121" w:rsidP="00D3304E">
            <w:pPr>
              <w:keepNext/>
              <w:keepLines/>
              <w:adjustRightInd/>
              <w:spacing w:before="40" w:after="40" w:line="240" w:lineRule="auto"/>
              <w:jc w:val="center"/>
              <w:textAlignment w:val="auto"/>
              <w:rPr>
                <w:rFonts w:asciiTheme="minorHAnsi" w:eastAsia="Calibri" w:hAnsiTheme="minorHAnsi"/>
                <w:b/>
                <w:sz w:val="18"/>
                <w:szCs w:val="18"/>
              </w:rPr>
            </w:pPr>
          </w:p>
        </w:tc>
        <w:tc>
          <w:tcPr>
            <w:tcW w:w="1490" w:type="dxa"/>
          </w:tcPr>
          <w:p w:rsidR="002A7121" w:rsidRPr="00491864" w:rsidRDefault="002A7121" w:rsidP="009B3C6A">
            <w:pPr>
              <w:keepNext/>
              <w:keepLines/>
              <w:adjustRightInd/>
              <w:spacing w:before="40" w:after="40" w:line="240" w:lineRule="auto"/>
              <w:textAlignment w:val="auto"/>
              <w:rPr>
                <w:rFonts w:asciiTheme="minorHAnsi" w:eastAsia="Calibri" w:hAnsiTheme="minorHAnsi"/>
                <w:sz w:val="18"/>
                <w:szCs w:val="18"/>
              </w:rPr>
            </w:pPr>
            <w:r w:rsidRPr="00491864">
              <w:rPr>
                <w:rFonts w:asciiTheme="minorHAnsi" w:eastAsia="Calibri" w:hAnsiTheme="minorHAnsi"/>
                <w:sz w:val="18"/>
                <w:szCs w:val="18"/>
              </w:rPr>
              <w:t>Northern New Hampshire</w:t>
            </w:r>
          </w:p>
        </w:tc>
        <w:tc>
          <w:tcPr>
            <w:tcW w:w="1114"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8.3</w:t>
            </w:r>
          </w:p>
        </w:tc>
        <w:tc>
          <w:tcPr>
            <w:tcW w:w="1169"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7.9</w:t>
            </w:r>
          </w:p>
        </w:tc>
        <w:tc>
          <w:tcPr>
            <w:tcW w:w="1177"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7.1</w:t>
            </w:r>
          </w:p>
        </w:tc>
        <w:tc>
          <w:tcPr>
            <w:tcW w:w="1137"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8.3</w:t>
            </w:r>
          </w:p>
        </w:tc>
        <w:tc>
          <w:tcPr>
            <w:tcW w:w="1114"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8.7</w:t>
            </w:r>
          </w:p>
        </w:tc>
        <w:tc>
          <w:tcPr>
            <w:tcW w:w="1177"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7.4</w:t>
            </w:r>
          </w:p>
        </w:tc>
      </w:tr>
      <w:tr w:rsidR="002A7121" w:rsidRPr="00491864" w:rsidTr="002A7121">
        <w:trPr>
          <w:jc w:val="center"/>
        </w:trPr>
        <w:tc>
          <w:tcPr>
            <w:tcW w:w="819" w:type="dxa"/>
            <w:vMerge/>
            <w:vAlign w:val="center"/>
          </w:tcPr>
          <w:p w:rsidR="002A7121" w:rsidRPr="00D3304E" w:rsidRDefault="002A7121" w:rsidP="00D3304E">
            <w:pPr>
              <w:keepNext/>
              <w:keepLines/>
              <w:adjustRightInd/>
              <w:spacing w:before="40" w:after="40" w:line="240" w:lineRule="auto"/>
              <w:jc w:val="center"/>
              <w:textAlignment w:val="auto"/>
              <w:rPr>
                <w:rFonts w:asciiTheme="minorHAnsi" w:eastAsia="Calibri" w:hAnsiTheme="minorHAnsi"/>
                <w:b/>
                <w:sz w:val="18"/>
                <w:szCs w:val="18"/>
              </w:rPr>
            </w:pPr>
          </w:p>
        </w:tc>
        <w:tc>
          <w:tcPr>
            <w:tcW w:w="1490" w:type="dxa"/>
          </w:tcPr>
          <w:p w:rsidR="002A7121" w:rsidRPr="00491864" w:rsidRDefault="002A7121" w:rsidP="009B3C6A">
            <w:pPr>
              <w:keepNext/>
              <w:keepLines/>
              <w:adjustRightInd/>
              <w:spacing w:before="40" w:after="40" w:line="240" w:lineRule="auto"/>
              <w:textAlignment w:val="auto"/>
              <w:rPr>
                <w:rFonts w:asciiTheme="minorHAnsi" w:eastAsia="Calibri" w:hAnsiTheme="minorHAnsi"/>
                <w:sz w:val="18"/>
                <w:szCs w:val="18"/>
              </w:rPr>
            </w:pPr>
            <w:r w:rsidRPr="00491864">
              <w:rPr>
                <w:rFonts w:asciiTheme="minorHAnsi" w:eastAsia="Calibri" w:hAnsiTheme="minorHAnsi"/>
                <w:sz w:val="18"/>
                <w:szCs w:val="18"/>
              </w:rPr>
              <w:t>Other</w:t>
            </w:r>
          </w:p>
        </w:tc>
        <w:tc>
          <w:tcPr>
            <w:tcW w:w="1114"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0.0</w:t>
            </w:r>
          </w:p>
        </w:tc>
        <w:tc>
          <w:tcPr>
            <w:tcW w:w="1169"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0.1</w:t>
            </w:r>
          </w:p>
        </w:tc>
        <w:tc>
          <w:tcPr>
            <w:tcW w:w="1177"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0.3</w:t>
            </w:r>
          </w:p>
        </w:tc>
        <w:tc>
          <w:tcPr>
            <w:tcW w:w="1137"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1.4</w:t>
            </w:r>
          </w:p>
        </w:tc>
        <w:tc>
          <w:tcPr>
            <w:tcW w:w="1114"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1.5</w:t>
            </w:r>
          </w:p>
        </w:tc>
        <w:tc>
          <w:tcPr>
            <w:tcW w:w="1177" w:type="dxa"/>
            <w:shd w:val="clear" w:color="auto" w:fill="auto"/>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0.1</w:t>
            </w:r>
          </w:p>
        </w:tc>
      </w:tr>
      <w:tr w:rsidR="002A7121" w:rsidRPr="00491864" w:rsidTr="009B3C6A">
        <w:trPr>
          <w:jc w:val="center"/>
        </w:trPr>
        <w:tc>
          <w:tcPr>
            <w:tcW w:w="819" w:type="dxa"/>
            <w:vMerge/>
            <w:vAlign w:val="center"/>
          </w:tcPr>
          <w:p w:rsidR="002A7121" w:rsidRPr="00D3304E" w:rsidRDefault="002A7121" w:rsidP="00D3304E">
            <w:pPr>
              <w:keepNext/>
              <w:keepLines/>
              <w:adjustRightInd/>
              <w:spacing w:before="40" w:after="40" w:line="240" w:lineRule="auto"/>
              <w:jc w:val="center"/>
              <w:textAlignment w:val="auto"/>
              <w:rPr>
                <w:rFonts w:asciiTheme="minorHAnsi" w:eastAsia="Calibri" w:hAnsiTheme="minorHAnsi"/>
                <w:b/>
                <w:sz w:val="18"/>
                <w:szCs w:val="18"/>
              </w:rPr>
            </w:pPr>
          </w:p>
        </w:tc>
        <w:tc>
          <w:tcPr>
            <w:tcW w:w="1490" w:type="dxa"/>
            <w:shd w:val="clear" w:color="auto" w:fill="B8CCE4" w:themeFill="accent1" w:themeFillTint="66"/>
          </w:tcPr>
          <w:p w:rsidR="002A7121" w:rsidRPr="00491864" w:rsidRDefault="002A7121" w:rsidP="009B3C6A">
            <w:pPr>
              <w:keepNext/>
              <w:keepLines/>
              <w:adjustRightInd/>
              <w:spacing w:before="40" w:after="40" w:line="240" w:lineRule="auto"/>
              <w:textAlignment w:val="auto"/>
              <w:rPr>
                <w:rFonts w:asciiTheme="minorHAnsi" w:eastAsia="Calibri" w:hAnsiTheme="minorHAnsi"/>
                <w:sz w:val="18"/>
                <w:szCs w:val="18"/>
              </w:rPr>
            </w:pPr>
            <w:r w:rsidRPr="00491864">
              <w:rPr>
                <w:rFonts w:asciiTheme="minorHAnsi" w:eastAsia="Calibri" w:hAnsiTheme="minorHAnsi"/>
                <w:sz w:val="18"/>
                <w:szCs w:val="18"/>
              </w:rPr>
              <w:t>Total of Above</w:t>
            </w:r>
          </w:p>
        </w:tc>
        <w:tc>
          <w:tcPr>
            <w:tcW w:w="1114" w:type="dxa"/>
            <w:shd w:val="clear" w:color="auto" w:fill="B8CCE4" w:themeFill="accent1" w:themeFillTint="66"/>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192.9</w:t>
            </w:r>
          </w:p>
        </w:tc>
        <w:tc>
          <w:tcPr>
            <w:tcW w:w="1169" w:type="dxa"/>
            <w:shd w:val="clear" w:color="auto" w:fill="B8CCE4" w:themeFill="accent1" w:themeFillTint="66"/>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284.3</w:t>
            </w:r>
          </w:p>
        </w:tc>
        <w:tc>
          <w:tcPr>
            <w:tcW w:w="1177" w:type="dxa"/>
            <w:shd w:val="clear" w:color="auto" w:fill="B8CCE4" w:themeFill="accent1" w:themeFillTint="66"/>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211.7</w:t>
            </w:r>
          </w:p>
        </w:tc>
        <w:tc>
          <w:tcPr>
            <w:tcW w:w="1137" w:type="dxa"/>
            <w:shd w:val="clear" w:color="auto" w:fill="B8CCE4" w:themeFill="accent1" w:themeFillTint="66"/>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16.2</w:t>
            </w:r>
          </w:p>
        </w:tc>
        <w:tc>
          <w:tcPr>
            <w:tcW w:w="1114" w:type="dxa"/>
            <w:shd w:val="clear" w:color="auto" w:fill="B8CCE4" w:themeFill="accent1" w:themeFillTint="66"/>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16.5</w:t>
            </w:r>
          </w:p>
        </w:tc>
        <w:tc>
          <w:tcPr>
            <w:tcW w:w="1177" w:type="dxa"/>
            <w:shd w:val="clear" w:color="auto" w:fill="B8CCE4" w:themeFill="accent1" w:themeFillTint="66"/>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135.3</w:t>
            </w:r>
          </w:p>
        </w:tc>
      </w:tr>
      <w:tr w:rsidR="002A7121" w:rsidRPr="00491864" w:rsidTr="00491864">
        <w:trPr>
          <w:jc w:val="center"/>
        </w:trPr>
        <w:tc>
          <w:tcPr>
            <w:tcW w:w="819" w:type="dxa"/>
            <w:vMerge w:val="restart"/>
            <w:shd w:val="clear" w:color="auto" w:fill="DBE5F1" w:themeFill="accent1" w:themeFillTint="33"/>
            <w:vAlign w:val="center"/>
          </w:tcPr>
          <w:p w:rsidR="002A7121" w:rsidRPr="00D3304E" w:rsidRDefault="002A7121" w:rsidP="00D3304E">
            <w:pPr>
              <w:keepNext/>
              <w:keepLines/>
              <w:adjustRightInd/>
              <w:spacing w:before="40" w:after="40" w:line="240" w:lineRule="auto"/>
              <w:jc w:val="center"/>
              <w:textAlignment w:val="auto"/>
              <w:rPr>
                <w:rFonts w:asciiTheme="minorHAnsi" w:eastAsia="Calibri" w:hAnsiTheme="minorHAnsi"/>
                <w:b/>
                <w:sz w:val="18"/>
                <w:szCs w:val="18"/>
              </w:rPr>
            </w:pPr>
            <w:r w:rsidRPr="00D3304E">
              <w:rPr>
                <w:rFonts w:asciiTheme="minorHAnsi" w:eastAsia="Calibri" w:hAnsiTheme="minorHAnsi"/>
                <w:b/>
                <w:sz w:val="18"/>
                <w:szCs w:val="18"/>
              </w:rPr>
              <w:t>2030</w:t>
            </w:r>
          </w:p>
        </w:tc>
        <w:tc>
          <w:tcPr>
            <w:tcW w:w="1490" w:type="dxa"/>
            <w:shd w:val="clear" w:color="auto" w:fill="DBE5F1" w:themeFill="accent1" w:themeFillTint="33"/>
          </w:tcPr>
          <w:p w:rsidR="002A7121" w:rsidRPr="00491864" w:rsidRDefault="002A7121" w:rsidP="009B3C6A">
            <w:pPr>
              <w:keepNext/>
              <w:keepLines/>
              <w:adjustRightInd/>
              <w:spacing w:before="40" w:after="40" w:line="240" w:lineRule="auto"/>
              <w:textAlignment w:val="auto"/>
              <w:rPr>
                <w:rFonts w:asciiTheme="minorHAnsi" w:eastAsia="Calibri" w:hAnsiTheme="minorHAnsi"/>
                <w:sz w:val="18"/>
                <w:szCs w:val="18"/>
              </w:rPr>
            </w:pPr>
            <w:r w:rsidRPr="00491864">
              <w:rPr>
                <w:rFonts w:asciiTheme="minorHAnsi" w:eastAsia="Calibri" w:hAnsiTheme="minorHAnsi"/>
                <w:sz w:val="18"/>
                <w:szCs w:val="18"/>
              </w:rPr>
              <w:t>Orrington South</w:t>
            </w:r>
          </w:p>
        </w:tc>
        <w:tc>
          <w:tcPr>
            <w:tcW w:w="1114"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254.3</w:t>
            </w:r>
          </w:p>
        </w:tc>
        <w:tc>
          <w:tcPr>
            <w:tcW w:w="1169"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52.2</w:t>
            </w:r>
          </w:p>
        </w:tc>
        <w:tc>
          <w:tcPr>
            <w:tcW w:w="1177"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60.7</w:t>
            </w:r>
          </w:p>
        </w:tc>
        <w:tc>
          <w:tcPr>
            <w:tcW w:w="1137"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8.0</w:t>
            </w:r>
          </w:p>
        </w:tc>
        <w:tc>
          <w:tcPr>
            <w:tcW w:w="1114"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4.2</w:t>
            </w:r>
          </w:p>
        </w:tc>
        <w:tc>
          <w:tcPr>
            <w:tcW w:w="1177"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56.0</w:t>
            </w:r>
          </w:p>
        </w:tc>
      </w:tr>
      <w:tr w:rsidR="002A7121" w:rsidRPr="00491864" w:rsidTr="00491864">
        <w:trPr>
          <w:jc w:val="center"/>
        </w:trPr>
        <w:tc>
          <w:tcPr>
            <w:tcW w:w="819" w:type="dxa"/>
            <w:vMerge/>
            <w:shd w:val="clear" w:color="auto" w:fill="DBE5F1" w:themeFill="accent1" w:themeFillTint="33"/>
            <w:vAlign w:val="cente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p>
        </w:tc>
        <w:tc>
          <w:tcPr>
            <w:tcW w:w="1490" w:type="dxa"/>
            <w:shd w:val="clear" w:color="auto" w:fill="DBE5F1" w:themeFill="accent1" w:themeFillTint="33"/>
          </w:tcPr>
          <w:p w:rsidR="002A7121" w:rsidRPr="00491864" w:rsidRDefault="002A7121" w:rsidP="009B3C6A">
            <w:pPr>
              <w:keepNext/>
              <w:keepLines/>
              <w:adjustRightInd/>
              <w:spacing w:before="40" w:after="40" w:line="240" w:lineRule="auto"/>
              <w:textAlignment w:val="auto"/>
              <w:rPr>
                <w:rFonts w:asciiTheme="minorHAnsi" w:eastAsia="Calibri" w:hAnsiTheme="minorHAnsi"/>
                <w:sz w:val="18"/>
                <w:szCs w:val="18"/>
              </w:rPr>
            </w:pPr>
            <w:r w:rsidRPr="00491864">
              <w:rPr>
                <w:rFonts w:asciiTheme="minorHAnsi" w:eastAsia="Calibri" w:hAnsiTheme="minorHAnsi"/>
                <w:sz w:val="18"/>
                <w:szCs w:val="18"/>
              </w:rPr>
              <w:t>Surowiec South</w:t>
            </w:r>
          </w:p>
        </w:tc>
        <w:tc>
          <w:tcPr>
            <w:tcW w:w="1114"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5.8</w:t>
            </w:r>
          </w:p>
        </w:tc>
        <w:tc>
          <w:tcPr>
            <w:tcW w:w="1169"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455.9</w:t>
            </w:r>
          </w:p>
        </w:tc>
        <w:tc>
          <w:tcPr>
            <w:tcW w:w="1177"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143.8</w:t>
            </w:r>
          </w:p>
        </w:tc>
        <w:tc>
          <w:tcPr>
            <w:tcW w:w="1137"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0.7</w:t>
            </w:r>
          </w:p>
        </w:tc>
        <w:tc>
          <w:tcPr>
            <w:tcW w:w="1114"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0.1</w:t>
            </w:r>
          </w:p>
        </w:tc>
        <w:tc>
          <w:tcPr>
            <w:tcW w:w="1177"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188.9</w:t>
            </w:r>
          </w:p>
        </w:tc>
      </w:tr>
      <w:tr w:rsidR="002A7121" w:rsidRPr="00491864" w:rsidTr="00491864">
        <w:trPr>
          <w:jc w:val="center"/>
        </w:trPr>
        <w:tc>
          <w:tcPr>
            <w:tcW w:w="819" w:type="dxa"/>
            <w:vMerge/>
            <w:shd w:val="clear" w:color="auto" w:fill="DBE5F1" w:themeFill="accent1" w:themeFillTint="33"/>
            <w:vAlign w:val="cente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p>
        </w:tc>
        <w:tc>
          <w:tcPr>
            <w:tcW w:w="1490" w:type="dxa"/>
            <w:shd w:val="clear" w:color="auto" w:fill="DBE5F1" w:themeFill="accent1" w:themeFillTint="33"/>
          </w:tcPr>
          <w:p w:rsidR="002A7121" w:rsidRPr="00491864" w:rsidRDefault="002A7121" w:rsidP="009B3C6A">
            <w:pPr>
              <w:keepNext/>
              <w:keepLines/>
              <w:adjustRightInd/>
              <w:spacing w:before="40" w:after="40" w:line="240" w:lineRule="auto"/>
              <w:textAlignment w:val="auto"/>
              <w:rPr>
                <w:rFonts w:asciiTheme="minorHAnsi" w:eastAsia="Calibri" w:hAnsiTheme="minorHAnsi"/>
                <w:sz w:val="18"/>
                <w:szCs w:val="18"/>
              </w:rPr>
            </w:pPr>
            <w:r w:rsidRPr="00491864">
              <w:rPr>
                <w:rFonts w:asciiTheme="minorHAnsi" w:eastAsia="Calibri" w:hAnsiTheme="minorHAnsi"/>
                <w:sz w:val="18"/>
                <w:szCs w:val="18"/>
              </w:rPr>
              <w:t>Maine-New Hampshire</w:t>
            </w:r>
          </w:p>
        </w:tc>
        <w:tc>
          <w:tcPr>
            <w:tcW w:w="1114"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1.4</w:t>
            </w:r>
          </w:p>
        </w:tc>
        <w:tc>
          <w:tcPr>
            <w:tcW w:w="1169"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0.0</w:t>
            </w:r>
          </w:p>
        </w:tc>
        <w:tc>
          <w:tcPr>
            <w:tcW w:w="1177"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0.0</w:t>
            </w:r>
          </w:p>
        </w:tc>
        <w:tc>
          <w:tcPr>
            <w:tcW w:w="1137"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0.0</w:t>
            </w:r>
          </w:p>
        </w:tc>
        <w:tc>
          <w:tcPr>
            <w:tcW w:w="1114"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0.6</w:t>
            </w:r>
          </w:p>
        </w:tc>
        <w:tc>
          <w:tcPr>
            <w:tcW w:w="1177"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0.0</w:t>
            </w:r>
          </w:p>
        </w:tc>
      </w:tr>
      <w:tr w:rsidR="002A7121" w:rsidRPr="00491864" w:rsidTr="00491864">
        <w:trPr>
          <w:jc w:val="center"/>
        </w:trPr>
        <w:tc>
          <w:tcPr>
            <w:tcW w:w="819" w:type="dxa"/>
            <w:vMerge/>
            <w:shd w:val="clear" w:color="auto" w:fill="DBE5F1" w:themeFill="accent1" w:themeFillTint="33"/>
            <w:vAlign w:val="cente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p>
        </w:tc>
        <w:tc>
          <w:tcPr>
            <w:tcW w:w="1490" w:type="dxa"/>
            <w:shd w:val="clear" w:color="auto" w:fill="DBE5F1" w:themeFill="accent1" w:themeFillTint="33"/>
          </w:tcPr>
          <w:p w:rsidR="002A7121" w:rsidRPr="00491864" w:rsidRDefault="002A7121" w:rsidP="009B3C6A">
            <w:pPr>
              <w:keepNext/>
              <w:keepLines/>
              <w:adjustRightInd/>
              <w:spacing w:before="40" w:after="40" w:line="240" w:lineRule="auto"/>
              <w:textAlignment w:val="auto"/>
              <w:rPr>
                <w:rFonts w:asciiTheme="minorHAnsi" w:eastAsia="Calibri" w:hAnsiTheme="minorHAnsi"/>
                <w:sz w:val="18"/>
                <w:szCs w:val="18"/>
              </w:rPr>
            </w:pPr>
            <w:r w:rsidRPr="00491864">
              <w:rPr>
                <w:rFonts w:asciiTheme="minorHAnsi" w:eastAsia="Calibri" w:hAnsiTheme="minorHAnsi"/>
                <w:sz w:val="18"/>
                <w:szCs w:val="18"/>
              </w:rPr>
              <w:t>North-South</w:t>
            </w:r>
          </w:p>
        </w:tc>
        <w:tc>
          <w:tcPr>
            <w:tcW w:w="1114"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2.8</w:t>
            </w:r>
          </w:p>
        </w:tc>
        <w:tc>
          <w:tcPr>
            <w:tcW w:w="1169"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1.4</w:t>
            </w:r>
          </w:p>
        </w:tc>
        <w:tc>
          <w:tcPr>
            <w:tcW w:w="1177"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0.3</w:t>
            </w:r>
          </w:p>
        </w:tc>
        <w:tc>
          <w:tcPr>
            <w:tcW w:w="1137"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1.2</w:t>
            </w:r>
          </w:p>
        </w:tc>
        <w:tc>
          <w:tcPr>
            <w:tcW w:w="1114"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0.8</w:t>
            </w:r>
          </w:p>
        </w:tc>
        <w:tc>
          <w:tcPr>
            <w:tcW w:w="1177"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0.1</w:t>
            </w:r>
          </w:p>
        </w:tc>
      </w:tr>
      <w:tr w:rsidR="002A7121" w:rsidRPr="00491864" w:rsidTr="00491864">
        <w:trPr>
          <w:jc w:val="center"/>
        </w:trPr>
        <w:tc>
          <w:tcPr>
            <w:tcW w:w="819" w:type="dxa"/>
            <w:vMerge/>
            <w:shd w:val="clear" w:color="auto" w:fill="DBE5F1" w:themeFill="accent1" w:themeFillTint="33"/>
            <w:vAlign w:val="cente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p>
        </w:tc>
        <w:tc>
          <w:tcPr>
            <w:tcW w:w="1490" w:type="dxa"/>
            <w:shd w:val="clear" w:color="auto" w:fill="DBE5F1" w:themeFill="accent1" w:themeFillTint="33"/>
          </w:tcPr>
          <w:p w:rsidR="002A7121" w:rsidRPr="00491864" w:rsidRDefault="002A7121" w:rsidP="009B3C6A">
            <w:pPr>
              <w:keepNext/>
              <w:keepLines/>
              <w:adjustRightInd/>
              <w:spacing w:before="40" w:after="40" w:line="240" w:lineRule="auto"/>
              <w:textAlignment w:val="auto"/>
              <w:rPr>
                <w:rFonts w:asciiTheme="minorHAnsi" w:eastAsia="Calibri" w:hAnsiTheme="minorHAnsi"/>
                <w:sz w:val="18"/>
                <w:szCs w:val="18"/>
              </w:rPr>
            </w:pPr>
            <w:r w:rsidRPr="00491864">
              <w:rPr>
                <w:rFonts w:asciiTheme="minorHAnsi" w:eastAsia="Calibri" w:hAnsiTheme="minorHAnsi"/>
                <w:sz w:val="18"/>
                <w:szCs w:val="18"/>
              </w:rPr>
              <w:t>Northern New Hampshire</w:t>
            </w:r>
          </w:p>
        </w:tc>
        <w:tc>
          <w:tcPr>
            <w:tcW w:w="1114"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8.2</w:t>
            </w:r>
          </w:p>
        </w:tc>
        <w:tc>
          <w:tcPr>
            <w:tcW w:w="1169"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6.7</w:t>
            </w:r>
          </w:p>
        </w:tc>
        <w:tc>
          <w:tcPr>
            <w:tcW w:w="1177"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4.9</w:t>
            </w:r>
          </w:p>
        </w:tc>
        <w:tc>
          <w:tcPr>
            <w:tcW w:w="1137"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7.9</w:t>
            </w:r>
          </w:p>
        </w:tc>
        <w:tc>
          <w:tcPr>
            <w:tcW w:w="1114"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8.3</w:t>
            </w:r>
          </w:p>
        </w:tc>
        <w:tc>
          <w:tcPr>
            <w:tcW w:w="1177"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3.1</w:t>
            </w:r>
          </w:p>
        </w:tc>
      </w:tr>
      <w:tr w:rsidR="002A7121" w:rsidRPr="00491864" w:rsidTr="00491864">
        <w:trPr>
          <w:jc w:val="center"/>
        </w:trPr>
        <w:tc>
          <w:tcPr>
            <w:tcW w:w="819" w:type="dxa"/>
            <w:vMerge/>
            <w:shd w:val="clear" w:color="auto" w:fill="DBE5F1" w:themeFill="accent1" w:themeFillTint="33"/>
            <w:vAlign w:val="cente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p>
        </w:tc>
        <w:tc>
          <w:tcPr>
            <w:tcW w:w="1490" w:type="dxa"/>
            <w:shd w:val="clear" w:color="auto" w:fill="DBE5F1" w:themeFill="accent1" w:themeFillTint="33"/>
          </w:tcPr>
          <w:p w:rsidR="002A7121" w:rsidRPr="00491864" w:rsidRDefault="002A7121" w:rsidP="009B3C6A">
            <w:pPr>
              <w:keepNext/>
              <w:keepLines/>
              <w:adjustRightInd/>
              <w:spacing w:before="40" w:after="40" w:line="240" w:lineRule="auto"/>
              <w:textAlignment w:val="auto"/>
              <w:rPr>
                <w:rFonts w:asciiTheme="minorHAnsi" w:eastAsia="Calibri" w:hAnsiTheme="minorHAnsi"/>
                <w:sz w:val="18"/>
                <w:szCs w:val="18"/>
              </w:rPr>
            </w:pPr>
            <w:r w:rsidRPr="00491864">
              <w:rPr>
                <w:rFonts w:asciiTheme="minorHAnsi" w:eastAsia="Calibri" w:hAnsiTheme="minorHAnsi"/>
                <w:sz w:val="18"/>
                <w:szCs w:val="18"/>
              </w:rPr>
              <w:t>Other</w:t>
            </w:r>
          </w:p>
        </w:tc>
        <w:tc>
          <w:tcPr>
            <w:tcW w:w="1114"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0.2</w:t>
            </w:r>
          </w:p>
        </w:tc>
        <w:tc>
          <w:tcPr>
            <w:tcW w:w="1169"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0.0</w:t>
            </w:r>
          </w:p>
        </w:tc>
        <w:tc>
          <w:tcPr>
            <w:tcW w:w="1177"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1.5</w:t>
            </w:r>
          </w:p>
        </w:tc>
        <w:tc>
          <w:tcPr>
            <w:tcW w:w="1137"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1.4</w:t>
            </w:r>
          </w:p>
        </w:tc>
        <w:tc>
          <w:tcPr>
            <w:tcW w:w="1114"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1.7</w:t>
            </w:r>
          </w:p>
        </w:tc>
        <w:tc>
          <w:tcPr>
            <w:tcW w:w="1177" w:type="dxa"/>
            <w:shd w:val="clear" w:color="auto" w:fill="DBE5F1" w:themeFill="accent1" w:themeFillTint="33"/>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8.7</w:t>
            </w:r>
          </w:p>
        </w:tc>
      </w:tr>
      <w:tr w:rsidR="002A7121" w:rsidRPr="00491864" w:rsidTr="009B3C6A">
        <w:trPr>
          <w:jc w:val="center"/>
        </w:trPr>
        <w:tc>
          <w:tcPr>
            <w:tcW w:w="819" w:type="dxa"/>
            <w:vMerge/>
            <w:shd w:val="clear" w:color="auto" w:fill="DBE5F1" w:themeFill="accent1" w:themeFillTint="33"/>
            <w:vAlign w:val="cente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p>
        </w:tc>
        <w:tc>
          <w:tcPr>
            <w:tcW w:w="1490" w:type="dxa"/>
            <w:shd w:val="clear" w:color="auto" w:fill="B8CCE4" w:themeFill="accent1" w:themeFillTint="66"/>
          </w:tcPr>
          <w:p w:rsidR="002A7121" w:rsidRPr="00491864" w:rsidRDefault="002A7121" w:rsidP="009B3C6A">
            <w:pPr>
              <w:keepNext/>
              <w:keepLines/>
              <w:adjustRightInd/>
              <w:spacing w:before="40" w:after="40" w:line="240" w:lineRule="auto"/>
              <w:textAlignment w:val="auto"/>
              <w:rPr>
                <w:rFonts w:asciiTheme="minorHAnsi" w:eastAsia="Calibri" w:hAnsiTheme="minorHAnsi"/>
                <w:sz w:val="18"/>
                <w:szCs w:val="18"/>
              </w:rPr>
            </w:pPr>
            <w:r w:rsidRPr="00491864">
              <w:rPr>
                <w:rFonts w:asciiTheme="minorHAnsi" w:eastAsia="Calibri" w:hAnsiTheme="minorHAnsi"/>
                <w:sz w:val="18"/>
                <w:szCs w:val="18"/>
              </w:rPr>
              <w:t>Total of Above</w:t>
            </w:r>
          </w:p>
        </w:tc>
        <w:tc>
          <w:tcPr>
            <w:tcW w:w="1114" w:type="dxa"/>
            <w:shd w:val="clear" w:color="auto" w:fill="B8CCE4" w:themeFill="accent1" w:themeFillTint="66"/>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272.6</w:t>
            </w:r>
          </w:p>
        </w:tc>
        <w:tc>
          <w:tcPr>
            <w:tcW w:w="1169" w:type="dxa"/>
            <w:shd w:val="clear" w:color="auto" w:fill="B8CCE4" w:themeFill="accent1" w:themeFillTint="66"/>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516.2</w:t>
            </w:r>
          </w:p>
        </w:tc>
        <w:tc>
          <w:tcPr>
            <w:tcW w:w="1177" w:type="dxa"/>
            <w:shd w:val="clear" w:color="auto" w:fill="B8CCE4" w:themeFill="accent1" w:themeFillTint="66"/>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211.2</w:t>
            </w:r>
          </w:p>
        </w:tc>
        <w:tc>
          <w:tcPr>
            <w:tcW w:w="1137" w:type="dxa"/>
            <w:shd w:val="clear" w:color="auto" w:fill="B8CCE4" w:themeFill="accent1" w:themeFillTint="66"/>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19.2</w:t>
            </w:r>
          </w:p>
        </w:tc>
        <w:tc>
          <w:tcPr>
            <w:tcW w:w="1114" w:type="dxa"/>
            <w:shd w:val="clear" w:color="auto" w:fill="B8CCE4" w:themeFill="accent1" w:themeFillTint="66"/>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15.6</w:t>
            </w:r>
          </w:p>
        </w:tc>
        <w:tc>
          <w:tcPr>
            <w:tcW w:w="1177" w:type="dxa"/>
            <w:shd w:val="clear" w:color="auto" w:fill="B8CCE4" w:themeFill="accent1" w:themeFillTint="66"/>
            <w:tcMar>
              <w:left w:w="144" w:type="dxa"/>
              <w:right w:w="144" w:type="dxa"/>
            </w:tcMar>
          </w:tcPr>
          <w:p w:rsidR="002A7121" w:rsidRPr="00491864" w:rsidRDefault="002A7121" w:rsidP="00D3304E">
            <w:pPr>
              <w:keepNext/>
              <w:keepLines/>
              <w:adjustRightInd/>
              <w:spacing w:before="40" w:after="40" w:line="240" w:lineRule="auto"/>
              <w:jc w:val="right"/>
              <w:textAlignment w:val="auto"/>
              <w:rPr>
                <w:rFonts w:asciiTheme="minorHAnsi" w:eastAsia="Calibri" w:hAnsiTheme="minorHAnsi"/>
                <w:sz w:val="18"/>
                <w:szCs w:val="18"/>
              </w:rPr>
            </w:pPr>
            <w:r w:rsidRPr="00491864">
              <w:rPr>
                <w:rFonts w:asciiTheme="minorHAnsi" w:hAnsiTheme="minorHAnsi"/>
                <w:sz w:val="18"/>
                <w:szCs w:val="18"/>
              </w:rPr>
              <w:t>256.8</w:t>
            </w:r>
          </w:p>
        </w:tc>
      </w:tr>
    </w:tbl>
    <w:p w:rsidR="00521087" w:rsidRPr="003A2CA8" w:rsidRDefault="00750A22" w:rsidP="00750A22">
      <w:pPr>
        <w:keepNext/>
        <w:keepLines/>
        <w:spacing w:before="120" w:line="240" w:lineRule="auto"/>
        <w:ind w:left="86" w:right="-187"/>
        <w:rPr>
          <w:rFonts w:asciiTheme="minorHAnsi" w:hAnsiTheme="minorHAnsi"/>
          <w:sz w:val="16"/>
          <w:szCs w:val="16"/>
        </w:rPr>
      </w:pPr>
      <w:r w:rsidRPr="00AE63C5">
        <w:rPr>
          <w:rFonts w:asciiTheme="minorHAnsi" w:hAnsiTheme="minorHAnsi"/>
          <w:sz w:val="16"/>
          <w:szCs w:val="16"/>
        </w:rPr>
        <w:t>(a)</w:t>
      </w:r>
      <w:r>
        <w:rPr>
          <w:rFonts w:asciiTheme="minorHAnsi" w:hAnsiTheme="minorHAnsi"/>
          <w:b/>
          <w:sz w:val="16"/>
          <w:szCs w:val="16"/>
        </w:rPr>
        <w:t xml:space="preserve"> </w:t>
      </w:r>
      <w:r w:rsidR="00521087">
        <w:rPr>
          <w:rFonts w:asciiTheme="minorHAnsi" w:hAnsiTheme="minorHAnsi"/>
          <w:sz w:val="16"/>
          <w:szCs w:val="16"/>
        </w:rPr>
        <w:t xml:space="preserve">The total amount of transmission investment </w:t>
      </w:r>
      <w:r w:rsidR="007D3B55">
        <w:rPr>
          <w:rFonts w:asciiTheme="minorHAnsi" w:hAnsiTheme="minorHAnsi"/>
          <w:sz w:val="16"/>
          <w:szCs w:val="16"/>
        </w:rPr>
        <w:t xml:space="preserve">justified to relieve congestion </w:t>
      </w:r>
      <w:r w:rsidR="00521087">
        <w:rPr>
          <w:rFonts w:asciiTheme="minorHAnsi" w:hAnsiTheme="minorHAnsi"/>
          <w:sz w:val="16"/>
          <w:szCs w:val="16"/>
        </w:rPr>
        <w:t>can be estimated by dividing the total congestion costs by the assumed 15% annual carrying charge</w:t>
      </w:r>
      <w:r w:rsidR="00D9129E">
        <w:rPr>
          <w:rFonts w:asciiTheme="minorHAnsi" w:hAnsiTheme="minorHAnsi"/>
          <w:sz w:val="16"/>
          <w:szCs w:val="16"/>
        </w:rPr>
        <w:t xml:space="preserve"> for transmission development</w:t>
      </w:r>
      <w:r w:rsidR="00521087" w:rsidRPr="003A2CA8">
        <w:rPr>
          <w:rFonts w:asciiTheme="minorHAnsi" w:hAnsiTheme="minorHAnsi"/>
          <w:sz w:val="16"/>
          <w:szCs w:val="16"/>
        </w:rPr>
        <w:t>.</w:t>
      </w:r>
      <w:r w:rsidR="00830F73">
        <w:rPr>
          <w:rFonts w:asciiTheme="minorHAnsi" w:hAnsiTheme="minorHAnsi"/>
          <w:sz w:val="16"/>
          <w:szCs w:val="16"/>
        </w:rPr>
        <w:t xml:space="preserve"> This calculation, however, does not account for the need for capacity deliverability, which is beyond the scope of this study. </w:t>
      </w:r>
    </w:p>
    <w:p w:rsidR="000E0180" w:rsidRDefault="00D86A94" w:rsidP="007642C0">
      <w:pPr>
        <w:pStyle w:val="Heading3"/>
      </w:pPr>
      <w:bookmarkStart w:id="282" w:name="_Toc486405998"/>
      <w:bookmarkEnd w:id="280"/>
      <w:r>
        <w:t xml:space="preserve">Average </w:t>
      </w:r>
      <w:r w:rsidR="004766D0" w:rsidRPr="004766D0">
        <w:t>Locational Marginal Prices</w:t>
      </w:r>
      <w:bookmarkEnd w:id="282"/>
      <w:r w:rsidR="00CB1317">
        <w:t xml:space="preserve"> </w:t>
      </w:r>
    </w:p>
    <w:p w:rsidR="00750A22" w:rsidRDefault="00725EF2" w:rsidP="00750A22">
      <w:r w:rsidRPr="00750A22">
        <w:fldChar w:fldCharType="begin"/>
      </w:r>
      <w:r w:rsidRPr="00750A22">
        <w:instrText xml:space="preserve"> REF _Ref476914329 \h </w:instrText>
      </w:r>
      <w:r w:rsidR="00750A22">
        <w:instrText xml:space="preserve"> \* MERGEFORMAT </w:instrText>
      </w:r>
      <w:r w:rsidRPr="00750A22">
        <w:fldChar w:fldCharType="separate"/>
      </w:r>
      <w:r w:rsidR="00742B49" w:rsidRPr="00750A22">
        <w:t xml:space="preserve">Figure </w:t>
      </w:r>
      <w:r w:rsidR="00742B49" w:rsidRPr="00750A22">
        <w:rPr>
          <w:noProof/>
        </w:rPr>
        <w:t>6</w:t>
      </w:r>
      <w:r w:rsidR="00742B49" w:rsidRPr="00750A22">
        <w:noBreakHyphen/>
      </w:r>
      <w:r w:rsidR="00742B49" w:rsidRPr="00750A22">
        <w:rPr>
          <w:noProof/>
        </w:rPr>
        <w:t>5</w:t>
      </w:r>
      <w:r w:rsidRPr="00750A22">
        <w:fldChar w:fldCharType="end"/>
      </w:r>
      <w:r w:rsidRPr="00750A22">
        <w:t xml:space="preserve"> and </w:t>
      </w:r>
      <w:r w:rsidRPr="00750A22">
        <w:fldChar w:fldCharType="begin"/>
      </w:r>
      <w:r w:rsidRPr="00750A22">
        <w:instrText xml:space="preserve"> REF _Ref476914332 \h </w:instrText>
      </w:r>
      <w:r w:rsidR="00750A22">
        <w:instrText xml:space="preserve"> \* MERGEFORMAT </w:instrText>
      </w:r>
      <w:r w:rsidRPr="00750A22">
        <w:fldChar w:fldCharType="separate"/>
      </w:r>
      <w:r w:rsidR="00742B49" w:rsidRPr="00750A22">
        <w:t xml:space="preserve">Figure </w:t>
      </w:r>
      <w:r w:rsidR="00742B49" w:rsidRPr="00750A22">
        <w:rPr>
          <w:noProof/>
        </w:rPr>
        <w:t>6</w:t>
      </w:r>
      <w:r w:rsidR="00742B49" w:rsidRPr="00750A22">
        <w:noBreakHyphen/>
      </w:r>
      <w:r w:rsidR="00742B49" w:rsidRPr="00750A22">
        <w:rPr>
          <w:noProof/>
        </w:rPr>
        <w:t>6</w:t>
      </w:r>
      <w:r w:rsidRPr="00750A22">
        <w:fldChar w:fldCharType="end"/>
      </w:r>
      <w:r w:rsidRPr="00750A22">
        <w:t xml:space="preserve">  </w:t>
      </w:r>
      <w:r w:rsidR="00386EDA" w:rsidRPr="00750A22">
        <w:t>illustrate</w:t>
      </w:r>
      <w:r w:rsidRPr="00750A22">
        <w:t xml:space="preserve"> a</w:t>
      </w:r>
      <w:r w:rsidR="00E17F3C" w:rsidRPr="00750A22">
        <w:t xml:space="preserve">verage </w:t>
      </w:r>
      <w:r w:rsidR="008E2AA0" w:rsidRPr="00750A22">
        <w:t xml:space="preserve">LMPs for </w:t>
      </w:r>
      <w:r w:rsidR="00C0221F" w:rsidRPr="00750A22">
        <w:t>s</w:t>
      </w:r>
      <w:r w:rsidR="008E2AA0" w:rsidRPr="00750A22">
        <w:t xml:space="preserve">elected RSP </w:t>
      </w:r>
      <w:r w:rsidR="00C0221F" w:rsidRPr="00750A22">
        <w:t>a</w:t>
      </w:r>
      <w:r w:rsidR="008E2AA0" w:rsidRPr="00750A22">
        <w:t xml:space="preserve">reas </w:t>
      </w:r>
      <w:r w:rsidR="00386EDA" w:rsidRPr="00750A22">
        <w:t xml:space="preserve">and </w:t>
      </w:r>
      <w:r w:rsidR="00E17F3C" w:rsidRPr="00750A22">
        <w:t>show the effects of the resource mix by loca</w:t>
      </w:r>
      <w:r w:rsidR="007518CB" w:rsidRPr="00750A22">
        <w:t xml:space="preserve">tion. </w:t>
      </w:r>
      <w:r w:rsidR="00386EDA" w:rsidRPr="00750A22">
        <w:t xml:space="preserve">The </w:t>
      </w:r>
      <w:r w:rsidR="007518CB" w:rsidRPr="00750A22">
        <w:t>LMPs</w:t>
      </w:r>
      <w:r w:rsidR="00E17F3C" w:rsidRPr="00750A22">
        <w:t xml:space="preserve"> a</w:t>
      </w:r>
      <w:r w:rsidR="007518CB" w:rsidRPr="00750A22">
        <w:t xml:space="preserve">re generally lower for </w:t>
      </w:r>
      <w:r w:rsidR="00091215" w:rsidRPr="00750A22">
        <w:t xml:space="preserve">the </w:t>
      </w:r>
      <w:r w:rsidR="00386EDA" w:rsidRPr="00750A22">
        <w:t xml:space="preserve">unconstrained cases with </w:t>
      </w:r>
      <w:r w:rsidR="007518CB" w:rsidRPr="00750A22">
        <w:t>high</w:t>
      </w:r>
      <w:r w:rsidR="00E17F3C" w:rsidRPr="00750A22">
        <w:t xml:space="preserve"> penetrations of </w:t>
      </w:r>
      <w:r w:rsidR="00386EDA" w:rsidRPr="00750A22">
        <w:t>renewable</w:t>
      </w:r>
      <w:r w:rsidR="00E17F3C" w:rsidRPr="00750A22">
        <w:t xml:space="preserve"> resources</w:t>
      </w:r>
      <w:r w:rsidR="007518CB" w:rsidRPr="00750A22">
        <w:t xml:space="preserve"> that occur in </w:t>
      </w:r>
      <w:r w:rsidR="00E17F3C" w:rsidRPr="00750A22">
        <w:t xml:space="preserve">Scenarios </w:t>
      </w:r>
      <w:r w:rsidR="007518CB" w:rsidRPr="00750A22">
        <w:t>2, 3, and 6</w:t>
      </w:r>
      <w:r w:rsidR="009E7B29" w:rsidRPr="00750A22">
        <w:t xml:space="preserve">. </w:t>
      </w:r>
      <w:r w:rsidR="007518CB" w:rsidRPr="00750A22">
        <w:t xml:space="preserve">LMPs remain the same across New England for the unconstrained cases, but </w:t>
      </w:r>
      <w:r w:rsidR="00C0221F" w:rsidRPr="00750A22">
        <w:t>for the constrained cases</w:t>
      </w:r>
      <w:r w:rsidR="00BA752E" w:rsidRPr="00750A22">
        <w:t>,</w:t>
      </w:r>
      <w:r w:rsidR="00C0221F" w:rsidRPr="00750A22">
        <w:t xml:space="preserve"> </w:t>
      </w:r>
      <w:r w:rsidR="007518CB" w:rsidRPr="00750A22">
        <w:t xml:space="preserve">price separation occurs for large amounts of wind development in northern Maine. For example, the constrained case for Scenario 2 </w:t>
      </w:r>
      <w:r w:rsidR="00091215" w:rsidRPr="00750A22">
        <w:t xml:space="preserve">in 2030 </w:t>
      </w:r>
      <w:r w:rsidR="007518CB" w:rsidRPr="00750A22">
        <w:t>shows the lowest LMPs in BHE, slightly higher LMPs in ME, and the highest LMPs in southern New</w:t>
      </w:r>
      <w:r w:rsidR="007309D2" w:rsidRPr="00750A22">
        <w:t xml:space="preserve"> England. The constrained </w:t>
      </w:r>
      <w:r w:rsidR="00091215" w:rsidRPr="00750A22">
        <w:t xml:space="preserve">Scenario 2 </w:t>
      </w:r>
      <w:r w:rsidR="007309D2" w:rsidRPr="00750A22">
        <w:t xml:space="preserve">cases </w:t>
      </w:r>
      <w:r w:rsidR="007518CB" w:rsidRPr="00750A22">
        <w:t xml:space="preserve">resulted in </w:t>
      </w:r>
      <w:r w:rsidR="00091215" w:rsidRPr="00750A22">
        <w:t>higher</w:t>
      </w:r>
      <w:r w:rsidR="007518CB" w:rsidRPr="00750A22">
        <w:t xml:space="preserve"> LMPs for southern New England </w:t>
      </w:r>
      <w:r w:rsidR="00091215" w:rsidRPr="00750A22">
        <w:t>than for Scenarios 3 and 6 where</w:t>
      </w:r>
      <w:r w:rsidR="007518CB" w:rsidRPr="00750A22">
        <w:t xml:space="preserve"> more of the </w:t>
      </w:r>
      <w:r w:rsidR="00C27018" w:rsidRPr="00750A22">
        <w:t xml:space="preserve">unbottled </w:t>
      </w:r>
      <w:r w:rsidR="007518CB" w:rsidRPr="00750A22">
        <w:t xml:space="preserve">renewable energy production </w:t>
      </w:r>
      <w:r w:rsidR="00091215" w:rsidRPr="00750A22">
        <w:t xml:space="preserve">serves </w:t>
      </w:r>
      <w:r w:rsidR="004F1384" w:rsidRPr="00750A22">
        <w:t xml:space="preserve">load in </w:t>
      </w:r>
      <w:r w:rsidR="00091215" w:rsidRPr="00750A22">
        <w:t>southern New England</w:t>
      </w:r>
      <w:r w:rsidR="00BA752E" w:rsidRPr="00750A22">
        <w:t>.</w:t>
      </w:r>
      <w:r w:rsidR="00750A22">
        <w:t xml:space="preserve"> </w:t>
      </w:r>
      <w:r w:rsidR="00D80ED5" w:rsidRPr="00750A22">
        <w:fldChar w:fldCharType="begin"/>
      </w:r>
      <w:r w:rsidR="00D80ED5" w:rsidRPr="00750A22">
        <w:instrText xml:space="preserve"> REF _Ref483831555 \h </w:instrText>
      </w:r>
      <w:r w:rsidR="00E16220" w:rsidRPr="00750A22">
        <w:instrText xml:space="preserve"> \* MERGEFORMAT </w:instrText>
      </w:r>
      <w:r w:rsidR="00D80ED5" w:rsidRPr="00750A22">
        <w:fldChar w:fldCharType="end"/>
      </w:r>
    </w:p>
    <w:p w:rsidR="00EB3B07" w:rsidRDefault="00EB3B07" w:rsidP="007730AA">
      <w:pPr>
        <w:keepNext/>
        <w:spacing w:after="0" w:line="240" w:lineRule="auto"/>
        <w:jc w:val="center"/>
      </w:pPr>
      <w:r w:rsidRPr="00EB3B07">
        <w:rPr>
          <w:noProof/>
        </w:rPr>
        <w:lastRenderedPageBreak/>
        <w:drawing>
          <wp:inline distT="0" distB="0" distL="0" distR="0" wp14:anchorId="7A8E53AB" wp14:editId="412CBB56">
            <wp:extent cx="5943600" cy="2231390"/>
            <wp:effectExtent l="19050" t="19050" r="19050" b="16510"/>
            <wp:docPr id="7180" name="Picture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2231390"/>
                    </a:xfrm>
                    <a:prstGeom prst="rect">
                      <a:avLst/>
                    </a:prstGeom>
                    <a:noFill/>
                    <a:ln w="3175">
                      <a:solidFill>
                        <a:schemeClr val="tx1"/>
                      </a:solidFill>
                    </a:ln>
                  </pic:spPr>
                </pic:pic>
              </a:graphicData>
            </a:graphic>
          </wp:inline>
        </w:drawing>
      </w:r>
    </w:p>
    <w:p w:rsidR="00BA752E" w:rsidRDefault="00944148" w:rsidP="00D80ED5">
      <w:pPr>
        <w:pStyle w:val="Caption"/>
        <w:keepNext w:val="0"/>
        <w:keepLines w:val="0"/>
        <w:spacing w:before="120" w:after="240"/>
      </w:pPr>
      <w:bookmarkStart w:id="283" w:name="_Ref476914329"/>
      <w:bookmarkStart w:id="284" w:name="_Toc486406075"/>
      <w:r>
        <w:t xml:space="preserve">Figure </w:t>
      </w:r>
      <w:fldSimple w:instr=" STYLEREF 1 \s ">
        <w:r w:rsidR="00742B49">
          <w:rPr>
            <w:noProof/>
          </w:rPr>
          <w:t>6</w:t>
        </w:r>
      </w:fldSimple>
      <w:r w:rsidR="00024994">
        <w:noBreakHyphen/>
      </w:r>
      <w:fldSimple w:instr=" SEQ Figure \* ARABIC \s 1 ">
        <w:r w:rsidR="00742B49">
          <w:rPr>
            <w:noProof/>
          </w:rPr>
          <w:t>5</w:t>
        </w:r>
      </w:fldSimple>
      <w:bookmarkEnd w:id="283"/>
      <w:r>
        <w:t>:</w:t>
      </w:r>
      <w:r w:rsidR="00084E12">
        <w:t xml:space="preserve"> </w:t>
      </w:r>
      <w:r w:rsidR="00BA752E">
        <w:t>Annual average LMPs by RSP area,</w:t>
      </w:r>
      <w:r>
        <w:t xml:space="preserve"> </w:t>
      </w:r>
      <w:r w:rsidRPr="00077222">
        <w:t xml:space="preserve">2025 </w:t>
      </w:r>
      <w:r w:rsidR="00BA752E">
        <w:t>($/MWh)</w:t>
      </w:r>
      <w:bookmarkEnd w:id="284"/>
    </w:p>
    <w:p w:rsidR="00944148" w:rsidRDefault="00944148" w:rsidP="007730AA">
      <w:pPr>
        <w:keepNext/>
        <w:spacing w:after="0" w:line="240" w:lineRule="auto"/>
        <w:jc w:val="center"/>
      </w:pPr>
    </w:p>
    <w:p w:rsidR="00EB3B07" w:rsidRDefault="00EB3B07" w:rsidP="007730AA">
      <w:pPr>
        <w:keepNext/>
        <w:spacing w:after="0" w:line="240" w:lineRule="auto"/>
        <w:jc w:val="center"/>
      </w:pPr>
      <w:r w:rsidRPr="00EB3B07">
        <w:rPr>
          <w:noProof/>
        </w:rPr>
        <w:drawing>
          <wp:inline distT="0" distB="0" distL="0" distR="0" wp14:anchorId="6C1BA197" wp14:editId="7B130567">
            <wp:extent cx="5845498" cy="2194560"/>
            <wp:effectExtent l="19050" t="19050" r="22225" b="15240"/>
            <wp:docPr id="7182" name="Picture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46163" cy="2194810"/>
                    </a:xfrm>
                    <a:prstGeom prst="rect">
                      <a:avLst/>
                    </a:prstGeom>
                    <a:noFill/>
                    <a:ln w="3175">
                      <a:solidFill>
                        <a:schemeClr val="tx1"/>
                      </a:solidFill>
                    </a:ln>
                  </pic:spPr>
                </pic:pic>
              </a:graphicData>
            </a:graphic>
          </wp:inline>
        </w:drawing>
      </w:r>
    </w:p>
    <w:p w:rsidR="00BA752E" w:rsidRDefault="00944148" w:rsidP="00D80ED5">
      <w:pPr>
        <w:pStyle w:val="Caption"/>
        <w:spacing w:before="120" w:after="240"/>
        <w:ind w:left="86"/>
      </w:pPr>
      <w:bookmarkStart w:id="285" w:name="_Ref476914332"/>
      <w:bookmarkStart w:id="286" w:name="_Toc486406076"/>
      <w:r>
        <w:t xml:space="preserve">Figure </w:t>
      </w:r>
      <w:fldSimple w:instr=" STYLEREF 1 \s ">
        <w:r w:rsidR="00742B49">
          <w:rPr>
            <w:noProof/>
          </w:rPr>
          <w:t>6</w:t>
        </w:r>
      </w:fldSimple>
      <w:r w:rsidR="00024994">
        <w:noBreakHyphen/>
      </w:r>
      <w:fldSimple w:instr=" SEQ Figure \* ARABIC \s 1 ">
        <w:r w:rsidR="00742B49">
          <w:rPr>
            <w:noProof/>
          </w:rPr>
          <w:t>6</w:t>
        </w:r>
      </w:fldSimple>
      <w:bookmarkEnd w:id="285"/>
      <w:r>
        <w:t xml:space="preserve">: </w:t>
      </w:r>
      <w:r w:rsidR="00100B36">
        <w:t xml:space="preserve">Annual average LMPs by </w:t>
      </w:r>
      <w:r w:rsidRPr="00E16220">
        <w:t xml:space="preserve">RSP </w:t>
      </w:r>
      <w:r w:rsidR="00100B36" w:rsidRPr="00E16220">
        <w:t>a</w:t>
      </w:r>
      <w:r w:rsidRPr="00E16220">
        <w:t>rea</w:t>
      </w:r>
      <w:r w:rsidR="00100B36" w:rsidRPr="00E16220">
        <w:t>, 20</w:t>
      </w:r>
      <w:r w:rsidR="00EB3B07" w:rsidRPr="00E16220">
        <w:t>3</w:t>
      </w:r>
      <w:r w:rsidR="00100B36" w:rsidRPr="00E16220">
        <w:t>0 ($/MWh)</w:t>
      </w:r>
      <w:r w:rsidR="000B5B4A" w:rsidRPr="00E16220">
        <w:t>.</w:t>
      </w:r>
      <w:bookmarkEnd w:id="286"/>
    </w:p>
    <w:p w:rsidR="00750A22" w:rsidRPr="00750A22" w:rsidRDefault="00750A22" w:rsidP="00750A22">
      <w:r w:rsidRPr="00750A22">
        <w:fldChar w:fldCharType="begin"/>
      </w:r>
      <w:r w:rsidRPr="00750A22">
        <w:instrText xml:space="preserve"> REF _Ref483832540 \h  \* MERGEFORMAT </w:instrText>
      </w:r>
      <w:r w:rsidRPr="00750A22">
        <w:fldChar w:fldCharType="separate"/>
      </w:r>
      <w:r w:rsidRPr="00750A22">
        <w:t xml:space="preserve">Table </w:t>
      </w:r>
      <w:r w:rsidRPr="00750A22">
        <w:rPr>
          <w:noProof/>
        </w:rPr>
        <w:t>6</w:t>
      </w:r>
      <w:r w:rsidRPr="00750A22">
        <w:noBreakHyphen/>
      </w:r>
      <w:r w:rsidRPr="00750A22">
        <w:rPr>
          <w:noProof/>
        </w:rPr>
        <w:t>6</w:t>
      </w:r>
      <w:r w:rsidRPr="00750A22">
        <w:fldChar w:fldCharType="end"/>
      </w:r>
      <w:r w:rsidRPr="00750A22">
        <w:t xml:space="preserve"> and </w:t>
      </w:r>
      <w:r w:rsidRPr="00750A22">
        <w:fldChar w:fldCharType="begin"/>
      </w:r>
      <w:r w:rsidRPr="00750A22">
        <w:instrText xml:space="preserve"> REF _Ref486334935 \h  \* MERGEFORMAT </w:instrText>
      </w:r>
      <w:r w:rsidRPr="00750A22">
        <w:fldChar w:fldCharType="separate"/>
      </w:r>
      <w:r w:rsidRPr="00750A22">
        <w:t xml:space="preserve">Table </w:t>
      </w:r>
      <w:r w:rsidRPr="00750A22">
        <w:rPr>
          <w:noProof/>
        </w:rPr>
        <w:t>6</w:t>
      </w:r>
      <w:r w:rsidRPr="00750A22">
        <w:noBreakHyphen/>
      </w:r>
      <w:r w:rsidRPr="00750A22">
        <w:rPr>
          <w:noProof/>
        </w:rPr>
        <w:t>7</w:t>
      </w:r>
      <w:r w:rsidRPr="00750A22">
        <w:fldChar w:fldCharType="end"/>
      </w:r>
      <w:r w:rsidRPr="00750A22">
        <w:t xml:space="preserve"> show the LMPs in selected subareas for 2025 and 2030 for the unconstrained and constrained cases. The unconstrained cases show similar LMPs across all the subareas. For example, the average LMPs for unconstrained Scenarios 1, 4, and 5 range from $46.23 to $47.49/MWh in 2025 and from $52.41 to $53.01/MWh in 2030. The constrained scenarios show lower LMPs in the areas with the greatest wind penetration.</w:t>
      </w:r>
    </w:p>
    <w:p w:rsidR="00D80ED5" w:rsidRPr="00750A22" w:rsidRDefault="001675BB" w:rsidP="00750A22">
      <w:pPr>
        <w:pStyle w:val="Caption"/>
        <w:jc w:val="center"/>
      </w:pPr>
      <w:bookmarkStart w:id="287" w:name="_Ref483832540"/>
      <w:bookmarkStart w:id="288" w:name="_Toc486406041"/>
      <w:r w:rsidRPr="00750A22">
        <w:lastRenderedPageBreak/>
        <w:t xml:space="preserve">Table </w:t>
      </w:r>
      <w:fldSimple w:instr=" STYLEREF 1 \s ">
        <w:r w:rsidR="004248FE">
          <w:rPr>
            <w:noProof/>
          </w:rPr>
          <w:t>6</w:t>
        </w:r>
      </w:fldSimple>
      <w:r w:rsidR="004248FE">
        <w:noBreakHyphen/>
      </w:r>
      <w:fldSimple w:instr=" SEQ Table \* ARABIC \s 1 ">
        <w:r w:rsidR="004248FE">
          <w:rPr>
            <w:noProof/>
          </w:rPr>
          <w:t>6</w:t>
        </w:r>
      </w:fldSimple>
      <w:bookmarkEnd w:id="287"/>
      <w:r w:rsidRPr="00750A22">
        <w:br/>
        <w:t>LMPs in Selected Subareas, 2025 (</w:t>
      </w:r>
      <w:r w:rsidR="004E25EC" w:rsidRPr="00750A22">
        <w:t>$</w:t>
      </w:r>
      <w:r w:rsidRPr="00750A22">
        <w:t>/MWh)</w:t>
      </w:r>
      <w:bookmarkEnd w:id="288"/>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48"/>
        <w:gridCol w:w="1466"/>
        <w:gridCol w:w="1097"/>
        <w:gridCol w:w="1097"/>
        <w:gridCol w:w="1249"/>
        <w:gridCol w:w="1097"/>
        <w:gridCol w:w="1119"/>
      </w:tblGrid>
      <w:tr w:rsidR="005378E6" w:rsidRPr="003A775C" w:rsidTr="009256FF">
        <w:trPr>
          <w:jc w:val="center"/>
        </w:trPr>
        <w:tc>
          <w:tcPr>
            <w:tcW w:w="1548" w:type="dxa"/>
            <w:shd w:val="clear" w:color="auto" w:fill="0070C0"/>
            <w:tcMar>
              <w:left w:w="58" w:type="dxa"/>
            </w:tcMar>
            <w:vAlign w:val="center"/>
          </w:tcPr>
          <w:p w:rsidR="009256FF" w:rsidRPr="00750A22" w:rsidRDefault="009256FF" w:rsidP="00750A22">
            <w:pPr>
              <w:keepNext/>
              <w:keepLines/>
              <w:spacing w:before="40" w:after="40" w:line="240" w:lineRule="auto"/>
              <w:jc w:val="center"/>
              <w:rPr>
                <w:rFonts w:asciiTheme="minorHAnsi" w:hAnsiTheme="minorHAnsi"/>
                <w:b/>
                <w:color w:val="FFFFFF" w:themeColor="background1"/>
                <w:sz w:val="18"/>
                <w:szCs w:val="18"/>
              </w:rPr>
            </w:pPr>
            <w:r w:rsidRPr="00750A22">
              <w:rPr>
                <w:rFonts w:asciiTheme="minorHAnsi" w:hAnsiTheme="minorHAnsi"/>
                <w:b/>
                <w:color w:val="FFFFFF" w:themeColor="background1"/>
                <w:sz w:val="18"/>
                <w:szCs w:val="18"/>
              </w:rPr>
              <w:t>Transmission</w:t>
            </w:r>
          </w:p>
        </w:tc>
        <w:tc>
          <w:tcPr>
            <w:tcW w:w="1466" w:type="dxa"/>
            <w:shd w:val="clear" w:color="auto" w:fill="0070C0"/>
            <w:tcMar>
              <w:left w:w="58" w:type="dxa"/>
            </w:tcMar>
            <w:vAlign w:val="center"/>
          </w:tcPr>
          <w:p w:rsidR="009256FF" w:rsidRPr="00750A22" w:rsidRDefault="009256FF" w:rsidP="00750A22">
            <w:pPr>
              <w:keepNext/>
              <w:keepLines/>
              <w:spacing w:before="40" w:after="40" w:line="240" w:lineRule="auto"/>
              <w:jc w:val="center"/>
              <w:rPr>
                <w:rFonts w:asciiTheme="minorHAnsi" w:hAnsiTheme="minorHAnsi"/>
                <w:b/>
                <w:color w:val="FFFFFF" w:themeColor="background1"/>
                <w:sz w:val="18"/>
                <w:szCs w:val="18"/>
              </w:rPr>
            </w:pPr>
            <w:r w:rsidRPr="00750A22">
              <w:rPr>
                <w:rFonts w:asciiTheme="minorHAnsi" w:hAnsiTheme="minorHAnsi"/>
                <w:b/>
                <w:color w:val="FFFFFF" w:themeColor="background1"/>
                <w:sz w:val="18"/>
                <w:szCs w:val="18"/>
              </w:rPr>
              <w:t>Scenario</w:t>
            </w:r>
          </w:p>
        </w:tc>
        <w:tc>
          <w:tcPr>
            <w:tcW w:w="1097" w:type="dxa"/>
            <w:shd w:val="clear" w:color="auto" w:fill="0070C0"/>
            <w:tcMar>
              <w:left w:w="58" w:type="dxa"/>
            </w:tcMar>
            <w:vAlign w:val="center"/>
          </w:tcPr>
          <w:p w:rsidR="009256FF" w:rsidRPr="00750A22" w:rsidRDefault="009256FF" w:rsidP="00750A22">
            <w:pPr>
              <w:keepNext/>
              <w:keepLines/>
              <w:spacing w:before="40" w:after="40" w:line="240" w:lineRule="auto"/>
              <w:jc w:val="center"/>
              <w:rPr>
                <w:rFonts w:asciiTheme="minorHAnsi" w:hAnsiTheme="minorHAnsi"/>
                <w:b/>
                <w:color w:val="FFFFFF" w:themeColor="background1"/>
                <w:sz w:val="18"/>
                <w:szCs w:val="18"/>
              </w:rPr>
            </w:pPr>
            <w:r w:rsidRPr="00750A22">
              <w:rPr>
                <w:rFonts w:asciiTheme="minorHAnsi" w:hAnsiTheme="minorHAnsi"/>
                <w:b/>
                <w:color w:val="FFFFFF" w:themeColor="background1"/>
                <w:sz w:val="18"/>
                <w:szCs w:val="18"/>
              </w:rPr>
              <w:t>BHE</w:t>
            </w:r>
          </w:p>
        </w:tc>
        <w:tc>
          <w:tcPr>
            <w:tcW w:w="1097" w:type="dxa"/>
            <w:shd w:val="clear" w:color="auto" w:fill="0070C0"/>
            <w:tcMar>
              <w:left w:w="58" w:type="dxa"/>
            </w:tcMar>
            <w:vAlign w:val="center"/>
          </w:tcPr>
          <w:p w:rsidR="009256FF" w:rsidRPr="00750A22" w:rsidRDefault="009256FF" w:rsidP="00750A22">
            <w:pPr>
              <w:keepNext/>
              <w:keepLines/>
              <w:spacing w:before="40" w:after="40" w:line="240" w:lineRule="auto"/>
              <w:jc w:val="center"/>
              <w:rPr>
                <w:rFonts w:asciiTheme="minorHAnsi" w:hAnsiTheme="minorHAnsi"/>
                <w:b/>
                <w:color w:val="FFFFFF" w:themeColor="background1"/>
                <w:sz w:val="18"/>
                <w:szCs w:val="18"/>
              </w:rPr>
            </w:pPr>
            <w:r w:rsidRPr="00750A22">
              <w:rPr>
                <w:rFonts w:asciiTheme="minorHAnsi" w:hAnsiTheme="minorHAnsi"/>
                <w:b/>
                <w:color w:val="FFFFFF" w:themeColor="background1"/>
                <w:sz w:val="18"/>
                <w:szCs w:val="18"/>
              </w:rPr>
              <w:t>ME</w:t>
            </w:r>
          </w:p>
        </w:tc>
        <w:tc>
          <w:tcPr>
            <w:tcW w:w="1249" w:type="dxa"/>
            <w:shd w:val="clear" w:color="auto" w:fill="0070C0"/>
            <w:tcMar>
              <w:left w:w="58" w:type="dxa"/>
            </w:tcMar>
            <w:vAlign w:val="center"/>
          </w:tcPr>
          <w:p w:rsidR="009256FF" w:rsidRPr="00750A22" w:rsidRDefault="009256FF" w:rsidP="00750A22">
            <w:pPr>
              <w:keepNext/>
              <w:keepLines/>
              <w:spacing w:before="40" w:after="40" w:line="240" w:lineRule="auto"/>
              <w:jc w:val="center"/>
              <w:rPr>
                <w:rFonts w:asciiTheme="minorHAnsi" w:hAnsiTheme="minorHAnsi"/>
                <w:b/>
                <w:color w:val="FFFFFF" w:themeColor="background1"/>
                <w:sz w:val="18"/>
                <w:szCs w:val="18"/>
              </w:rPr>
            </w:pPr>
            <w:r w:rsidRPr="00750A22">
              <w:rPr>
                <w:rFonts w:asciiTheme="minorHAnsi" w:hAnsiTheme="minorHAnsi"/>
                <w:b/>
                <w:color w:val="FFFFFF" w:themeColor="background1"/>
                <w:sz w:val="18"/>
                <w:szCs w:val="18"/>
              </w:rPr>
              <w:t>SME</w:t>
            </w:r>
          </w:p>
        </w:tc>
        <w:tc>
          <w:tcPr>
            <w:tcW w:w="1097" w:type="dxa"/>
            <w:shd w:val="clear" w:color="auto" w:fill="0070C0"/>
            <w:tcMar>
              <w:left w:w="58" w:type="dxa"/>
            </w:tcMar>
            <w:vAlign w:val="center"/>
          </w:tcPr>
          <w:p w:rsidR="009256FF" w:rsidRPr="00750A22" w:rsidRDefault="009256FF" w:rsidP="00750A22">
            <w:pPr>
              <w:keepNext/>
              <w:keepLines/>
              <w:spacing w:before="40" w:after="40" w:line="240" w:lineRule="auto"/>
              <w:jc w:val="center"/>
              <w:rPr>
                <w:rFonts w:asciiTheme="minorHAnsi" w:hAnsiTheme="minorHAnsi"/>
                <w:b/>
                <w:color w:val="FFFFFF" w:themeColor="background1"/>
                <w:sz w:val="18"/>
                <w:szCs w:val="18"/>
              </w:rPr>
            </w:pPr>
            <w:r w:rsidRPr="00750A22">
              <w:rPr>
                <w:rFonts w:asciiTheme="minorHAnsi" w:hAnsiTheme="minorHAnsi"/>
                <w:b/>
                <w:color w:val="FFFFFF" w:themeColor="background1"/>
                <w:sz w:val="18"/>
                <w:szCs w:val="18"/>
              </w:rPr>
              <w:t>NH</w:t>
            </w:r>
          </w:p>
        </w:tc>
        <w:tc>
          <w:tcPr>
            <w:tcW w:w="1119" w:type="dxa"/>
            <w:shd w:val="clear" w:color="auto" w:fill="0070C0"/>
            <w:tcMar>
              <w:left w:w="58" w:type="dxa"/>
            </w:tcMar>
            <w:vAlign w:val="center"/>
          </w:tcPr>
          <w:p w:rsidR="009256FF" w:rsidRPr="00750A22" w:rsidRDefault="009256FF" w:rsidP="00750A22">
            <w:pPr>
              <w:keepNext/>
              <w:keepLines/>
              <w:spacing w:before="40" w:after="40" w:line="240" w:lineRule="auto"/>
              <w:jc w:val="center"/>
              <w:rPr>
                <w:rFonts w:asciiTheme="minorHAnsi" w:hAnsiTheme="minorHAnsi"/>
                <w:b/>
                <w:color w:val="FFFFFF" w:themeColor="background1"/>
                <w:sz w:val="18"/>
                <w:szCs w:val="18"/>
              </w:rPr>
            </w:pPr>
            <w:r w:rsidRPr="00750A22">
              <w:rPr>
                <w:rFonts w:asciiTheme="minorHAnsi" w:hAnsiTheme="minorHAnsi"/>
                <w:b/>
                <w:color w:val="FFFFFF" w:themeColor="background1"/>
                <w:sz w:val="18"/>
                <w:szCs w:val="18"/>
              </w:rPr>
              <w:t>BOSTON</w:t>
            </w:r>
          </w:p>
        </w:tc>
      </w:tr>
      <w:tr w:rsidR="005378E6" w:rsidRPr="005378E6" w:rsidTr="00D3304E">
        <w:trPr>
          <w:jc w:val="center"/>
        </w:trPr>
        <w:tc>
          <w:tcPr>
            <w:tcW w:w="1548" w:type="dxa"/>
            <w:vMerge w:val="restart"/>
            <w:shd w:val="clear" w:color="auto" w:fill="auto"/>
            <w:tcMar>
              <w:left w:w="58" w:type="dxa"/>
            </w:tcMar>
            <w:vAlign w:val="center"/>
          </w:tcPr>
          <w:p w:rsidR="005378E6" w:rsidRPr="005378E6" w:rsidRDefault="005378E6" w:rsidP="00750A22">
            <w:pPr>
              <w:keepNext/>
              <w:keepLines/>
              <w:spacing w:before="40" w:after="40" w:line="240" w:lineRule="auto"/>
              <w:jc w:val="center"/>
              <w:rPr>
                <w:rFonts w:asciiTheme="minorHAnsi" w:hAnsiTheme="minorHAnsi"/>
                <w:b/>
                <w:sz w:val="18"/>
                <w:szCs w:val="18"/>
              </w:rPr>
            </w:pPr>
            <w:r w:rsidRPr="005378E6">
              <w:rPr>
                <w:rFonts w:asciiTheme="minorHAnsi" w:hAnsiTheme="minorHAnsi"/>
                <w:b/>
                <w:sz w:val="18"/>
                <w:szCs w:val="18"/>
              </w:rPr>
              <w:t>Unconstrained</w:t>
            </w:r>
          </w:p>
        </w:tc>
        <w:tc>
          <w:tcPr>
            <w:tcW w:w="1466" w:type="dxa"/>
            <w:shd w:val="clear" w:color="auto" w:fill="auto"/>
            <w:tcMar>
              <w:left w:w="115" w:type="dxa"/>
              <w:right w:w="58" w:type="dxa"/>
            </w:tcMar>
            <w:vAlign w:val="center"/>
          </w:tcPr>
          <w:p w:rsidR="005378E6" w:rsidRPr="005378E6" w:rsidRDefault="005378E6" w:rsidP="00D3304E">
            <w:pPr>
              <w:keepNext/>
              <w:keepLines/>
              <w:spacing w:before="40" w:after="40" w:line="240" w:lineRule="auto"/>
              <w:rPr>
                <w:rFonts w:asciiTheme="minorHAnsi" w:hAnsiTheme="minorHAnsi"/>
                <w:sz w:val="18"/>
                <w:szCs w:val="18"/>
              </w:rPr>
            </w:pPr>
            <w:r w:rsidRPr="005378E6">
              <w:rPr>
                <w:rFonts w:asciiTheme="minorHAnsi" w:hAnsiTheme="minorHAnsi"/>
                <w:sz w:val="18"/>
                <w:szCs w:val="18"/>
              </w:rPr>
              <w:t>RPS + Gas</w:t>
            </w:r>
          </w:p>
        </w:tc>
        <w:tc>
          <w:tcPr>
            <w:tcW w:w="1097"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46.47</w:t>
            </w:r>
          </w:p>
        </w:tc>
        <w:tc>
          <w:tcPr>
            <w:tcW w:w="1097"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46.40</w:t>
            </w:r>
          </w:p>
        </w:tc>
        <w:tc>
          <w:tcPr>
            <w:tcW w:w="1249"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46.32</w:t>
            </w:r>
          </w:p>
        </w:tc>
        <w:tc>
          <w:tcPr>
            <w:tcW w:w="1097"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46.49</w:t>
            </w:r>
          </w:p>
        </w:tc>
        <w:tc>
          <w:tcPr>
            <w:tcW w:w="1119"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46.45</w:t>
            </w:r>
          </w:p>
        </w:tc>
      </w:tr>
      <w:tr w:rsidR="005378E6" w:rsidRPr="005378E6" w:rsidTr="00D3304E">
        <w:trPr>
          <w:jc w:val="center"/>
        </w:trPr>
        <w:tc>
          <w:tcPr>
            <w:tcW w:w="1548" w:type="dxa"/>
            <w:vMerge/>
            <w:shd w:val="clear" w:color="auto" w:fill="auto"/>
            <w:tcMar>
              <w:left w:w="58" w:type="dxa"/>
            </w:tcMar>
            <w:vAlign w:val="center"/>
          </w:tcPr>
          <w:p w:rsidR="005378E6" w:rsidRPr="005378E6" w:rsidRDefault="005378E6" w:rsidP="00750A22">
            <w:pPr>
              <w:keepNext/>
              <w:keepLines/>
              <w:spacing w:before="40" w:after="40" w:line="240" w:lineRule="auto"/>
              <w:jc w:val="center"/>
              <w:rPr>
                <w:rFonts w:asciiTheme="minorHAnsi" w:hAnsiTheme="minorHAnsi"/>
                <w:b/>
                <w:sz w:val="18"/>
                <w:szCs w:val="18"/>
              </w:rPr>
            </w:pPr>
          </w:p>
        </w:tc>
        <w:tc>
          <w:tcPr>
            <w:tcW w:w="1466" w:type="dxa"/>
            <w:shd w:val="clear" w:color="auto" w:fill="DBE5F1" w:themeFill="accent1" w:themeFillTint="33"/>
            <w:tcMar>
              <w:left w:w="115" w:type="dxa"/>
              <w:right w:w="58" w:type="dxa"/>
            </w:tcMar>
            <w:vAlign w:val="center"/>
          </w:tcPr>
          <w:p w:rsidR="005378E6" w:rsidRPr="005378E6" w:rsidRDefault="005378E6" w:rsidP="00D3304E">
            <w:pPr>
              <w:keepNext/>
              <w:keepLines/>
              <w:spacing w:before="40" w:after="40" w:line="240" w:lineRule="auto"/>
              <w:rPr>
                <w:rFonts w:asciiTheme="minorHAnsi" w:hAnsiTheme="minorHAnsi"/>
                <w:sz w:val="18"/>
                <w:szCs w:val="18"/>
              </w:rPr>
            </w:pPr>
            <w:r w:rsidRPr="005378E6">
              <w:rPr>
                <w:rFonts w:asciiTheme="minorHAnsi" w:hAnsiTheme="minorHAnsi"/>
                <w:sz w:val="18"/>
                <w:szCs w:val="18"/>
              </w:rPr>
              <w:t>ISO Queue</w:t>
            </w:r>
          </w:p>
        </w:tc>
        <w:tc>
          <w:tcPr>
            <w:tcW w:w="1097"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44.21</w:t>
            </w:r>
          </w:p>
        </w:tc>
        <w:tc>
          <w:tcPr>
            <w:tcW w:w="1097"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44.00</w:t>
            </w:r>
          </w:p>
        </w:tc>
        <w:tc>
          <w:tcPr>
            <w:tcW w:w="1249"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44.02</w:t>
            </w:r>
          </w:p>
        </w:tc>
        <w:tc>
          <w:tcPr>
            <w:tcW w:w="1097"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44.24</w:t>
            </w:r>
          </w:p>
        </w:tc>
        <w:tc>
          <w:tcPr>
            <w:tcW w:w="1119"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44.18</w:t>
            </w:r>
          </w:p>
        </w:tc>
      </w:tr>
      <w:tr w:rsidR="005378E6" w:rsidRPr="005378E6" w:rsidTr="00D3304E">
        <w:trPr>
          <w:jc w:val="center"/>
        </w:trPr>
        <w:tc>
          <w:tcPr>
            <w:tcW w:w="1548" w:type="dxa"/>
            <w:vMerge/>
            <w:shd w:val="clear" w:color="auto" w:fill="auto"/>
            <w:tcMar>
              <w:left w:w="58" w:type="dxa"/>
            </w:tcMar>
            <w:vAlign w:val="center"/>
          </w:tcPr>
          <w:p w:rsidR="005378E6" w:rsidRPr="005378E6" w:rsidRDefault="005378E6" w:rsidP="00750A22">
            <w:pPr>
              <w:keepNext/>
              <w:keepLines/>
              <w:spacing w:before="40" w:after="40" w:line="240" w:lineRule="auto"/>
              <w:jc w:val="center"/>
              <w:rPr>
                <w:rFonts w:asciiTheme="minorHAnsi" w:hAnsiTheme="minorHAnsi"/>
                <w:b/>
                <w:sz w:val="18"/>
                <w:szCs w:val="18"/>
              </w:rPr>
            </w:pPr>
          </w:p>
        </w:tc>
        <w:tc>
          <w:tcPr>
            <w:tcW w:w="1466" w:type="dxa"/>
            <w:shd w:val="clear" w:color="auto" w:fill="auto"/>
            <w:tcMar>
              <w:left w:w="115" w:type="dxa"/>
              <w:right w:w="58" w:type="dxa"/>
            </w:tcMar>
            <w:vAlign w:val="center"/>
          </w:tcPr>
          <w:p w:rsidR="005378E6" w:rsidRPr="005378E6" w:rsidRDefault="005378E6" w:rsidP="00D3304E">
            <w:pPr>
              <w:keepNext/>
              <w:keepLines/>
              <w:spacing w:before="40" w:after="40" w:line="240" w:lineRule="auto"/>
              <w:rPr>
                <w:rFonts w:asciiTheme="minorHAnsi" w:hAnsiTheme="minorHAnsi"/>
                <w:sz w:val="18"/>
                <w:szCs w:val="18"/>
              </w:rPr>
            </w:pPr>
            <w:r w:rsidRPr="005378E6">
              <w:rPr>
                <w:rFonts w:asciiTheme="minorHAnsi" w:hAnsiTheme="minorHAnsi"/>
                <w:sz w:val="18"/>
                <w:szCs w:val="18"/>
              </w:rPr>
              <w:t>Renew Plus</w:t>
            </w:r>
          </w:p>
        </w:tc>
        <w:tc>
          <w:tcPr>
            <w:tcW w:w="1097"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39.11</w:t>
            </w:r>
          </w:p>
        </w:tc>
        <w:tc>
          <w:tcPr>
            <w:tcW w:w="1097"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39.33</w:t>
            </w:r>
          </w:p>
        </w:tc>
        <w:tc>
          <w:tcPr>
            <w:tcW w:w="1249"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39.26</w:t>
            </w:r>
          </w:p>
        </w:tc>
        <w:tc>
          <w:tcPr>
            <w:tcW w:w="1097"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40.04</w:t>
            </w:r>
          </w:p>
        </w:tc>
        <w:tc>
          <w:tcPr>
            <w:tcW w:w="1119"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38.90</w:t>
            </w:r>
          </w:p>
        </w:tc>
      </w:tr>
      <w:tr w:rsidR="005378E6" w:rsidRPr="005378E6" w:rsidTr="00D3304E">
        <w:trPr>
          <w:jc w:val="center"/>
        </w:trPr>
        <w:tc>
          <w:tcPr>
            <w:tcW w:w="1548" w:type="dxa"/>
            <w:vMerge/>
            <w:shd w:val="clear" w:color="auto" w:fill="auto"/>
            <w:tcMar>
              <w:left w:w="58" w:type="dxa"/>
            </w:tcMar>
            <w:vAlign w:val="center"/>
          </w:tcPr>
          <w:p w:rsidR="005378E6" w:rsidRPr="005378E6" w:rsidRDefault="005378E6" w:rsidP="00750A22">
            <w:pPr>
              <w:keepNext/>
              <w:keepLines/>
              <w:spacing w:before="40" w:after="40" w:line="240" w:lineRule="auto"/>
              <w:jc w:val="center"/>
              <w:rPr>
                <w:rFonts w:asciiTheme="minorHAnsi" w:hAnsiTheme="minorHAnsi"/>
                <w:b/>
                <w:sz w:val="18"/>
                <w:szCs w:val="18"/>
              </w:rPr>
            </w:pPr>
          </w:p>
        </w:tc>
        <w:tc>
          <w:tcPr>
            <w:tcW w:w="1466" w:type="dxa"/>
            <w:shd w:val="clear" w:color="auto" w:fill="DBE5F1" w:themeFill="accent1" w:themeFillTint="33"/>
            <w:tcMar>
              <w:left w:w="115" w:type="dxa"/>
              <w:right w:w="58" w:type="dxa"/>
            </w:tcMar>
            <w:vAlign w:val="center"/>
          </w:tcPr>
          <w:p w:rsidR="005378E6" w:rsidRPr="005378E6" w:rsidRDefault="005378E6" w:rsidP="00D3304E">
            <w:pPr>
              <w:keepNext/>
              <w:keepLines/>
              <w:spacing w:before="40" w:after="40" w:line="240" w:lineRule="auto"/>
              <w:rPr>
                <w:rFonts w:asciiTheme="minorHAnsi" w:hAnsiTheme="minorHAnsi"/>
                <w:sz w:val="18"/>
                <w:szCs w:val="18"/>
              </w:rPr>
            </w:pPr>
            <w:r w:rsidRPr="005378E6">
              <w:rPr>
                <w:rFonts w:asciiTheme="minorHAnsi" w:hAnsiTheme="minorHAnsi"/>
                <w:sz w:val="18"/>
                <w:szCs w:val="18"/>
              </w:rPr>
              <w:t>No Retire</w:t>
            </w:r>
          </w:p>
        </w:tc>
        <w:tc>
          <w:tcPr>
            <w:tcW w:w="1097"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46.75</w:t>
            </w:r>
          </w:p>
        </w:tc>
        <w:tc>
          <w:tcPr>
            <w:tcW w:w="1097"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46.70</w:t>
            </w:r>
          </w:p>
        </w:tc>
        <w:tc>
          <w:tcPr>
            <w:tcW w:w="1249"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46.61</w:t>
            </w:r>
          </w:p>
        </w:tc>
        <w:tc>
          <w:tcPr>
            <w:tcW w:w="1097"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46.77</w:t>
            </w:r>
          </w:p>
        </w:tc>
        <w:tc>
          <w:tcPr>
            <w:tcW w:w="1119"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46.75</w:t>
            </w:r>
          </w:p>
        </w:tc>
      </w:tr>
      <w:tr w:rsidR="005378E6" w:rsidRPr="005378E6" w:rsidTr="00D3304E">
        <w:trPr>
          <w:jc w:val="center"/>
        </w:trPr>
        <w:tc>
          <w:tcPr>
            <w:tcW w:w="1548" w:type="dxa"/>
            <w:vMerge/>
            <w:shd w:val="clear" w:color="auto" w:fill="auto"/>
            <w:tcMar>
              <w:left w:w="58" w:type="dxa"/>
            </w:tcMar>
            <w:vAlign w:val="center"/>
          </w:tcPr>
          <w:p w:rsidR="005378E6" w:rsidRPr="005378E6" w:rsidRDefault="005378E6" w:rsidP="00750A22">
            <w:pPr>
              <w:keepNext/>
              <w:keepLines/>
              <w:spacing w:before="40" w:after="40" w:line="240" w:lineRule="auto"/>
              <w:jc w:val="center"/>
              <w:rPr>
                <w:rFonts w:asciiTheme="minorHAnsi" w:hAnsiTheme="minorHAnsi"/>
                <w:b/>
                <w:sz w:val="18"/>
                <w:szCs w:val="18"/>
              </w:rPr>
            </w:pPr>
          </w:p>
        </w:tc>
        <w:tc>
          <w:tcPr>
            <w:tcW w:w="1466" w:type="dxa"/>
            <w:shd w:val="clear" w:color="auto" w:fill="auto"/>
            <w:tcMar>
              <w:left w:w="115" w:type="dxa"/>
              <w:right w:w="58" w:type="dxa"/>
            </w:tcMar>
            <w:vAlign w:val="center"/>
          </w:tcPr>
          <w:p w:rsidR="005378E6" w:rsidRPr="005378E6" w:rsidRDefault="005378E6" w:rsidP="00D3304E">
            <w:pPr>
              <w:keepNext/>
              <w:keepLines/>
              <w:spacing w:before="40" w:after="40" w:line="240" w:lineRule="auto"/>
              <w:rPr>
                <w:rFonts w:asciiTheme="minorHAnsi" w:hAnsiTheme="minorHAnsi"/>
                <w:sz w:val="18"/>
                <w:szCs w:val="18"/>
              </w:rPr>
            </w:pPr>
            <w:r w:rsidRPr="005378E6">
              <w:rPr>
                <w:rFonts w:asciiTheme="minorHAnsi" w:hAnsiTheme="minorHAnsi"/>
                <w:sz w:val="18"/>
                <w:szCs w:val="18"/>
              </w:rPr>
              <w:t>ACP + Gas</w:t>
            </w:r>
          </w:p>
        </w:tc>
        <w:tc>
          <w:tcPr>
            <w:tcW w:w="1097"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47.52</w:t>
            </w:r>
          </w:p>
        </w:tc>
        <w:tc>
          <w:tcPr>
            <w:tcW w:w="1097"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47.50</w:t>
            </w:r>
          </w:p>
        </w:tc>
        <w:tc>
          <w:tcPr>
            <w:tcW w:w="1249"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47.38</w:t>
            </w:r>
          </w:p>
        </w:tc>
        <w:tc>
          <w:tcPr>
            <w:tcW w:w="1097"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47.53</w:t>
            </w:r>
          </w:p>
        </w:tc>
        <w:tc>
          <w:tcPr>
            <w:tcW w:w="1119"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47.50</w:t>
            </w:r>
          </w:p>
        </w:tc>
      </w:tr>
      <w:tr w:rsidR="005378E6" w:rsidRPr="005378E6" w:rsidTr="00D3304E">
        <w:trPr>
          <w:jc w:val="center"/>
        </w:trPr>
        <w:tc>
          <w:tcPr>
            <w:tcW w:w="1548" w:type="dxa"/>
            <w:vMerge/>
            <w:shd w:val="clear" w:color="auto" w:fill="auto"/>
            <w:tcMar>
              <w:left w:w="58" w:type="dxa"/>
            </w:tcMar>
            <w:vAlign w:val="center"/>
          </w:tcPr>
          <w:p w:rsidR="005378E6" w:rsidRPr="005378E6" w:rsidRDefault="005378E6" w:rsidP="00750A22">
            <w:pPr>
              <w:keepNext/>
              <w:keepLines/>
              <w:spacing w:before="40" w:after="40" w:line="240" w:lineRule="auto"/>
              <w:jc w:val="center"/>
              <w:rPr>
                <w:rFonts w:asciiTheme="minorHAnsi" w:hAnsiTheme="minorHAnsi"/>
                <w:b/>
                <w:sz w:val="18"/>
                <w:szCs w:val="18"/>
              </w:rPr>
            </w:pPr>
          </w:p>
        </w:tc>
        <w:tc>
          <w:tcPr>
            <w:tcW w:w="1466" w:type="dxa"/>
            <w:shd w:val="clear" w:color="auto" w:fill="DBE5F1" w:themeFill="accent1" w:themeFillTint="33"/>
            <w:tcMar>
              <w:left w:w="115" w:type="dxa"/>
              <w:right w:w="58" w:type="dxa"/>
            </w:tcMar>
            <w:vAlign w:val="center"/>
          </w:tcPr>
          <w:p w:rsidR="005378E6" w:rsidRPr="005378E6" w:rsidRDefault="005378E6" w:rsidP="00D3304E">
            <w:pPr>
              <w:keepNext/>
              <w:keepLines/>
              <w:spacing w:before="40" w:after="40" w:line="240" w:lineRule="auto"/>
              <w:rPr>
                <w:rFonts w:asciiTheme="minorHAnsi" w:hAnsiTheme="minorHAnsi"/>
                <w:sz w:val="18"/>
                <w:szCs w:val="18"/>
              </w:rPr>
            </w:pPr>
            <w:r w:rsidRPr="005378E6">
              <w:rPr>
                <w:rFonts w:asciiTheme="minorHAnsi" w:hAnsiTheme="minorHAnsi"/>
                <w:sz w:val="18"/>
                <w:szCs w:val="18"/>
              </w:rPr>
              <w:t>RPS + Geo Renew</w:t>
            </w:r>
          </w:p>
        </w:tc>
        <w:tc>
          <w:tcPr>
            <w:tcW w:w="1097"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44.65</w:t>
            </w:r>
          </w:p>
        </w:tc>
        <w:tc>
          <w:tcPr>
            <w:tcW w:w="1097"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44.51</w:t>
            </w:r>
          </w:p>
        </w:tc>
        <w:tc>
          <w:tcPr>
            <w:tcW w:w="1249"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44.50</w:t>
            </w:r>
          </w:p>
        </w:tc>
        <w:tc>
          <w:tcPr>
            <w:tcW w:w="1097"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44.68</w:t>
            </w:r>
          </w:p>
        </w:tc>
        <w:tc>
          <w:tcPr>
            <w:tcW w:w="1119"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44.65</w:t>
            </w:r>
          </w:p>
        </w:tc>
      </w:tr>
      <w:tr w:rsidR="005378E6" w:rsidRPr="005378E6" w:rsidTr="00D3304E">
        <w:trPr>
          <w:jc w:val="center"/>
        </w:trPr>
        <w:tc>
          <w:tcPr>
            <w:tcW w:w="1548" w:type="dxa"/>
            <w:vMerge w:val="restart"/>
            <w:shd w:val="clear" w:color="auto" w:fill="DBE5F1" w:themeFill="accent1" w:themeFillTint="33"/>
            <w:tcMar>
              <w:left w:w="58" w:type="dxa"/>
            </w:tcMar>
            <w:vAlign w:val="center"/>
          </w:tcPr>
          <w:p w:rsidR="005378E6" w:rsidRPr="005378E6" w:rsidRDefault="005378E6" w:rsidP="00750A22">
            <w:pPr>
              <w:keepNext/>
              <w:keepLines/>
              <w:spacing w:before="40" w:after="40" w:line="240" w:lineRule="auto"/>
              <w:jc w:val="center"/>
              <w:rPr>
                <w:rFonts w:asciiTheme="minorHAnsi" w:hAnsiTheme="minorHAnsi"/>
                <w:b/>
                <w:sz w:val="18"/>
                <w:szCs w:val="18"/>
              </w:rPr>
            </w:pPr>
            <w:r w:rsidRPr="005378E6">
              <w:rPr>
                <w:rFonts w:asciiTheme="minorHAnsi" w:hAnsiTheme="minorHAnsi"/>
                <w:b/>
                <w:sz w:val="18"/>
                <w:szCs w:val="18"/>
              </w:rPr>
              <w:t>Constrained</w:t>
            </w:r>
          </w:p>
        </w:tc>
        <w:tc>
          <w:tcPr>
            <w:tcW w:w="1466" w:type="dxa"/>
            <w:shd w:val="clear" w:color="auto" w:fill="auto"/>
            <w:tcMar>
              <w:left w:w="115" w:type="dxa"/>
              <w:right w:w="58" w:type="dxa"/>
            </w:tcMar>
            <w:vAlign w:val="center"/>
          </w:tcPr>
          <w:p w:rsidR="005378E6" w:rsidRPr="005378E6" w:rsidRDefault="005378E6" w:rsidP="00D3304E">
            <w:pPr>
              <w:keepNext/>
              <w:keepLines/>
              <w:spacing w:before="40" w:after="40" w:line="240" w:lineRule="auto"/>
              <w:rPr>
                <w:rFonts w:asciiTheme="minorHAnsi" w:hAnsiTheme="minorHAnsi"/>
                <w:sz w:val="18"/>
                <w:szCs w:val="18"/>
              </w:rPr>
            </w:pPr>
            <w:r w:rsidRPr="005378E6">
              <w:rPr>
                <w:rFonts w:asciiTheme="minorHAnsi" w:hAnsiTheme="minorHAnsi"/>
                <w:sz w:val="18"/>
                <w:szCs w:val="18"/>
              </w:rPr>
              <w:t>RPS + Gas</w:t>
            </w:r>
          </w:p>
        </w:tc>
        <w:tc>
          <w:tcPr>
            <w:tcW w:w="1097"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31.47</w:t>
            </w:r>
          </w:p>
        </w:tc>
        <w:tc>
          <w:tcPr>
            <w:tcW w:w="1097"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46.12</w:t>
            </w:r>
          </w:p>
        </w:tc>
        <w:tc>
          <w:tcPr>
            <w:tcW w:w="1249"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46.92</w:t>
            </w:r>
          </w:p>
        </w:tc>
        <w:tc>
          <w:tcPr>
            <w:tcW w:w="1097"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46.91</w:t>
            </w:r>
          </w:p>
        </w:tc>
        <w:tc>
          <w:tcPr>
            <w:tcW w:w="1119"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47.10</w:t>
            </w:r>
          </w:p>
        </w:tc>
      </w:tr>
      <w:tr w:rsidR="005378E6" w:rsidRPr="005378E6" w:rsidTr="00D3304E">
        <w:trPr>
          <w:jc w:val="center"/>
        </w:trPr>
        <w:tc>
          <w:tcPr>
            <w:tcW w:w="1548" w:type="dxa"/>
            <w:vMerge/>
            <w:shd w:val="clear" w:color="auto" w:fill="DBE5F1" w:themeFill="accent1" w:themeFillTint="33"/>
            <w:tcMar>
              <w:left w:w="58" w:type="dxa"/>
            </w:tcMar>
            <w:vAlign w:val="center"/>
          </w:tcPr>
          <w:p w:rsidR="005378E6" w:rsidRPr="005378E6" w:rsidRDefault="005378E6" w:rsidP="00750A22">
            <w:pPr>
              <w:keepNext/>
              <w:keepLines/>
              <w:spacing w:before="40" w:after="40" w:line="240" w:lineRule="auto"/>
              <w:jc w:val="center"/>
              <w:rPr>
                <w:rFonts w:asciiTheme="minorHAnsi" w:hAnsiTheme="minorHAnsi"/>
                <w:b/>
                <w:sz w:val="18"/>
                <w:szCs w:val="18"/>
              </w:rPr>
            </w:pPr>
          </w:p>
        </w:tc>
        <w:tc>
          <w:tcPr>
            <w:tcW w:w="1466" w:type="dxa"/>
            <w:shd w:val="clear" w:color="auto" w:fill="DBE5F1" w:themeFill="accent1" w:themeFillTint="33"/>
            <w:tcMar>
              <w:left w:w="115" w:type="dxa"/>
              <w:right w:w="58" w:type="dxa"/>
            </w:tcMar>
            <w:vAlign w:val="center"/>
          </w:tcPr>
          <w:p w:rsidR="005378E6" w:rsidRPr="005378E6" w:rsidRDefault="005378E6" w:rsidP="00D3304E">
            <w:pPr>
              <w:keepNext/>
              <w:keepLines/>
              <w:spacing w:before="40" w:after="40" w:line="240" w:lineRule="auto"/>
              <w:rPr>
                <w:rFonts w:asciiTheme="minorHAnsi" w:hAnsiTheme="minorHAnsi"/>
                <w:sz w:val="18"/>
                <w:szCs w:val="18"/>
              </w:rPr>
            </w:pPr>
            <w:r w:rsidRPr="005378E6">
              <w:rPr>
                <w:rFonts w:asciiTheme="minorHAnsi" w:hAnsiTheme="minorHAnsi"/>
                <w:sz w:val="18"/>
                <w:szCs w:val="18"/>
              </w:rPr>
              <w:t>ISO Queue</w:t>
            </w:r>
          </w:p>
        </w:tc>
        <w:tc>
          <w:tcPr>
            <w:tcW w:w="1097"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24.31</w:t>
            </w:r>
          </w:p>
        </w:tc>
        <w:tc>
          <w:tcPr>
            <w:tcW w:w="1097"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33.72</w:t>
            </w:r>
          </w:p>
        </w:tc>
        <w:tc>
          <w:tcPr>
            <w:tcW w:w="1249"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45.70</w:t>
            </w:r>
          </w:p>
        </w:tc>
        <w:tc>
          <w:tcPr>
            <w:tcW w:w="1097"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46.14</w:t>
            </w:r>
          </w:p>
        </w:tc>
        <w:tc>
          <w:tcPr>
            <w:tcW w:w="1119"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46.28</w:t>
            </w:r>
          </w:p>
        </w:tc>
      </w:tr>
      <w:tr w:rsidR="005378E6" w:rsidRPr="005378E6" w:rsidTr="00D3304E">
        <w:trPr>
          <w:jc w:val="center"/>
        </w:trPr>
        <w:tc>
          <w:tcPr>
            <w:tcW w:w="1548" w:type="dxa"/>
            <w:vMerge/>
            <w:shd w:val="clear" w:color="auto" w:fill="DBE5F1" w:themeFill="accent1" w:themeFillTint="33"/>
            <w:tcMar>
              <w:left w:w="58" w:type="dxa"/>
            </w:tcMar>
            <w:vAlign w:val="center"/>
          </w:tcPr>
          <w:p w:rsidR="005378E6" w:rsidRPr="005378E6" w:rsidRDefault="005378E6" w:rsidP="00750A22">
            <w:pPr>
              <w:keepNext/>
              <w:keepLines/>
              <w:spacing w:before="40" w:after="40" w:line="240" w:lineRule="auto"/>
              <w:jc w:val="center"/>
              <w:rPr>
                <w:rFonts w:asciiTheme="minorHAnsi" w:hAnsiTheme="minorHAnsi"/>
                <w:b/>
                <w:sz w:val="18"/>
                <w:szCs w:val="18"/>
              </w:rPr>
            </w:pPr>
          </w:p>
        </w:tc>
        <w:tc>
          <w:tcPr>
            <w:tcW w:w="1466" w:type="dxa"/>
            <w:shd w:val="clear" w:color="auto" w:fill="auto"/>
            <w:tcMar>
              <w:left w:w="115" w:type="dxa"/>
              <w:right w:w="58" w:type="dxa"/>
            </w:tcMar>
            <w:vAlign w:val="center"/>
          </w:tcPr>
          <w:p w:rsidR="005378E6" w:rsidRPr="005378E6" w:rsidRDefault="005378E6" w:rsidP="00D3304E">
            <w:pPr>
              <w:keepNext/>
              <w:keepLines/>
              <w:spacing w:before="40" w:after="40" w:line="240" w:lineRule="auto"/>
              <w:rPr>
                <w:rFonts w:asciiTheme="minorHAnsi" w:hAnsiTheme="minorHAnsi"/>
                <w:sz w:val="18"/>
                <w:szCs w:val="18"/>
              </w:rPr>
            </w:pPr>
            <w:r w:rsidRPr="005378E6">
              <w:rPr>
                <w:rFonts w:asciiTheme="minorHAnsi" w:hAnsiTheme="minorHAnsi"/>
                <w:sz w:val="18"/>
                <w:szCs w:val="18"/>
              </w:rPr>
              <w:t>Renew Plus</w:t>
            </w:r>
          </w:p>
        </w:tc>
        <w:tc>
          <w:tcPr>
            <w:tcW w:w="1097"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24.51</w:t>
            </w:r>
          </w:p>
        </w:tc>
        <w:tc>
          <w:tcPr>
            <w:tcW w:w="1097"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38.73</w:t>
            </w:r>
          </w:p>
        </w:tc>
        <w:tc>
          <w:tcPr>
            <w:tcW w:w="1249"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40.56</w:t>
            </w:r>
          </w:p>
        </w:tc>
        <w:tc>
          <w:tcPr>
            <w:tcW w:w="1097"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41.25</w:t>
            </w:r>
          </w:p>
        </w:tc>
        <w:tc>
          <w:tcPr>
            <w:tcW w:w="1119"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40.27</w:t>
            </w:r>
          </w:p>
        </w:tc>
      </w:tr>
      <w:tr w:rsidR="005378E6" w:rsidRPr="005378E6" w:rsidTr="00D3304E">
        <w:trPr>
          <w:jc w:val="center"/>
        </w:trPr>
        <w:tc>
          <w:tcPr>
            <w:tcW w:w="1548" w:type="dxa"/>
            <w:vMerge/>
            <w:shd w:val="clear" w:color="auto" w:fill="DBE5F1" w:themeFill="accent1" w:themeFillTint="33"/>
            <w:tcMar>
              <w:left w:w="58" w:type="dxa"/>
            </w:tcMar>
            <w:vAlign w:val="center"/>
          </w:tcPr>
          <w:p w:rsidR="005378E6" w:rsidRPr="005378E6" w:rsidRDefault="005378E6" w:rsidP="00750A22">
            <w:pPr>
              <w:keepNext/>
              <w:keepLines/>
              <w:spacing w:before="40" w:after="40" w:line="240" w:lineRule="auto"/>
              <w:jc w:val="center"/>
              <w:rPr>
                <w:rFonts w:asciiTheme="minorHAnsi" w:hAnsiTheme="minorHAnsi"/>
                <w:b/>
                <w:sz w:val="18"/>
                <w:szCs w:val="18"/>
              </w:rPr>
            </w:pPr>
          </w:p>
        </w:tc>
        <w:tc>
          <w:tcPr>
            <w:tcW w:w="1466" w:type="dxa"/>
            <w:shd w:val="clear" w:color="auto" w:fill="DBE5F1" w:themeFill="accent1" w:themeFillTint="33"/>
            <w:tcMar>
              <w:left w:w="115" w:type="dxa"/>
              <w:right w:w="58" w:type="dxa"/>
            </w:tcMar>
            <w:vAlign w:val="center"/>
          </w:tcPr>
          <w:p w:rsidR="005378E6" w:rsidRPr="005378E6" w:rsidRDefault="005378E6" w:rsidP="00D3304E">
            <w:pPr>
              <w:keepNext/>
              <w:keepLines/>
              <w:spacing w:before="40" w:after="40" w:line="240" w:lineRule="auto"/>
              <w:rPr>
                <w:rFonts w:asciiTheme="minorHAnsi" w:hAnsiTheme="minorHAnsi"/>
                <w:sz w:val="18"/>
                <w:szCs w:val="18"/>
              </w:rPr>
            </w:pPr>
            <w:r w:rsidRPr="005378E6">
              <w:rPr>
                <w:rFonts w:asciiTheme="minorHAnsi" w:hAnsiTheme="minorHAnsi"/>
                <w:sz w:val="18"/>
                <w:szCs w:val="18"/>
              </w:rPr>
              <w:t>No Retire</w:t>
            </w:r>
          </w:p>
        </w:tc>
        <w:tc>
          <w:tcPr>
            <w:tcW w:w="1097"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46.43</w:t>
            </w:r>
          </w:p>
        </w:tc>
        <w:tc>
          <w:tcPr>
            <w:tcW w:w="1097"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46.73</w:t>
            </w:r>
          </w:p>
        </w:tc>
        <w:tc>
          <w:tcPr>
            <w:tcW w:w="1249"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46.71</w:t>
            </w:r>
          </w:p>
        </w:tc>
        <w:tc>
          <w:tcPr>
            <w:tcW w:w="1097"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46.66</w:t>
            </w:r>
          </w:p>
        </w:tc>
        <w:tc>
          <w:tcPr>
            <w:tcW w:w="1119"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46.89</w:t>
            </w:r>
          </w:p>
        </w:tc>
      </w:tr>
      <w:tr w:rsidR="005378E6" w:rsidRPr="005378E6" w:rsidTr="00D3304E">
        <w:trPr>
          <w:jc w:val="center"/>
        </w:trPr>
        <w:tc>
          <w:tcPr>
            <w:tcW w:w="1548" w:type="dxa"/>
            <w:vMerge/>
            <w:shd w:val="clear" w:color="auto" w:fill="DBE5F1" w:themeFill="accent1" w:themeFillTint="33"/>
            <w:tcMar>
              <w:left w:w="58" w:type="dxa"/>
            </w:tcMar>
            <w:vAlign w:val="center"/>
          </w:tcPr>
          <w:p w:rsidR="005378E6" w:rsidRPr="005378E6" w:rsidRDefault="005378E6" w:rsidP="00750A22">
            <w:pPr>
              <w:keepNext/>
              <w:keepLines/>
              <w:spacing w:before="40" w:after="40" w:line="240" w:lineRule="auto"/>
              <w:jc w:val="center"/>
              <w:rPr>
                <w:rFonts w:asciiTheme="minorHAnsi" w:hAnsiTheme="minorHAnsi"/>
                <w:b/>
                <w:sz w:val="18"/>
                <w:szCs w:val="18"/>
              </w:rPr>
            </w:pPr>
          </w:p>
        </w:tc>
        <w:tc>
          <w:tcPr>
            <w:tcW w:w="1466" w:type="dxa"/>
            <w:shd w:val="clear" w:color="auto" w:fill="auto"/>
            <w:tcMar>
              <w:left w:w="115" w:type="dxa"/>
              <w:right w:w="58" w:type="dxa"/>
            </w:tcMar>
            <w:vAlign w:val="center"/>
          </w:tcPr>
          <w:p w:rsidR="005378E6" w:rsidRPr="005378E6" w:rsidRDefault="005378E6" w:rsidP="00D3304E">
            <w:pPr>
              <w:keepNext/>
              <w:keepLines/>
              <w:spacing w:before="40" w:after="40" w:line="240" w:lineRule="auto"/>
              <w:rPr>
                <w:rFonts w:asciiTheme="minorHAnsi" w:hAnsiTheme="minorHAnsi"/>
                <w:sz w:val="18"/>
                <w:szCs w:val="18"/>
              </w:rPr>
            </w:pPr>
            <w:r w:rsidRPr="005378E6">
              <w:rPr>
                <w:rFonts w:asciiTheme="minorHAnsi" w:hAnsiTheme="minorHAnsi"/>
                <w:sz w:val="18"/>
                <w:szCs w:val="18"/>
              </w:rPr>
              <w:t>ACP + Gas</w:t>
            </w:r>
          </w:p>
        </w:tc>
        <w:tc>
          <w:tcPr>
            <w:tcW w:w="1097"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46.98</w:t>
            </w:r>
          </w:p>
        </w:tc>
        <w:tc>
          <w:tcPr>
            <w:tcW w:w="1097"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47.28</w:t>
            </w:r>
          </w:p>
        </w:tc>
        <w:tc>
          <w:tcPr>
            <w:tcW w:w="1249"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47.32</w:t>
            </w:r>
          </w:p>
        </w:tc>
        <w:tc>
          <w:tcPr>
            <w:tcW w:w="1097"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47.24</w:t>
            </w:r>
          </w:p>
        </w:tc>
        <w:tc>
          <w:tcPr>
            <w:tcW w:w="1119" w:type="dxa"/>
            <w:shd w:val="clear" w:color="auto" w:fill="auto"/>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47.44</w:t>
            </w:r>
          </w:p>
        </w:tc>
      </w:tr>
      <w:tr w:rsidR="005378E6" w:rsidRPr="005378E6" w:rsidTr="00D3304E">
        <w:trPr>
          <w:jc w:val="center"/>
        </w:trPr>
        <w:tc>
          <w:tcPr>
            <w:tcW w:w="1548" w:type="dxa"/>
            <w:vMerge/>
            <w:shd w:val="clear" w:color="auto" w:fill="DBE5F1" w:themeFill="accent1" w:themeFillTint="33"/>
            <w:tcMar>
              <w:left w:w="58" w:type="dxa"/>
            </w:tcMar>
            <w:vAlign w:val="center"/>
          </w:tcPr>
          <w:p w:rsidR="005378E6" w:rsidRPr="005378E6" w:rsidRDefault="005378E6" w:rsidP="00750A22">
            <w:pPr>
              <w:keepNext/>
              <w:keepLines/>
              <w:spacing w:before="40" w:after="40" w:line="240" w:lineRule="auto"/>
              <w:jc w:val="center"/>
              <w:rPr>
                <w:rFonts w:asciiTheme="minorHAnsi" w:hAnsiTheme="minorHAnsi"/>
                <w:b/>
                <w:sz w:val="18"/>
                <w:szCs w:val="18"/>
              </w:rPr>
            </w:pPr>
          </w:p>
        </w:tc>
        <w:tc>
          <w:tcPr>
            <w:tcW w:w="1466" w:type="dxa"/>
            <w:shd w:val="clear" w:color="auto" w:fill="DBE5F1" w:themeFill="accent1" w:themeFillTint="33"/>
            <w:tcMar>
              <w:left w:w="115" w:type="dxa"/>
              <w:right w:w="58" w:type="dxa"/>
            </w:tcMar>
            <w:vAlign w:val="center"/>
          </w:tcPr>
          <w:p w:rsidR="005378E6" w:rsidRPr="005378E6" w:rsidRDefault="005378E6" w:rsidP="00D3304E">
            <w:pPr>
              <w:keepNext/>
              <w:keepLines/>
              <w:spacing w:before="40" w:after="40" w:line="240" w:lineRule="auto"/>
              <w:rPr>
                <w:rFonts w:asciiTheme="minorHAnsi" w:hAnsiTheme="minorHAnsi"/>
                <w:sz w:val="18"/>
                <w:szCs w:val="18"/>
              </w:rPr>
            </w:pPr>
            <w:r w:rsidRPr="005378E6">
              <w:rPr>
                <w:rFonts w:asciiTheme="minorHAnsi" w:hAnsiTheme="minorHAnsi"/>
                <w:sz w:val="18"/>
                <w:szCs w:val="18"/>
              </w:rPr>
              <w:t>RPS + Geo Renew</w:t>
            </w:r>
          </w:p>
        </w:tc>
        <w:tc>
          <w:tcPr>
            <w:tcW w:w="1097"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34.36</w:t>
            </w:r>
          </w:p>
        </w:tc>
        <w:tc>
          <w:tcPr>
            <w:tcW w:w="1097"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44.27</w:t>
            </w:r>
          </w:p>
        </w:tc>
        <w:tc>
          <w:tcPr>
            <w:tcW w:w="1249"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45.05</w:t>
            </w:r>
          </w:p>
        </w:tc>
        <w:tc>
          <w:tcPr>
            <w:tcW w:w="1097"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45.07</w:t>
            </w:r>
          </w:p>
        </w:tc>
        <w:tc>
          <w:tcPr>
            <w:tcW w:w="1119" w:type="dxa"/>
            <w:shd w:val="clear" w:color="auto" w:fill="DBE5F1" w:themeFill="accent1" w:themeFillTint="33"/>
            <w:tcMar>
              <w:left w:w="58" w:type="dxa"/>
              <w:right w:w="173" w:type="dxa"/>
            </w:tcMar>
          </w:tcPr>
          <w:p w:rsidR="005378E6" w:rsidRPr="005378E6" w:rsidRDefault="005378E6" w:rsidP="00750A22">
            <w:pPr>
              <w:keepNext/>
              <w:keepLines/>
              <w:spacing w:before="40" w:after="40" w:line="240" w:lineRule="auto"/>
              <w:jc w:val="right"/>
              <w:rPr>
                <w:rFonts w:asciiTheme="minorHAnsi" w:hAnsiTheme="minorHAnsi"/>
                <w:sz w:val="18"/>
                <w:szCs w:val="18"/>
              </w:rPr>
            </w:pPr>
            <w:r w:rsidRPr="005378E6">
              <w:rPr>
                <w:rFonts w:asciiTheme="minorHAnsi" w:hAnsiTheme="minorHAnsi"/>
                <w:sz w:val="18"/>
                <w:szCs w:val="18"/>
              </w:rPr>
              <w:t>45.24</w:t>
            </w:r>
          </w:p>
        </w:tc>
      </w:tr>
    </w:tbl>
    <w:p w:rsidR="007642C0" w:rsidRDefault="007642C0" w:rsidP="003706FB">
      <w:pPr>
        <w:pStyle w:val="Caption"/>
        <w:jc w:val="center"/>
        <w:rPr>
          <w:highlight w:val="yellow"/>
        </w:rPr>
      </w:pPr>
      <w:bookmarkStart w:id="289" w:name="_Ref483832542"/>
    </w:p>
    <w:p w:rsidR="001675BB" w:rsidRDefault="001675BB" w:rsidP="003706FB">
      <w:pPr>
        <w:pStyle w:val="Caption"/>
        <w:jc w:val="center"/>
      </w:pPr>
      <w:bookmarkStart w:id="290" w:name="_Ref486334935"/>
      <w:bookmarkStart w:id="291" w:name="_Toc486406042"/>
      <w:r w:rsidRPr="00750A22">
        <w:t xml:space="preserve">Table </w:t>
      </w:r>
      <w:fldSimple w:instr=" STYLEREF 1 \s ">
        <w:r w:rsidR="004248FE">
          <w:rPr>
            <w:noProof/>
          </w:rPr>
          <w:t>6</w:t>
        </w:r>
      </w:fldSimple>
      <w:r w:rsidR="004248FE">
        <w:noBreakHyphen/>
      </w:r>
      <w:fldSimple w:instr=" SEQ Table \* ARABIC \s 1 ">
        <w:r w:rsidR="004248FE">
          <w:rPr>
            <w:noProof/>
          </w:rPr>
          <w:t>7</w:t>
        </w:r>
      </w:fldSimple>
      <w:bookmarkEnd w:id="289"/>
      <w:bookmarkEnd w:id="290"/>
      <w:r w:rsidRPr="00750A22">
        <w:br/>
        <w:t>LMPs in Selected Subareas, 2030 (</w:t>
      </w:r>
      <w:r w:rsidR="00C61DF8" w:rsidRPr="00750A22">
        <w:t>$</w:t>
      </w:r>
      <w:r w:rsidRPr="00750A22">
        <w:t>/MWh)</w:t>
      </w:r>
      <w:bookmarkEnd w:id="291"/>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48"/>
        <w:gridCol w:w="1466"/>
        <w:gridCol w:w="1097"/>
        <w:gridCol w:w="1097"/>
        <w:gridCol w:w="1249"/>
        <w:gridCol w:w="1097"/>
        <w:gridCol w:w="1119"/>
      </w:tblGrid>
      <w:tr w:rsidR="009256FF" w:rsidRPr="00E16220" w:rsidTr="00070BB1">
        <w:trPr>
          <w:trHeight w:val="472"/>
          <w:jc w:val="center"/>
        </w:trPr>
        <w:tc>
          <w:tcPr>
            <w:tcW w:w="1548" w:type="dxa"/>
            <w:shd w:val="clear" w:color="auto" w:fill="0070C0"/>
            <w:tcMar>
              <w:left w:w="58" w:type="dxa"/>
            </w:tcMar>
            <w:vAlign w:val="center"/>
          </w:tcPr>
          <w:p w:rsidR="009256FF" w:rsidRPr="00E16220" w:rsidRDefault="009256FF" w:rsidP="009256FF">
            <w:pPr>
              <w:spacing w:before="40" w:after="40" w:line="240" w:lineRule="auto"/>
              <w:jc w:val="center"/>
              <w:rPr>
                <w:rFonts w:asciiTheme="minorHAnsi" w:hAnsiTheme="minorHAnsi"/>
                <w:b/>
                <w:color w:val="FFFFFF" w:themeColor="background1"/>
                <w:sz w:val="18"/>
                <w:szCs w:val="18"/>
              </w:rPr>
            </w:pPr>
            <w:r w:rsidRPr="00E16220">
              <w:rPr>
                <w:rFonts w:asciiTheme="minorHAnsi" w:hAnsiTheme="minorHAnsi"/>
                <w:b/>
                <w:color w:val="FFFFFF" w:themeColor="background1"/>
                <w:sz w:val="18"/>
                <w:szCs w:val="18"/>
              </w:rPr>
              <w:t>Transmission</w:t>
            </w:r>
          </w:p>
        </w:tc>
        <w:tc>
          <w:tcPr>
            <w:tcW w:w="1466" w:type="dxa"/>
            <w:shd w:val="clear" w:color="auto" w:fill="0070C0"/>
            <w:tcMar>
              <w:left w:w="58" w:type="dxa"/>
            </w:tcMar>
            <w:vAlign w:val="center"/>
          </w:tcPr>
          <w:p w:rsidR="009256FF" w:rsidRPr="00E16220" w:rsidRDefault="009256FF" w:rsidP="009256FF">
            <w:pPr>
              <w:spacing w:before="40" w:after="40" w:line="240" w:lineRule="auto"/>
              <w:jc w:val="center"/>
              <w:rPr>
                <w:rFonts w:asciiTheme="minorHAnsi" w:hAnsiTheme="minorHAnsi"/>
                <w:b/>
                <w:color w:val="FFFFFF" w:themeColor="background1"/>
                <w:sz w:val="18"/>
                <w:szCs w:val="18"/>
              </w:rPr>
            </w:pPr>
            <w:r w:rsidRPr="00E16220">
              <w:rPr>
                <w:rFonts w:asciiTheme="minorHAnsi" w:hAnsiTheme="minorHAnsi"/>
                <w:b/>
                <w:color w:val="FFFFFF" w:themeColor="background1"/>
                <w:sz w:val="18"/>
                <w:szCs w:val="18"/>
              </w:rPr>
              <w:t>Scenario</w:t>
            </w:r>
          </w:p>
        </w:tc>
        <w:tc>
          <w:tcPr>
            <w:tcW w:w="1097" w:type="dxa"/>
            <w:shd w:val="clear" w:color="auto" w:fill="0070C0"/>
            <w:tcMar>
              <w:left w:w="58" w:type="dxa"/>
            </w:tcMar>
            <w:vAlign w:val="center"/>
          </w:tcPr>
          <w:p w:rsidR="009256FF" w:rsidRPr="0057667D" w:rsidRDefault="009256FF" w:rsidP="009256FF">
            <w:pPr>
              <w:spacing w:before="40" w:after="40" w:line="240" w:lineRule="auto"/>
              <w:jc w:val="center"/>
              <w:rPr>
                <w:rFonts w:asciiTheme="minorHAnsi" w:hAnsiTheme="minorHAnsi"/>
                <w:b/>
                <w:color w:val="FFFFFF" w:themeColor="background1"/>
                <w:sz w:val="18"/>
                <w:szCs w:val="18"/>
              </w:rPr>
            </w:pPr>
            <w:r w:rsidRPr="0057667D">
              <w:rPr>
                <w:rFonts w:asciiTheme="minorHAnsi" w:hAnsiTheme="minorHAnsi"/>
                <w:b/>
                <w:color w:val="FFFFFF" w:themeColor="background1"/>
                <w:sz w:val="18"/>
                <w:szCs w:val="18"/>
              </w:rPr>
              <w:t>BHE</w:t>
            </w:r>
          </w:p>
        </w:tc>
        <w:tc>
          <w:tcPr>
            <w:tcW w:w="1097" w:type="dxa"/>
            <w:shd w:val="clear" w:color="auto" w:fill="0070C0"/>
            <w:tcMar>
              <w:left w:w="58" w:type="dxa"/>
            </w:tcMar>
            <w:vAlign w:val="center"/>
          </w:tcPr>
          <w:p w:rsidR="009256FF" w:rsidRPr="0057667D" w:rsidRDefault="009256FF" w:rsidP="009256FF">
            <w:pPr>
              <w:spacing w:before="40" w:after="40" w:line="240" w:lineRule="auto"/>
              <w:jc w:val="center"/>
              <w:rPr>
                <w:rFonts w:asciiTheme="minorHAnsi" w:hAnsiTheme="minorHAnsi"/>
                <w:b/>
                <w:color w:val="FFFFFF" w:themeColor="background1"/>
                <w:sz w:val="18"/>
                <w:szCs w:val="18"/>
              </w:rPr>
            </w:pPr>
            <w:r w:rsidRPr="0057667D">
              <w:rPr>
                <w:rFonts w:asciiTheme="minorHAnsi" w:hAnsiTheme="minorHAnsi"/>
                <w:b/>
                <w:color w:val="FFFFFF" w:themeColor="background1"/>
                <w:sz w:val="18"/>
                <w:szCs w:val="18"/>
              </w:rPr>
              <w:t>ME</w:t>
            </w:r>
          </w:p>
        </w:tc>
        <w:tc>
          <w:tcPr>
            <w:tcW w:w="1249" w:type="dxa"/>
            <w:shd w:val="clear" w:color="auto" w:fill="0070C0"/>
            <w:tcMar>
              <w:left w:w="58" w:type="dxa"/>
            </w:tcMar>
            <w:vAlign w:val="center"/>
          </w:tcPr>
          <w:p w:rsidR="009256FF" w:rsidRPr="0057667D" w:rsidRDefault="009256FF" w:rsidP="009256FF">
            <w:pPr>
              <w:spacing w:before="40" w:after="40" w:line="240" w:lineRule="auto"/>
              <w:jc w:val="center"/>
              <w:rPr>
                <w:rFonts w:asciiTheme="minorHAnsi" w:hAnsiTheme="minorHAnsi"/>
                <w:b/>
                <w:color w:val="FFFFFF" w:themeColor="background1"/>
                <w:sz w:val="18"/>
                <w:szCs w:val="18"/>
              </w:rPr>
            </w:pPr>
            <w:r w:rsidRPr="0057667D">
              <w:rPr>
                <w:rFonts w:asciiTheme="minorHAnsi" w:hAnsiTheme="minorHAnsi"/>
                <w:b/>
                <w:color w:val="FFFFFF" w:themeColor="background1"/>
                <w:sz w:val="18"/>
                <w:szCs w:val="18"/>
              </w:rPr>
              <w:t>SME</w:t>
            </w:r>
          </w:p>
        </w:tc>
        <w:tc>
          <w:tcPr>
            <w:tcW w:w="1097" w:type="dxa"/>
            <w:shd w:val="clear" w:color="auto" w:fill="0070C0"/>
            <w:tcMar>
              <w:left w:w="58" w:type="dxa"/>
            </w:tcMar>
            <w:vAlign w:val="center"/>
          </w:tcPr>
          <w:p w:rsidR="009256FF" w:rsidRPr="0057667D" w:rsidRDefault="009256FF" w:rsidP="009256FF">
            <w:pPr>
              <w:spacing w:before="40" w:after="40" w:line="240" w:lineRule="auto"/>
              <w:jc w:val="center"/>
              <w:rPr>
                <w:rFonts w:asciiTheme="minorHAnsi" w:hAnsiTheme="minorHAnsi"/>
                <w:b/>
                <w:color w:val="FFFFFF" w:themeColor="background1"/>
                <w:sz w:val="18"/>
                <w:szCs w:val="18"/>
              </w:rPr>
            </w:pPr>
            <w:r w:rsidRPr="0057667D">
              <w:rPr>
                <w:rFonts w:asciiTheme="minorHAnsi" w:hAnsiTheme="minorHAnsi"/>
                <w:b/>
                <w:color w:val="FFFFFF" w:themeColor="background1"/>
                <w:sz w:val="18"/>
                <w:szCs w:val="18"/>
              </w:rPr>
              <w:t>NH</w:t>
            </w:r>
          </w:p>
        </w:tc>
        <w:tc>
          <w:tcPr>
            <w:tcW w:w="1119" w:type="dxa"/>
            <w:shd w:val="clear" w:color="auto" w:fill="0070C0"/>
            <w:tcMar>
              <w:left w:w="58" w:type="dxa"/>
            </w:tcMar>
            <w:vAlign w:val="center"/>
          </w:tcPr>
          <w:p w:rsidR="009256FF" w:rsidRPr="0057667D" w:rsidRDefault="009256FF" w:rsidP="009256FF">
            <w:pPr>
              <w:spacing w:before="40" w:after="40" w:line="240" w:lineRule="auto"/>
              <w:jc w:val="center"/>
              <w:rPr>
                <w:rFonts w:asciiTheme="minorHAnsi" w:hAnsiTheme="minorHAnsi"/>
                <w:b/>
                <w:color w:val="FFFFFF" w:themeColor="background1"/>
                <w:sz w:val="18"/>
                <w:szCs w:val="18"/>
              </w:rPr>
            </w:pPr>
            <w:r w:rsidRPr="0057667D">
              <w:rPr>
                <w:rFonts w:asciiTheme="minorHAnsi" w:hAnsiTheme="minorHAnsi"/>
                <w:b/>
                <w:color w:val="FFFFFF" w:themeColor="background1"/>
                <w:sz w:val="18"/>
                <w:szCs w:val="18"/>
              </w:rPr>
              <w:t>BOSTON</w:t>
            </w:r>
          </w:p>
        </w:tc>
      </w:tr>
      <w:tr w:rsidR="005378E6" w:rsidRPr="00E16220" w:rsidTr="00070BB1">
        <w:trPr>
          <w:jc w:val="center"/>
        </w:trPr>
        <w:tc>
          <w:tcPr>
            <w:tcW w:w="1548" w:type="dxa"/>
            <w:vMerge w:val="restart"/>
            <w:shd w:val="clear" w:color="auto" w:fill="auto"/>
            <w:tcMar>
              <w:left w:w="58" w:type="dxa"/>
            </w:tcMar>
            <w:vAlign w:val="center"/>
          </w:tcPr>
          <w:p w:rsidR="005378E6" w:rsidRPr="00E16220" w:rsidRDefault="005378E6" w:rsidP="009256FF">
            <w:pPr>
              <w:spacing w:before="40" w:after="40" w:line="240" w:lineRule="auto"/>
              <w:rPr>
                <w:rFonts w:asciiTheme="minorHAnsi" w:hAnsiTheme="minorHAnsi"/>
                <w:b/>
                <w:sz w:val="18"/>
                <w:szCs w:val="18"/>
              </w:rPr>
            </w:pPr>
            <w:r w:rsidRPr="00E16220">
              <w:rPr>
                <w:rFonts w:asciiTheme="minorHAnsi" w:hAnsiTheme="minorHAnsi"/>
                <w:b/>
                <w:sz w:val="18"/>
                <w:szCs w:val="18"/>
              </w:rPr>
              <w:t>Unconstrained</w:t>
            </w:r>
          </w:p>
          <w:p w:rsidR="005378E6" w:rsidRPr="00E16220" w:rsidRDefault="005378E6" w:rsidP="009256FF">
            <w:pPr>
              <w:spacing w:before="40" w:after="40" w:line="240" w:lineRule="auto"/>
              <w:rPr>
                <w:rFonts w:asciiTheme="minorHAnsi" w:hAnsiTheme="minorHAnsi"/>
                <w:b/>
                <w:sz w:val="18"/>
                <w:szCs w:val="18"/>
              </w:rPr>
            </w:pPr>
          </w:p>
        </w:tc>
        <w:tc>
          <w:tcPr>
            <w:tcW w:w="1466" w:type="dxa"/>
            <w:shd w:val="clear" w:color="auto" w:fill="DBE5F1" w:themeFill="accent1" w:themeFillTint="33"/>
            <w:tcMar>
              <w:left w:w="58" w:type="dxa"/>
              <w:right w:w="58" w:type="dxa"/>
            </w:tcMar>
            <w:vAlign w:val="center"/>
          </w:tcPr>
          <w:p w:rsidR="005378E6" w:rsidRPr="0057667D" w:rsidRDefault="005378E6" w:rsidP="00070BB1">
            <w:pPr>
              <w:keepNext/>
              <w:keepLines/>
              <w:spacing w:before="40" w:after="40" w:line="240" w:lineRule="auto"/>
              <w:rPr>
                <w:rFonts w:asciiTheme="minorHAnsi" w:hAnsiTheme="minorHAnsi"/>
                <w:sz w:val="18"/>
                <w:szCs w:val="18"/>
              </w:rPr>
            </w:pPr>
            <w:r w:rsidRPr="0057667D">
              <w:rPr>
                <w:rFonts w:asciiTheme="minorHAnsi" w:hAnsiTheme="minorHAnsi"/>
                <w:sz w:val="18"/>
                <w:szCs w:val="18"/>
              </w:rPr>
              <w:t>RPS + Gas</w:t>
            </w:r>
          </w:p>
        </w:tc>
        <w:tc>
          <w:tcPr>
            <w:tcW w:w="1097"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52.44</w:t>
            </w:r>
          </w:p>
        </w:tc>
        <w:tc>
          <w:tcPr>
            <w:tcW w:w="1097"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52.47</w:t>
            </w:r>
          </w:p>
        </w:tc>
        <w:tc>
          <w:tcPr>
            <w:tcW w:w="1249"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52.33</w:t>
            </w:r>
          </w:p>
        </w:tc>
        <w:tc>
          <w:tcPr>
            <w:tcW w:w="1097"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52.42</w:t>
            </w:r>
          </w:p>
        </w:tc>
        <w:tc>
          <w:tcPr>
            <w:tcW w:w="1119"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52.43</w:t>
            </w:r>
          </w:p>
        </w:tc>
      </w:tr>
      <w:tr w:rsidR="005378E6" w:rsidRPr="00E16220" w:rsidTr="00070BB1">
        <w:trPr>
          <w:jc w:val="center"/>
        </w:trPr>
        <w:tc>
          <w:tcPr>
            <w:tcW w:w="1548" w:type="dxa"/>
            <w:vMerge/>
            <w:shd w:val="clear" w:color="auto" w:fill="auto"/>
            <w:tcMar>
              <w:left w:w="58" w:type="dxa"/>
            </w:tcMar>
            <w:vAlign w:val="center"/>
          </w:tcPr>
          <w:p w:rsidR="005378E6" w:rsidRPr="00E16220" w:rsidRDefault="005378E6" w:rsidP="009256FF">
            <w:pPr>
              <w:spacing w:before="40" w:after="40" w:line="240" w:lineRule="auto"/>
              <w:rPr>
                <w:rFonts w:asciiTheme="minorHAnsi" w:hAnsiTheme="minorHAnsi"/>
                <w:b/>
                <w:sz w:val="18"/>
                <w:szCs w:val="18"/>
              </w:rPr>
            </w:pPr>
          </w:p>
        </w:tc>
        <w:tc>
          <w:tcPr>
            <w:tcW w:w="1466" w:type="dxa"/>
            <w:shd w:val="clear" w:color="auto" w:fill="auto"/>
            <w:tcMar>
              <w:left w:w="58" w:type="dxa"/>
              <w:right w:w="58" w:type="dxa"/>
            </w:tcMar>
            <w:vAlign w:val="center"/>
          </w:tcPr>
          <w:p w:rsidR="005378E6" w:rsidRPr="0057667D" w:rsidRDefault="005378E6" w:rsidP="00070BB1">
            <w:pPr>
              <w:keepNext/>
              <w:keepLines/>
              <w:spacing w:before="40" w:after="40" w:line="240" w:lineRule="auto"/>
              <w:rPr>
                <w:rFonts w:asciiTheme="minorHAnsi" w:hAnsiTheme="minorHAnsi"/>
                <w:sz w:val="18"/>
                <w:szCs w:val="18"/>
              </w:rPr>
            </w:pPr>
            <w:r w:rsidRPr="0057667D">
              <w:rPr>
                <w:rFonts w:asciiTheme="minorHAnsi" w:hAnsiTheme="minorHAnsi"/>
                <w:sz w:val="18"/>
                <w:szCs w:val="18"/>
              </w:rPr>
              <w:t>ISO Queue</w:t>
            </w:r>
          </w:p>
        </w:tc>
        <w:tc>
          <w:tcPr>
            <w:tcW w:w="1097"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33.30</w:t>
            </w:r>
          </w:p>
        </w:tc>
        <w:tc>
          <w:tcPr>
            <w:tcW w:w="1097"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32.77</w:t>
            </w:r>
          </w:p>
        </w:tc>
        <w:tc>
          <w:tcPr>
            <w:tcW w:w="1249"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33.20</w:t>
            </w:r>
          </w:p>
        </w:tc>
        <w:tc>
          <w:tcPr>
            <w:tcW w:w="1097"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33.45</w:t>
            </w:r>
          </w:p>
        </w:tc>
        <w:tc>
          <w:tcPr>
            <w:tcW w:w="1119"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33.33</w:t>
            </w:r>
          </w:p>
        </w:tc>
      </w:tr>
      <w:tr w:rsidR="005378E6" w:rsidRPr="00E16220" w:rsidTr="00070BB1">
        <w:trPr>
          <w:jc w:val="center"/>
        </w:trPr>
        <w:tc>
          <w:tcPr>
            <w:tcW w:w="1548" w:type="dxa"/>
            <w:vMerge/>
            <w:shd w:val="clear" w:color="auto" w:fill="auto"/>
            <w:tcMar>
              <w:left w:w="58" w:type="dxa"/>
            </w:tcMar>
            <w:vAlign w:val="center"/>
          </w:tcPr>
          <w:p w:rsidR="005378E6" w:rsidRPr="00E16220" w:rsidRDefault="005378E6" w:rsidP="009256FF">
            <w:pPr>
              <w:spacing w:before="40" w:after="40" w:line="240" w:lineRule="auto"/>
              <w:rPr>
                <w:rFonts w:asciiTheme="minorHAnsi" w:hAnsiTheme="minorHAnsi"/>
                <w:b/>
                <w:sz w:val="18"/>
                <w:szCs w:val="18"/>
              </w:rPr>
            </w:pPr>
          </w:p>
        </w:tc>
        <w:tc>
          <w:tcPr>
            <w:tcW w:w="1466" w:type="dxa"/>
            <w:shd w:val="clear" w:color="auto" w:fill="DBE5F1" w:themeFill="accent1" w:themeFillTint="33"/>
            <w:tcMar>
              <w:left w:w="58" w:type="dxa"/>
              <w:right w:w="58" w:type="dxa"/>
            </w:tcMar>
            <w:vAlign w:val="center"/>
          </w:tcPr>
          <w:p w:rsidR="005378E6" w:rsidRPr="0057667D" w:rsidRDefault="005378E6" w:rsidP="00070BB1">
            <w:pPr>
              <w:keepNext/>
              <w:keepLines/>
              <w:spacing w:before="40" w:after="40" w:line="240" w:lineRule="auto"/>
              <w:rPr>
                <w:rFonts w:asciiTheme="minorHAnsi" w:hAnsiTheme="minorHAnsi"/>
                <w:sz w:val="18"/>
                <w:szCs w:val="18"/>
              </w:rPr>
            </w:pPr>
            <w:r w:rsidRPr="0057667D">
              <w:rPr>
                <w:rFonts w:asciiTheme="minorHAnsi" w:hAnsiTheme="minorHAnsi"/>
                <w:sz w:val="18"/>
                <w:szCs w:val="18"/>
              </w:rPr>
              <w:t>Renew Plus</w:t>
            </w:r>
          </w:p>
        </w:tc>
        <w:tc>
          <w:tcPr>
            <w:tcW w:w="1097"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34.19</w:t>
            </w:r>
          </w:p>
        </w:tc>
        <w:tc>
          <w:tcPr>
            <w:tcW w:w="1097"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34.54</w:t>
            </w:r>
          </w:p>
        </w:tc>
        <w:tc>
          <w:tcPr>
            <w:tcW w:w="1249"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34.55</w:t>
            </w:r>
          </w:p>
        </w:tc>
        <w:tc>
          <w:tcPr>
            <w:tcW w:w="1097"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35.56</w:t>
            </w:r>
          </w:p>
        </w:tc>
        <w:tc>
          <w:tcPr>
            <w:tcW w:w="1119"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34.07</w:t>
            </w:r>
          </w:p>
        </w:tc>
      </w:tr>
      <w:tr w:rsidR="005378E6" w:rsidRPr="00E16220" w:rsidTr="00070BB1">
        <w:trPr>
          <w:jc w:val="center"/>
        </w:trPr>
        <w:tc>
          <w:tcPr>
            <w:tcW w:w="1548" w:type="dxa"/>
            <w:vMerge/>
            <w:shd w:val="clear" w:color="auto" w:fill="auto"/>
            <w:tcMar>
              <w:left w:w="58" w:type="dxa"/>
            </w:tcMar>
            <w:vAlign w:val="center"/>
          </w:tcPr>
          <w:p w:rsidR="005378E6" w:rsidRPr="00E16220" w:rsidRDefault="005378E6" w:rsidP="009256FF">
            <w:pPr>
              <w:spacing w:before="40" w:after="40" w:line="240" w:lineRule="auto"/>
              <w:rPr>
                <w:rFonts w:asciiTheme="minorHAnsi" w:hAnsiTheme="minorHAnsi"/>
                <w:b/>
                <w:sz w:val="18"/>
                <w:szCs w:val="18"/>
              </w:rPr>
            </w:pPr>
          </w:p>
        </w:tc>
        <w:tc>
          <w:tcPr>
            <w:tcW w:w="1466" w:type="dxa"/>
            <w:shd w:val="clear" w:color="auto" w:fill="auto"/>
            <w:tcMar>
              <w:left w:w="58" w:type="dxa"/>
              <w:right w:w="58" w:type="dxa"/>
            </w:tcMar>
            <w:vAlign w:val="center"/>
          </w:tcPr>
          <w:p w:rsidR="005378E6" w:rsidRPr="0057667D" w:rsidRDefault="005378E6" w:rsidP="00070BB1">
            <w:pPr>
              <w:keepNext/>
              <w:keepLines/>
              <w:spacing w:before="40" w:after="40" w:line="240" w:lineRule="auto"/>
              <w:rPr>
                <w:rFonts w:asciiTheme="minorHAnsi" w:hAnsiTheme="minorHAnsi"/>
                <w:sz w:val="18"/>
                <w:szCs w:val="18"/>
              </w:rPr>
            </w:pPr>
            <w:r w:rsidRPr="0057667D">
              <w:rPr>
                <w:rFonts w:asciiTheme="minorHAnsi" w:hAnsiTheme="minorHAnsi"/>
                <w:sz w:val="18"/>
                <w:szCs w:val="18"/>
              </w:rPr>
              <w:t>No Retire</w:t>
            </w:r>
          </w:p>
        </w:tc>
        <w:tc>
          <w:tcPr>
            <w:tcW w:w="1097"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53.00</w:t>
            </w:r>
          </w:p>
        </w:tc>
        <w:tc>
          <w:tcPr>
            <w:tcW w:w="1097"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52.99</w:t>
            </w:r>
          </w:p>
        </w:tc>
        <w:tc>
          <w:tcPr>
            <w:tcW w:w="1249"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52.89</w:t>
            </w:r>
          </w:p>
        </w:tc>
        <w:tc>
          <w:tcPr>
            <w:tcW w:w="1097"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53.08</w:t>
            </w:r>
          </w:p>
        </w:tc>
        <w:tc>
          <w:tcPr>
            <w:tcW w:w="1119"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53.06</w:t>
            </w:r>
          </w:p>
        </w:tc>
      </w:tr>
      <w:tr w:rsidR="005378E6" w:rsidRPr="00E16220" w:rsidTr="00070BB1">
        <w:trPr>
          <w:jc w:val="center"/>
        </w:trPr>
        <w:tc>
          <w:tcPr>
            <w:tcW w:w="1548" w:type="dxa"/>
            <w:vMerge/>
            <w:shd w:val="clear" w:color="auto" w:fill="auto"/>
            <w:tcMar>
              <w:left w:w="58" w:type="dxa"/>
            </w:tcMar>
            <w:vAlign w:val="center"/>
          </w:tcPr>
          <w:p w:rsidR="005378E6" w:rsidRPr="00E16220" w:rsidRDefault="005378E6" w:rsidP="009256FF">
            <w:pPr>
              <w:spacing w:before="40" w:after="40" w:line="240" w:lineRule="auto"/>
              <w:rPr>
                <w:rFonts w:asciiTheme="minorHAnsi" w:hAnsiTheme="minorHAnsi"/>
                <w:b/>
                <w:sz w:val="18"/>
                <w:szCs w:val="18"/>
              </w:rPr>
            </w:pPr>
          </w:p>
        </w:tc>
        <w:tc>
          <w:tcPr>
            <w:tcW w:w="1466" w:type="dxa"/>
            <w:shd w:val="clear" w:color="auto" w:fill="DBE5F1" w:themeFill="accent1" w:themeFillTint="33"/>
            <w:tcMar>
              <w:left w:w="58" w:type="dxa"/>
              <w:right w:w="58" w:type="dxa"/>
            </w:tcMar>
            <w:vAlign w:val="center"/>
          </w:tcPr>
          <w:p w:rsidR="005378E6" w:rsidRPr="0057667D" w:rsidRDefault="005378E6" w:rsidP="00070BB1">
            <w:pPr>
              <w:keepNext/>
              <w:keepLines/>
              <w:spacing w:before="40" w:after="40" w:line="240" w:lineRule="auto"/>
              <w:rPr>
                <w:rFonts w:asciiTheme="minorHAnsi" w:hAnsiTheme="minorHAnsi"/>
                <w:sz w:val="18"/>
                <w:szCs w:val="18"/>
              </w:rPr>
            </w:pPr>
            <w:r w:rsidRPr="0057667D">
              <w:rPr>
                <w:rFonts w:asciiTheme="minorHAnsi" w:hAnsiTheme="minorHAnsi"/>
                <w:sz w:val="18"/>
                <w:szCs w:val="18"/>
              </w:rPr>
              <w:t>ACP + Gas</w:t>
            </w:r>
          </w:p>
        </w:tc>
        <w:tc>
          <w:tcPr>
            <w:tcW w:w="1097"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52.86</w:t>
            </w:r>
          </w:p>
        </w:tc>
        <w:tc>
          <w:tcPr>
            <w:tcW w:w="1097"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52.92</w:t>
            </w:r>
          </w:p>
        </w:tc>
        <w:tc>
          <w:tcPr>
            <w:tcW w:w="1249"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52.75</w:t>
            </w:r>
          </w:p>
        </w:tc>
        <w:tc>
          <w:tcPr>
            <w:tcW w:w="1097"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52.83</w:t>
            </w:r>
          </w:p>
        </w:tc>
        <w:tc>
          <w:tcPr>
            <w:tcW w:w="1119"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52.84</w:t>
            </w:r>
          </w:p>
        </w:tc>
      </w:tr>
      <w:tr w:rsidR="005378E6" w:rsidRPr="00E16220" w:rsidTr="00070BB1">
        <w:trPr>
          <w:jc w:val="center"/>
        </w:trPr>
        <w:tc>
          <w:tcPr>
            <w:tcW w:w="1548" w:type="dxa"/>
            <w:vMerge/>
            <w:shd w:val="clear" w:color="auto" w:fill="auto"/>
            <w:tcMar>
              <w:left w:w="58" w:type="dxa"/>
            </w:tcMar>
            <w:vAlign w:val="center"/>
          </w:tcPr>
          <w:p w:rsidR="005378E6" w:rsidRPr="00E16220" w:rsidRDefault="005378E6" w:rsidP="009256FF">
            <w:pPr>
              <w:spacing w:before="40" w:after="40" w:line="240" w:lineRule="auto"/>
              <w:rPr>
                <w:rFonts w:asciiTheme="minorHAnsi" w:hAnsiTheme="minorHAnsi"/>
                <w:b/>
                <w:sz w:val="18"/>
                <w:szCs w:val="18"/>
              </w:rPr>
            </w:pPr>
          </w:p>
        </w:tc>
        <w:tc>
          <w:tcPr>
            <w:tcW w:w="1466" w:type="dxa"/>
            <w:shd w:val="clear" w:color="auto" w:fill="auto"/>
            <w:tcMar>
              <w:left w:w="58" w:type="dxa"/>
              <w:right w:w="58" w:type="dxa"/>
            </w:tcMar>
            <w:vAlign w:val="center"/>
          </w:tcPr>
          <w:p w:rsidR="005378E6" w:rsidRPr="0057667D" w:rsidRDefault="005378E6" w:rsidP="00070BB1">
            <w:pPr>
              <w:keepNext/>
              <w:keepLines/>
              <w:spacing w:before="40" w:after="40" w:line="240" w:lineRule="auto"/>
              <w:rPr>
                <w:rFonts w:asciiTheme="minorHAnsi" w:hAnsiTheme="minorHAnsi"/>
                <w:sz w:val="18"/>
                <w:szCs w:val="18"/>
              </w:rPr>
            </w:pPr>
            <w:r w:rsidRPr="0057667D">
              <w:rPr>
                <w:rFonts w:asciiTheme="minorHAnsi" w:hAnsiTheme="minorHAnsi"/>
                <w:sz w:val="18"/>
                <w:szCs w:val="18"/>
              </w:rPr>
              <w:t>RPS + Geo Renew</w:t>
            </w:r>
          </w:p>
        </w:tc>
        <w:tc>
          <w:tcPr>
            <w:tcW w:w="1097"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31.08</w:t>
            </w:r>
          </w:p>
        </w:tc>
        <w:tc>
          <w:tcPr>
            <w:tcW w:w="1097"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30.74</w:t>
            </w:r>
          </w:p>
        </w:tc>
        <w:tc>
          <w:tcPr>
            <w:tcW w:w="1249"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31.05</w:t>
            </w:r>
          </w:p>
        </w:tc>
        <w:tc>
          <w:tcPr>
            <w:tcW w:w="1097"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31.27</w:t>
            </w:r>
          </w:p>
        </w:tc>
        <w:tc>
          <w:tcPr>
            <w:tcW w:w="1119"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31.18</w:t>
            </w:r>
          </w:p>
        </w:tc>
      </w:tr>
      <w:tr w:rsidR="005378E6" w:rsidRPr="00E16220" w:rsidTr="00070BB1">
        <w:trPr>
          <w:jc w:val="center"/>
        </w:trPr>
        <w:tc>
          <w:tcPr>
            <w:tcW w:w="1548" w:type="dxa"/>
            <w:vMerge w:val="restart"/>
            <w:shd w:val="clear" w:color="auto" w:fill="DBE5F1" w:themeFill="accent1" w:themeFillTint="33"/>
            <w:tcMar>
              <w:left w:w="58" w:type="dxa"/>
            </w:tcMar>
            <w:vAlign w:val="center"/>
          </w:tcPr>
          <w:p w:rsidR="005378E6" w:rsidRPr="00E16220" w:rsidRDefault="005378E6" w:rsidP="009256FF">
            <w:pPr>
              <w:spacing w:before="40" w:after="40" w:line="240" w:lineRule="auto"/>
              <w:rPr>
                <w:rFonts w:asciiTheme="minorHAnsi" w:hAnsiTheme="minorHAnsi"/>
                <w:b/>
                <w:sz w:val="18"/>
                <w:szCs w:val="18"/>
              </w:rPr>
            </w:pPr>
            <w:r w:rsidRPr="00E16220">
              <w:rPr>
                <w:rFonts w:asciiTheme="minorHAnsi" w:hAnsiTheme="minorHAnsi"/>
                <w:b/>
                <w:sz w:val="18"/>
                <w:szCs w:val="18"/>
              </w:rPr>
              <w:t>Constrained</w:t>
            </w:r>
          </w:p>
          <w:p w:rsidR="005378E6" w:rsidRPr="00E16220" w:rsidRDefault="005378E6" w:rsidP="009256FF">
            <w:pPr>
              <w:spacing w:before="40" w:after="40" w:line="240" w:lineRule="auto"/>
              <w:rPr>
                <w:rFonts w:asciiTheme="minorHAnsi" w:hAnsiTheme="minorHAnsi"/>
                <w:b/>
                <w:sz w:val="18"/>
                <w:szCs w:val="18"/>
              </w:rPr>
            </w:pPr>
          </w:p>
        </w:tc>
        <w:tc>
          <w:tcPr>
            <w:tcW w:w="1466" w:type="dxa"/>
            <w:shd w:val="clear" w:color="auto" w:fill="DBE5F1" w:themeFill="accent1" w:themeFillTint="33"/>
            <w:tcMar>
              <w:left w:w="58" w:type="dxa"/>
              <w:right w:w="58" w:type="dxa"/>
            </w:tcMar>
            <w:vAlign w:val="center"/>
          </w:tcPr>
          <w:p w:rsidR="005378E6" w:rsidRPr="0057667D" w:rsidRDefault="005378E6" w:rsidP="00070BB1">
            <w:pPr>
              <w:keepNext/>
              <w:keepLines/>
              <w:spacing w:before="40" w:after="40" w:line="240" w:lineRule="auto"/>
              <w:rPr>
                <w:rFonts w:asciiTheme="minorHAnsi" w:hAnsiTheme="minorHAnsi"/>
                <w:sz w:val="18"/>
                <w:szCs w:val="18"/>
              </w:rPr>
            </w:pPr>
            <w:r w:rsidRPr="0057667D">
              <w:rPr>
                <w:rFonts w:asciiTheme="minorHAnsi" w:hAnsiTheme="minorHAnsi"/>
                <w:sz w:val="18"/>
                <w:szCs w:val="18"/>
              </w:rPr>
              <w:t>RPS + Gas</w:t>
            </w:r>
          </w:p>
        </w:tc>
        <w:tc>
          <w:tcPr>
            <w:tcW w:w="1097"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30.81</w:t>
            </w:r>
          </w:p>
        </w:tc>
        <w:tc>
          <w:tcPr>
            <w:tcW w:w="1097"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52.27</w:t>
            </w:r>
          </w:p>
        </w:tc>
        <w:tc>
          <w:tcPr>
            <w:tcW w:w="1249"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52.39</w:t>
            </w:r>
          </w:p>
        </w:tc>
        <w:tc>
          <w:tcPr>
            <w:tcW w:w="1097"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52.38</w:t>
            </w:r>
          </w:p>
        </w:tc>
        <w:tc>
          <w:tcPr>
            <w:tcW w:w="1119"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52.72</w:t>
            </w:r>
          </w:p>
        </w:tc>
      </w:tr>
      <w:tr w:rsidR="005378E6" w:rsidRPr="00E16220" w:rsidTr="00070BB1">
        <w:trPr>
          <w:jc w:val="center"/>
        </w:trPr>
        <w:tc>
          <w:tcPr>
            <w:tcW w:w="1548" w:type="dxa"/>
            <w:vMerge/>
            <w:shd w:val="clear" w:color="auto" w:fill="DBE5F1" w:themeFill="accent1" w:themeFillTint="33"/>
            <w:tcMar>
              <w:left w:w="58" w:type="dxa"/>
            </w:tcMar>
            <w:vAlign w:val="center"/>
          </w:tcPr>
          <w:p w:rsidR="005378E6" w:rsidRPr="00E16220" w:rsidRDefault="005378E6" w:rsidP="009256FF">
            <w:pPr>
              <w:spacing w:before="40" w:after="40" w:line="240" w:lineRule="auto"/>
              <w:rPr>
                <w:rFonts w:asciiTheme="minorHAnsi" w:hAnsiTheme="minorHAnsi"/>
                <w:b/>
                <w:sz w:val="18"/>
                <w:szCs w:val="18"/>
              </w:rPr>
            </w:pPr>
          </w:p>
        </w:tc>
        <w:tc>
          <w:tcPr>
            <w:tcW w:w="1466" w:type="dxa"/>
            <w:shd w:val="clear" w:color="auto" w:fill="auto"/>
            <w:tcMar>
              <w:left w:w="58" w:type="dxa"/>
              <w:right w:w="58" w:type="dxa"/>
            </w:tcMar>
            <w:vAlign w:val="center"/>
          </w:tcPr>
          <w:p w:rsidR="005378E6" w:rsidRPr="0057667D" w:rsidRDefault="005378E6" w:rsidP="00070BB1">
            <w:pPr>
              <w:keepNext/>
              <w:keepLines/>
              <w:spacing w:before="40" w:after="40" w:line="240" w:lineRule="auto"/>
              <w:rPr>
                <w:rFonts w:asciiTheme="minorHAnsi" w:hAnsiTheme="minorHAnsi"/>
                <w:sz w:val="18"/>
                <w:szCs w:val="18"/>
              </w:rPr>
            </w:pPr>
            <w:r w:rsidRPr="0057667D">
              <w:rPr>
                <w:rFonts w:asciiTheme="minorHAnsi" w:hAnsiTheme="minorHAnsi"/>
                <w:sz w:val="18"/>
                <w:szCs w:val="18"/>
              </w:rPr>
              <w:t>ISO Queue</w:t>
            </w:r>
          </w:p>
        </w:tc>
        <w:tc>
          <w:tcPr>
            <w:tcW w:w="1097"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10.96</w:t>
            </w:r>
          </w:p>
        </w:tc>
        <w:tc>
          <w:tcPr>
            <w:tcW w:w="1097"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18.36</w:t>
            </w:r>
          </w:p>
        </w:tc>
        <w:tc>
          <w:tcPr>
            <w:tcW w:w="1249"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49.17</w:t>
            </w:r>
          </w:p>
        </w:tc>
        <w:tc>
          <w:tcPr>
            <w:tcW w:w="1097"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50.29</w:t>
            </w:r>
          </w:p>
        </w:tc>
        <w:tc>
          <w:tcPr>
            <w:tcW w:w="1119"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50.45</w:t>
            </w:r>
          </w:p>
        </w:tc>
      </w:tr>
      <w:tr w:rsidR="005378E6" w:rsidRPr="00E16220" w:rsidTr="00070BB1">
        <w:trPr>
          <w:jc w:val="center"/>
        </w:trPr>
        <w:tc>
          <w:tcPr>
            <w:tcW w:w="1548" w:type="dxa"/>
            <w:vMerge/>
            <w:shd w:val="clear" w:color="auto" w:fill="DBE5F1" w:themeFill="accent1" w:themeFillTint="33"/>
            <w:tcMar>
              <w:left w:w="58" w:type="dxa"/>
            </w:tcMar>
            <w:vAlign w:val="center"/>
          </w:tcPr>
          <w:p w:rsidR="005378E6" w:rsidRPr="00E16220" w:rsidRDefault="005378E6" w:rsidP="009256FF">
            <w:pPr>
              <w:spacing w:before="40" w:after="40" w:line="240" w:lineRule="auto"/>
              <w:rPr>
                <w:rFonts w:asciiTheme="minorHAnsi" w:hAnsiTheme="minorHAnsi"/>
                <w:b/>
                <w:sz w:val="18"/>
                <w:szCs w:val="18"/>
              </w:rPr>
            </w:pPr>
          </w:p>
        </w:tc>
        <w:tc>
          <w:tcPr>
            <w:tcW w:w="1466" w:type="dxa"/>
            <w:shd w:val="clear" w:color="auto" w:fill="DBE5F1" w:themeFill="accent1" w:themeFillTint="33"/>
            <w:tcMar>
              <w:left w:w="58" w:type="dxa"/>
              <w:right w:w="58" w:type="dxa"/>
            </w:tcMar>
            <w:vAlign w:val="center"/>
          </w:tcPr>
          <w:p w:rsidR="005378E6" w:rsidRPr="0057667D" w:rsidRDefault="005378E6" w:rsidP="00070BB1">
            <w:pPr>
              <w:keepNext/>
              <w:keepLines/>
              <w:spacing w:before="40" w:after="40" w:line="240" w:lineRule="auto"/>
              <w:rPr>
                <w:rFonts w:asciiTheme="minorHAnsi" w:hAnsiTheme="minorHAnsi"/>
                <w:sz w:val="18"/>
                <w:szCs w:val="18"/>
              </w:rPr>
            </w:pPr>
            <w:r w:rsidRPr="0057667D">
              <w:rPr>
                <w:rFonts w:asciiTheme="minorHAnsi" w:hAnsiTheme="minorHAnsi"/>
                <w:sz w:val="18"/>
                <w:szCs w:val="18"/>
              </w:rPr>
              <w:t>Renew Plus</w:t>
            </w:r>
          </w:p>
        </w:tc>
        <w:tc>
          <w:tcPr>
            <w:tcW w:w="1097"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21.98</w:t>
            </w:r>
          </w:p>
        </w:tc>
        <w:tc>
          <w:tcPr>
            <w:tcW w:w="1097"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27.72</w:t>
            </w:r>
          </w:p>
        </w:tc>
        <w:tc>
          <w:tcPr>
            <w:tcW w:w="1249"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36.33</w:t>
            </w:r>
          </w:p>
        </w:tc>
        <w:tc>
          <w:tcPr>
            <w:tcW w:w="1097"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37.57</w:t>
            </w:r>
          </w:p>
        </w:tc>
        <w:tc>
          <w:tcPr>
            <w:tcW w:w="1119"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36.12</w:t>
            </w:r>
          </w:p>
        </w:tc>
      </w:tr>
      <w:tr w:rsidR="005378E6" w:rsidRPr="00E16220" w:rsidTr="00070BB1">
        <w:trPr>
          <w:jc w:val="center"/>
        </w:trPr>
        <w:tc>
          <w:tcPr>
            <w:tcW w:w="1548" w:type="dxa"/>
            <w:vMerge/>
            <w:shd w:val="clear" w:color="auto" w:fill="DBE5F1" w:themeFill="accent1" w:themeFillTint="33"/>
            <w:tcMar>
              <w:left w:w="58" w:type="dxa"/>
            </w:tcMar>
            <w:vAlign w:val="center"/>
          </w:tcPr>
          <w:p w:rsidR="005378E6" w:rsidRPr="00E16220" w:rsidRDefault="005378E6" w:rsidP="009256FF">
            <w:pPr>
              <w:spacing w:before="40" w:after="40" w:line="240" w:lineRule="auto"/>
              <w:rPr>
                <w:rFonts w:asciiTheme="minorHAnsi" w:hAnsiTheme="minorHAnsi"/>
                <w:b/>
                <w:sz w:val="18"/>
                <w:szCs w:val="18"/>
              </w:rPr>
            </w:pPr>
          </w:p>
        </w:tc>
        <w:tc>
          <w:tcPr>
            <w:tcW w:w="1466" w:type="dxa"/>
            <w:shd w:val="clear" w:color="auto" w:fill="auto"/>
            <w:tcMar>
              <w:left w:w="58" w:type="dxa"/>
              <w:right w:w="58" w:type="dxa"/>
            </w:tcMar>
            <w:vAlign w:val="center"/>
          </w:tcPr>
          <w:p w:rsidR="005378E6" w:rsidRPr="0057667D" w:rsidRDefault="005378E6" w:rsidP="00070BB1">
            <w:pPr>
              <w:keepNext/>
              <w:keepLines/>
              <w:spacing w:before="40" w:after="40" w:line="240" w:lineRule="auto"/>
              <w:rPr>
                <w:rFonts w:asciiTheme="minorHAnsi" w:hAnsiTheme="minorHAnsi"/>
                <w:sz w:val="18"/>
                <w:szCs w:val="18"/>
              </w:rPr>
            </w:pPr>
            <w:r w:rsidRPr="0057667D">
              <w:rPr>
                <w:rFonts w:asciiTheme="minorHAnsi" w:hAnsiTheme="minorHAnsi"/>
                <w:sz w:val="18"/>
                <w:szCs w:val="18"/>
              </w:rPr>
              <w:t>No Retire</w:t>
            </w:r>
          </w:p>
        </w:tc>
        <w:tc>
          <w:tcPr>
            <w:tcW w:w="1097"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52.30</w:t>
            </w:r>
          </w:p>
        </w:tc>
        <w:tc>
          <w:tcPr>
            <w:tcW w:w="1097"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52.97</w:t>
            </w:r>
          </w:p>
        </w:tc>
        <w:tc>
          <w:tcPr>
            <w:tcW w:w="1249"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52.92</w:t>
            </w:r>
          </w:p>
        </w:tc>
        <w:tc>
          <w:tcPr>
            <w:tcW w:w="1097"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52.91</w:t>
            </w:r>
          </w:p>
        </w:tc>
        <w:tc>
          <w:tcPr>
            <w:tcW w:w="1119"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53.14</w:t>
            </w:r>
          </w:p>
        </w:tc>
      </w:tr>
      <w:tr w:rsidR="005378E6" w:rsidRPr="00E16220" w:rsidTr="00070BB1">
        <w:trPr>
          <w:jc w:val="center"/>
        </w:trPr>
        <w:tc>
          <w:tcPr>
            <w:tcW w:w="1548" w:type="dxa"/>
            <w:vMerge/>
            <w:shd w:val="clear" w:color="auto" w:fill="DBE5F1" w:themeFill="accent1" w:themeFillTint="33"/>
            <w:tcMar>
              <w:left w:w="58" w:type="dxa"/>
            </w:tcMar>
            <w:vAlign w:val="center"/>
          </w:tcPr>
          <w:p w:rsidR="005378E6" w:rsidRPr="00E16220" w:rsidRDefault="005378E6" w:rsidP="009256FF">
            <w:pPr>
              <w:spacing w:before="40" w:after="40" w:line="240" w:lineRule="auto"/>
              <w:rPr>
                <w:rFonts w:asciiTheme="minorHAnsi" w:hAnsiTheme="minorHAnsi"/>
                <w:b/>
                <w:sz w:val="18"/>
                <w:szCs w:val="18"/>
              </w:rPr>
            </w:pPr>
          </w:p>
        </w:tc>
        <w:tc>
          <w:tcPr>
            <w:tcW w:w="1466" w:type="dxa"/>
            <w:shd w:val="clear" w:color="auto" w:fill="DBE5F1" w:themeFill="accent1" w:themeFillTint="33"/>
            <w:tcMar>
              <w:left w:w="58" w:type="dxa"/>
              <w:right w:w="58" w:type="dxa"/>
            </w:tcMar>
            <w:vAlign w:val="center"/>
          </w:tcPr>
          <w:p w:rsidR="005378E6" w:rsidRPr="0057667D" w:rsidRDefault="005378E6" w:rsidP="00070BB1">
            <w:pPr>
              <w:keepNext/>
              <w:keepLines/>
              <w:spacing w:before="40" w:after="40" w:line="240" w:lineRule="auto"/>
              <w:rPr>
                <w:rFonts w:asciiTheme="minorHAnsi" w:hAnsiTheme="minorHAnsi"/>
                <w:sz w:val="18"/>
                <w:szCs w:val="18"/>
              </w:rPr>
            </w:pPr>
            <w:r w:rsidRPr="0057667D">
              <w:rPr>
                <w:rFonts w:asciiTheme="minorHAnsi" w:hAnsiTheme="minorHAnsi"/>
                <w:sz w:val="18"/>
                <w:szCs w:val="18"/>
              </w:rPr>
              <w:t>ACP + Gas</w:t>
            </w:r>
          </w:p>
        </w:tc>
        <w:tc>
          <w:tcPr>
            <w:tcW w:w="1097"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52.57</w:t>
            </w:r>
          </w:p>
        </w:tc>
        <w:tc>
          <w:tcPr>
            <w:tcW w:w="1097"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52.94</w:t>
            </w:r>
          </w:p>
        </w:tc>
        <w:tc>
          <w:tcPr>
            <w:tcW w:w="1249"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52.78</w:t>
            </w:r>
          </w:p>
        </w:tc>
        <w:tc>
          <w:tcPr>
            <w:tcW w:w="1097"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52.70</w:t>
            </w:r>
          </w:p>
        </w:tc>
        <w:tc>
          <w:tcPr>
            <w:tcW w:w="1119" w:type="dxa"/>
            <w:shd w:val="clear" w:color="auto" w:fill="DBE5F1" w:themeFill="accent1" w:themeFillTint="33"/>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52.94</w:t>
            </w:r>
          </w:p>
        </w:tc>
      </w:tr>
      <w:tr w:rsidR="005378E6" w:rsidRPr="00E16220" w:rsidTr="00070BB1">
        <w:trPr>
          <w:jc w:val="center"/>
        </w:trPr>
        <w:tc>
          <w:tcPr>
            <w:tcW w:w="1548" w:type="dxa"/>
            <w:vMerge/>
            <w:shd w:val="clear" w:color="auto" w:fill="DBE5F1" w:themeFill="accent1" w:themeFillTint="33"/>
            <w:tcMar>
              <w:left w:w="58" w:type="dxa"/>
            </w:tcMar>
            <w:vAlign w:val="center"/>
          </w:tcPr>
          <w:p w:rsidR="005378E6" w:rsidRPr="00E16220" w:rsidRDefault="005378E6" w:rsidP="009256FF">
            <w:pPr>
              <w:spacing w:before="40" w:after="40" w:line="240" w:lineRule="auto"/>
              <w:rPr>
                <w:rFonts w:asciiTheme="minorHAnsi" w:hAnsiTheme="minorHAnsi"/>
                <w:b/>
                <w:sz w:val="18"/>
                <w:szCs w:val="18"/>
              </w:rPr>
            </w:pPr>
          </w:p>
        </w:tc>
        <w:tc>
          <w:tcPr>
            <w:tcW w:w="1466" w:type="dxa"/>
            <w:shd w:val="clear" w:color="auto" w:fill="auto"/>
            <w:tcMar>
              <w:left w:w="58" w:type="dxa"/>
              <w:right w:w="58" w:type="dxa"/>
            </w:tcMar>
            <w:vAlign w:val="center"/>
          </w:tcPr>
          <w:p w:rsidR="005378E6" w:rsidRPr="0057667D" w:rsidRDefault="005378E6" w:rsidP="00070BB1">
            <w:pPr>
              <w:keepNext/>
              <w:keepLines/>
              <w:spacing w:before="40" w:after="40" w:line="240" w:lineRule="auto"/>
              <w:rPr>
                <w:rFonts w:asciiTheme="minorHAnsi" w:hAnsiTheme="minorHAnsi"/>
                <w:sz w:val="18"/>
                <w:szCs w:val="18"/>
              </w:rPr>
            </w:pPr>
            <w:r w:rsidRPr="0057667D">
              <w:rPr>
                <w:rFonts w:asciiTheme="minorHAnsi" w:hAnsiTheme="minorHAnsi"/>
                <w:sz w:val="18"/>
                <w:szCs w:val="18"/>
              </w:rPr>
              <w:t>RPS + Geo Renew</w:t>
            </w:r>
          </w:p>
        </w:tc>
        <w:tc>
          <w:tcPr>
            <w:tcW w:w="1097"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16.73</w:t>
            </w:r>
          </w:p>
        </w:tc>
        <w:tc>
          <w:tcPr>
            <w:tcW w:w="1097"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22.65</w:t>
            </w:r>
          </w:p>
        </w:tc>
        <w:tc>
          <w:tcPr>
            <w:tcW w:w="1249"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35.74</w:t>
            </w:r>
          </w:p>
        </w:tc>
        <w:tc>
          <w:tcPr>
            <w:tcW w:w="1097"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36.34</w:t>
            </w:r>
          </w:p>
        </w:tc>
        <w:tc>
          <w:tcPr>
            <w:tcW w:w="1119" w:type="dxa"/>
            <w:shd w:val="clear" w:color="auto" w:fill="auto"/>
            <w:tcMar>
              <w:left w:w="58" w:type="dxa"/>
              <w:right w:w="173" w:type="dxa"/>
            </w:tcMar>
            <w:vAlign w:val="center"/>
          </w:tcPr>
          <w:p w:rsidR="005378E6" w:rsidRPr="003A775C" w:rsidRDefault="005378E6" w:rsidP="00750A22">
            <w:pPr>
              <w:spacing w:before="40" w:after="40" w:line="240" w:lineRule="auto"/>
              <w:jc w:val="right"/>
              <w:rPr>
                <w:rFonts w:asciiTheme="minorHAnsi" w:hAnsiTheme="minorHAnsi"/>
                <w:sz w:val="18"/>
                <w:szCs w:val="18"/>
              </w:rPr>
            </w:pPr>
            <w:r w:rsidRPr="00750A22">
              <w:rPr>
                <w:rFonts w:asciiTheme="minorHAnsi" w:hAnsiTheme="minorHAnsi"/>
                <w:sz w:val="18"/>
                <w:szCs w:val="18"/>
              </w:rPr>
              <w:t>36.33</w:t>
            </w:r>
          </w:p>
        </w:tc>
      </w:tr>
    </w:tbl>
    <w:p w:rsidR="007642C0" w:rsidRDefault="007642C0" w:rsidP="005044EF"/>
    <w:p w:rsidR="005044EF" w:rsidRDefault="007309D2" w:rsidP="005044EF">
      <w:r w:rsidRPr="00ED2954">
        <w:t>In addition to</w:t>
      </w:r>
      <w:r w:rsidR="00ED2954" w:rsidRPr="00ED2954">
        <w:t xml:space="preserve"> </w:t>
      </w:r>
      <w:r w:rsidRPr="00ED2954">
        <w:t>t</w:t>
      </w:r>
      <w:r w:rsidR="00D86A94" w:rsidRPr="00ED2954">
        <w:t xml:space="preserve">he </w:t>
      </w:r>
      <w:r w:rsidR="00725EF2">
        <w:t xml:space="preserve">generation resource </w:t>
      </w:r>
      <w:r w:rsidR="003C1CA8">
        <w:t>mix</w:t>
      </w:r>
      <w:r w:rsidRPr="00ED2954">
        <w:t xml:space="preserve">, </w:t>
      </w:r>
      <w:r w:rsidR="00D86A94" w:rsidRPr="00ED2954">
        <w:t xml:space="preserve">fuel prices drive </w:t>
      </w:r>
      <w:r w:rsidR="00D86A94" w:rsidRPr="00712F7A">
        <w:t>average clearing prices and LSE energy expenses</w:t>
      </w:r>
      <w:r w:rsidR="00FD43B1">
        <w:t>, which include</w:t>
      </w:r>
      <w:r w:rsidR="00BA45D2">
        <w:t xml:space="preserve"> the cost of congestion. </w:t>
      </w:r>
      <w:r w:rsidR="00FD43B1">
        <w:t>Clearing prices</w:t>
      </w:r>
      <w:r w:rsidR="00BA45D2">
        <w:t xml:space="preserve"> also determine </w:t>
      </w:r>
      <w:r w:rsidR="00C84388">
        <w:t xml:space="preserve">the revenues </w:t>
      </w:r>
      <w:r w:rsidR="0070159E">
        <w:t>resources and imports receive for supplying electric</w:t>
      </w:r>
      <w:r w:rsidR="00C84388">
        <w:t>ity</w:t>
      </w:r>
      <w:r w:rsidR="0070159E">
        <w:t xml:space="preserve"> to the wholesale </w:t>
      </w:r>
      <w:r w:rsidR="00AE63C5">
        <w:t xml:space="preserve">energy </w:t>
      </w:r>
      <w:r w:rsidR="0070159E">
        <w:t>markets</w:t>
      </w:r>
      <w:r w:rsidR="00D86A94" w:rsidRPr="00ED2954">
        <w:t>.</w:t>
      </w:r>
      <w:r w:rsidR="00D86A94">
        <w:t xml:space="preserve"> Fossil fuel prices were higher in 2030 than 2025</w:t>
      </w:r>
      <w:r w:rsidR="00073D35">
        <w:t xml:space="preserve">, which </w:t>
      </w:r>
      <w:r w:rsidR="00507E04">
        <w:t xml:space="preserve">particularly </w:t>
      </w:r>
      <w:r w:rsidR="00073D35">
        <w:t>increased LMPs for Scenarios 1, 4, and 5 where n</w:t>
      </w:r>
      <w:r w:rsidR="00D86A94">
        <w:t>atural gas typically remains on the margin. Large amounts of renewable resources reduced the amount of time that natural gas units set LMPs in Scenarios 2</w:t>
      </w:r>
      <w:r w:rsidR="00073D35">
        <w:t xml:space="preserve">, </w:t>
      </w:r>
      <w:r w:rsidR="00D86A94">
        <w:t>3</w:t>
      </w:r>
      <w:r w:rsidR="00073D35">
        <w:t>, and 6</w:t>
      </w:r>
      <w:r w:rsidR="00ED2954">
        <w:t xml:space="preserve">, as </w:t>
      </w:r>
      <w:r w:rsidR="002D7073" w:rsidRPr="00EB1179">
        <w:t xml:space="preserve">shown in </w:t>
      </w:r>
      <w:r w:rsidR="00ED2954" w:rsidRPr="00EB1179">
        <w:fldChar w:fldCharType="begin"/>
      </w:r>
      <w:r w:rsidR="00ED2954" w:rsidRPr="00EB1179">
        <w:instrText xml:space="preserve"> REF _Ref476915526 \h </w:instrText>
      </w:r>
      <w:r w:rsidR="00EB1179">
        <w:instrText xml:space="preserve"> \* MERGEFORMAT </w:instrText>
      </w:r>
      <w:r w:rsidR="00ED2954" w:rsidRPr="00EB1179">
        <w:fldChar w:fldCharType="separate"/>
      </w:r>
      <w:r w:rsidR="00742B49" w:rsidRPr="00EB1179">
        <w:t xml:space="preserve">Table </w:t>
      </w:r>
      <w:r w:rsidR="00742B49" w:rsidRPr="00EB1179">
        <w:rPr>
          <w:noProof/>
        </w:rPr>
        <w:t>6</w:t>
      </w:r>
      <w:r w:rsidR="00742B49" w:rsidRPr="00EB1179">
        <w:noBreakHyphen/>
      </w:r>
      <w:r w:rsidR="00742B49" w:rsidRPr="00EB1179">
        <w:rPr>
          <w:noProof/>
        </w:rPr>
        <w:t>8</w:t>
      </w:r>
      <w:r w:rsidR="00ED2954" w:rsidRPr="00EB1179">
        <w:fldChar w:fldCharType="end"/>
      </w:r>
      <w:r w:rsidR="002D7073" w:rsidRPr="00EB1179">
        <w:t>.</w:t>
      </w:r>
      <w:r w:rsidR="00725EF2" w:rsidRPr="00EB1179">
        <w:t xml:space="preserve"> Scenarios 1, 4</w:t>
      </w:r>
      <w:r w:rsidR="00EB1179" w:rsidRPr="00EB1179">
        <w:t>,</w:t>
      </w:r>
      <w:r w:rsidR="00725EF2" w:rsidRPr="00EB1179">
        <w:t xml:space="preserve"> and 5 show natural gas is on the margin </w:t>
      </w:r>
      <w:r w:rsidR="006B07E8" w:rsidRPr="00EB1179">
        <w:t>between 87</w:t>
      </w:r>
      <w:r w:rsidR="00612894" w:rsidRPr="00EB1179">
        <w:t>%</w:t>
      </w:r>
      <w:r w:rsidR="006B07E8" w:rsidRPr="00EB1179">
        <w:t xml:space="preserve"> and </w:t>
      </w:r>
      <w:r w:rsidR="00CB1317" w:rsidRPr="00EB1179">
        <w:t>100</w:t>
      </w:r>
      <w:r w:rsidR="006B07E8" w:rsidRPr="00EB1179">
        <w:t xml:space="preserve">% </w:t>
      </w:r>
      <w:r w:rsidR="00725EF2" w:rsidRPr="00EB1179">
        <w:t>of the</w:t>
      </w:r>
      <w:r w:rsidR="00725EF2">
        <w:t xml:space="preserve"> hours while Scenarios 2, 3</w:t>
      </w:r>
      <w:r w:rsidR="00EB1179">
        <w:t>,</w:t>
      </w:r>
      <w:r w:rsidR="00725EF2">
        <w:t xml:space="preserve"> and 6 range from 50% to 94% of the hours. </w:t>
      </w:r>
    </w:p>
    <w:p w:rsidR="00ED2954" w:rsidRDefault="00ED2954" w:rsidP="007730AA">
      <w:pPr>
        <w:pStyle w:val="Caption"/>
        <w:jc w:val="center"/>
      </w:pPr>
      <w:bookmarkStart w:id="292" w:name="_Ref476915526"/>
      <w:bookmarkStart w:id="293" w:name="_Toc486406043"/>
      <w:r w:rsidRPr="00EB1179">
        <w:lastRenderedPageBreak/>
        <w:t xml:space="preserve">Table </w:t>
      </w:r>
      <w:fldSimple w:instr=" STYLEREF 1 \s ">
        <w:r w:rsidR="004248FE">
          <w:rPr>
            <w:noProof/>
          </w:rPr>
          <w:t>6</w:t>
        </w:r>
      </w:fldSimple>
      <w:r w:rsidR="004248FE">
        <w:noBreakHyphen/>
      </w:r>
      <w:fldSimple w:instr=" SEQ Table \* ARABIC \s 1 ">
        <w:r w:rsidR="004248FE">
          <w:rPr>
            <w:noProof/>
          </w:rPr>
          <w:t>8</w:t>
        </w:r>
      </w:fldSimple>
      <w:bookmarkEnd w:id="292"/>
      <w:r w:rsidRPr="00EB1179">
        <w:br/>
      </w:r>
      <w:r w:rsidR="004F1384" w:rsidRPr="00EB1179">
        <w:t xml:space="preserve">Approximate % of Year </w:t>
      </w:r>
      <w:r w:rsidRPr="00EB1179">
        <w:t>LMP</w:t>
      </w:r>
      <w:r w:rsidR="000C4D9F" w:rsidRPr="00EB1179">
        <w:t>s</w:t>
      </w:r>
      <w:r w:rsidR="004F1384" w:rsidRPr="00EB1179">
        <w:t xml:space="preserve"> Set by Natural Gas-fired Generators</w:t>
      </w:r>
      <w:r w:rsidR="00A808AD" w:rsidRPr="00A808AD">
        <w:rPr>
          <w:sz w:val="18"/>
          <w:vertAlign w:val="superscript"/>
        </w:rPr>
        <w:t>(a)</w:t>
      </w:r>
      <w:bookmarkEnd w:id="293"/>
      <w:r w:rsidR="004F1384" w:rsidRPr="00A808AD">
        <w:rPr>
          <w:sz w:val="18"/>
        </w:rPr>
        <w:t xml:space="preserve"> </w:t>
      </w:r>
    </w:p>
    <w:tbl>
      <w:tblPr>
        <w:tblStyle w:val="TableGrid"/>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57"/>
        <w:gridCol w:w="1314"/>
        <w:gridCol w:w="1314"/>
        <w:gridCol w:w="1120"/>
        <w:gridCol w:w="1120"/>
      </w:tblGrid>
      <w:tr w:rsidR="007730AA" w:rsidRPr="007730AA" w:rsidTr="00037D25">
        <w:trPr>
          <w:trHeight w:val="382"/>
          <w:jc w:val="center"/>
        </w:trPr>
        <w:tc>
          <w:tcPr>
            <w:tcW w:w="3057" w:type="dxa"/>
            <w:vMerge w:val="restart"/>
            <w:shd w:val="clear" w:color="auto" w:fill="4F81BD" w:themeFill="accent1"/>
            <w:vAlign w:val="center"/>
          </w:tcPr>
          <w:p w:rsidR="007730AA" w:rsidRPr="0036141E" w:rsidRDefault="007730AA" w:rsidP="00EB1179">
            <w:pPr>
              <w:keepNext/>
              <w:keepLines/>
              <w:spacing w:before="40" w:after="40" w:line="240" w:lineRule="auto"/>
              <w:jc w:val="center"/>
              <w:rPr>
                <w:rFonts w:asciiTheme="minorHAnsi" w:hAnsiTheme="minorHAnsi"/>
                <w:b/>
                <w:color w:val="FFFFFF" w:themeColor="background1"/>
                <w:sz w:val="18"/>
                <w:szCs w:val="18"/>
              </w:rPr>
            </w:pPr>
            <w:r w:rsidRPr="0036141E">
              <w:rPr>
                <w:rFonts w:asciiTheme="minorHAnsi" w:hAnsiTheme="minorHAnsi"/>
                <w:b/>
                <w:color w:val="FFFFFF" w:themeColor="background1"/>
                <w:sz w:val="18"/>
                <w:szCs w:val="18"/>
              </w:rPr>
              <w:t>Scenario</w:t>
            </w:r>
          </w:p>
        </w:tc>
        <w:tc>
          <w:tcPr>
            <w:tcW w:w="0" w:type="auto"/>
            <w:shd w:val="clear" w:color="auto" w:fill="4F81BD" w:themeFill="accent1"/>
            <w:vAlign w:val="center"/>
          </w:tcPr>
          <w:p w:rsidR="007730AA" w:rsidRPr="0036141E" w:rsidRDefault="007730AA" w:rsidP="00EB1179">
            <w:pPr>
              <w:keepNext/>
              <w:keepLines/>
              <w:spacing w:before="40" w:after="40" w:line="240" w:lineRule="auto"/>
              <w:jc w:val="center"/>
              <w:rPr>
                <w:rFonts w:asciiTheme="minorHAnsi" w:hAnsiTheme="minorHAnsi"/>
                <w:b/>
                <w:color w:val="FFFFFF" w:themeColor="background1"/>
                <w:sz w:val="18"/>
                <w:szCs w:val="18"/>
              </w:rPr>
            </w:pPr>
            <w:r w:rsidRPr="0036141E">
              <w:rPr>
                <w:rFonts w:asciiTheme="minorHAnsi" w:hAnsiTheme="minorHAnsi"/>
                <w:b/>
                <w:color w:val="FFFFFF" w:themeColor="background1"/>
                <w:sz w:val="18"/>
                <w:szCs w:val="18"/>
              </w:rPr>
              <w:t>Unconstrained</w:t>
            </w:r>
          </w:p>
        </w:tc>
        <w:tc>
          <w:tcPr>
            <w:tcW w:w="0" w:type="auto"/>
            <w:shd w:val="clear" w:color="auto" w:fill="4F81BD" w:themeFill="accent1"/>
            <w:vAlign w:val="center"/>
          </w:tcPr>
          <w:p w:rsidR="007730AA" w:rsidRPr="0036141E" w:rsidRDefault="007730AA" w:rsidP="00EB1179">
            <w:pPr>
              <w:keepNext/>
              <w:keepLines/>
              <w:spacing w:before="40" w:after="40" w:line="240" w:lineRule="auto"/>
              <w:jc w:val="center"/>
              <w:rPr>
                <w:rFonts w:asciiTheme="minorHAnsi" w:hAnsiTheme="minorHAnsi"/>
                <w:b/>
                <w:color w:val="FFFFFF" w:themeColor="background1"/>
                <w:sz w:val="18"/>
                <w:szCs w:val="18"/>
              </w:rPr>
            </w:pPr>
            <w:r w:rsidRPr="0036141E">
              <w:rPr>
                <w:rFonts w:asciiTheme="minorHAnsi" w:hAnsiTheme="minorHAnsi"/>
                <w:b/>
                <w:color w:val="FFFFFF" w:themeColor="background1"/>
                <w:sz w:val="18"/>
                <w:szCs w:val="18"/>
              </w:rPr>
              <w:t>Unconstrained</w:t>
            </w:r>
          </w:p>
        </w:tc>
        <w:tc>
          <w:tcPr>
            <w:tcW w:w="0" w:type="auto"/>
            <w:shd w:val="clear" w:color="auto" w:fill="4F81BD" w:themeFill="accent1"/>
            <w:vAlign w:val="center"/>
          </w:tcPr>
          <w:p w:rsidR="007730AA" w:rsidRPr="0036141E" w:rsidRDefault="007730AA" w:rsidP="00EB1179">
            <w:pPr>
              <w:keepNext/>
              <w:keepLines/>
              <w:spacing w:before="40" w:after="40" w:line="240" w:lineRule="auto"/>
              <w:jc w:val="center"/>
              <w:rPr>
                <w:rFonts w:asciiTheme="minorHAnsi" w:hAnsiTheme="minorHAnsi"/>
                <w:b/>
                <w:color w:val="FFFFFF" w:themeColor="background1"/>
                <w:sz w:val="18"/>
                <w:szCs w:val="18"/>
              </w:rPr>
            </w:pPr>
            <w:r w:rsidRPr="0036141E">
              <w:rPr>
                <w:rFonts w:asciiTheme="minorHAnsi" w:hAnsiTheme="minorHAnsi"/>
                <w:b/>
                <w:color w:val="FFFFFF" w:themeColor="background1"/>
                <w:sz w:val="18"/>
                <w:szCs w:val="18"/>
              </w:rPr>
              <w:t>Constrained</w:t>
            </w:r>
          </w:p>
        </w:tc>
        <w:tc>
          <w:tcPr>
            <w:tcW w:w="0" w:type="auto"/>
            <w:shd w:val="clear" w:color="auto" w:fill="4F81BD" w:themeFill="accent1"/>
            <w:vAlign w:val="center"/>
          </w:tcPr>
          <w:p w:rsidR="007730AA" w:rsidRPr="0036141E" w:rsidRDefault="007730AA" w:rsidP="00EB1179">
            <w:pPr>
              <w:keepNext/>
              <w:keepLines/>
              <w:spacing w:before="40" w:after="40" w:line="240" w:lineRule="auto"/>
              <w:jc w:val="center"/>
              <w:rPr>
                <w:rFonts w:asciiTheme="minorHAnsi" w:hAnsiTheme="minorHAnsi"/>
                <w:b/>
                <w:color w:val="FFFFFF" w:themeColor="background1"/>
                <w:sz w:val="18"/>
                <w:szCs w:val="18"/>
              </w:rPr>
            </w:pPr>
            <w:r w:rsidRPr="0036141E">
              <w:rPr>
                <w:rFonts w:asciiTheme="minorHAnsi" w:hAnsiTheme="minorHAnsi"/>
                <w:b/>
                <w:color w:val="FFFFFF" w:themeColor="background1"/>
                <w:sz w:val="18"/>
                <w:szCs w:val="18"/>
              </w:rPr>
              <w:t>Constrained</w:t>
            </w:r>
          </w:p>
        </w:tc>
      </w:tr>
      <w:tr w:rsidR="007730AA" w:rsidRPr="007730AA" w:rsidTr="00037D25">
        <w:trPr>
          <w:trHeight w:val="355"/>
          <w:jc w:val="center"/>
        </w:trPr>
        <w:tc>
          <w:tcPr>
            <w:tcW w:w="3057" w:type="dxa"/>
            <w:vMerge/>
            <w:shd w:val="clear" w:color="auto" w:fill="4F81BD" w:themeFill="accent1"/>
            <w:vAlign w:val="center"/>
          </w:tcPr>
          <w:p w:rsidR="007730AA" w:rsidRPr="0036141E" w:rsidRDefault="007730AA" w:rsidP="00EB1179">
            <w:pPr>
              <w:keepNext/>
              <w:keepLines/>
              <w:spacing w:before="40" w:after="40" w:line="240" w:lineRule="auto"/>
              <w:jc w:val="center"/>
              <w:rPr>
                <w:rFonts w:asciiTheme="minorHAnsi" w:hAnsiTheme="minorHAnsi"/>
                <w:color w:val="FFFFFF" w:themeColor="background1"/>
                <w:sz w:val="18"/>
                <w:szCs w:val="18"/>
              </w:rPr>
            </w:pPr>
          </w:p>
        </w:tc>
        <w:tc>
          <w:tcPr>
            <w:tcW w:w="0" w:type="auto"/>
            <w:shd w:val="clear" w:color="auto" w:fill="4F81BD" w:themeFill="accent1"/>
            <w:vAlign w:val="center"/>
          </w:tcPr>
          <w:p w:rsidR="007730AA" w:rsidRPr="0036141E" w:rsidRDefault="007730AA" w:rsidP="00EB1179">
            <w:pPr>
              <w:keepNext/>
              <w:keepLines/>
              <w:spacing w:before="40" w:after="40" w:line="240" w:lineRule="auto"/>
              <w:jc w:val="center"/>
              <w:rPr>
                <w:rFonts w:asciiTheme="minorHAnsi" w:hAnsiTheme="minorHAnsi"/>
                <w:b/>
                <w:color w:val="FFFFFF" w:themeColor="background1"/>
                <w:sz w:val="18"/>
                <w:szCs w:val="18"/>
              </w:rPr>
            </w:pPr>
            <w:r w:rsidRPr="0036141E">
              <w:rPr>
                <w:rFonts w:asciiTheme="minorHAnsi" w:hAnsiTheme="minorHAnsi"/>
                <w:b/>
                <w:color w:val="FFFFFF" w:themeColor="background1"/>
                <w:sz w:val="18"/>
                <w:szCs w:val="18"/>
              </w:rPr>
              <w:t>2025</w:t>
            </w:r>
          </w:p>
        </w:tc>
        <w:tc>
          <w:tcPr>
            <w:tcW w:w="0" w:type="auto"/>
            <w:shd w:val="clear" w:color="auto" w:fill="4F81BD" w:themeFill="accent1"/>
            <w:vAlign w:val="center"/>
          </w:tcPr>
          <w:p w:rsidR="007730AA" w:rsidRPr="0036141E" w:rsidRDefault="007730AA" w:rsidP="00EB1179">
            <w:pPr>
              <w:keepNext/>
              <w:keepLines/>
              <w:spacing w:before="40" w:after="40" w:line="240" w:lineRule="auto"/>
              <w:jc w:val="center"/>
              <w:rPr>
                <w:rFonts w:asciiTheme="minorHAnsi" w:hAnsiTheme="minorHAnsi"/>
                <w:b/>
                <w:color w:val="FFFFFF" w:themeColor="background1"/>
                <w:sz w:val="18"/>
                <w:szCs w:val="18"/>
              </w:rPr>
            </w:pPr>
            <w:r w:rsidRPr="0036141E">
              <w:rPr>
                <w:rFonts w:asciiTheme="minorHAnsi" w:hAnsiTheme="minorHAnsi"/>
                <w:b/>
                <w:color w:val="FFFFFF" w:themeColor="background1"/>
                <w:sz w:val="18"/>
                <w:szCs w:val="18"/>
              </w:rPr>
              <w:t>2030</w:t>
            </w:r>
          </w:p>
        </w:tc>
        <w:tc>
          <w:tcPr>
            <w:tcW w:w="0" w:type="auto"/>
            <w:shd w:val="clear" w:color="auto" w:fill="4F81BD" w:themeFill="accent1"/>
            <w:vAlign w:val="center"/>
          </w:tcPr>
          <w:p w:rsidR="007730AA" w:rsidRPr="0036141E" w:rsidRDefault="007730AA" w:rsidP="00EB1179">
            <w:pPr>
              <w:keepNext/>
              <w:keepLines/>
              <w:spacing w:before="40" w:after="40" w:line="240" w:lineRule="auto"/>
              <w:jc w:val="center"/>
              <w:rPr>
                <w:rFonts w:asciiTheme="minorHAnsi" w:hAnsiTheme="minorHAnsi"/>
                <w:b/>
                <w:color w:val="FFFFFF" w:themeColor="background1"/>
                <w:sz w:val="18"/>
                <w:szCs w:val="18"/>
              </w:rPr>
            </w:pPr>
            <w:r w:rsidRPr="0036141E">
              <w:rPr>
                <w:rFonts w:asciiTheme="minorHAnsi" w:hAnsiTheme="minorHAnsi"/>
                <w:b/>
                <w:color w:val="FFFFFF" w:themeColor="background1"/>
                <w:sz w:val="18"/>
                <w:szCs w:val="18"/>
              </w:rPr>
              <w:t>2025</w:t>
            </w:r>
          </w:p>
        </w:tc>
        <w:tc>
          <w:tcPr>
            <w:tcW w:w="0" w:type="auto"/>
            <w:shd w:val="clear" w:color="auto" w:fill="4F81BD" w:themeFill="accent1"/>
            <w:vAlign w:val="center"/>
          </w:tcPr>
          <w:p w:rsidR="007730AA" w:rsidRPr="0036141E" w:rsidRDefault="007730AA" w:rsidP="00EB1179">
            <w:pPr>
              <w:keepNext/>
              <w:keepLines/>
              <w:spacing w:before="40" w:after="40" w:line="240" w:lineRule="auto"/>
              <w:jc w:val="center"/>
              <w:rPr>
                <w:rFonts w:asciiTheme="minorHAnsi" w:hAnsiTheme="minorHAnsi"/>
                <w:b/>
                <w:color w:val="FFFFFF" w:themeColor="background1"/>
                <w:sz w:val="18"/>
                <w:szCs w:val="18"/>
              </w:rPr>
            </w:pPr>
            <w:r w:rsidRPr="0036141E">
              <w:rPr>
                <w:rFonts w:asciiTheme="minorHAnsi" w:hAnsiTheme="minorHAnsi"/>
                <w:b/>
                <w:color w:val="FFFFFF" w:themeColor="background1"/>
                <w:sz w:val="18"/>
                <w:szCs w:val="18"/>
              </w:rPr>
              <w:t>2030</w:t>
            </w:r>
          </w:p>
        </w:tc>
      </w:tr>
      <w:tr w:rsidR="00A0759E" w:rsidRPr="007730AA" w:rsidTr="00070BB1">
        <w:trPr>
          <w:trHeight w:val="316"/>
          <w:jc w:val="center"/>
        </w:trPr>
        <w:tc>
          <w:tcPr>
            <w:tcW w:w="3057" w:type="dxa"/>
            <w:vAlign w:val="center"/>
          </w:tcPr>
          <w:p w:rsidR="00A0759E" w:rsidRPr="004D1898" w:rsidRDefault="00A0759E" w:rsidP="00EB1179">
            <w:pPr>
              <w:keepNext/>
              <w:keepLines/>
              <w:spacing w:before="40" w:after="40" w:line="240" w:lineRule="auto"/>
              <w:rPr>
                <w:rFonts w:asciiTheme="minorHAnsi" w:hAnsiTheme="minorHAnsi"/>
                <w:b/>
                <w:sz w:val="18"/>
                <w:szCs w:val="18"/>
              </w:rPr>
            </w:pPr>
            <w:r w:rsidRPr="004D1898">
              <w:rPr>
                <w:rFonts w:asciiTheme="minorHAnsi" w:hAnsiTheme="minorHAnsi"/>
                <w:b/>
                <w:sz w:val="18"/>
                <w:szCs w:val="18"/>
              </w:rPr>
              <w:t>RPSs + Gas</w:t>
            </w:r>
          </w:p>
        </w:tc>
        <w:tc>
          <w:tcPr>
            <w:tcW w:w="0" w:type="auto"/>
            <w:tcMar>
              <w:left w:w="115" w:type="dxa"/>
              <w:right w:w="115" w:type="dxa"/>
            </w:tcMar>
            <w:vAlign w:val="center"/>
          </w:tcPr>
          <w:p w:rsidR="00A0759E" w:rsidRPr="00A0759E" w:rsidRDefault="00A0759E" w:rsidP="00EB1179">
            <w:pPr>
              <w:keepNext/>
              <w:keepLines/>
              <w:spacing w:before="40" w:after="40" w:line="240" w:lineRule="auto"/>
              <w:jc w:val="center"/>
              <w:rPr>
                <w:rFonts w:asciiTheme="minorHAnsi" w:hAnsiTheme="minorHAnsi"/>
                <w:sz w:val="18"/>
                <w:szCs w:val="18"/>
              </w:rPr>
            </w:pPr>
            <w:r w:rsidRPr="00EB1179">
              <w:rPr>
                <w:rFonts w:asciiTheme="minorHAnsi" w:hAnsiTheme="minorHAnsi"/>
                <w:sz w:val="18"/>
              </w:rPr>
              <w:t>87%</w:t>
            </w:r>
          </w:p>
        </w:tc>
        <w:tc>
          <w:tcPr>
            <w:tcW w:w="0" w:type="auto"/>
            <w:tcMar>
              <w:left w:w="115" w:type="dxa"/>
              <w:right w:w="115" w:type="dxa"/>
            </w:tcMar>
            <w:vAlign w:val="center"/>
          </w:tcPr>
          <w:p w:rsidR="00A0759E" w:rsidRPr="00A0759E" w:rsidRDefault="00A0759E" w:rsidP="00EB1179">
            <w:pPr>
              <w:keepNext/>
              <w:keepLines/>
              <w:spacing w:before="40" w:after="40" w:line="240" w:lineRule="auto"/>
              <w:jc w:val="center"/>
              <w:rPr>
                <w:rFonts w:asciiTheme="minorHAnsi" w:hAnsiTheme="minorHAnsi"/>
                <w:sz w:val="18"/>
                <w:szCs w:val="18"/>
              </w:rPr>
            </w:pPr>
            <w:r w:rsidRPr="00EB1179">
              <w:rPr>
                <w:rFonts w:asciiTheme="minorHAnsi" w:hAnsiTheme="minorHAnsi"/>
                <w:sz w:val="18"/>
              </w:rPr>
              <w:t>99%</w:t>
            </w:r>
          </w:p>
        </w:tc>
        <w:tc>
          <w:tcPr>
            <w:tcW w:w="0" w:type="auto"/>
            <w:tcMar>
              <w:left w:w="115" w:type="dxa"/>
              <w:right w:w="115" w:type="dxa"/>
            </w:tcMar>
            <w:vAlign w:val="center"/>
          </w:tcPr>
          <w:p w:rsidR="00A0759E" w:rsidRPr="00A0759E" w:rsidRDefault="00A0759E" w:rsidP="00EB1179">
            <w:pPr>
              <w:keepNext/>
              <w:keepLines/>
              <w:spacing w:before="40" w:after="40" w:line="240" w:lineRule="auto"/>
              <w:jc w:val="center"/>
              <w:rPr>
                <w:rFonts w:asciiTheme="minorHAnsi" w:hAnsiTheme="minorHAnsi"/>
                <w:sz w:val="18"/>
                <w:szCs w:val="18"/>
              </w:rPr>
            </w:pPr>
            <w:r w:rsidRPr="00EB1179">
              <w:rPr>
                <w:rFonts w:asciiTheme="minorHAnsi" w:hAnsiTheme="minorHAnsi"/>
                <w:sz w:val="18"/>
              </w:rPr>
              <w:t>90%</w:t>
            </w:r>
          </w:p>
        </w:tc>
        <w:tc>
          <w:tcPr>
            <w:tcW w:w="0" w:type="auto"/>
            <w:tcMar>
              <w:left w:w="115" w:type="dxa"/>
              <w:right w:w="115" w:type="dxa"/>
            </w:tcMar>
            <w:vAlign w:val="center"/>
          </w:tcPr>
          <w:p w:rsidR="00A0759E" w:rsidRPr="00A0759E" w:rsidRDefault="00A0759E" w:rsidP="00EB1179">
            <w:pPr>
              <w:keepNext/>
              <w:keepLines/>
              <w:spacing w:before="40" w:after="40" w:line="240" w:lineRule="auto"/>
              <w:jc w:val="center"/>
              <w:rPr>
                <w:rFonts w:asciiTheme="minorHAnsi" w:hAnsiTheme="minorHAnsi"/>
                <w:sz w:val="18"/>
                <w:szCs w:val="18"/>
              </w:rPr>
            </w:pPr>
            <w:r w:rsidRPr="00EB1179">
              <w:rPr>
                <w:rFonts w:asciiTheme="minorHAnsi" w:hAnsiTheme="minorHAnsi"/>
                <w:sz w:val="18"/>
              </w:rPr>
              <w:t>99%</w:t>
            </w:r>
          </w:p>
        </w:tc>
      </w:tr>
      <w:tr w:rsidR="00A0759E" w:rsidRPr="007730AA" w:rsidTr="00070BB1">
        <w:trPr>
          <w:trHeight w:val="316"/>
          <w:jc w:val="center"/>
        </w:trPr>
        <w:tc>
          <w:tcPr>
            <w:tcW w:w="3057" w:type="dxa"/>
            <w:shd w:val="clear" w:color="auto" w:fill="DBE5F1" w:themeFill="accent1" w:themeFillTint="33"/>
            <w:vAlign w:val="center"/>
          </w:tcPr>
          <w:p w:rsidR="00A0759E" w:rsidRPr="004D1898" w:rsidRDefault="00A0759E" w:rsidP="00EB1179">
            <w:pPr>
              <w:keepNext/>
              <w:keepLines/>
              <w:spacing w:before="40" w:after="40" w:line="240" w:lineRule="auto"/>
              <w:rPr>
                <w:rFonts w:asciiTheme="minorHAnsi" w:hAnsiTheme="minorHAnsi"/>
                <w:b/>
                <w:sz w:val="18"/>
                <w:szCs w:val="18"/>
              </w:rPr>
            </w:pPr>
            <w:r w:rsidRPr="004D1898">
              <w:rPr>
                <w:rFonts w:asciiTheme="minorHAnsi" w:hAnsiTheme="minorHAnsi"/>
                <w:b/>
                <w:sz w:val="18"/>
                <w:szCs w:val="18"/>
              </w:rPr>
              <w:t>ISO Queue</w:t>
            </w:r>
          </w:p>
        </w:tc>
        <w:tc>
          <w:tcPr>
            <w:tcW w:w="0" w:type="auto"/>
            <w:shd w:val="clear" w:color="auto" w:fill="DBE5F1" w:themeFill="accent1" w:themeFillTint="33"/>
            <w:tcMar>
              <w:left w:w="115" w:type="dxa"/>
              <w:right w:w="115" w:type="dxa"/>
            </w:tcMar>
            <w:vAlign w:val="center"/>
          </w:tcPr>
          <w:p w:rsidR="00A0759E" w:rsidRPr="00A0759E" w:rsidRDefault="00A0759E" w:rsidP="00EB1179">
            <w:pPr>
              <w:keepNext/>
              <w:keepLines/>
              <w:spacing w:before="40" w:after="40" w:line="240" w:lineRule="auto"/>
              <w:jc w:val="center"/>
              <w:rPr>
                <w:rFonts w:asciiTheme="minorHAnsi" w:hAnsiTheme="minorHAnsi"/>
                <w:sz w:val="18"/>
                <w:szCs w:val="18"/>
              </w:rPr>
            </w:pPr>
            <w:r w:rsidRPr="00EB1179">
              <w:rPr>
                <w:rFonts w:asciiTheme="minorHAnsi" w:hAnsiTheme="minorHAnsi"/>
                <w:sz w:val="18"/>
              </w:rPr>
              <w:t>79%</w:t>
            </w:r>
          </w:p>
        </w:tc>
        <w:tc>
          <w:tcPr>
            <w:tcW w:w="0" w:type="auto"/>
            <w:shd w:val="clear" w:color="auto" w:fill="DBE5F1" w:themeFill="accent1" w:themeFillTint="33"/>
            <w:tcMar>
              <w:left w:w="115" w:type="dxa"/>
              <w:right w:w="115" w:type="dxa"/>
            </w:tcMar>
            <w:vAlign w:val="center"/>
          </w:tcPr>
          <w:p w:rsidR="00A0759E" w:rsidRPr="00A0759E" w:rsidRDefault="00A0759E" w:rsidP="00EB1179">
            <w:pPr>
              <w:keepNext/>
              <w:keepLines/>
              <w:spacing w:before="40" w:after="40" w:line="240" w:lineRule="auto"/>
              <w:jc w:val="center"/>
              <w:rPr>
                <w:rFonts w:asciiTheme="minorHAnsi" w:hAnsiTheme="minorHAnsi"/>
                <w:sz w:val="18"/>
                <w:szCs w:val="18"/>
              </w:rPr>
            </w:pPr>
            <w:r w:rsidRPr="00EB1179">
              <w:rPr>
                <w:rFonts w:asciiTheme="minorHAnsi" w:hAnsiTheme="minorHAnsi"/>
                <w:sz w:val="18"/>
              </w:rPr>
              <w:t>53%</w:t>
            </w:r>
          </w:p>
        </w:tc>
        <w:tc>
          <w:tcPr>
            <w:tcW w:w="0" w:type="auto"/>
            <w:shd w:val="clear" w:color="auto" w:fill="DBE5F1" w:themeFill="accent1" w:themeFillTint="33"/>
            <w:tcMar>
              <w:left w:w="115" w:type="dxa"/>
              <w:right w:w="115" w:type="dxa"/>
            </w:tcMar>
            <w:vAlign w:val="center"/>
          </w:tcPr>
          <w:p w:rsidR="00A0759E" w:rsidRPr="00A0759E" w:rsidRDefault="00A0759E" w:rsidP="00EB1179">
            <w:pPr>
              <w:keepNext/>
              <w:keepLines/>
              <w:spacing w:before="40" w:after="40" w:line="240" w:lineRule="auto"/>
              <w:jc w:val="center"/>
              <w:rPr>
                <w:rFonts w:asciiTheme="minorHAnsi" w:hAnsiTheme="minorHAnsi"/>
                <w:sz w:val="18"/>
                <w:szCs w:val="18"/>
              </w:rPr>
            </w:pPr>
            <w:r w:rsidRPr="00EB1179">
              <w:rPr>
                <w:rFonts w:asciiTheme="minorHAnsi" w:hAnsiTheme="minorHAnsi"/>
                <w:sz w:val="18"/>
              </w:rPr>
              <w:t>87%</w:t>
            </w:r>
          </w:p>
        </w:tc>
        <w:tc>
          <w:tcPr>
            <w:tcW w:w="0" w:type="auto"/>
            <w:shd w:val="clear" w:color="auto" w:fill="DBE5F1" w:themeFill="accent1" w:themeFillTint="33"/>
            <w:tcMar>
              <w:left w:w="115" w:type="dxa"/>
              <w:right w:w="115" w:type="dxa"/>
            </w:tcMar>
            <w:vAlign w:val="center"/>
          </w:tcPr>
          <w:p w:rsidR="00A0759E" w:rsidRPr="00A0759E" w:rsidRDefault="00A0759E" w:rsidP="00EB1179">
            <w:pPr>
              <w:keepNext/>
              <w:keepLines/>
              <w:spacing w:before="40" w:after="40" w:line="240" w:lineRule="auto"/>
              <w:jc w:val="center"/>
              <w:rPr>
                <w:rFonts w:asciiTheme="minorHAnsi" w:hAnsiTheme="minorHAnsi"/>
                <w:sz w:val="18"/>
                <w:szCs w:val="18"/>
              </w:rPr>
            </w:pPr>
            <w:r w:rsidRPr="00EB1179">
              <w:rPr>
                <w:rFonts w:asciiTheme="minorHAnsi" w:hAnsiTheme="minorHAnsi"/>
                <w:sz w:val="18"/>
              </w:rPr>
              <w:t>94%</w:t>
            </w:r>
          </w:p>
        </w:tc>
      </w:tr>
      <w:tr w:rsidR="00A0759E" w:rsidRPr="007730AA" w:rsidTr="00070BB1">
        <w:trPr>
          <w:trHeight w:val="316"/>
          <w:jc w:val="center"/>
        </w:trPr>
        <w:tc>
          <w:tcPr>
            <w:tcW w:w="3057" w:type="dxa"/>
            <w:vAlign w:val="center"/>
          </w:tcPr>
          <w:p w:rsidR="00A0759E" w:rsidRPr="004D1898" w:rsidRDefault="00A0759E" w:rsidP="00EB1179">
            <w:pPr>
              <w:keepNext/>
              <w:keepLines/>
              <w:spacing w:before="40" w:after="40" w:line="240" w:lineRule="auto"/>
              <w:rPr>
                <w:rFonts w:asciiTheme="minorHAnsi" w:hAnsiTheme="minorHAnsi"/>
                <w:b/>
                <w:sz w:val="18"/>
                <w:szCs w:val="18"/>
              </w:rPr>
            </w:pPr>
            <w:r w:rsidRPr="004D1898">
              <w:rPr>
                <w:rFonts w:asciiTheme="minorHAnsi" w:hAnsiTheme="minorHAnsi"/>
                <w:b/>
                <w:sz w:val="18"/>
                <w:szCs w:val="18"/>
              </w:rPr>
              <w:t>Renewables Plus</w:t>
            </w:r>
          </w:p>
        </w:tc>
        <w:tc>
          <w:tcPr>
            <w:tcW w:w="0" w:type="auto"/>
            <w:tcMar>
              <w:left w:w="115" w:type="dxa"/>
              <w:right w:w="115" w:type="dxa"/>
            </w:tcMar>
            <w:vAlign w:val="center"/>
          </w:tcPr>
          <w:p w:rsidR="00A0759E" w:rsidRPr="00A0759E" w:rsidRDefault="00A0759E" w:rsidP="00EB1179">
            <w:pPr>
              <w:keepNext/>
              <w:keepLines/>
              <w:spacing w:before="40" w:after="40" w:line="240" w:lineRule="auto"/>
              <w:jc w:val="center"/>
              <w:rPr>
                <w:rFonts w:asciiTheme="minorHAnsi" w:hAnsiTheme="minorHAnsi"/>
                <w:sz w:val="18"/>
                <w:szCs w:val="18"/>
              </w:rPr>
            </w:pPr>
            <w:r w:rsidRPr="00EB1179">
              <w:rPr>
                <w:rFonts w:asciiTheme="minorHAnsi" w:hAnsiTheme="minorHAnsi"/>
                <w:sz w:val="18"/>
              </w:rPr>
              <w:t>75%</w:t>
            </w:r>
          </w:p>
        </w:tc>
        <w:tc>
          <w:tcPr>
            <w:tcW w:w="0" w:type="auto"/>
            <w:tcMar>
              <w:left w:w="115" w:type="dxa"/>
              <w:right w:w="115" w:type="dxa"/>
            </w:tcMar>
            <w:vAlign w:val="center"/>
          </w:tcPr>
          <w:p w:rsidR="00A0759E" w:rsidRPr="00A0759E" w:rsidRDefault="00A0759E" w:rsidP="00EB1179">
            <w:pPr>
              <w:keepNext/>
              <w:keepLines/>
              <w:spacing w:before="40" w:after="40" w:line="240" w:lineRule="auto"/>
              <w:jc w:val="center"/>
              <w:rPr>
                <w:rFonts w:asciiTheme="minorHAnsi" w:hAnsiTheme="minorHAnsi"/>
                <w:sz w:val="18"/>
                <w:szCs w:val="18"/>
              </w:rPr>
            </w:pPr>
            <w:r w:rsidRPr="00EB1179">
              <w:rPr>
                <w:rFonts w:asciiTheme="minorHAnsi" w:hAnsiTheme="minorHAnsi"/>
                <w:sz w:val="18"/>
              </w:rPr>
              <w:t>62%</w:t>
            </w:r>
          </w:p>
        </w:tc>
        <w:tc>
          <w:tcPr>
            <w:tcW w:w="0" w:type="auto"/>
            <w:tcMar>
              <w:left w:w="115" w:type="dxa"/>
              <w:right w:w="115" w:type="dxa"/>
            </w:tcMar>
            <w:vAlign w:val="center"/>
          </w:tcPr>
          <w:p w:rsidR="00A0759E" w:rsidRPr="00A0759E" w:rsidRDefault="00A0759E" w:rsidP="00EB1179">
            <w:pPr>
              <w:keepNext/>
              <w:keepLines/>
              <w:spacing w:before="40" w:after="40" w:line="240" w:lineRule="auto"/>
              <w:jc w:val="center"/>
              <w:rPr>
                <w:rFonts w:asciiTheme="minorHAnsi" w:hAnsiTheme="minorHAnsi"/>
                <w:sz w:val="18"/>
                <w:szCs w:val="18"/>
              </w:rPr>
            </w:pPr>
            <w:r w:rsidRPr="00EB1179">
              <w:rPr>
                <w:rFonts w:asciiTheme="minorHAnsi" w:hAnsiTheme="minorHAnsi"/>
                <w:sz w:val="18"/>
              </w:rPr>
              <w:t>82%</w:t>
            </w:r>
          </w:p>
        </w:tc>
        <w:tc>
          <w:tcPr>
            <w:tcW w:w="0" w:type="auto"/>
            <w:tcMar>
              <w:left w:w="115" w:type="dxa"/>
              <w:right w:w="115" w:type="dxa"/>
            </w:tcMar>
            <w:vAlign w:val="center"/>
          </w:tcPr>
          <w:p w:rsidR="00A0759E" w:rsidRPr="00A0759E" w:rsidRDefault="00A0759E" w:rsidP="00EB1179">
            <w:pPr>
              <w:keepNext/>
              <w:keepLines/>
              <w:spacing w:before="40" w:after="40" w:line="240" w:lineRule="auto"/>
              <w:jc w:val="center"/>
              <w:rPr>
                <w:rFonts w:asciiTheme="minorHAnsi" w:hAnsiTheme="minorHAnsi"/>
                <w:sz w:val="18"/>
                <w:szCs w:val="18"/>
              </w:rPr>
            </w:pPr>
            <w:r w:rsidRPr="00EB1179">
              <w:rPr>
                <w:rFonts w:asciiTheme="minorHAnsi" w:hAnsiTheme="minorHAnsi"/>
                <w:sz w:val="18"/>
              </w:rPr>
              <w:t>70%</w:t>
            </w:r>
          </w:p>
        </w:tc>
      </w:tr>
      <w:tr w:rsidR="00A0759E" w:rsidRPr="007730AA" w:rsidTr="00070BB1">
        <w:trPr>
          <w:trHeight w:val="316"/>
          <w:jc w:val="center"/>
        </w:trPr>
        <w:tc>
          <w:tcPr>
            <w:tcW w:w="3057" w:type="dxa"/>
            <w:shd w:val="clear" w:color="auto" w:fill="DBE5F1" w:themeFill="accent1" w:themeFillTint="33"/>
            <w:vAlign w:val="center"/>
          </w:tcPr>
          <w:p w:rsidR="00A0759E" w:rsidRPr="004D1898" w:rsidRDefault="00A0759E" w:rsidP="00EB1179">
            <w:pPr>
              <w:keepNext/>
              <w:keepLines/>
              <w:spacing w:before="40" w:after="40" w:line="240" w:lineRule="auto"/>
              <w:rPr>
                <w:rFonts w:asciiTheme="minorHAnsi" w:hAnsiTheme="minorHAnsi"/>
                <w:b/>
                <w:sz w:val="18"/>
                <w:szCs w:val="18"/>
              </w:rPr>
            </w:pPr>
            <w:r w:rsidRPr="004D1898">
              <w:rPr>
                <w:rFonts w:asciiTheme="minorHAnsi" w:hAnsiTheme="minorHAnsi"/>
                <w:b/>
                <w:sz w:val="18"/>
                <w:szCs w:val="18"/>
              </w:rPr>
              <w:t>No Retirements</w:t>
            </w:r>
            <w:r>
              <w:rPr>
                <w:rFonts w:asciiTheme="minorHAnsi" w:hAnsiTheme="minorHAnsi"/>
                <w:b/>
                <w:sz w:val="18"/>
                <w:szCs w:val="18"/>
              </w:rPr>
              <w:t xml:space="preserve"> beyond FCA #10</w:t>
            </w:r>
          </w:p>
        </w:tc>
        <w:tc>
          <w:tcPr>
            <w:tcW w:w="0" w:type="auto"/>
            <w:shd w:val="clear" w:color="auto" w:fill="DBE5F1" w:themeFill="accent1" w:themeFillTint="33"/>
            <w:tcMar>
              <w:left w:w="115" w:type="dxa"/>
              <w:right w:w="115" w:type="dxa"/>
            </w:tcMar>
            <w:vAlign w:val="center"/>
          </w:tcPr>
          <w:p w:rsidR="00A0759E" w:rsidRPr="00A0759E" w:rsidRDefault="00A0759E" w:rsidP="00EB1179">
            <w:pPr>
              <w:keepNext/>
              <w:keepLines/>
              <w:spacing w:before="40" w:after="40" w:line="240" w:lineRule="auto"/>
              <w:jc w:val="center"/>
              <w:rPr>
                <w:rFonts w:asciiTheme="minorHAnsi" w:hAnsiTheme="minorHAnsi"/>
                <w:sz w:val="18"/>
                <w:szCs w:val="18"/>
              </w:rPr>
            </w:pPr>
            <w:r w:rsidRPr="00EB1179">
              <w:rPr>
                <w:rFonts w:asciiTheme="minorHAnsi" w:hAnsiTheme="minorHAnsi"/>
                <w:sz w:val="18"/>
              </w:rPr>
              <w:t>90%</w:t>
            </w:r>
          </w:p>
        </w:tc>
        <w:tc>
          <w:tcPr>
            <w:tcW w:w="0" w:type="auto"/>
            <w:shd w:val="clear" w:color="auto" w:fill="DBE5F1" w:themeFill="accent1" w:themeFillTint="33"/>
            <w:tcMar>
              <w:left w:w="115" w:type="dxa"/>
              <w:right w:w="115" w:type="dxa"/>
            </w:tcMar>
            <w:vAlign w:val="center"/>
          </w:tcPr>
          <w:p w:rsidR="00A0759E" w:rsidRPr="00A0759E" w:rsidRDefault="00A0759E" w:rsidP="00EB1179">
            <w:pPr>
              <w:keepNext/>
              <w:keepLines/>
              <w:spacing w:before="40" w:after="40" w:line="240" w:lineRule="auto"/>
              <w:jc w:val="center"/>
              <w:rPr>
                <w:rFonts w:asciiTheme="minorHAnsi" w:hAnsiTheme="minorHAnsi"/>
                <w:sz w:val="18"/>
                <w:szCs w:val="18"/>
              </w:rPr>
            </w:pPr>
            <w:r w:rsidRPr="00EB1179">
              <w:rPr>
                <w:rFonts w:asciiTheme="minorHAnsi" w:hAnsiTheme="minorHAnsi"/>
                <w:sz w:val="18"/>
              </w:rPr>
              <w:t>99%</w:t>
            </w:r>
          </w:p>
        </w:tc>
        <w:tc>
          <w:tcPr>
            <w:tcW w:w="0" w:type="auto"/>
            <w:shd w:val="clear" w:color="auto" w:fill="DBE5F1" w:themeFill="accent1" w:themeFillTint="33"/>
            <w:tcMar>
              <w:left w:w="115" w:type="dxa"/>
              <w:right w:w="115" w:type="dxa"/>
            </w:tcMar>
            <w:vAlign w:val="center"/>
          </w:tcPr>
          <w:p w:rsidR="00A0759E" w:rsidRPr="00A0759E" w:rsidRDefault="00A0759E" w:rsidP="00EB1179">
            <w:pPr>
              <w:keepNext/>
              <w:keepLines/>
              <w:spacing w:before="40" w:after="40" w:line="240" w:lineRule="auto"/>
              <w:jc w:val="center"/>
              <w:rPr>
                <w:rFonts w:asciiTheme="minorHAnsi" w:hAnsiTheme="minorHAnsi"/>
                <w:sz w:val="18"/>
                <w:szCs w:val="18"/>
              </w:rPr>
            </w:pPr>
            <w:r w:rsidRPr="00EB1179">
              <w:rPr>
                <w:rFonts w:asciiTheme="minorHAnsi" w:hAnsiTheme="minorHAnsi"/>
                <w:sz w:val="18"/>
              </w:rPr>
              <w:t>91%</w:t>
            </w:r>
          </w:p>
        </w:tc>
        <w:tc>
          <w:tcPr>
            <w:tcW w:w="0" w:type="auto"/>
            <w:shd w:val="clear" w:color="auto" w:fill="DBE5F1" w:themeFill="accent1" w:themeFillTint="33"/>
            <w:tcMar>
              <w:left w:w="115" w:type="dxa"/>
              <w:right w:w="115" w:type="dxa"/>
            </w:tcMar>
            <w:vAlign w:val="center"/>
          </w:tcPr>
          <w:p w:rsidR="00A0759E" w:rsidRPr="00A0759E" w:rsidRDefault="00A0759E" w:rsidP="00EB1179">
            <w:pPr>
              <w:keepNext/>
              <w:keepLines/>
              <w:spacing w:before="40" w:after="40" w:line="240" w:lineRule="auto"/>
              <w:jc w:val="center"/>
              <w:rPr>
                <w:rFonts w:asciiTheme="minorHAnsi" w:hAnsiTheme="minorHAnsi"/>
                <w:sz w:val="18"/>
                <w:szCs w:val="18"/>
              </w:rPr>
            </w:pPr>
            <w:r w:rsidRPr="00EB1179">
              <w:rPr>
                <w:rFonts w:asciiTheme="minorHAnsi" w:hAnsiTheme="minorHAnsi"/>
                <w:sz w:val="18"/>
              </w:rPr>
              <w:t>99%</w:t>
            </w:r>
          </w:p>
        </w:tc>
      </w:tr>
      <w:tr w:rsidR="00A0759E" w:rsidRPr="007730AA" w:rsidTr="00070BB1">
        <w:trPr>
          <w:trHeight w:val="316"/>
          <w:jc w:val="center"/>
        </w:trPr>
        <w:tc>
          <w:tcPr>
            <w:tcW w:w="3057" w:type="dxa"/>
            <w:vAlign w:val="center"/>
          </w:tcPr>
          <w:p w:rsidR="00A0759E" w:rsidRPr="004D1898" w:rsidRDefault="00A0759E" w:rsidP="00EB1179">
            <w:pPr>
              <w:keepNext/>
              <w:keepLines/>
              <w:spacing w:before="40" w:after="40" w:line="240" w:lineRule="auto"/>
              <w:rPr>
                <w:rFonts w:asciiTheme="minorHAnsi" w:hAnsiTheme="minorHAnsi"/>
                <w:b/>
                <w:sz w:val="18"/>
                <w:szCs w:val="18"/>
              </w:rPr>
            </w:pPr>
            <w:r w:rsidRPr="004D1898">
              <w:rPr>
                <w:rFonts w:asciiTheme="minorHAnsi" w:hAnsiTheme="minorHAnsi"/>
                <w:b/>
                <w:sz w:val="18"/>
                <w:szCs w:val="18"/>
              </w:rPr>
              <w:t>ACPs + Gas</w:t>
            </w:r>
          </w:p>
        </w:tc>
        <w:tc>
          <w:tcPr>
            <w:tcW w:w="0" w:type="auto"/>
            <w:tcMar>
              <w:left w:w="115" w:type="dxa"/>
              <w:right w:w="115" w:type="dxa"/>
            </w:tcMar>
            <w:vAlign w:val="center"/>
          </w:tcPr>
          <w:p w:rsidR="00A0759E" w:rsidRPr="00A0759E" w:rsidRDefault="00A0759E" w:rsidP="00EB1179">
            <w:pPr>
              <w:keepNext/>
              <w:keepLines/>
              <w:spacing w:before="40" w:after="40" w:line="240" w:lineRule="auto"/>
              <w:jc w:val="center"/>
              <w:rPr>
                <w:rFonts w:asciiTheme="minorHAnsi" w:hAnsiTheme="minorHAnsi"/>
                <w:sz w:val="18"/>
                <w:szCs w:val="18"/>
              </w:rPr>
            </w:pPr>
            <w:r w:rsidRPr="00EB1179">
              <w:rPr>
                <w:rFonts w:asciiTheme="minorHAnsi" w:hAnsiTheme="minorHAnsi"/>
                <w:sz w:val="18"/>
              </w:rPr>
              <w:t>95%</w:t>
            </w:r>
          </w:p>
        </w:tc>
        <w:tc>
          <w:tcPr>
            <w:tcW w:w="0" w:type="auto"/>
            <w:tcMar>
              <w:left w:w="115" w:type="dxa"/>
              <w:right w:w="115" w:type="dxa"/>
            </w:tcMar>
            <w:vAlign w:val="center"/>
          </w:tcPr>
          <w:p w:rsidR="00A0759E" w:rsidRPr="00A0759E" w:rsidRDefault="00A0759E" w:rsidP="00EB1179">
            <w:pPr>
              <w:keepNext/>
              <w:keepLines/>
              <w:spacing w:before="40" w:after="40" w:line="240" w:lineRule="auto"/>
              <w:jc w:val="center"/>
              <w:rPr>
                <w:rFonts w:asciiTheme="minorHAnsi" w:hAnsiTheme="minorHAnsi"/>
                <w:sz w:val="18"/>
                <w:szCs w:val="18"/>
              </w:rPr>
            </w:pPr>
            <w:r w:rsidRPr="00EB1179">
              <w:rPr>
                <w:rFonts w:asciiTheme="minorHAnsi" w:hAnsiTheme="minorHAnsi"/>
                <w:sz w:val="18"/>
              </w:rPr>
              <w:t>100%</w:t>
            </w:r>
          </w:p>
        </w:tc>
        <w:tc>
          <w:tcPr>
            <w:tcW w:w="0" w:type="auto"/>
            <w:tcMar>
              <w:left w:w="115" w:type="dxa"/>
              <w:right w:w="115" w:type="dxa"/>
            </w:tcMar>
            <w:vAlign w:val="center"/>
          </w:tcPr>
          <w:p w:rsidR="00A0759E" w:rsidRPr="00A0759E" w:rsidRDefault="00A0759E" w:rsidP="00EB1179">
            <w:pPr>
              <w:keepNext/>
              <w:keepLines/>
              <w:spacing w:before="40" w:after="40" w:line="240" w:lineRule="auto"/>
              <w:jc w:val="center"/>
              <w:rPr>
                <w:rFonts w:asciiTheme="minorHAnsi" w:hAnsiTheme="minorHAnsi"/>
                <w:sz w:val="18"/>
                <w:szCs w:val="18"/>
              </w:rPr>
            </w:pPr>
            <w:r w:rsidRPr="00EB1179">
              <w:rPr>
                <w:rFonts w:asciiTheme="minorHAnsi" w:hAnsiTheme="minorHAnsi"/>
                <w:sz w:val="18"/>
              </w:rPr>
              <w:t>95%</w:t>
            </w:r>
          </w:p>
        </w:tc>
        <w:tc>
          <w:tcPr>
            <w:tcW w:w="0" w:type="auto"/>
            <w:tcMar>
              <w:left w:w="115" w:type="dxa"/>
              <w:right w:w="115" w:type="dxa"/>
            </w:tcMar>
            <w:vAlign w:val="center"/>
          </w:tcPr>
          <w:p w:rsidR="00A0759E" w:rsidRPr="00A0759E" w:rsidRDefault="00A0759E" w:rsidP="00EB1179">
            <w:pPr>
              <w:keepNext/>
              <w:keepLines/>
              <w:spacing w:before="40" w:after="40" w:line="240" w:lineRule="auto"/>
              <w:jc w:val="center"/>
              <w:rPr>
                <w:rFonts w:asciiTheme="minorHAnsi" w:hAnsiTheme="minorHAnsi"/>
                <w:sz w:val="18"/>
                <w:szCs w:val="18"/>
              </w:rPr>
            </w:pPr>
            <w:r w:rsidRPr="00EB1179">
              <w:rPr>
                <w:rFonts w:asciiTheme="minorHAnsi" w:hAnsiTheme="minorHAnsi"/>
                <w:sz w:val="18"/>
              </w:rPr>
              <w:t>100%</w:t>
            </w:r>
          </w:p>
        </w:tc>
      </w:tr>
      <w:tr w:rsidR="00A0759E" w:rsidRPr="007730AA" w:rsidTr="00070BB1">
        <w:trPr>
          <w:trHeight w:val="316"/>
          <w:jc w:val="center"/>
        </w:trPr>
        <w:tc>
          <w:tcPr>
            <w:tcW w:w="3057" w:type="dxa"/>
            <w:shd w:val="clear" w:color="auto" w:fill="DBE5F1" w:themeFill="accent1" w:themeFillTint="33"/>
            <w:vAlign w:val="center"/>
          </w:tcPr>
          <w:p w:rsidR="00A0759E" w:rsidRPr="004D1898" w:rsidRDefault="00A0759E" w:rsidP="00EB1179">
            <w:pPr>
              <w:keepNext/>
              <w:keepLines/>
              <w:spacing w:before="40" w:after="40" w:line="240" w:lineRule="auto"/>
              <w:rPr>
                <w:rFonts w:asciiTheme="minorHAnsi" w:hAnsiTheme="minorHAnsi"/>
                <w:b/>
                <w:sz w:val="18"/>
                <w:szCs w:val="18"/>
              </w:rPr>
            </w:pPr>
            <w:r w:rsidRPr="004D1898">
              <w:rPr>
                <w:rFonts w:asciiTheme="minorHAnsi" w:hAnsiTheme="minorHAnsi"/>
                <w:b/>
                <w:sz w:val="18"/>
                <w:szCs w:val="18"/>
              </w:rPr>
              <w:t xml:space="preserve">RPSs + Geodiverse Renewables </w:t>
            </w:r>
          </w:p>
        </w:tc>
        <w:tc>
          <w:tcPr>
            <w:tcW w:w="0" w:type="auto"/>
            <w:shd w:val="clear" w:color="auto" w:fill="DBE5F1" w:themeFill="accent1" w:themeFillTint="33"/>
            <w:tcMar>
              <w:left w:w="115" w:type="dxa"/>
              <w:right w:w="115" w:type="dxa"/>
            </w:tcMar>
            <w:vAlign w:val="center"/>
          </w:tcPr>
          <w:p w:rsidR="00A0759E" w:rsidRPr="00A0759E" w:rsidRDefault="00A0759E" w:rsidP="00EB1179">
            <w:pPr>
              <w:keepNext/>
              <w:keepLines/>
              <w:spacing w:before="40" w:after="40" w:line="240" w:lineRule="auto"/>
              <w:jc w:val="center"/>
              <w:rPr>
                <w:rFonts w:asciiTheme="minorHAnsi" w:hAnsiTheme="minorHAnsi"/>
                <w:sz w:val="18"/>
                <w:szCs w:val="18"/>
              </w:rPr>
            </w:pPr>
            <w:r w:rsidRPr="00EB1179">
              <w:rPr>
                <w:rFonts w:asciiTheme="minorHAnsi" w:hAnsiTheme="minorHAnsi"/>
                <w:sz w:val="18"/>
              </w:rPr>
              <w:t>82%</w:t>
            </w:r>
          </w:p>
        </w:tc>
        <w:tc>
          <w:tcPr>
            <w:tcW w:w="0" w:type="auto"/>
            <w:shd w:val="clear" w:color="auto" w:fill="DBE5F1" w:themeFill="accent1" w:themeFillTint="33"/>
            <w:tcMar>
              <w:left w:w="115" w:type="dxa"/>
              <w:right w:w="115" w:type="dxa"/>
            </w:tcMar>
            <w:vAlign w:val="center"/>
          </w:tcPr>
          <w:p w:rsidR="00A0759E" w:rsidRPr="00A0759E" w:rsidRDefault="00A0759E" w:rsidP="00EB1179">
            <w:pPr>
              <w:keepNext/>
              <w:keepLines/>
              <w:spacing w:before="40" w:after="40" w:line="240" w:lineRule="auto"/>
              <w:jc w:val="center"/>
              <w:rPr>
                <w:rFonts w:asciiTheme="minorHAnsi" w:hAnsiTheme="minorHAnsi"/>
                <w:sz w:val="18"/>
                <w:szCs w:val="18"/>
              </w:rPr>
            </w:pPr>
            <w:r w:rsidRPr="00EB1179">
              <w:rPr>
                <w:rFonts w:asciiTheme="minorHAnsi" w:hAnsiTheme="minorHAnsi"/>
                <w:sz w:val="18"/>
              </w:rPr>
              <w:t>50%</w:t>
            </w:r>
          </w:p>
        </w:tc>
        <w:tc>
          <w:tcPr>
            <w:tcW w:w="0" w:type="auto"/>
            <w:shd w:val="clear" w:color="auto" w:fill="DBE5F1" w:themeFill="accent1" w:themeFillTint="33"/>
            <w:tcMar>
              <w:left w:w="115" w:type="dxa"/>
              <w:right w:w="115" w:type="dxa"/>
            </w:tcMar>
            <w:vAlign w:val="center"/>
          </w:tcPr>
          <w:p w:rsidR="00A0759E" w:rsidRPr="00A0759E" w:rsidRDefault="00A0759E" w:rsidP="00EB1179">
            <w:pPr>
              <w:keepNext/>
              <w:keepLines/>
              <w:spacing w:before="40" w:after="40" w:line="240" w:lineRule="auto"/>
              <w:jc w:val="center"/>
              <w:rPr>
                <w:rFonts w:asciiTheme="minorHAnsi" w:hAnsiTheme="minorHAnsi"/>
                <w:sz w:val="18"/>
                <w:szCs w:val="18"/>
              </w:rPr>
            </w:pPr>
            <w:r w:rsidRPr="00EB1179">
              <w:rPr>
                <w:rFonts w:asciiTheme="minorHAnsi" w:hAnsiTheme="minorHAnsi"/>
                <w:sz w:val="18"/>
              </w:rPr>
              <w:t>85%</w:t>
            </w:r>
          </w:p>
        </w:tc>
        <w:tc>
          <w:tcPr>
            <w:tcW w:w="0" w:type="auto"/>
            <w:shd w:val="clear" w:color="auto" w:fill="DBE5F1" w:themeFill="accent1" w:themeFillTint="33"/>
            <w:tcMar>
              <w:left w:w="115" w:type="dxa"/>
              <w:right w:w="115" w:type="dxa"/>
            </w:tcMar>
            <w:vAlign w:val="center"/>
          </w:tcPr>
          <w:p w:rsidR="00A0759E" w:rsidRPr="00A0759E" w:rsidRDefault="00A0759E" w:rsidP="00EB1179">
            <w:pPr>
              <w:keepNext/>
              <w:keepLines/>
              <w:spacing w:before="40" w:after="40" w:line="240" w:lineRule="auto"/>
              <w:jc w:val="center"/>
              <w:rPr>
                <w:rFonts w:asciiTheme="minorHAnsi" w:hAnsiTheme="minorHAnsi"/>
                <w:sz w:val="18"/>
                <w:szCs w:val="18"/>
              </w:rPr>
            </w:pPr>
            <w:r w:rsidRPr="00EB1179">
              <w:rPr>
                <w:rFonts w:asciiTheme="minorHAnsi" w:hAnsiTheme="minorHAnsi"/>
                <w:sz w:val="18"/>
              </w:rPr>
              <w:t>62%</w:t>
            </w:r>
          </w:p>
        </w:tc>
      </w:tr>
    </w:tbl>
    <w:p w:rsidR="003811D6" w:rsidRPr="003A2CA8" w:rsidRDefault="00A808AD" w:rsidP="00D3304E">
      <w:pPr>
        <w:spacing w:before="120" w:line="240" w:lineRule="auto"/>
        <w:ind w:left="810" w:right="634"/>
        <w:rPr>
          <w:rFonts w:asciiTheme="minorHAnsi" w:hAnsiTheme="minorHAnsi"/>
          <w:sz w:val="16"/>
          <w:szCs w:val="16"/>
        </w:rPr>
      </w:pPr>
      <w:r w:rsidRPr="00A808AD">
        <w:rPr>
          <w:rFonts w:asciiTheme="minorHAnsi" w:hAnsiTheme="minorHAnsi"/>
          <w:sz w:val="16"/>
          <w:szCs w:val="16"/>
        </w:rPr>
        <w:t>(a)</w:t>
      </w:r>
      <w:r>
        <w:rPr>
          <w:rFonts w:asciiTheme="minorHAnsi" w:hAnsiTheme="minorHAnsi"/>
          <w:b/>
          <w:sz w:val="16"/>
          <w:szCs w:val="16"/>
        </w:rPr>
        <w:t xml:space="preserve"> </w:t>
      </w:r>
      <w:r w:rsidR="003811D6">
        <w:rPr>
          <w:rFonts w:asciiTheme="minorHAnsi" w:hAnsiTheme="minorHAnsi"/>
          <w:sz w:val="16"/>
          <w:szCs w:val="16"/>
        </w:rPr>
        <w:t>Units burning natural gas are assumed to be within the r</w:t>
      </w:r>
      <w:r w:rsidR="00422DEE">
        <w:rPr>
          <w:rFonts w:asciiTheme="minorHAnsi" w:hAnsiTheme="minorHAnsi"/>
          <w:sz w:val="16"/>
          <w:szCs w:val="16"/>
        </w:rPr>
        <w:t xml:space="preserve">ange of $40/MWh to $70/MWh; </w:t>
      </w:r>
      <w:r w:rsidR="003811D6">
        <w:rPr>
          <w:rFonts w:asciiTheme="minorHAnsi" w:hAnsiTheme="minorHAnsi"/>
          <w:sz w:val="16"/>
          <w:szCs w:val="16"/>
        </w:rPr>
        <w:t>the Boston LMP is used here</w:t>
      </w:r>
      <w:r w:rsidR="00422DEE">
        <w:rPr>
          <w:rFonts w:asciiTheme="minorHAnsi" w:hAnsiTheme="minorHAnsi"/>
          <w:sz w:val="16"/>
          <w:szCs w:val="16"/>
        </w:rPr>
        <w:t xml:space="preserve">. </w:t>
      </w:r>
      <w:r w:rsidR="003811D6">
        <w:rPr>
          <w:rFonts w:asciiTheme="minorHAnsi" w:hAnsiTheme="minorHAnsi"/>
          <w:sz w:val="16"/>
          <w:szCs w:val="16"/>
        </w:rPr>
        <w:t xml:space="preserve">  </w:t>
      </w:r>
    </w:p>
    <w:p w:rsidR="00D86A94" w:rsidRDefault="00D86A94" w:rsidP="00D86A94">
      <w:r>
        <w:t xml:space="preserve">The LMP results for 2030 show greater variation among the cases than the LMP results for 2025. </w:t>
      </w:r>
      <w:r w:rsidR="00073D35">
        <w:t xml:space="preserve">This is the result of greater differences </w:t>
      </w:r>
      <w:r w:rsidR="00C0221F">
        <w:t xml:space="preserve">in </w:t>
      </w:r>
      <w:r w:rsidR="000C4D9F">
        <w:t xml:space="preserve">the </w:t>
      </w:r>
      <w:r w:rsidR="00C0221F">
        <w:t>resource mix</w:t>
      </w:r>
      <w:r w:rsidR="000C4D9F">
        <w:t>es</w:t>
      </w:r>
      <w:r w:rsidR="00C0221F">
        <w:t xml:space="preserve"> </w:t>
      </w:r>
      <w:r w:rsidR="00073D35">
        <w:t xml:space="preserve">among the scenarios, such as greater development of variable energy resources. </w:t>
      </w:r>
      <w:r>
        <w:t>LMPs are lower for Scenarios 2</w:t>
      </w:r>
      <w:r w:rsidR="00073D35">
        <w:t xml:space="preserve">, </w:t>
      </w:r>
      <w:r>
        <w:t>3</w:t>
      </w:r>
      <w:r w:rsidR="00073D35">
        <w:t>, and 6</w:t>
      </w:r>
      <w:r>
        <w:t xml:space="preserve"> over many hours. </w:t>
      </w:r>
      <w:r w:rsidR="00073D35">
        <w:t xml:space="preserve">In general, </w:t>
      </w:r>
      <w:r w:rsidR="00073D35" w:rsidRPr="00712F7A">
        <w:t>l</w:t>
      </w:r>
      <w:r w:rsidRPr="00712F7A">
        <w:t>ower LMPs result in lower LSE energy expenses.</w:t>
      </w:r>
    </w:p>
    <w:p w:rsidR="00F33DED" w:rsidRPr="004766D0" w:rsidRDefault="00D86A94" w:rsidP="00AF716F">
      <w:pPr>
        <w:pStyle w:val="Heading3"/>
      </w:pPr>
      <w:bookmarkStart w:id="294" w:name="_Toc486405999"/>
      <w:r>
        <w:t>Load-Serving Entity Energy Expenses</w:t>
      </w:r>
      <w:r w:rsidR="007C3C50">
        <w:t xml:space="preserve"> and Congestion</w:t>
      </w:r>
      <w:bookmarkEnd w:id="294"/>
    </w:p>
    <w:p w:rsidR="00B05425" w:rsidRDefault="00244911" w:rsidP="00F33DED">
      <w:r w:rsidRPr="00244911">
        <w:t xml:space="preserve"> </w:t>
      </w:r>
      <w:r w:rsidR="00B05425">
        <w:t>The LSE energy expense metric follows the same pattern as the LMPs across all scenarios</w:t>
      </w:r>
      <w:r w:rsidR="007F6E90">
        <w:t>; lower LMPs result in lower LSE energy expenses</w:t>
      </w:r>
      <w:r w:rsidR="00B05425">
        <w:t>.</w:t>
      </w:r>
    </w:p>
    <w:p w:rsidR="00515E5B" w:rsidRDefault="00B05425" w:rsidP="003C1642">
      <w:r w:rsidRPr="00951A9E">
        <w:t xml:space="preserve">In addition to the LSE energy expenses, </w:t>
      </w:r>
      <w:r w:rsidR="000C4D9F" w:rsidRPr="00951A9E">
        <w:fldChar w:fldCharType="begin"/>
      </w:r>
      <w:r w:rsidR="000C4D9F" w:rsidRPr="00951A9E">
        <w:instrText xml:space="preserve"> REF _Ref476916425 \h </w:instrText>
      </w:r>
      <w:r w:rsidR="00951A9E">
        <w:instrText xml:space="preserve"> \* MERGEFORMAT </w:instrText>
      </w:r>
      <w:r w:rsidR="000C4D9F" w:rsidRPr="00951A9E">
        <w:fldChar w:fldCharType="separate"/>
      </w:r>
      <w:r w:rsidR="00742B49">
        <w:t xml:space="preserve">Figure </w:t>
      </w:r>
      <w:r w:rsidR="00742B49">
        <w:rPr>
          <w:noProof/>
        </w:rPr>
        <w:t>6</w:t>
      </w:r>
      <w:r w:rsidR="00742B49">
        <w:rPr>
          <w:noProof/>
        </w:rPr>
        <w:noBreakHyphen/>
        <w:t>7</w:t>
      </w:r>
      <w:r w:rsidR="000C4D9F" w:rsidRPr="00951A9E">
        <w:fldChar w:fldCharType="end"/>
      </w:r>
      <w:r w:rsidRPr="00951A9E">
        <w:t xml:space="preserve"> </w:t>
      </w:r>
      <w:r w:rsidR="00951A9E">
        <w:t xml:space="preserve">and </w:t>
      </w:r>
      <w:r w:rsidR="00951A9E">
        <w:fldChar w:fldCharType="begin"/>
      </w:r>
      <w:r w:rsidR="00951A9E">
        <w:instrText xml:space="preserve"> REF _Ref476919290 \h </w:instrText>
      </w:r>
      <w:r w:rsidR="00951A9E">
        <w:fldChar w:fldCharType="separate"/>
      </w:r>
      <w:r w:rsidR="00742B49">
        <w:t xml:space="preserve">Figure </w:t>
      </w:r>
      <w:r w:rsidR="00742B49">
        <w:rPr>
          <w:noProof/>
        </w:rPr>
        <w:t>6</w:t>
      </w:r>
      <w:r w:rsidR="00742B49">
        <w:noBreakHyphen/>
      </w:r>
      <w:r w:rsidR="00742B49">
        <w:rPr>
          <w:noProof/>
        </w:rPr>
        <w:t>8</w:t>
      </w:r>
      <w:r w:rsidR="00951A9E">
        <w:fldChar w:fldCharType="end"/>
      </w:r>
      <w:r w:rsidR="00951A9E">
        <w:t xml:space="preserve"> </w:t>
      </w:r>
      <w:r w:rsidRPr="00712F7A">
        <w:t xml:space="preserve">show </w:t>
      </w:r>
      <w:r w:rsidR="00951A9E" w:rsidRPr="00712F7A">
        <w:t>“</w:t>
      </w:r>
      <w:r w:rsidRPr="00712F7A">
        <w:t>uplift</w:t>
      </w:r>
      <w:r w:rsidR="00951A9E" w:rsidRPr="00712F7A">
        <w:t xml:space="preserve">” (i.e., make-whole payments) </w:t>
      </w:r>
      <w:r w:rsidR="00951A9E" w:rsidRPr="00B0582F">
        <w:t>costs for 2025 and 2030, respectively</w:t>
      </w:r>
      <w:r w:rsidR="00C861FD" w:rsidRPr="00B0582F">
        <w:t xml:space="preserve">. </w:t>
      </w:r>
      <w:r w:rsidR="005044EF" w:rsidRPr="00B0582F">
        <w:fldChar w:fldCharType="begin"/>
      </w:r>
      <w:r w:rsidR="005044EF" w:rsidRPr="00B0582F">
        <w:instrText xml:space="preserve"> REF _Ref483835335 \h  \* MERGEFORMAT </w:instrText>
      </w:r>
      <w:r w:rsidR="005044EF" w:rsidRPr="00B0582F">
        <w:fldChar w:fldCharType="end"/>
      </w:r>
      <w:r w:rsidR="005044EF" w:rsidRPr="00B0582F">
        <w:t xml:space="preserve"> </w:t>
      </w:r>
      <w:r w:rsidR="00F10B5D">
        <w:t>Table 6-9</w:t>
      </w:r>
      <w:r w:rsidR="00C72C28">
        <w:t xml:space="preserve"> </w:t>
      </w:r>
      <w:r w:rsidR="005044EF" w:rsidRPr="00B0582F">
        <w:t xml:space="preserve">shows the data for these figures. </w:t>
      </w:r>
      <w:r w:rsidR="007F6E90" w:rsidRPr="00B0582F">
        <w:t xml:space="preserve">Resources receive </w:t>
      </w:r>
      <w:r w:rsidR="00C861FD" w:rsidRPr="00B0582F">
        <w:t>u</w:t>
      </w:r>
      <w:r w:rsidRPr="00B0582F">
        <w:t>plift</w:t>
      </w:r>
      <w:r w:rsidR="00C861FD">
        <w:t xml:space="preserve"> </w:t>
      </w:r>
      <w:r w:rsidRPr="00B05425">
        <w:t>when</w:t>
      </w:r>
      <w:r w:rsidR="006B07E8">
        <w:t>, over the course of a calendar day,</w:t>
      </w:r>
      <w:r w:rsidRPr="00B05425">
        <w:t xml:space="preserve"> </w:t>
      </w:r>
      <w:r w:rsidR="007F6E90">
        <w:t xml:space="preserve">a </w:t>
      </w:r>
      <w:r w:rsidRPr="00B05425">
        <w:t>unit</w:t>
      </w:r>
      <w:r w:rsidR="007F6E90">
        <w:t xml:space="preserve">’s </w:t>
      </w:r>
      <w:r w:rsidRPr="00B05425">
        <w:t xml:space="preserve">total </w:t>
      </w:r>
      <w:r w:rsidR="00613ED2">
        <w:t xml:space="preserve">operating </w:t>
      </w:r>
      <w:r w:rsidRPr="00B05425">
        <w:t xml:space="preserve">cost </w:t>
      </w:r>
      <w:r w:rsidR="007F6E90">
        <w:t xml:space="preserve">to produce electric energy </w:t>
      </w:r>
      <w:r w:rsidRPr="00B05425">
        <w:t xml:space="preserve">is higher than </w:t>
      </w:r>
      <w:r w:rsidR="007F6E90">
        <w:t xml:space="preserve"> </w:t>
      </w:r>
      <w:r w:rsidR="006B07E8">
        <w:t xml:space="preserve">total </w:t>
      </w:r>
      <w:r w:rsidR="007F6E90">
        <w:t xml:space="preserve">revenues </w:t>
      </w:r>
      <w:r w:rsidR="00C861FD">
        <w:t>f</w:t>
      </w:r>
      <w:r w:rsidR="007F6E90">
        <w:t>rom the</w:t>
      </w:r>
      <w:r w:rsidR="00C861FD">
        <w:t xml:space="preserve"> wholesale energy market</w:t>
      </w:r>
      <w:r w:rsidR="00951A9E">
        <w:t>,</w:t>
      </w:r>
      <w:r w:rsidRPr="00B05425">
        <w:t xml:space="preserve"> as calculated by the GridView </w:t>
      </w:r>
      <w:r w:rsidR="00951A9E">
        <w:t>p</w:t>
      </w:r>
      <w:r w:rsidRPr="00B05425">
        <w:t>rogram</w:t>
      </w:r>
      <w:r>
        <w:t xml:space="preserve">. </w:t>
      </w:r>
      <w:r w:rsidR="006B07E8">
        <w:t>Because many of the natural</w:t>
      </w:r>
      <w:r w:rsidR="00A808AD">
        <w:t>-</w:t>
      </w:r>
      <w:r w:rsidR="006B07E8">
        <w:t>gas</w:t>
      </w:r>
      <w:r w:rsidR="00A808AD">
        <w:t>-</w:t>
      </w:r>
      <w:r w:rsidR="006B07E8">
        <w:t>fired combined</w:t>
      </w:r>
      <w:r w:rsidR="00A808AD">
        <w:t>-</w:t>
      </w:r>
      <w:r w:rsidR="006B07E8">
        <w:t xml:space="preserve">cycle units have operating characteristics similar to the generators on the margin, the competition increases the likelihood that energy market revenues would be insufficient to cover all the costs of producing the energy within a particular calendar day. </w:t>
      </w:r>
      <w:r>
        <w:t>Uplift is relatively small compared with the LSE energy expenses</w:t>
      </w:r>
      <w:r w:rsidR="00582CDC">
        <w:t xml:space="preserve"> for all scenarios.</w:t>
      </w:r>
      <w:r>
        <w:t xml:space="preserve"> </w:t>
      </w:r>
    </w:p>
    <w:p w:rsidR="00B07739" w:rsidRDefault="00B07739" w:rsidP="00364EBB">
      <w:pPr>
        <w:keepNext/>
        <w:keepLines/>
        <w:spacing w:after="0" w:line="240" w:lineRule="auto"/>
        <w:jc w:val="center"/>
      </w:pPr>
    </w:p>
    <w:p w:rsidR="00E81903" w:rsidRDefault="00E81903" w:rsidP="00364EBB">
      <w:pPr>
        <w:keepNext/>
        <w:keepLines/>
        <w:spacing w:after="0" w:line="240" w:lineRule="auto"/>
        <w:jc w:val="center"/>
      </w:pPr>
      <w:r w:rsidRPr="00E81903">
        <w:rPr>
          <w:noProof/>
        </w:rPr>
        <w:drawing>
          <wp:inline distT="0" distB="0" distL="0" distR="0" wp14:anchorId="23C341AC" wp14:editId="14BB23B3">
            <wp:extent cx="4980305" cy="2706370"/>
            <wp:effectExtent l="0" t="0" r="0" b="0"/>
            <wp:docPr id="7183" name="Picture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980305" cy="2706370"/>
                    </a:xfrm>
                    <a:prstGeom prst="rect">
                      <a:avLst/>
                    </a:prstGeom>
                    <a:noFill/>
                    <a:ln>
                      <a:noFill/>
                    </a:ln>
                  </pic:spPr>
                </pic:pic>
              </a:graphicData>
            </a:graphic>
          </wp:inline>
        </w:drawing>
      </w:r>
    </w:p>
    <w:p w:rsidR="0040558B" w:rsidRDefault="00B07739" w:rsidP="00D3304E">
      <w:pPr>
        <w:pStyle w:val="Caption"/>
        <w:keepNext w:val="0"/>
        <w:keepLines w:val="0"/>
        <w:spacing w:before="120" w:after="240"/>
        <w:ind w:left="810"/>
      </w:pPr>
      <w:bookmarkStart w:id="295" w:name="_Ref476916425"/>
      <w:bookmarkStart w:id="296" w:name="_Toc486406077"/>
      <w:r>
        <w:t xml:space="preserve">Figure </w:t>
      </w:r>
      <w:fldSimple w:instr=" STYLEREF 1 \s ">
        <w:r w:rsidR="00742B49">
          <w:rPr>
            <w:noProof/>
          </w:rPr>
          <w:t>6</w:t>
        </w:r>
      </w:fldSimple>
      <w:r w:rsidR="00024994">
        <w:noBreakHyphen/>
      </w:r>
      <w:fldSimple w:instr=" SEQ Figure \* ARABIC \s 1 ">
        <w:r w:rsidR="00742B49">
          <w:rPr>
            <w:noProof/>
          </w:rPr>
          <w:t>7</w:t>
        </w:r>
      </w:fldSimple>
      <w:bookmarkEnd w:id="295"/>
      <w:r>
        <w:t xml:space="preserve">: LSE </w:t>
      </w:r>
      <w:r w:rsidR="00100B36">
        <w:t>e</w:t>
      </w:r>
      <w:r>
        <w:t xml:space="preserve">nergy </w:t>
      </w:r>
      <w:r w:rsidR="00100B36">
        <w:t>e</w:t>
      </w:r>
      <w:r>
        <w:t xml:space="preserve">xpense and </w:t>
      </w:r>
      <w:r w:rsidR="00100B36">
        <w:t>u</w:t>
      </w:r>
      <w:r>
        <w:t>plift</w:t>
      </w:r>
      <w:r w:rsidR="00951A9E">
        <w:t>,</w:t>
      </w:r>
      <w:r>
        <w:t xml:space="preserve"> 2025</w:t>
      </w:r>
      <w:r w:rsidR="00951A9E">
        <w:t xml:space="preserve"> ($ millions).</w:t>
      </w:r>
      <w:bookmarkEnd w:id="296"/>
    </w:p>
    <w:p w:rsidR="00B07739" w:rsidRDefault="00B07739" w:rsidP="00D3304E">
      <w:pPr>
        <w:spacing w:after="0" w:line="240" w:lineRule="auto"/>
        <w:jc w:val="center"/>
      </w:pPr>
    </w:p>
    <w:p w:rsidR="00E81903" w:rsidRDefault="00E81903" w:rsidP="00712F7A">
      <w:pPr>
        <w:keepNext/>
        <w:spacing w:after="0" w:line="240" w:lineRule="auto"/>
        <w:jc w:val="center"/>
      </w:pPr>
      <w:r w:rsidRPr="00E81903">
        <w:rPr>
          <w:noProof/>
        </w:rPr>
        <w:drawing>
          <wp:inline distT="0" distB="0" distL="0" distR="0" wp14:anchorId="6A55570D" wp14:editId="66F9836F">
            <wp:extent cx="5017135" cy="2706370"/>
            <wp:effectExtent l="0" t="0" r="0" b="0"/>
            <wp:docPr id="7184" name="Picture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17135" cy="2706370"/>
                    </a:xfrm>
                    <a:prstGeom prst="rect">
                      <a:avLst/>
                    </a:prstGeom>
                    <a:noFill/>
                    <a:ln>
                      <a:noFill/>
                    </a:ln>
                  </pic:spPr>
                </pic:pic>
              </a:graphicData>
            </a:graphic>
          </wp:inline>
        </w:drawing>
      </w:r>
    </w:p>
    <w:p w:rsidR="00010570" w:rsidRDefault="00B07739" w:rsidP="00985079">
      <w:pPr>
        <w:pStyle w:val="Caption"/>
        <w:spacing w:before="120" w:after="240"/>
        <w:ind w:left="720"/>
      </w:pPr>
      <w:bookmarkStart w:id="297" w:name="_Ref476919290"/>
      <w:bookmarkStart w:id="298" w:name="_Toc486406078"/>
      <w:r>
        <w:t xml:space="preserve">Figure </w:t>
      </w:r>
      <w:fldSimple w:instr=" STYLEREF 1 \s ">
        <w:r w:rsidR="00742B49">
          <w:rPr>
            <w:noProof/>
          </w:rPr>
          <w:t>6</w:t>
        </w:r>
      </w:fldSimple>
      <w:r w:rsidR="00024994">
        <w:noBreakHyphen/>
      </w:r>
      <w:fldSimple w:instr=" SEQ Figure \* ARABIC \s 1 ">
        <w:r w:rsidR="00742B49">
          <w:rPr>
            <w:noProof/>
          </w:rPr>
          <w:t>8</w:t>
        </w:r>
      </w:fldSimple>
      <w:bookmarkEnd w:id="297"/>
      <w:r>
        <w:t xml:space="preserve">: </w:t>
      </w:r>
      <w:r w:rsidRPr="000247C3">
        <w:t>LSE</w:t>
      </w:r>
      <w:r>
        <w:t xml:space="preserve"> </w:t>
      </w:r>
      <w:r w:rsidR="005044EF">
        <w:t>e</w:t>
      </w:r>
      <w:r>
        <w:t xml:space="preserve">nergy </w:t>
      </w:r>
      <w:r w:rsidR="005044EF">
        <w:t>e</w:t>
      </w:r>
      <w:r>
        <w:t xml:space="preserve">xpense and </w:t>
      </w:r>
      <w:r w:rsidR="005044EF">
        <w:t>u</w:t>
      </w:r>
      <w:r>
        <w:t>plift</w:t>
      </w:r>
      <w:r w:rsidR="00951A9E">
        <w:t xml:space="preserve">, </w:t>
      </w:r>
      <w:r>
        <w:t>2030</w:t>
      </w:r>
      <w:r w:rsidR="00951A9E">
        <w:t xml:space="preserve"> ($ millions).</w:t>
      </w:r>
      <w:bookmarkEnd w:id="298"/>
    </w:p>
    <w:p w:rsidR="009B0A48" w:rsidRPr="00A808AD" w:rsidRDefault="009B0A48" w:rsidP="00A808AD">
      <w:pPr>
        <w:rPr>
          <w:highlight w:val="yellow"/>
        </w:rPr>
      </w:pPr>
    </w:p>
    <w:p w:rsidR="009B0A48" w:rsidRPr="009B0A48" w:rsidRDefault="00A808AD" w:rsidP="009425C6">
      <w:pPr>
        <w:pStyle w:val="Caption"/>
        <w:jc w:val="center"/>
      </w:pPr>
      <w:bookmarkStart w:id="299" w:name="_Toc486406044"/>
      <w:r>
        <w:lastRenderedPageBreak/>
        <w:t xml:space="preserve">Table </w:t>
      </w:r>
      <w:fldSimple w:instr=" STYLEREF 1 \s ">
        <w:r w:rsidR="004248FE">
          <w:rPr>
            <w:noProof/>
          </w:rPr>
          <w:t>6</w:t>
        </w:r>
      </w:fldSimple>
      <w:r w:rsidR="004248FE">
        <w:noBreakHyphen/>
      </w:r>
      <w:fldSimple w:instr=" SEQ Table \* ARABIC \s 1 ">
        <w:r w:rsidR="004248FE">
          <w:rPr>
            <w:noProof/>
          </w:rPr>
          <w:t>9</w:t>
        </w:r>
      </w:fldSimple>
      <w:r w:rsidR="00475A95">
        <w:br/>
      </w:r>
      <w:r w:rsidR="00475A95" w:rsidRPr="000247C3">
        <w:t>LSE</w:t>
      </w:r>
      <w:r w:rsidR="00475A95">
        <w:t xml:space="preserve"> Energy Expense and Uplift, 2025 and 2030 ($ Millions)</w:t>
      </w:r>
      <w:bookmarkEnd w:id="299"/>
    </w:p>
    <w:tbl>
      <w:tblPr>
        <w:tblW w:w="0" w:type="auto"/>
        <w:jc w:val="center"/>
        <w:tblInd w:w="-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841"/>
        <w:gridCol w:w="993"/>
        <w:gridCol w:w="1062"/>
        <w:gridCol w:w="1072"/>
        <w:gridCol w:w="1021"/>
        <w:gridCol w:w="993"/>
        <w:gridCol w:w="1072"/>
      </w:tblGrid>
      <w:tr w:rsidR="009425C6" w:rsidRPr="009425C6" w:rsidTr="009425C6">
        <w:trPr>
          <w:jc w:val="center"/>
        </w:trPr>
        <w:tc>
          <w:tcPr>
            <w:tcW w:w="1936" w:type="dxa"/>
            <w:shd w:val="clear" w:color="auto" w:fill="4F81BD" w:themeFill="accent1"/>
            <w:vAlign w:val="center"/>
          </w:tcPr>
          <w:p w:rsidR="009425C6" w:rsidRPr="009425C6" w:rsidRDefault="009425C6" w:rsidP="00D3304E">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9425C6">
              <w:rPr>
                <w:rFonts w:asciiTheme="minorHAnsi" w:eastAsia="Calibri" w:hAnsiTheme="minorHAnsi"/>
                <w:b/>
                <w:color w:val="FFFFFF" w:themeColor="background1"/>
                <w:sz w:val="18"/>
                <w:szCs w:val="18"/>
              </w:rPr>
              <w:t>Transmission</w:t>
            </w:r>
            <w:r>
              <w:rPr>
                <w:rFonts w:asciiTheme="minorHAnsi" w:eastAsia="Calibri" w:hAnsiTheme="minorHAnsi"/>
                <w:b/>
                <w:color w:val="FFFFFF" w:themeColor="background1"/>
                <w:sz w:val="18"/>
                <w:szCs w:val="18"/>
              </w:rPr>
              <w:t xml:space="preserve"> and Y</w:t>
            </w:r>
            <w:r w:rsidR="00D3304E">
              <w:rPr>
                <w:rFonts w:asciiTheme="minorHAnsi" w:eastAsia="Calibri" w:hAnsiTheme="minorHAnsi"/>
                <w:b/>
                <w:color w:val="FFFFFF" w:themeColor="background1"/>
                <w:sz w:val="18"/>
                <w:szCs w:val="18"/>
              </w:rPr>
              <w:t>e</w:t>
            </w:r>
            <w:r>
              <w:rPr>
                <w:rFonts w:asciiTheme="minorHAnsi" w:eastAsia="Calibri" w:hAnsiTheme="minorHAnsi"/>
                <w:b/>
                <w:color w:val="FFFFFF" w:themeColor="background1"/>
                <w:sz w:val="18"/>
                <w:szCs w:val="18"/>
              </w:rPr>
              <w:t>ar</w:t>
            </w:r>
          </w:p>
        </w:tc>
        <w:tc>
          <w:tcPr>
            <w:tcW w:w="841" w:type="dxa"/>
            <w:shd w:val="clear" w:color="auto" w:fill="4F81BD" w:themeFill="accent1"/>
            <w:vAlign w:val="center"/>
          </w:tcPr>
          <w:p w:rsidR="009425C6" w:rsidRPr="009425C6" w:rsidRDefault="009425C6" w:rsidP="009425C6">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9425C6">
              <w:rPr>
                <w:rFonts w:asciiTheme="minorHAnsi" w:eastAsia="Calibri" w:hAnsiTheme="minorHAnsi"/>
                <w:b/>
                <w:color w:val="FFFFFF" w:themeColor="background1"/>
                <w:sz w:val="18"/>
                <w:szCs w:val="18"/>
              </w:rPr>
              <w:t>Type</w:t>
            </w:r>
          </w:p>
        </w:tc>
        <w:tc>
          <w:tcPr>
            <w:tcW w:w="993" w:type="dxa"/>
            <w:shd w:val="clear" w:color="auto" w:fill="4F81BD" w:themeFill="accent1"/>
            <w:vAlign w:val="center"/>
          </w:tcPr>
          <w:p w:rsidR="009425C6" w:rsidRPr="009425C6" w:rsidRDefault="009425C6" w:rsidP="009425C6">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9425C6">
              <w:rPr>
                <w:rFonts w:asciiTheme="minorHAnsi" w:eastAsia="Calibri" w:hAnsiTheme="minorHAnsi"/>
                <w:b/>
                <w:color w:val="FFFFFF" w:themeColor="background1"/>
                <w:sz w:val="18"/>
                <w:szCs w:val="18"/>
              </w:rPr>
              <w:t>RPS + Gas</w:t>
            </w:r>
          </w:p>
        </w:tc>
        <w:tc>
          <w:tcPr>
            <w:tcW w:w="1062" w:type="dxa"/>
            <w:shd w:val="clear" w:color="auto" w:fill="4F81BD" w:themeFill="accent1"/>
            <w:vAlign w:val="center"/>
          </w:tcPr>
          <w:p w:rsidR="009425C6" w:rsidRPr="009425C6" w:rsidRDefault="009425C6" w:rsidP="009425C6">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9425C6">
              <w:rPr>
                <w:rFonts w:asciiTheme="minorHAnsi" w:eastAsia="Calibri" w:hAnsiTheme="minorHAnsi"/>
                <w:b/>
                <w:color w:val="FFFFFF" w:themeColor="background1"/>
                <w:sz w:val="18"/>
                <w:szCs w:val="18"/>
              </w:rPr>
              <w:t>ISO Queue</w:t>
            </w:r>
          </w:p>
        </w:tc>
        <w:tc>
          <w:tcPr>
            <w:tcW w:w="1072" w:type="dxa"/>
            <w:shd w:val="clear" w:color="auto" w:fill="4F81BD" w:themeFill="accent1"/>
            <w:vAlign w:val="center"/>
          </w:tcPr>
          <w:p w:rsidR="009425C6" w:rsidRPr="009425C6" w:rsidRDefault="009425C6" w:rsidP="009425C6">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9425C6">
              <w:rPr>
                <w:rFonts w:asciiTheme="minorHAnsi" w:eastAsia="Calibri" w:hAnsiTheme="minorHAnsi"/>
                <w:b/>
                <w:color w:val="FFFFFF" w:themeColor="background1"/>
                <w:sz w:val="18"/>
                <w:szCs w:val="18"/>
              </w:rPr>
              <w:t>Renew Plus</w:t>
            </w:r>
          </w:p>
        </w:tc>
        <w:tc>
          <w:tcPr>
            <w:tcW w:w="1021" w:type="dxa"/>
            <w:shd w:val="clear" w:color="auto" w:fill="4F81BD" w:themeFill="accent1"/>
            <w:vAlign w:val="center"/>
          </w:tcPr>
          <w:p w:rsidR="009425C6" w:rsidRPr="009425C6" w:rsidRDefault="009425C6" w:rsidP="009425C6">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9425C6">
              <w:rPr>
                <w:rFonts w:asciiTheme="minorHAnsi" w:eastAsia="Calibri" w:hAnsiTheme="minorHAnsi"/>
                <w:b/>
                <w:color w:val="FFFFFF" w:themeColor="background1"/>
                <w:sz w:val="18"/>
                <w:szCs w:val="18"/>
              </w:rPr>
              <w:t>No Retire</w:t>
            </w:r>
          </w:p>
        </w:tc>
        <w:tc>
          <w:tcPr>
            <w:tcW w:w="993" w:type="dxa"/>
            <w:shd w:val="clear" w:color="auto" w:fill="4F81BD" w:themeFill="accent1"/>
            <w:vAlign w:val="center"/>
          </w:tcPr>
          <w:p w:rsidR="009425C6" w:rsidRPr="009425C6" w:rsidRDefault="009425C6" w:rsidP="009425C6">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9425C6">
              <w:rPr>
                <w:rFonts w:asciiTheme="minorHAnsi" w:eastAsia="Calibri" w:hAnsiTheme="minorHAnsi"/>
                <w:b/>
                <w:color w:val="FFFFFF" w:themeColor="background1"/>
                <w:sz w:val="18"/>
                <w:szCs w:val="18"/>
              </w:rPr>
              <w:t>ACP + Gas</w:t>
            </w:r>
          </w:p>
        </w:tc>
        <w:tc>
          <w:tcPr>
            <w:tcW w:w="1072" w:type="dxa"/>
            <w:shd w:val="clear" w:color="auto" w:fill="4F81BD" w:themeFill="accent1"/>
            <w:vAlign w:val="center"/>
          </w:tcPr>
          <w:p w:rsidR="009425C6" w:rsidRPr="009425C6" w:rsidRDefault="009425C6" w:rsidP="009425C6">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9425C6">
              <w:rPr>
                <w:rFonts w:asciiTheme="minorHAnsi" w:eastAsia="Calibri" w:hAnsiTheme="minorHAnsi"/>
                <w:b/>
                <w:color w:val="FFFFFF" w:themeColor="background1"/>
                <w:sz w:val="18"/>
                <w:szCs w:val="18"/>
              </w:rPr>
              <w:t>RPS + Geo Renew</w:t>
            </w:r>
          </w:p>
        </w:tc>
      </w:tr>
      <w:tr w:rsidR="009425C6" w:rsidRPr="009425C6" w:rsidTr="009425C6">
        <w:trPr>
          <w:jc w:val="center"/>
        </w:trPr>
        <w:tc>
          <w:tcPr>
            <w:tcW w:w="1936" w:type="dxa"/>
            <w:vMerge w:val="restart"/>
            <w:shd w:val="clear" w:color="auto" w:fill="auto"/>
            <w:vAlign w:val="center"/>
          </w:tcPr>
          <w:p w:rsidR="009425C6" w:rsidRPr="009425C6" w:rsidRDefault="009425C6" w:rsidP="009425C6">
            <w:pPr>
              <w:keepNext/>
              <w:keepLines/>
              <w:spacing w:before="40" w:after="40" w:line="240" w:lineRule="auto"/>
              <w:jc w:val="center"/>
              <w:rPr>
                <w:rFonts w:asciiTheme="minorHAnsi" w:eastAsia="Calibri" w:hAnsiTheme="minorHAnsi"/>
                <w:b/>
                <w:sz w:val="18"/>
                <w:szCs w:val="18"/>
              </w:rPr>
            </w:pPr>
            <w:r w:rsidRPr="009425C6">
              <w:rPr>
                <w:rFonts w:asciiTheme="minorHAnsi" w:eastAsia="Calibri" w:hAnsiTheme="minorHAnsi"/>
                <w:b/>
                <w:sz w:val="18"/>
                <w:szCs w:val="18"/>
              </w:rPr>
              <w:t>2025 Unconstrained</w:t>
            </w:r>
          </w:p>
        </w:tc>
        <w:tc>
          <w:tcPr>
            <w:tcW w:w="841" w:type="dxa"/>
            <w:vAlign w:val="center"/>
          </w:tcPr>
          <w:p w:rsidR="009425C6" w:rsidRPr="009425C6" w:rsidRDefault="009425C6" w:rsidP="009425C6">
            <w:pPr>
              <w:keepNext/>
              <w:keepLines/>
              <w:adjustRightInd/>
              <w:spacing w:before="40" w:after="40" w:line="240" w:lineRule="auto"/>
              <w:textAlignment w:val="auto"/>
              <w:rPr>
                <w:rFonts w:asciiTheme="minorHAnsi" w:eastAsia="Calibri" w:hAnsiTheme="minorHAnsi"/>
                <w:sz w:val="18"/>
                <w:szCs w:val="18"/>
              </w:rPr>
            </w:pPr>
            <w:r w:rsidRPr="009425C6">
              <w:rPr>
                <w:rFonts w:asciiTheme="minorHAnsi" w:eastAsia="Calibri" w:hAnsiTheme="minorHAnsi"/>
                <w:sz w:val="18"/>
                <w:szCs w:val="18"/>
              </w:rPr>
              <w:t>LSE</w:t>
            </w:r>
            <w:r>
              <w:rPr>
                <w:rFonts w:asciiTheme="minorHAnsi" w:eastAsia="Calibri" w:hAnsiTheme="minorHAnsi"/>
                <w:sz w:val="18"/>
                <w:szCs w:val="18"/>
              </w:rPr>
              <w:t xml:space="preserve"> energy expense</w:t>
            </w:r>
          </w:p>
        </w:tc>
        <w:tc>
          <w:tcPr>
            <w:tcW w:w="993" w:type="dxa"/>
            <w:shd w:val="clear" w:color="auto" w:fill="auto"/>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eastAsia="Calibri" w:hAnsiTheme="minorHAnsi"/>
                <w:sz w:val="18"/>
                <w:szCs w:val="18"/>
              </w:rPr>
              <w:t>6,990</w:t>
            </w:r>
          </w:p>
        </w:tc>
        <w:tc>
          <w:tcPr>
            <w:tcW w:w="1062" w:type="dxa"/>
            <w:shd w:val="clear" w:color="auto" w:fill="auto"/>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eastAsia="Calibri" w:hAnsiTheme="minorHAnsi"/>
                <w:sz w:val="18"/>
                <w:szCs w:val="18"/>
              </w:rPr>
              <w:t>6,650</w:t>
            </w:r>
          </w:p>
        </w:tc>
        <w:tc>
          <w:tcPr>
            <w:tcW w:w="1072" w:type="dxa"/>
            <w:shd w:val="clear" w:color="auto" w:fill="auto"/>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eastAsia="Calibri" w:hAnsiTheme="minorHAnsi"/>
                <w:sz w:val="18"/>
                <w:szCs w:val="18"/>
              </w:rPr>
              <w:t>6,188</w:t>
            </w:r>
          </w:p>
        </w:tc>
        <w:tc>
          <w:tcPr>
            <w:tcW w:w="1021" w:type="dxa"/>
            <w:shd w:val="clear" w:color="auto" w:fill="auto"/>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eastAsia="Calibri" w:hAnsiTheme="minorHAnsi"/>
                <w:sz w:val="18"/>
                <w:szCs w:val="18"/>
              </w:rPr>
              <w:t>7,034</w:t>
            </w:r>
          </w:p>
        </w:tc>
        <w:tc>
          <w:tcPr>
            <w:tcW w:w="993" w:type="dxa"/>
            <w:shd w:val="clear" w:color="auto" w:fill="auto"/>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eastAsia="Calibri" w:hAnsiTheme="minorHAnsi"/>
                <w:sz w:val="18"/>
                <w:szCs w:val="18"/>
              </w:rPr>
              <w:t>7,148</w:t>
            </w:r>
          </w:p>
        </w:tc>
        <w:tc>
          <w:tcPr>
            <w:tcW w:w="1072" w:type="dxa"/>
            <w:shd w:val="clear" w:color="auto" w:fill="auto"/>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eastAsia="Calibri" w:hAnsiTheme="minorHAnsi"/>
                <w:sz w:val="18"/>
                <w:szCs w:val="18"/>
              </w:rPr>
              <w:t>6,719</w:t>
            </w:r>
          </w:p>
        </w:tc>
      </w:tr>
      <w:tr w:rsidR="009425C6" w:rsidRPr="009425C6" w:rsidTr="009425C6">
        <w:trPr>
          <w:jc w:val="center"/>
        </w:trPr>
        <w:tc>
          <w:tcPr>
            <w:tcW w:w="1936" w:type="dxa"/>
            <w:vMerge/>
            <w:shd w:val="clear" w:color="auto" w:fill="auto"/>
            <w:vAlign w:val="center"/>
          </w:tcPr>
          <w:p w:rsidR="009425C6" w:rsidRPr="009425C6" w:rsidRDefault="009425C6" w:rsidP="009425C6">
            <w:pPr>
              <w:keepNext/>
              <w:keepLines/>
              <w:spacing w:before="40" w:after="40" w:line="240" w:lineRule="auto"/>
              <w:rPr>
                <w:rFonts w:asciiTheme="minorHAnsi" w:eastAsia="Calibri" w:hAnsiTheme="minorHAnsi"/>
                <w:b/>
                <w:sz w:val="18"/>
                <w:szCs w:val="18"/>
              </w:rPr>
            </w:pPr>
          </w:p>
        </w:tc>
        <w:tc>
          <w:tcPr>
            <w:tcW w:w="841" w:type="dxa"/>
            <w:vAlign w:val="center"/>
          </w:tcPr>
          <w:p w:rsidR="009425C6" w:rsidRPr="009425C6" w:rsidRDefault="009425C6" w:rsidP="009425C6">
            <w:pPr>
              <w:keepNext/>
              <w:keepLines/>
              <w:adjustRightInd/>
              <w:spacing w:before="40" w:after="40" w:line="240" w:lineRule="auto"/>
              <w:textAlignment w:val="auto"/>
              <w:rPr>
                <w:rFonts w:asciiTheme="minorHAnsi" w:eastAsia="Calibri" w:hAnsiTheme="minorHAnsi"/>
                <w:sz w:val="18"/>
                <w:szCs w:val="18"/>
              </w:rPr>
            </w:pPr>
            <w:r w:rsidRPr="009425C6">
              <w:rPr>
                <w:rFonts w:asciiTheme="minorHAnsi" w:eastAsia="Calibri" w:hAnsiTheme="minorHAnsi"/>
                <w:sz w:val="18"/>
                <w:szCs w:val="18"/>
              </w:rPr>
              <w:t>Uplift</w:t>
            </w:r>
          </w:p>
        </w:tc>
        <w:tc>
          <w:tcPr>
            <w:tcW w:w="993" w:type="dxa"/>
            <w:shd w:val="clear" w:color="auto" w:fill="auto"/>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hAnsiTheme="minorHAnsi"/>
                <w:sz w:val="18"/>
                <w:szCs w:val="18"/>
              </w:rPr>
              <w:t>113</w:t>
            </w:r>
          </w:p>
        </w:tc>
        <w:tc>
          <w:tcPr>
            <w:tcW w:w="1062" w:type="dxa"/>
            <w:shd w:val="clear" w:color="auto" w:fill="auto"/>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hAnsiTheme="minorHAnsi"/>
                <w:sz w:val="18"/>
                <w:szCs w:val="18"/>
              </w:rPr>
              <w:t>179</w:t>
            </w:r>
          </w:p>
        </w:tc>
        <w:tc>
          <w:tcPr>
            <w:tcW w:w="1072" w:type="dxa"/>
            <w:shd w:val="clear" w:color="auto" w:fill="auto"/>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hAnsiTheme="minorHAnsi"/>
                <w:sz w:val="18"/>
                <w:szCs w:val="18"/>
              </w:rPr>
              <w:t>120</w:t>
            </w:r>
          </w:p>
        </w:tc>
        <w:tc>
          <w:tcPr>
            <w:tcW w:w="1021" w:type="dxa"/>
            <w:shd w:val="clear" w:color="auto" w:fill="auto"/>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hAnsiTheme="minorHAnsi"/>
                <w:sz w:val="18"/>
                <w:szCs w:val="18"/>
              </w:rPr>
              <w:t>133</w:t>
            </w:r>
          </w:p>
        </w:tc>
        <w:tc>
          <w:tcPr>
            <w:tcW w:w="993" w:type="dxa"/>
            <w:shd w:val="clear" w:color="auto" w:fill="auto"/>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hAnsiTheme="minorHAnsi"/>
                <w:sz w:val="18"/>
                <w:szCs w:val="18"/>
              </w:rPr>
              <w:t>88</w:t>
            </w:r>
          </w:p>
        </w:tc>
        <w:tc>
          <w:tcPr>
            <w:tcW w:w="1072" w:type="dxa"/>
            <w:shd w:val="clear" w:color="auto" w:fill="auto"/>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hAnsiTheme="minorHAnsi"/>
                <w:sz w:val="18"/>
                <w:szCs w:val="18"/>
              </w:rPr>
              <w:t>157</w:t>
            </w:r>
          </w:p>
        </w:tc>
      </w:tr>
      <w:tr w:rsidR="009425C6" w:rsidRPr="009425C6" w:rsidTr="00737F69">
        <w:trPr>
          <w:jc w:val="center"/>
        </w:trPr>
        <w:tc>
          <w:tcPr>
            <w:tcW w:w="1936" w:type="dxa"/>
            <w:vMerge/>
            <w:shd w:val="clear" w:color="auto" w:fill="auto"/>
            <w:vAlign w:val="center"/>
          </w:tcPr>
          <w:p w:rsidR="009425C6" w:rsidRPr="009425C6" w:rsidRDefault="009425C6" w:rsidP="009425C6">
            <w:pPr>
              <w:keepNext/>
              <w:keepLines/>
              <w:adjustRightInd/>
              <w:spacing w:before="40" w:after="40" w:line="240" w:lineRule="auto"/>
              <w:textAlignment w:val="auto"/>
              <w:rPr>
                <w:rFonts w:asciiTheme="minorHAnsi" w:eastAsia="Calibri" w:hAnsiTheme="minorHAnsi"/>
                <w:b/>
                <w:sz w:val="18"/>
                <w:szCs w:val="18"/>
              </w:rPr>
            </w:pPr>
          </w:p>
        </w:tc>
        <w:tc>
          <w:tcPr>
            <w:tcW w:w="841" w:type="dxa"/>
            <w:shd w:val="clear" w:color="auto" w:fill="B8CCE4" w:themeFill="accent1" w:themeFillTint="66"/>
            <w:vAlign w:val="center"/>
          </w:tcPr>
          <w:p w:rsidR="009425C6" w:rsidRPr="002F02F1" w:rsidRDefault="009425C6" w:rsidP="009425C6">
            <w:pPr>
              <w:keepNext/>
              <w:keepLines/>
              <w:adjustRightInd/>
              <w:spacing w:before="40" w:after="40" w:line="240" w:lineRule="auto"/>
              <w:textAlignment w:val="auto"/>
              <w:rPr>
                <w:rFonts w:asciiTheme="minorHAnsi" w:eastAsia="Calibri" w:hAnsiTheme="minorHAnsi"/>
                <w:b/>
                <w:sz w:val="18"/>
                <w:szCs w:val="18"/>
              </w:rPr>
            </w:pPr>
            <w:r w:rsidRPr="002F02F1">
              <w:rPr>
                <w:rFonts w:asciiTheme="minorHAnsi" w:eastAsia="Calibri" w:hAnsiTheme="minorHAnsi"/>
                <w:b/>
                <w:sz w:val="18"/>
                <w:szCs w:val="18"/>
              </w:rPr>
              <w:t>Total</w:t>
            </w:r>
          </w:p>
        </w:tc>
        <w:tc>
          <w:tcPr>
            <w:tcW w:w="993" w:type="dxa"/>
            <w:shd w:val="clear" w:color="auto" w:fill="B8CCE4" w:themeFill="accent1" w:themeFillTint="66"/>
            <w:vAlign w:val="center"/>
          </w:tcPr>
          <w:p w:rsidR="009425C6" w:rsidRPr="002F02F1" w:rsidRDefault="009425C6" w:rsidP="009425C6">
            <w:pPr>
              <w:keepNext/>
              <w:keepLines/>
              <w:adjustRightInd/>
              <w:spacing w:before="40" w:after="40" w:line="240" w:lineRule="auto"/>
              <w:jc w:val="right"/>
              <w:textAlignment w:val="auto"/>
              <w:rPr>
                <w:rFonts w:asciiTheme="minorHAnsi" w:eastAsia="Calibri" w:hAnsiTheme="minorHAnsi"/>
                <w:b/>
                <w:sz w:val="18"/>
                <w:szCs w:val="18"/>
              </w:rPr>
            </w:pPr>
            <w:r w:rsidRPr="002F02F1">
              <w:rPr>
                <w:rFonts w:asciiTheme="minorHAnsi" w:hAnsiTheme="minorHAnsi"/>
                <w:b/>
                <w:sz w:val="18"/>
                <w:szCs w:val="18"/>
              </w:rPr>
              <w:t>7,103</w:t>
            </w:r>
          </w:p>
        </w:tc>
        <w:tc>
          <w:tcPr>
            <w:tcW w:w="1062" w:type="dxa"/>
            <w:shd w:val="clear" w:color="auto" w:fill="B8CCE4" w:themeFill="accent1" w:themeFillTint="66"/>
            <w:vAlign w:val="center"/>
          </w:tcPr>
          <w:p w:rsidR="009425C6" w:rsidRPr="002F02F1" w:rsidRDefault="009425C6" w:rsidP="009425C6">
            <w:pPr>
              <w:keepNext/>
              <w:keepLines/>
              <w:adjustRightInd/>
              <w:spacing w:before="40" w:after="40" w:line="240" w:lineRule="auto"/>
              <w:jc w:val="right"/>
              <w:textAlignment w:val="auto"/>
              <w:rPr>
                <w:rFonts w:asciiTheme="minorHAnsi" w:eastAsia="Calibri" w:hAnsiTheme="minorHAnsi"/>
                <w:b/>
                <w:sz w:val="18"/>
                <w:szCs w:val="18"/>
              </w:rPr>
            </w:pPr>
            <w:r w:rsidRPr="002F02F1">
              <w:rPr>
                <w:rFonts w:asciiTheme="minorHAnsi" w:hAnsiTheme="minorHAnsi"/>
                <w:b/>
                <w:sz w:val="18"/>
                <w:szCs w:val="18"/>
              </w:rPr>
              <w:t>6,829</w:t>
            </w:r>
          </w:p>
        </w:tc>
        <w:tc>
          <w:tcPr>
            <w:tcW w:w="1072" w:type="dxa"/>
            <w:shd w:val="clear" w:color="auto" w:fill="B8CCE4" w:themeFill="accent1" w:themeFillTint="66"/>
            <w:vAlign w:val="center"/>
          </w:tcPr>
          <w:p w:rsidR="009425C6" w:rsidRPr="002F02F1" w:rsidRDefault="009425C6" w:rsidP="009425C6">
            <w:pPr>
              <w:keepNext/>
              <w:keepLines/>
              <w:adjustRightInd/>
              <w:spacing w:before="40" w:after="40" w:line="240" w:lineRule="auto"/>
              <w:jc w:val="right"/>
              <w:textAlignment w:val="auto"/>
              <w:rPr>
                <w:rFonts w:asciiTheme="minorHAnsi" w:eastAsia="Calibri" w:hAnsiTheme="minorHAnsi"/>
                <w:b/>
                <w:sz w:val="18"/>
                <w:szCs w:val="18"/>
              </w:rPr>
            </w:pPr>
            <w:r w:rsidRPr="002F02F1">
              <w:rPr>
                <w:rFonts w:asciiTheme="minorHAnsi" w:hAnsiTheme="minorHAnsi"/>
                <w:b/>
                <w:sz w:val="18"/>
                <w:szCs w:val="18"/>
              </w:rPr>
              <w:t>6,308</w:t>
            </w:r>
          </w:p>
        </w:tc>
        <w:tc>
          <w:tcPr>
            <w:tcW w:w="1021" w:type="dxa"/>
            <w:shd w:val="clear" w:color="auto" w:fill="B8CCE4" w:themeFill="accent1" w:themeFillTint="66"/>
            <w:vAlign w:val="center"/>
          </w:tcPr>
          <w:p w:rsidR="009425C6" w:rsidRPr="002F02F1" w:rsidRDefault="009425C6" w:rsidP="009425C6">
            <w:pPr>
              <w:keepNext/>
              <w:keepLines/>
              <w:adjustRightInd/>
              <w:spacing w:before="40" w:after="40" w:line="240" w:lineRule="auto"/>
              <w:jc w:val="right"/>
              <w:textAlignment w:val="auto"/>
              <w:rPr>
                <w:rFonts w:asciiTheme="minorHAnsi" w:eastAsia="Calibri" w:hAnsiTheme="minorHAnsi"/>
                <w:b/>
                <w:sz w:val="18"/>
                <w:szCs w:val="18"/>
              </w:rPr>
            </w:pPr>
            <w:r w:rsidRPr="002F02F1">
              <w:rPr>
                <w:rFonts w:asciiTheme="minorHAnsi" w:hAnsiTheme="minorHAnsi"/>
                <w:b/>
                <w:sz w:val="18"/>
                <w:szCs w:val="18"/>
              </w:rPr>
              <w:t>7,168</w:t>
            </w:r>
          </w:p>
        </w:tc>
        <w:tc>
          <w:tcPr>
            <w:tcW w:w="993" w:type="dxa"/>
            <w:shd w:val="clear" w:color="auto" w:fill="B8CCE4" w:themeFill="accent1" w:themeFillTint="66"/>
            <w:vAlign w:val="center"/>
          </w:tcPr>
          <w:p w:rsidR="009425C6" w:rsidRPr="002F02F1" w:rsidRDefault="009425C6" w:rsidP="009425C6">
            <w:pPr>
              <w:keepNext/>
              <w:keepLines/>
              <w:adjustRightInd/>
              <w:spacing w:before="40" w:after="40" w:line="240" w:lineRule="auto"/>
              <w:jc w:val="right"/>
              <w:textAlignment w:val="auto"/>
              <w:rPr>
                <w:rFonts w:asciiTheme="minorHAnsi" w:eastAsia="Calibri" w:hAnsiTheme="minorHAnsi"/>
                <w:b/>
                <w:sz w:val="18"/>
                <w:szCs w:val="18"/>
              </w:rPr>
            </w:pPr>
            <w:r w:rsidRPr="002F02F1">
              <w:rPr>
                <w:rFonts w:asciiTheme="minorHAnsi" w:hAnsiTheme="minorHAnsi"/>
                <w:b/>
                <w:sz w:val="18"/>
                <w:szCs w:val="18"/>
              </w:rPr>
              <w:t>7,236</w:t>
            </w:r>
          </w:p>
        </w:tc>
        <w:tc>
          <w:tcPr>
            <w:tcW w:w="1072" w:type="dxa"/>
            <w:shd w:val="clear" w:color="auto" w:fill="B8CCE4" w:themeFill="accent1" w:themeFillTint="66"/>
            <w:vAlign w:val="center"/>
          </w:tcPr>
          <w:p w:rsidR="009425C6" w:rsidRPr="002F02F1" w:rsidRDefault="009425C6" w:rsidP="009425C6">
            <w:pPr>
              <w:keepNext/>
              <w:keepLines/>
              <w:adjustRightInd/>
              <w:spacing w:before="40" w:after="40" w:line="240" w:lineRule="auto"/>
              <w:jc w:val="right"/>
              <w:textAlignment w:val="auto"/>
              <w:rPr>
                <w:rFonts w:asciiTheme="minorHAnsi" w:eastAsia="Calibri" w:hAnsiTheme="minorHAnsi"/>
                <w:b/>
                <w:sz w:val="18"/>
                <w:szCs w:val="18"/>
              </w:rPr>
            </w:pPr>
            <w:r w:rsidRPr="002F02F1">
              <w:rPr>
                <w:rFonts w:asciiTheme="minorHAnsi" w:hAnsiTheme="minorHAnsi"/>
                <w:b/>
                <w:sz w:val="18"/>
                <w:szCs w:val="18"/>
              </w:rPr>
              <w:t>6,876</w:t>
            </w:r>
          </w:p>
        </w:tc>
      </w:tr>
      <w:tr w:rsidR="009425C6" w:rsidRPr="009425C6" w:rsidTr="009425C6">
        <w:trPr>
          <w:jc w:val="center"/>
        </w:trPr>
        <w:tc>
          <w:tcPr>
            <w:tcW w:w="1936" w:type="dxa"/>
            <w:vMerge w:val="restart"/>
            <w:shd w:val="clear" w:color="auto" w:fill="DBE5F1" w:themeFill="accent1" w:themeFillTint="33"/>
            <w:vAlign w:val="center"/>
          </w:tcPr>
          <w:p w:rsidR="009425C6" w:rsidRPr="009425C6" w:rsidRDefault="009425C6" w:rsidP="009425C6">
            <w:pPr>
              <w:keepNext/>
              <w:keepLines/>
              <w:adjustRightInd/>
              <w:spacing w:before="40" w:after="40" w:line="240" w:lineRule="auto"/>
              <w:textAlignment w:val="auto"/>
              <w:rPr>
                <w:rFonts w:asciiTheme="minorHAnsi" w:eastAsia="Calibri" w:hAnsiTheme="minorHAnsi"/>
                <w:b/>
                <w:sz w:val="18"/>
                <w:szCs w:val="18"/>
              </w:rPr>
            </w:pPr>
            <w:r w:rsidRPr="009425C6">
              <w:rPr>
                <w:rFonts w:asciiTheme="minorHAnsi" w:eastAsia="Calibri" w:hAnsiTheme="minorHAnsi"/>
                <w:b/>
                <w:sz w:val="18"/>
                <w:szCs w:val="18"/>
              </w:rPr>
              <w:t>2025 Constrained</w:t>
            </w:r>
          </w:p>
        </w:tc>
        <w:tc>
          <w:tcPr>
            <w:tcW w:w="841" w:type="dxa"/>
            <w:shd w:val="clear" w:color="auto" w:fill="DBE5F1" w:themeFill="accent1" w:themeFillTint="33"/>
            <w:vAlign w:val="center"/>
          </w:tcPr>
          <w:p w:rsidR="009425C6" w:rsidRPr="009425C6" w:rsidRDefault="009425C6" w:rsidP="009425C6">
            <w:pPr>
              <w:keepNext/>
              <w:keepLines/>
              <w:adjustRightInd/>
              <w:spacing w:before="40" w:after="40" w:line="240" w:lineRule="auto"/>
              <w:textAlignment w:val="auto"/>
              <w:rPr>
                <w:rFonts w:asciiTheme="minorHAnsi" w:eastAsia="Calibri" w:hAnsiTheme="minorHAnsi"/>
                <w:sz w:val="18"/>
                <w:szCs w:val="18"/>
              </w:rPr>
            </w:pPr>
            <w:r w:rsidRPr="009425C6">
              <w:rPr>
                <w:rFonts w:asciiTheme="minorHAnsi" w:eastAsia="Calibri" w:hAnsiTheme="minorHAnsi"/>
                <w:sz w:val="18"/>
                <w:szCs w:val="18"/>
              </w:rPr>
              <w:t>LSE energy expense</w:t>
            </w:r>
          </w:p>
        </w:tc>
        <w:tc>
          <w:tcPr>
            <w:tcW w:w="993" w:type="dxa"/>
            <w:shd w:val="clear" w:color="auto" w:fill="DBE5F1" w:themeFill="accent1" w:themeFillTint="33"/>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eastAsia="Calibri" w:hAnsiTheme="minorHAnsi"/>
                <w:sz w:val="18"/>
                <w:szCs w:val="18"/>
              </w:rPr>
              <w:t>7,053</w:t>
            </w:r>
          </w:p>
        </w:tc>
        <w:tc>
          <w:tcPr>
            <w:tcW w:w="1062" w:type="dxa"/>
            <w:shd w:val="clear" w:color="auto" w:fill="DBE5F1" w:themeFill="accent1" w:themeFillTint="33"/>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eastAsia="Calibri" w:hAnsiTheme="minorHAnsi"/>
                <w:sz w:val="18"/>
                <w:szCs w:val="18"/>
              </w:rPr>
              <w:t>6,848</w:t>
            </w:r>
          </w:p>
        </w:tc>
        <w:tc>
          <w:tcPr>
            <w:tcW w:w="1072" w:type="dxa"/>
            <w:shd w:val="clear" w:color="auto" w:fill="DBE5F1" w:themeFill="accent1" w:themeFillTint="33"/>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eastAsia="Calibri" w:hAnsiTheme="minorHAnsi"/>
                <w:sz w:val="18"/>
                <w:szCs w:val="18"/>
              </w:rPr>
              <w:t>6,362</w:t>
            </w:r>
          </w:p>
        </w:tc>
        <w:tc>
          <w:tcPr>
            <w:tcW w:w="1021" w:type="dxa"/>
            <w:shd w:val="clear" w:color="auto" w:fill="DBE5F1" w:themeFill="accent1" w:themeFillTint="33"/>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eastAsia="Calibri" w:hAnsiTheme="minorHAnsi"/>
                <w:sz w:val="18"/>
                <w:szCs w:val="18"/>
              </w:rPr>
              <w:t>7,051</w:t>
            </w:r>
          </w:p>
        </w:tc>
        <w:tc>
          <w:tcPr>
            <w:tcW w:w="993" w:type="dxa"/>
            <w:shd w:val="clear" w:color="auto" w:fill="DBE5F1" w:themeFill="accent1" w:themeFillTint="33"/>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eastAsia="Calibri" w:hAnsiTheme="minorHAnsi"/>
                <w:sz w:val="18"/>
                <w:szCs w:val="18"/>
              </w:rPr>
              <w:t>7,134</w:t>
            </w:r>
          </w:p>
        </w:tc>
        <w:tc>
          <w:tcPr>
            <w:tcW w:w="1072" w:type="dxa"/>
            <w:shd w:val="clear" w:color="auto" w:fill="DBE5F1" w:themeFill="accent1" w:themeFillTint="33"/>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eastAsia="Calibri" w:hAnsiTheme="minorHAnsi"/>
                <w:sz w:val="18"/>
                <w:szCs w:val="18"/>
              </w:rPr>
              <w:t>6,782</w:t>
            </w:r>
          </w:p>
        </w:tc>
      </w:tr>
      <w:tr w:rsidR="009425C6" w:rsidRPr="009425C6" w:rsidTr="009425C6">
        <w:trPr>
          <w:jc w:val="center"/>
        </w:trPr>
        <w:tc>
          <w:tcPr>
            <w:tcW w:w="1936" w:type="dxa"/>
            <w:vMerge/>
            <w:shd w:val="clear" w:color="auto" w:fill="DBE5F1" w:themeFill="accent1" w:themeFillTint="33"/>
            <w:vAlign w:val="center"/>
          </w:tcPr>
          <w:p w:rsidR="009425C6" w:rsidRPr="009425C6" w:rsidRDefault="009425C6" w:rsidP="009425C6">
            <w:pPr>
              <w:keepNext/>
              <w:keepLines/>
              <w:adjustRightInd/>
              <w:spacing w:before="40" w:after="40" w:line="240" w:lineRule="auto"/>
              <w:textAlignment w:val="auto"/>
              <w:rPr>
                <w:rFonts w:asciiTheme="minorHAnsi" w:eastAsia="Calibri" w:hAnsiTheme="minorHAnsi"/>
                <w:b/>
                <w:sz w:val="18"/>
                <w:szCs w:val="18"/>
              </w:rPr>
            </w:pPr>
          </w:p>
        </w:tc>
        <w:tc>
          <w:tcPr>
            <w:tcW w:w="841" w:type="dxa"/>
            <w:shd w:val="clear" w:color="auto" w:fill="DBE5F1" w:themeFill="accent1" w:themeFillTint="33"/>
            <w:vAlign w:val="center"/>
          </w:tcPr>
          <w:p w:rsidR="009425C6" w:rsidRPr="009425C6" w:rsidRDefault="009425C6" w:rsidP="009425C6">
            <w:pPr>
              <w:keepNext/>
              <w:keepLines/>
              <w:adjustRightInd/>
              <w:spacing w:before="40" w:after="40" w:line="240" w:lineRule="auto"/>
              <w:textAlignment w:val="auto"/>
              <w:rPr>
                <w:rFonts w:asciiTheme="minorHAnsi" w:eastAsia="Calibri" w:hAnsiTheme="minorHAnsi"/>
                <w:sz w:val="18"/>
                <w:szCs w:val="18"/>
              </w:rPr>
            </w:pPr>
            <w:r w:rsidRPr="009425C6">
              <w:rPr>
                <w:rFonts w:asciiTheme="minorHAnsi" w:eastAsia="Calibri" w:hAnsiTheme="minorHAnsi"/>
                <w:sz w:val="18"/>
                <w:szCs w:val="18"/>
              </w:rPr>
              <w:t>Uplift</w:t>
            </w:r>
          </w:p>
        </w:tc>
        <w:tc>
          <w:tcPr>
            <w:tcW w:w="993" w:type="dxa"/>
            <w:shd w:val="clear" w:color="auto" w:fill="DBE5F1" w:themeFill="accent1" w:themeFillTint="33"/>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hAnsiTheme="minorHAnsi"/>
                <w:sz w:val="18"/>
                <w:szCs w:val="18"/>
              </w:rPr>
              <w:t>114</w:t>
            </w:r>
          </w:p>
        </w:tc>
        <w:tc>
          <w:tcPr>
            <w:tcW w:w="1062" w:type="dxa"/>
            <w:shd w:val="clear" w:color="auto" w:fill="DBE5F1" w:themeFill="accent1" w:themeFillTint="33"/>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hAnsiTheme="minorHAnsi"/>
                <w:sz w:val="18"/>
                <w:szCs w:val="18"/>
              </w:rPr>
              <w:t>166</w:t>
            </w:r>
          </w:p>
        </w:tc>
        <w:tc>
          <w:tcPr>
            <w:tcW w:w="1072" w:type="dxa"/>
            <w:shd w:val="clear" w:color="auto" w:fill="DBE5F1" w:themeFill="accent1" w:themeFillTint="33"/>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hAnsiTheme="minorHAnsi"/>
                <w:sz w:val="18"/>
                <w:szCs w:val="18"/>
              </w:rPr>
              <w:t>126</w:t>
            </w:r>
          </w:p>
        </w:tc>
        <w:tc>
          <w:tcPr>
            <w:tcW w:w="1021" w:type="dxa"/>
            <w:shd w:val="clear" w:color="auto" w:fill="DBE5F1" w:themeFill="accent1" w:themeFillTint="33"/>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hAnsiTheme="minorHAnsi"/>
                <w:sz w:val="18"/>
                <w:szCs w:val="18"/>
              </w:rPr>
              <w:t>129</w:t>
            </w:r>
          </w:p>
        </w:tc>
        <w:tc>
          <w:tcPr>
            <w:tcW w:w="993" w:type="dxa"/>
            <w:shd w:val="clear" w:color="auto" w:fill="DBE5F1" w:themeFill="accent1" w:themeFillTint="33"/>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hAnsiTheme="minorHAnsi"/>
                <w:sz w:val="18"/>
                <w:szCs w:val="18"/>
              </w:rPr>
              <w:t>93</w:t>
            </w:r>
          </w:p>
        </w:tc>
        <w:tc>
          <w:tcPr>
            <w:tcW w:w="1072" w:type="dxa"/>
            <w:shd w:val="clear" w:color="auto" w:fill="DBE5F1" w:themeFill="accent1" w:themeFillTint="33"/>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hAnsiTheme="minorHAnsi"/>
                <w:sz w:val="18"/>
                <w:szCs w:val="18"/>
              </w:rPr>
              <w:t>159</w:t>
            </w:r>
          </w:p>
        </w:tc>
      </w:tr>
      <w:tr w:rsidR="009425C6" w:rsidRPr="009425C6" w:rsidTr="00737F69">
        <w:trPr>
          <w:jc w:val="center"/>
        </w:trPr>
        <w:tc>
          <w:tcPr>
            <w:tcW w:w="1936" w:type="dxa"/>
            <w:vMerge/>
            <w:shd w:val="clear" w:color="auto" w:fill="DBE5F1" w:themeFill="accent1" w:themeFillTint="33"/>
            <w:vAlign w:val="center"/>
          </w:tcPr>
          <w:p w:rsidR="009425C6" w:rsidRPr="009425C6" w:rsidRDefault="009425C6" w:rsidP="009425C6">
            <w:pPr>
              <w:keepNext/>
              <w:keepLines/>
              <w:adjustRightInd/>
              <w:spacing w:before="40" w:after="40" w:line="240" w:lineRule="auto"/>
              <w:textAlignment w:val="auto"/>
              <w:rPr>
                <w:rFonts w:asciiTheme="minorHAnsi" w:eastAsia="Calibri" w:hAnsiTheme="minorHAnsi"/>
                <w:b/>
                <w:sz w:val="18"/>
                <w:szCs w:val="18"/>
              </w:rPr>
            </w:pPr>
          </w:p>
        </w:tc>
        <w:tc>
          <w:tcPr>
            <w:tcW w:w="841" w:type="dxa"/>
            <w:shd w:val="clear" w:color="auto" w:fill="B8CCE4" w:themeFill="accent1" w:themeFillTint="66"/>
            <w:vAlign w:val="center"/>
          </w:tcPr>
          <w:p w:rsidR="009425C6" w:rsidRPr="002F02F1" w:rsidRDefault="009425C6" w:rsidP="009425C6">
            <w:pPr>
              <w:keepNext/>
              <w:keepLines/>
              <w:adjustRightInd/>
              <w:spacing w:before="40" w:after="40" w:line="240" w:lineRule="auto"/>
              <w:textAlignment w:val="auto"/>
              <w:rPr>
                <w:rFonts w:asciiTheme="minorHAnsi" w:eastAsia="Calibri" w:hAnsiTheme="minorHAnsi"/>
                <w:b/>
                <w:sz w:val="18"/>
                <w:szCs w:val="18"/>
              </w:rPr>
            </w:pPr>
            <w:r w:rsidRPr="002F02F1">
              <w:rPr>
                <w:rFonts w:asciiTheme="minorHAnsi" w:eastAsia="Calibri" w:hAnsiTheme="minorHAnsi"/>
                <w:b/>
                <w:sz w:val="18"/>
                <w:szCs w:val="18"/>
              </w:rPr>
              <w:t>Total</w:t>
            </w:r>
          </w:p>
        </w:tc>
        <w:tc>
          <w:tcPr>
            <w:tcW w:w="993" w:type="dxa"/>
            <w:shd w:val="clear" w:color="auto" w:fill="B8CCE4" w:themeFill="accent1" w:themeFillTint="66"/>
            <w:vAlign w:val="center"/>
          </w:tcPr>
          <w:p w:rsidR="009425C6" w:rsidRPr="002F02F1" w:rsidRDefault="009425C6" w:rsidP="009425C6">
            <w:pPr>
              <w:keepNext/>
              <w:keepLines/>
              <w:adjustRightInd/>
              <w:spacing w:before="40" w:after="40" w:line="240" w:lineRule="auto"/>
              <w:jc w:val="right"/>
              <w:textAlignment w:val="auto"/>
              <w:rPr>
                <w:rFonts w:asciiTheme="minorHAnsi" w:eastAsia="Calibri" w:hAnsiTheme="minorHAnsi"/>
                <w:b/>
                <w:sz w:val="18"/>
                <w:szCs w:val="18"/>
              </w:rPr>
            </w:pPr>
            <w:r w:rsidRPr="002F02F1">
              <w:rPr>
                <w:rFonts w:asciiTheme="minorHAnsi" w:hAnsiTheme="minorHAnsi"/>
                <w:b/>
                <w:sz w:val="18"/>
                <w:szCs w:val="18"/>
              </w:rPr>
              <w:t>7,166</w:t>
            </w:r>
          </w:p>
        </w:tc>
        <w:tc>
          <w:tcPr>
            <w:tcW w:w="1062" w:type="dxa"/>
            <w:shd w:val="clear" w:color="auto" w:fill="B8CCE4" w:themeFill="accent1" w:themeFillTint="66"/>
            <w:vAlign w:val="center"/>
          </w:tcPr>
          <w:p w:rsidR="009425C6" w:rsidRPr="002F02F1" w:rsidRDefault="009425C6" w:rsidP="009425C6">
            <w:pPr>
              <w:keepNext/>
              <w:keepLines/>
              <w:adjustRightInd/>
              <w:spacing w:before="40" w:after="40" w:line="240" w:lineRule="auto"/>
              <w:jc w:val="right"/>
              <w:textAlignment w:val="auto"/>
              <w:rPr>
                <w:rFonts w:asciiTheme="minorHAnsi" w:eastAsia="Calibri" w:hAnsiTheme="minorHAnsi"/>
                <w:b/>
                <w:sz w:val="18"/>
                <w:szCs w:val="18"/>
              </w:rPr>
            </w:pPr>
            <w:r w:rsidRPr="002F02F1">
              <w:rPr>
                <w:rFonts w:asciiTheme="minorHAnsi" w:hAnsiTheme="minorHAnsi"/>
                <w:b/>
                <w:sz w:val="18"/>
                <w:szCs w:val="18"/>
              </w:rPr>
              <w:t>7,014</w:t>
            </w:r>
          </w:p>
        </w:tc>
        <w:tc>
          <w:tcPr>
            <w:tcW w:w="1072" w:type="dxa"/>
            <w:shd w:val="clear" w:color="auto" w:fill="B8CCE4" w:themeFill="accent1" w:themeFillTint="66"/>
            <w:vAlign w:val="center"/>
          </w:tcPr>
          <w:p w:rsidR="009425C6" w:rsidRPr="002F02F1" w:rsidRDefault="009425C6" w:rsidP="009425C6">
            <w:pPr>
              <w:keepNext/>
              <w:keepLines/>
              <w:adjustRightInd/>
              <w:spacing w:before="40" w:after="40" w:line="240" w:lineRule="auto"/>
              <w:jc w:val="right"/>
              <w:textAlignment w:val="auto"/>
              <w:rPr>
                <w:rFonts w:asciiTheme="minorHAnsi" w:eastAsia="Calibri" w:hAnsiTheme="minorHAnsi"/>
                <w:b/>
                <w:sz w:val="18"/>
                <w:szCs w:val="18"/>
              </w:rPr>
            </w:pPr>
            <w:r w:rsidRPr="002F02F1">
              <w:rPr>
                <w:rFonts w:asciiTheme="minorHAnsi" w:hAnsiTheme="minorHAnsi"/>
                <w:b/>
                <w:sz w:val="18"/>
                <w:szCs w:val="18"/>
              </w:rPr>
              <w:t>6,488</w:t>
            </w:r>
          </w:p>
        </w:tc>
        <w:tc>
          <w:tcPr>
            <w:tcW w:w="1021" w:type="dxa"/>
            <w:shd w:val="clear" w:color="auto" w:fill="B8CCE4" w:themeFill="accent1" w:themeFillTint="66"/>
            <w:vAlign w:val="center"/>
          </w:tcPr>
          <w:p w:rsidR="009425C6" w:rsidRPr="002F02F1" w:rsidRDefault="009425C6" w:rsidP="009425C6">
            <w:pPr>
              <w:keepNext/>
              <w:keepLines/>
              <w:adjustRightInd/>
              <w:spacing w:before="40" w:after="40" w:line="240" w:lineRule="auto"/>
              <w:jc w:val="right"/>
              <w:textAlignment w:val="auto"/>
              <w:rPr>
                <w:rFonts w:asciiTheme="minorHAnsi" w:eastAsia="Calibri" w:hAnsiTheme="minorHAnsi"/>
                <w:b/>
                <w:sz w:val="18"/>
                <w:szCs w:val="18"/>
              </w:rPr>
            </w:pPr>
            <w:r w:rsidRPr="002F02F1">
              <w:rPr>
                <w:rFonts w:asciiTheme="minorHAnsi" w:hAnsiTheme="minorHAnsi"/>
                <w:b/>
                <w:sz w:val="18"/>
                <w:szCs w:val="18"/>
              </w:rPr>
              <w:t>7,180</w:t>
            </w:r>
          </w:p>
        </w:tc>
        <w:tc>
          <w:tcPr>
            <w:tcW w:w="993" w:type="dxa"/>
            <w:shd w:val="clear" w:color="auto" w:fill="B8CCE4" w:themeFill="accent1" w:themeFillTint="66"/>
            <w:vAlign w:val="center"/>
          </w:tcPr>
          <w:p w:rsidR="009425C6" w:rsidRPr="002F02F1" w:rsidRDefault="009425C6" w:rsidP="009425C6">
            <w:pPr>
              <w:keepNext/>
              <w:keepLines/>
              <w:adjustRightInd/>
              <w:spacing w:before="40" w:after="40" w:line="240" w:lineRule="auto"/>
              <w:jc w:val="right"/>
              <w:textAlignment w:val="auto"/>
              <w:rPr>
                <w:rFonts w:asciiTheme="minorHAnsi" w:eastAsia="Calibri" w:hAnsiTheme="minorHAnsi"/>
                <w:b/>
                <w:sz w:val="18"/>
                <w:szCs w:val="18"/>
              </w:rPr>
            </w:pPr>
            <w:r w:rsidRPr="002F02F1">
              <w:rPr>
                <w:rFonts w:asciiTheme="minorHAnsi" w:hAnsiTheme="minorHAnsi"/>
                <w:b/>
                <w:sz w:val="18"/>
                <w:szCs w:val="18"/>
              </w:rPr>
              <w:t>7,228</w:t>
            </w:r>
          </w:p>
        </w:tc>
        <w:tc>
          <w:tcPr>
            <w:tcW w:w="1072" w:type="dxa"/>
            <w:shd w:val="clear" w:color="auto" w:fill="B8CCE4" w:themeFill="accent1" w:themeFillTint="66"/>
            <w:vAlign w:val="center"/>
          </w:tcPr>
          <w:p w:rsidR="009425C6" w:rsidRPr="002F02F1" w:rsidRDefault="009425C6" w:rsidP="009425C6">
            <w:pPr>
              <w:keepNext/>
              <w:keepLines/>
              <w:adjustRightInd/>
              <w:spacing w:before="40" w:after="40" w:line="240" w:lineRule="auto"/>
              <w:jc w:val="right"/>
              <w:textAlignment w:val="auto"/>
              <w:rPr>
                <w:rFonts w:asciiTheme="minorHAnsi" w:eastAsia="Calibri" w:hAnsiTheme="minorHAnsi"/>
                <w:b/>
                <w:sz w:val="18"/>
                <w:szCs w:val="18"/>
              </w:rPr>
            </w:pPr>
            <w:r w:rsidRPr="002F02F1">
              <w:rPr>
                <w:rFonts w:asciiTheme="minorHAnsi" w:hAnsiTheme="minorHAnsi"/>
                <w:b/>
                <w:sz w:val="18"/>
                <w:szCs w:val="18"/>
              </w:rPr>
              <w:t>6,941</w:t>
            </w:r>
          </w:p>
        </w:tc>
      </w:tr>
      <w:tr w:rsidR="009425C6" w:rsidRPr="009425C6" w:rsidTr="009425C6">
        <w:trPr>
          <w:jc w:val="center"/>
        </w:trPr>
        <w:tc>
          <w:tcPr>
            <w:tcW w:w="1936" w:type="dxa"/>
            <w:vMerge w:val="restart"/>
            <w:shd w:val="clear" w:color="auto" w:fill="auto"/>
            <w:vAlign w:val="center"/>
          </w:tcPr>
          <w:p w:rsidR="009425C6" w:rsidRPr="009425C6" w:rsidRDefault="009425C6" w:rsidP="009425C6">
            <w:pPr>
              <w:keepNext/>
              <w:keepLines/>
              <w:adjustRightInd/>
              <w:spacing w:before="40" w:after="40" w:line="240" w:lineRule="auto"/>
              <w:textAlignment w:val="auto"/>
              <w:rPr>
                <w:rFonts w:asciiTheme="minorHAnsi" w:eastAsia="Calibri" w:hAnsiTheme="minorHAnsi"/>
                <w:b/>
                <w:sz w:val="18"/>
                <w:szCs w:val="18"/>
              </w:rPr>
            </w:pPr>
            <w:r w:rsidRPr="009425C6">
              <w:rPr>
                <w:rFonts w:asciiTheme="minorHAnsi" w:eastAsia="Calibri" w:hAnsiTheme="minorHAnsi"/>
                <w:b/>
                <w:sz w:val="18"/>
                <w:szCs w:val="18"/>
              </w:rPr>
              <w:t>2030 Unconstrained</w:t>
            </w:r>
          </w:p>
        </w:tc>
        <w:tc>
          <w:tcPr>
            <w:tcW w:w="841" w:type="dxa"/>
            <w:vAlign w:val="center"/>
          </w:tcPr>
          <w:p w:rsidR="009425C6" w:rsidRPr="009425C6" w:rsidRDefault="009425C6" w:rsidP="009425C6">
            <w:pPr>
              <w:keepNext/>
              <w:keepLines/>
              <w:adjustRightInd/>
              <w:spacing w:before="40" w:after="40" w:line="240" w:lineRule="auto"/>
              <w:textAlignment w:val="auto"/>
              <w:rPr>
                <w:rFonts w:asciiTheme="minorHAnsi" w:eastAsia="Calibri" w:hAnsiTheme="minorHAnsi"/>
                <w:sz w:val="18"/>
                <w:szCs w:val="18"/>
              </w:rPr>
            </w:pPr>
            <w:r w:rsidRPr="009425C6">
              <w:rPr>
                <w:rFonts w:asciiTheme="minorHAnsi" w:eastAsia="Calibri" w:hAnsiTheme="minorHAnsi"/>
                <w:sz w:val="18"/>
                <w:szCs w:val="18"/>
              </w:rPr>
              <w:t>LSE energy expense</w:t>
            </w:r>
          </w:p>
        </w:tc>
        <w:tc>
          <w:tcPr>
            <w:tcW w:w="993" w:type="dxa"/>
            <w:shd w:val="clear" w:color="auto" w:fill="auto"/>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eastAsia="Calibri" w:hAnsiTheme="minorHAnsi"/>
                <w:sz w:val="18"/>
                <w:szCs w:val="18"/>
              </w:rPr>
              <w:t>8,269</w:t>
            </w:r>
          </w:p>
        </w:tc>
        <w:tc>
          <w:tcPr>
            <w:tcW w:w="1062" w:type="dxa"/>
            <w:shd w:val="clear" w:color="auto" w:fill="auto"/>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eastAsia="Calibri" w:hAnsiTheme="minorHAnsi"/>
                <w:sz w:val="18"/>
                <w:szCs w:val="18"/>
              </w:rPr>
              <w:t>5,266</w:t>
            </w:r>
          </w:p>
        </w:tc>
        <w:tc>
          <w:tcPr>
            <w:tcW w:w="1072" w:type="dxa"/>
            <w:shd w:val="clear" w:color="auto" w:fill="auto"/>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eastAsia="Calibri" w:hAnsiTheme="minorHAnsi"/>
                <w:sz w:val="18"/>
                <w:szCs w:val="18"/>
              </w:rPr>
              <w:t>5,866</w:t>
            </w:r>
          </w:p>
        </w:tc>
        <w:tc>
          <w:tcPr>
            <w:tcW w:w="1021" w:type="dxa"/>
            <w:shd w:val="clear" w:color="auto" w:fill="auto"/>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eastAsia="Calibri" w:hAnsiTheme="minorHAnsi"/>
                <w:sz w:val="18"/>
                <w:szCs w:val="18"/>
              </w:rPr>
              <w:t>8,371</w:t>
            </w:r>
          </w:p>
        </w:tc>
        <w:tc>
          <w:tcPr>
            <w:tcW w:w="993" w:type="dxa"/>
            <w:shd w:val="clear" w:color="auto" w:fill="auto"/>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eastAsia="Calibri" w:hAnsiTheme="minorHAnsi"/>
                <w:sz w:val="18"/>
                <w:szCs w:val="18"/>
              </w:rPr>
              <w:t>8,334</w:t>
            </w:r>
          </w:p>
        </w:tc>
        <w:tc>
          <w:tcPr>
            <w:tcW w:w="1072" w:type="dxa"/>
            <w:shd w:val="clear" w:color="auto" w:fill="auto"/>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eastAsia="Calibri" w:hAnsiTheme="minorHAnsi"/>
                <w:sz w:val="18"/>
                <w:szCs w:val="18"/>
              </w:rPr>
              <w:t>4,930</w:t>
            </w:r>
          </w:p>
        </w:tc>
      </w:tr>
      <w:tr w:rsidR="009425C6" w:rsidRPr="009425C6" w:rsidTr="009425C6">
        <w:trPr>
          <w:jc w:val="center"/>
        </w:trPr>
        <w:tc>
          <w:tcPr>
            <w:tcW w:w="1936" w:type="dxa"/>
            <w:vMerge/>
            <w:shd w:val="clear" w:color="auto" w:fill="auto"/>
            <w:vAlign w:val="center"/>
          </w:tcPr>
          <w:p w:rsidR="009425C6" w:rsidRPr="009425C6" w:rsidRDefault="009425C6" w:rsidP="009425C6">
            <w:pPr>
              <w:keepNext/>
              <w:keepLines/>
              <w:adjustRightInd/>
              <w:spacing w:before="40" w:after="40" w:line="240" w:lineRule="auto"/>
              <w:textAlignment w:val="auto"/>
              <w:rPr>
                <w:rFonts w:asciiTheme="minorHAnsi" w:eastAsia="Calibri" w:hAnsiTheme="minorHAnsi"/>
                <w:b/>
                <w:sz w:val="18"/>
                <w:szCs w:val="18"/>
              </w:rPr>
            </w:pPr>
          </w:p>
        </w:tc>
        <w:tc>
          <w:tcPr>
            <w:tcW w:w="841" w:type="dxa"/>
            <w:vAlign w:val="center"/>
          </w:tcPr>
          <w:p w:rsidR="009425C6" w:rsidRPr="009425C6" w:rsidRDefault="009425C6" w:rsidP="009425C6">
            <w:pPr>
              <w:keepNext/>
              <w:keepLines/>
              <w:adjustRightInd/>
              <w:spacing w:before="40" w:after="40" w:line="240" w:lineRule="auto"/>
              <w:textAlignment w:val="auto"/>
              <w:rPr>
                <w:rFonts w:asciiTheme="minorHAnsi" w:eastAsia="Calibri" w:hAnsiTheme="minorHAnsi"/>
                <w:sz w:val="18"/>
                <w:szCs w:val="18"/>
              </w:rPr>
            </w:pPr>
            <w:r w:rsidRPr="009425C6">
              <w:rPr>
                <w:rFonts w:asciiTheme="minorHAnsi" w:eastAsia="Calibri" w:hAnsiTheme="minorHAnsi"/>
                <w:sz w:val="18"/>
                <w:szCs w:val="18"/>
              </w:rPr>
              <w:t>Uplift</w:t>
            </w:r>
          </w:p>
        </w:tc>
        <w:tc>
          <w:tcPr>
            <w:tcW w:w="993" w:type="dxa"/>
            <w:shd w:val="clear" w:color="auto" w:fill="auto"/>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hAnsiTheme="minorHAnsi"/>
                <w:sz w:val="18"/>
                <w:szCs w:val="18"/>
              </w:rPr>
              <w:t>100</w:t>
            </w:r>
          </w:p>
        </w:tc>
        <w:tc>
          <w:tcPr>
            <w:tcW w:w="1062" w:type="dxa"/>
            <w:shd w:val="clear" w:color="auto" w:fill="auto"/>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hAnsiTheme="minorHAnsi"/>
                <w:sz w:val="18"/>
                <w:szCs w:val="18"/>
              </w:rPr>
              <w:t>266</w:t>
            </w:r>
          </w:p>
        </w:tc>
        <w:tc>
          <w:tcPr>
            <w:tcW w:w="1072" w:type="dxa"/>
            <w:shd w:val="clear" w:color="auto" w:fill="auto"/>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hAnsiTheme="minorHAnsi"/>
                <w:sz w:val="18"/>
                <w:szCs w:val="18"/>
              </w:rPr>
              <w:t>117</w:t>
            </w:r>
          </w:p>
        </w:tc>
        <w:tc>
          <w:tcPr>
            <w:tcW w:w="1021" w:type="dxa"/>
            <w:shd w:val="clear" w:color="auto" w:fill="auto"/>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hAnsiTheme="minorHAnsi"/>
                <w:sz w:val="18"/>
                <w:szCs w:val="18"/>
              </w:rPr>
              <w:t>139</w:t>
            </w:r>
          </w:p>
        </w:tc>
        <w:tc>
          <w:tcPr>
            <w:tcW w:w="993" w:type="dxa"/>
            <w:shd w:val="clear" w:color="auto" w:fill="auto"/>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hAnsiTheme="minorHAnsi"/>
                <w:sz w:val="18"/>
                <w:szCs w:val="18"/>
              </w:rPr>
              <w:t>108</w:t>
            </w:r>
          </w:p>
        </w:tc>
        <w:tc>
          <w:tcPr>
            <w:tcW w:w="1072" w:type="dxa"/>
            <w:shd w:val="clear" w:color="auto" w:fill="auto"/>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hAnsiTheme="minorHAnsi"/>
                <w:sz w:val="18"/>
                <w:szCs w:val="18"/>
              </w:rPr>
              <w:t>266</w:t>
            </w:r>
          </w:p>
        </w:tc>
      </w:tr>
      <w:tr w:rsidR="009425C6" w:rsidRPr="009425C6" w:rsidTr="00737F69">
        <w:trPr>
          <w:jc w:val="center"/>
        </w:trPr>
        <w:tc>
          <w:tcPr>
            <w:tcW w:w="1936" w:type="dxa"/>
            <w:vMerge/>
            <w:shd w:val="clear" w:color="auto" w:fill="auto"/>
            <w:vAlign w:val="center"/>
          </w:tcPr>
          <w:p w:rsidR="009425C6" w:rsidRPr="009425C6" w:rsidRDefault="009425C6" w:rsidP="009425C6">
            <w:pPr>
              <w:keepNext/>
              <w:keepLines/>
              <w:adjustRightInd/>
              <w:spacing w:before="40" w:after="40" w:line="240" w:lineRule="auto"/>
              <w:textAlignment w:val="auto"/>
              <w:rPr>
                <w:rFonts w:asciiTheme="minorHAnsi" w:eastAsia="Calibri" w:hAnsiTheme="minorHAnsi"/>
                <w:b/>
                <w:sz w:val="18"/>
                <w:szCs w:val="18"/>
              </w:rPr>
            </w:pPr>
          </w:p>
        </w:tc>
        <w:tc>
          <w:tcPr>
            <w:tcW w:w="841" w:type="dxa"/>
            <w:shd w:val="clear" w:color="auto" w:fill="B8CCE4" w:themeFill="accent1" w:themeFillTint="66"/>
            <w:vAlign w:val="center"/>
          </w:tcPr>
          <w:p w:rsidR="009425C6" w:rsidRPr="002F02F1" w:rsidRDefault="009425C6" w:rsidP="009425C6">
            <w:pPr>
              <w:keepNext/>
              <w:keepLines/>
              <w:adjustRightInd/>
              <w:spacing w:before="40" w:after="40" w:line="240" w:lineRule="auto"/>
              <w:textAlignment w:val="auto"/>
              <w:rPr>
                <w:rFonts w:asciiTheme="minorHAnsi" w:eastAsia="Calibri" w:hAnsiTheme="minorHAnsi"/>
                <w:b/>
                <w:sz w:val="18"/>
                <w:szCs w:val="18"/>
              </w:rPr>
            </w:pPr>
            <w:r w:rsidRPr="002F02F1">
              <w:rPr>
                <w:rFonts w:asciiTheme="minorHAnsi" w:eastAsia="Calibri" w:hAnsiTheme="minorHAnsi"/>
                <w:b/>
                <w:sz w:val="18"/>
                <w:szCs w:val="18"/>
              </w:rPr>
              <w:t>Total</w:t>
            </w:r>
          </w:p>
        </w:tc>
        <w:tc>
          <w:tcPr>
            <w:tcW w:w="993" w:type="dxa"/>
            <w:shd w:val="clear" w:color="auto" w:fill="B8CCE4" w:themeFill="accent1" w:themeFillTint="66"/>
            <w:vAlign w:val="center"/>
          </w:tcPr>
          <w:p w:rsidR="009425C6" w:rsidRPr="002F02F1" w:rsidRDefault="009425C6" w:rsidP="009425C6">
            <w:pPr>
              <w:keepNext/>
              <w:keepLines/>
              <w:adjustRightInd/>
              <w:spacing w:before="40" w:after="40" w:line="240" w:lineRule="auto"/>
              <w:jc w:val="right"/>
              <w:textAlignment w:val="auto"/>
              <w:rPr>
                <w:rFonts w:asciiTheme="minorHAnsi" w:eastAsia="Calibri" w:hAnsiTheme="minorHAnsi"/>
                <w:b/>
                <w:sz w:val="18"/>
                <w:szCs w:val="18"/>
              </w:rPr>
            </w:pPr>
            <w:r w:rsidRPr="002F02F1">
              <w:rPr>
                <w:rFonts w:asciiTheme="minorHAnsi" w:hAnsiTheme="minorHAnsi"/>
                <w:b/>
                <w:sz w:val="18"/>
                <w:szCs w:val="18"/>
              </w:rPr>
              <w:t>8,368</w:t>
            </w:r>
          </w:p>
        </w:tc>
        <w:tc>
          <w:tcPr>
            <w:tcW w:w="1062" w:type="dxa"/>
            <w:shd w:val="clear" w:color="auto" w:fill="B8CCE4" w:themeFill="accent1" w:themeFillTint="66"/>
            <w:vAlign w:val="center"/>
          </w:tcPr>
          <w:p w:rsidR="009425C6" w:rsidRPr="002F02F1" w:rsidRDefault="009425C6" w:rsidP="009425C6">
            <w:pPr>
              <w:keepNext/>
              <w:keepLines/>
              <w:adjustRightInd/>
              <w:spacing w:before="40" w:after="40" w:line="240" w:lineRule="auto"/>
              <w:jc w:val="right"/>
              <w:textAlignment w:val="auto"/>
              <w:rPr>
                <w:rFonts w:asciiTheme="minorHAnsi" w:eastAsia="Calibri" w:hAnsiTheme="minorHAnsi"/>
                <w:b/>
                <w:sz w:val="18"/>
                <w:szCs w:val="18"/>
              </w:rPr>
            </w:pPr>
            <w:r w:rsidRPr="002F02F1">
              <w:rPr>
                <w:rFonts w:asciiTheme="minorHAnsi" w:hAnsiTheme="minorHAnsi"/>
                <w:b/>
                <w:sz w:val="18"/>
                <w:szCs w:val="18"/>
              </w:rPr>
              <w:t>5,532</w:t>
            </w:r>
          </w:p>
        </w:tc>
        <w:tc>
          <w:tcPr>
            <w:tcW w:w="1072" w:type="dxa"/>
            <w:shd w:val="clear" w:color="auto" w:fill="B8CCE4" w:themeFill="accent1" w:themeFillTint="66"/>
            <w:vAlign w:val="center"/>
          </w:tcPr>
          <w:p w:rsidR="009425C6" w:rsidRPr="002F02F1" w:rsidRDefault="009425C6" w:rsidP="009425C6">
            <w:pPr>
              <w:keepNext/>
              <w:keepLines/>
              <w:adjustRightInd/>
              <w:spacing w:before="40" w:after="40" w:line="240" w:lineRule="auto"/>
              <w:jc w:val="right"/>
              <w:textAlignment w:val="auto"/>
              <w:rPr>
                <w:rFonts w:asciiTheme="minorHAnsi" w:eastAsia="Calibri" w:hAnsiTheme="minorHAnsi"/>
                <w:b/>
                <w:sz w:val="18"/>
                <w:szCs w:val="18"/>
              </w:rPr>
            </w:pPr>
            <w:r w:rsidRPr="002F02F1">
              <w:rPr>
                <w:rFonts w:asciiTheme="minorHAnsi" w:hAnsiTheme="minorHAnsi"/>
                <w:b/>
                <w:sz w:val="18"/>
                <w:szCs w:val="18"/>
              </w:rPr>
              <w:t>5,983</w:t>
            </w:r>
          </w:p>
        </w:tc>
        <w:tc>
          <w:tcPr>
            <w:tcW w:w="1021" w:type="dxa"/>
            <w:shd w:val="clear" w:color="auto" w:fill="B8CCE4" w:themeFill="accent1" w:themeFillTint="66"/>
            <w:vAlign w:val="center"/>
          </w:tcPr>
          <w:p w:rsidR="009425C6" w:rsidRPr="002F02F1" w:rsidRDefault="009425C6" w:rsidP="009425C6">
            <w:pPr>
              <w:keepNext/>
              <w:keepLines/>
              <w:adjustRightInd/>
              <w:spacing w:before="40" w:after="40" w:line="240" w:lineRule="auto"/>
              <w:jc w:val="right"/>
              <w:textAlignment w:val="auto"/>
              <w:rPr>
                <w:rFonts w:asciiTheme="minorHAnsi" w:eastAsia="Calibri" w:hAnsiTheme="minorHAnsi"/>
                <w:b/>
                <w:sz w:val="18"/>
                <w:szCs w:val="18"/>
              </w:rPr>
            </w:pPr>
            <w:r w:rsidRPr="002F02F1">
              <w:rPr>
                <w:rFonts w:asciiTheme="minorHAnsi" w:hAnsiTheme="minorHAnsi"/>
                <w:b/>
                <w:sz w:val="18"/>
                <w:szCs w:val="18"/>
              </w:rPr>
              <w:t>8,509</w:t>
            </w:r>
          </w:p>
        </w:tc>
        <w:tc>
          <w:tcPr>
            <w:tcW w:w="993" w:type="dxa"/>
            <w:shd w:val="clear" w:color="auto" w:fill="B8CCE4" w:themeFill="accent1" w:themeFillTint="66"/>
            <w:vAlign w:val="center"/>
          </w:tcPr>
          <w:p w:rsidR="009425C6" w:rsidRPr="002F02F1" w:rsidRDefault="009425C6" w:rsidP="009425C6">
            <w:pPr>
              <w:keepNext/>
              <w:keepLines/>
              <w:adjustRightInd/>
              <w:spacing w:before="40" w:after="40" w:line="240" w:lineRule="auto"/>
              <w:jc w:val="right"/>
              <w:textAlignment w:val="auto"/>
              <w:rPr>
                <w:rFonts w:asciiTheme="minorHAnsi" w:eastAsia="Calibri" w:hAnsiTheme="minorHAnsi"/>
                <w:b/>
                <w:sz w:val="18"/>
                <w:szCs w:val="18"/>
              </w:rPr>
            </w:pPr>
            <w:r w:rsidRPr="002F02F1">
              <w:rPr>
                <w:rFonts w:asciiTheme="minorHAnsi" w:hAnsiTheme="minorHAnsi"/>
                <w:b/>
                <w:sz w:val="18"/>
                <w:szCs w:val="18"/>
              </w:rPr>
              <w:t>8,442</w:t>
            </w:r>
          </w:p>
        </w:tc>
        <w:tc>
          <w:tcPr>
            <w:tcW w:w="1072" w:type="dxa"/>
            <w:shd w:val="clear" w:color="auto" w:fill="B8CCE4" w:themeFill="accent1" w:themeFillTint="66"/>
            <w:vAlign w:val="center"/>
          </w:tcPr>
          <w:p w:rsidR="009425C6" w:rsidRPr="002F02F1" w:rsidRDefault="009425C6" w:rsidP="009425C6">
            <w:pPr>
              <w:keepNext/>
              <w:keepLines/>
              <w:adjustRightInd/>
              <w:spacing w:before="40" w:after="40" w:line="240" w:lineRule="auto"/>
              <w:jc w:val="right"/>
              <w:textAlignment w:val="auto"/>
              <w:rPr>
                <w:rFonts w:asciiTheme="minorHAnsi" w:eastAsia="Calibri" w:hAnsiTheme="minorHAnsi"/>
                <w:b/>
                <w:sz w:val="18"/>
                <w:szCs w:val="18"/>
              </w:rPr>
            </w:pPr>
            <w:r w:rsidRPr="002F02F1">
              <w:rPr>
                <w:rFonts w:asciiTheme="minorHAnsi" w:hAnsiTheme="minorHAnsi"/>
                <w:b/>
                <w:sz w:val="18"/>
                <w:szCs w:val="18"/>
              </w:rPr>
              <w:t>5,196</w:t>
            </w:r>
          </w:p>
        </w:tc>
      </w:tr>
      <w:tr w:rsidR="009425C6" w:rsidRPr="009425C6" w:rsidTr="009425C6">
        <w:trPr>
          <w:jc w:val="center"/>
        </w:trPr>
        <w:tc>
          <w:tcPr>
            <w:tcW w:w="1936" w:type="dxa"/>
            <w:vMerge w:val="restart"/>
            <w:shd w:val="clear" w:color="auto" w:fill="DBE5F1" w:themeFill="accent1" w:themeFillTint="33"/>
            <w:vAlign w:val="center"/>
          </w:tcPr>
          <w:p w:rsidR="009425C6" w:rsidRPr="009425C6" w:rsidRDefault="009425C6" w:rsidP="009425C6">
            <w:pPr>
              <w:keepNext/>
              <w:keepLines/>
              <w:adjustRightInd/>
              <w:spacing w:before="40" w:after="40" w:line="240" w:lineRule="auto"/>
              <w:textAlignment w:val="auto"/>
              <w:rPr>
                <w:rFonts w:asciiTheme="minorHAnsi" w:eastAsia="Calibri" w:hAnsiTheme="minorHAnsi"/>
                <w:b/>
                <w:sz w:val="18"/>
                <w:szCs w:val="18"/>
              </w:rPr>
            </w:pPr>
            <w:r w:rsidRPr="009425C6">
              <w:rPr>
                <w:rFonts w:asciiTheme="minorHAnsi" w:eastAsia="Calibri" w:hAnsiTheme="minorHAnsi"/>
                <w:b/>
                <w:sz w:val="18"/>
                <w:szCs w:val="18"/>
              </w:rPr>
              <w:t>2030 Constrained</w:t>
            </w:r>
          </w:p>
        </w:tc>
        <w:tc>
          <w:tcPr>
            <w:tcW w:w="841" w:type="dxa"/>
            <w:shd w:val="clear" w:color="auto" w:fill="DBE5F1" w:themeFill="accent1" w:themeFillTint="33"/>
            <w:vAlign w:val="center"/>
          </w:tcPr>
          <w:p w:rsidR="009425C6" w:rsidRPr="009425C6" w:rsidRDefault="009425C6" w:rsidP="009425C6">
            <w:pPr>
              <w:keepNext/>
              <w:keepLines/>
              <w:adjustRightInd/>
              <w:spacing w:before="40" w:after="40" w:line="240" w:lineRule="auto"/>
              <w:textAlignment w:val="auto"/>
              <w:rPr>
                <w:rFonts w:asciiTheme="minorHAnsi" w:eastAsia="Calibri" w:hAnsiTheme="minorHAnsi"/>
                <w:sz w:val="18"/>
                <w:szCs w:val="18"/>
              </w:rPr>
            </w:pPr>
            <w:r w:rsidRPr="009425C6">
              <w:rPr>
                <w:rFonts w:asciiTheme="minorHAnsi" w:eastAsia="Calibri" w:hAnsiTheme="minorHAnsi"/>
                <w:sz w:val="18"/>
                <w:szCs w:val="18"/>
              </w:rPr>
              <w:t>LSE energy expense</w:t>
            </w:r>
          </w:p>
        </w:tc>
        <w:tc>
          <w:tcPr>
            <w:tcW w:w="993" w:type="dxa"/>
            <w:shd w:val="clear" w:color="auto" w:fill="DBE5F1" w:themeFill="accent1" w:themeFillTint="33"/>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eastAsia="Calibri" w:hAnsiTheme="minorHAnsi"/>
                <w:sz w:val="18"/>
                <w:szCs w:val="18"/>
              </w:rPr>
              <w:t>8,268</w:t>
            </w:r>
          </w:p>
        </w:tc>
        <w:tc>
          <w:tcPr>
            <w:tcW w:w="1062" w:type="dxa"/>
            <w:shd w:val="clear" w:color="auto" w:fill="DBE5F1" w:themeFill="accent1" w:themeFillTint="33"/>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eastAsia="Calibri" w:hAnsiTheme="minorHAnsi"/>
                <w:sz w:val="18"/>
                <w:szCs w:val="18"/>
              </w:rPr>
              <w:t>7,676</w:t>
            </w:r>
          </w:p>
        </w:tc>
        <w:tc>
          <w:tcPr>
            <w:tcW w:w="1072" w:type="dxa"/>
            <w:shd w:val="clear" w:color="auto" w:fill="DBE5F1" w:themeFill="accent1" w:themeFillTint="33"/>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eastAsia="Calibri" w:hAnsiTheme="minorHAnsi"/>
                <w:sz w:val="18"/>
                <w:szCs w:val="18"/>
              </w:rPr>
              <w:t>6,130</w:t>
            </w:r>
          </w:p>
        </w:tc>
        <w:tc>
          <w:tcPr>
            <w:tcW w:w="1021" w:type="dxa"/>
            <w:shd w:val="clear" w:color="auto" w:fill="DBE5F1" w:themeFill="accent1" w:themeFillTint="33"/>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eastAsia="Calibri" w:hAnsiTheme="minorHAnsi"/>
                <w:sz w:val="18"/>
                <w:szCs w:val="18"/>
              </w:rPr>
              <w:t>8,377</w:t>
            </w:r>
          </w:p>
        </w:tc>
        <w:tc>
          <w:tcPr>
            <w:tcW w:w="993" w:type="dxa"/>
            <w:shd w:val="clear" w:color="auto" w:fill="DBE5F1" w:themeFill="accent1" w:themeFillTint="33"/>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eastAsia="Calibri" w:hAnsiTheme="minorHAnsi"/>
                <w:sz w:val="18"/>
                <w:szCs w:val="18"/>
              </w:rPr>
              <w:t>8,345</w:t>
            </w:r>
          </w:p>
        </w:tc>
        <w:tc>
          <w:tcPr>
            <w:tcW w:w="1072" w:type="dxa"/>
            <w:shd w:val="clear" w:color="auto" w:fill="DBE5F1" w:themeFill="accent1" w:themeFillTint="33"/>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eastAsia="Calibri" w:hAnsiTheme="minorHAnsi"/>
                <w:sz w:val="18"/>
                <w:szCs w:val="18"/>
              </w:rPr>
              <w:t>5,613</w:t>
            </w:r>
          </w:p>
        </w:tc>
      </w:tr>
      <w:tr w:rsidR="009425C6" w:rsidRPr="009425C6" w:rsidTr="009425C6">
        <w:trPr>
          <w:jc w:val="center"/>
        </w:trPr>
        <w:tc>
          <w:tcPr>
            <w:tcW w:w="1936" w:type="dxa"/>
            <w:vMerge/>
            <w:shd w:val="clear" w:color="auto" w:fill="DBE5F1" w:themeFill="accent1" w:themeFillTint="33"/>
            <w:vAlign w:val="center"/>
          </w:tcPr>
          <w:p w:rsidR="009425C6" w:rsidRPr="009425C6" w:rsidRDefault="009425C6" w:rsidP="009425C6">
            <w:pPr>
              <w:keepNext/>
              <w:keepLines/>
              <w:adjustRightInd/>
              <w:spacing w:before="40" w:after="40" w:line="240" w:lineRule="auto"/>
              <w:textAlignment w:val="auto"/>
              <w:rPr>
                <w:rFonts w:asciiTheme="minorHAnsi" w:eastAsia="Calibri" w:hAnsiTheme="minorHAnsi"/>
                <w:sz w:val="18"/>
                <w:szCs w:val="18"/>
              </w:rPr>
            </w:pPr>
          </w:p>
        </w:tc>
        <w:tc>
          <w:tcPr>
            <w:tcW w:w="841" w:type="dxa"/>
            <w:shd w:val="clear" w:color="auto" w:fill="DBE5F1" w:themeFill="accent1" w:themeFillTint="33"/>
            <w:vAlign w:val="center"/>
          </w:tcPr>
          <w:p w:rsidR="009425C6" w:rsidRPr="009425C6" w:rsidRDefault="009425C6" w:rsidP="009425C6">
            <w:pPr>
              <w:keepNext/>
              <w:keepLines/>
              <w:adjustRightInd/>
              <w:spacing w:before="40" w:after="40" w:line="240" w:lineRule="auto"/>
              <w:textAlignment w:val="auto"/>
              <w:rPr>
                <w:rFonts w:asciiTheme="minorHAnsi" w:eastAsia="Calibri" w:hAnsiTheme="minorHAnsi"/>
                <w:sz w:val="18"/>
                <w:szCs w:val="18"/>
              </w:rPr>
            </w:pPr>
            <w:r w:rsidRPr="009425C6">
              <w:rPr>
                <w:rFonts w:asciiTheme="minorHAnsi" w:eastAsia="Calibri" w:hAnsiTheme="minorHAnsi"/>
                <w:sz w:val="18"/>
                <w:szCs w:val="18"/>
              </w:rPr>
              <w:t>Uplift</w:t>
            </w:r>
          </w:p>
        </w:tc>
        <w:tc>
          <w:tcPr>
            <w:tcW w:w="993" w:type="dxa"/>
            <w:shd w:val="clear" w:color="auto" w:fill="DBE5F1" w:themeFill="accent1" w:themeFillTint="33"/>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hAnsiTheme="minorHAnsi"/>
                <w:sz w:val="18"/>
                <w:szCs w:val="18"/>
              </w:rPr>
              <w:t>109</w:t>
            </w:r>
          </w:p>
        </w:tc>
        <w:tc>
          <w:tcPr>
            <w:tcW w:w="1062" w:type="dxa"/>
            <w:shd w:val="clear" w:color="auto" w:fill="DBE5F1" w:themeFill="accent1" w:themeFillTint="33"/>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hAnsiTheme="minorHAnsi"/>
                <w:sz w:val="18"/>
                <w:szCs w:val="18"/>
              </w:rPr>
              <w:t>180</w:t>
            </w:r>
          </w:p>
        </w:tc>
        <w:tc>
          <w:tcPr>
            <w:tcW w:w="1072" w:type="dxa"/>
            <w:shd w:val="clear" w:color="auto" w:fill="DBE5F1" w:themeFill="accent1" w:themeFillTint="33"/>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hAnsiTheme="minorHAnsi"/>
                <w:sz w:val="18"/>
                <w:szCs w:val="18"/>
              </w:rPr>
              <w:t>161</w:t>
            </w:r>
          </w:p>
        </w:tc>
        <w:tc>
          <w:tcPr>
            <w:tcW w:w="1021" w:type="dxa"/>
            <w:shd w:val="clear" w:color="auto" w:fill="DBE5F1" w:themeFill="accent1" w:themeFillTint="33"/>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hAnsiTheme="minorHAnsi"/>
                <w:sz w:val="18"/>
                <w:szCs w:val="18"/>
              </w:rPr>
              <w:t>140</w:t>
            </w:r>
          </w:p>
        </w:tc>
        <w:tc>
          <w:tcPr>
            <w:tcW w:w="993" w:type="dxa"/>
            <w:shd w:val="clear" w:color="auto" w:fill="DBE5F1" w:themeFill="accent1" w:themeFillTint="33"/>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hAnsiTheme="minorHAnsi"/>
                <w:sz w:val="18"/>
                <w:szCs w:val="18"/>
              </w:rPr>
              <w:t>106</w:t>
            </w:r>
          </w:p>
        </w:tc>
        <w:tc>
          <w:tcPr>
            <w:tcW w:w="1072" w:type="dxa"/>
            <w:shd w:val="clear" w:color="auto" w:fill="DBE5F1" w:themeFill="accent1" w:themeFillTint="33"/>
            <w:vAlign w:val="center"/>
          </w:tcPr>
          <w:p w:rsidR="009425C6" w:rsidRPr="009425C6" w:rsidRDefault="009425C6" w:rsidP="009425C6">
            <w:pPr>
              <w:keepNext/>
              <w:keepLines/>
              <w:adjustRightInd/>
              <w:spacing w:before="40" w:after="40" w:line="240" w:lineRule="auto"/>
              <w:jc w:val="right"/>
              <w:textAlignment w:val="auto"/>
              <w:rPr>
                <w:rFonts w:asciiTheme="minorHAnsi" w:eastAsia="Calibri" w:hAnsiTheme="minorHAnsi"/>
                <w:sz w:val="18"/>
                <w:szCs w:val="18"/>
              </w:rPr>
            </w:pPr>
            <w:r w:rsidRPr="009425C6">
              <w:rPr>
                <w:rFonts w:asciiTheme="minorHAnsi" w:hAnsiTheme="minorHAnsi"/>
                <w:sz w:val="18"/>
                <w:szCs w:val="18"/>
              </w:rPr>
              <w:t>278</w:t>
            </w:r>
          </w:p>
        </w:tc>
      </w:tr>
      <w:tr w:rsidR="009425C6" w:rsidRPr="009425C6" w:rsidTr="00737F69">
        <w:trPr>
          <w:jc w:val="center"/>
        </w:trPr>
        <w:tc>
          <w:tcPr>
            <w:tcW w:w="1936" w:type="dxa"/>
            <w:vMerge/>
            <w:shd w:val="clear" w:color="auto" w:fill="DBE5F1" w:themeFill="accent1" w:themeFillTint="33"/>
            <w:vAlign w:val="center"/>
          </w:tcPr>
          <w:p w:rsidR="009425C6" w:rsidRPr="009425C6" w:rsidRDefault="009425C6" w:rsidP="009425C6">
            <w:pPr>
              <w:keepNext/>
              <w:keepLines/>
              <w:adjustRightInd/>
              <w:spacing w:before="40" w:after="40" w:line="240" w:lineRule="auto"/>
              <w:textAlignment w:val="auto"/>
              <w:rPr>
                <w:rFonts w:asciiTheme="minorHAnsi" w:eastAsia="Calibri" w:hAnsiTheme="minorHAnsi"/>
                <w:sz w:val="18"/>
                <w:szCs w:val="18"/>
              </w:rPr>
            </w:pPr>
          </w:p>
        </w:tc>
        <w:tc>
          <w:tcPr>
            <w:tcW w:w="841" w:type="dxa"/>
            <w:shd w:val="clear" w:color="auto" w:fill="B8CCE4" w:themeFill="accent1" w:themeFillTint="66"/>
            <w:vAlign w:val="center"/>
          </w:tcPr>
          <w:p w:rsidR="009425C6" w:rsidRPr="002F02F1" w:rsidRDefault="009425C6" w:rsidP="009425C6">
            <w:pPr>
              <w:keepNext/>
              <w:keepLines/>
              <w:adjustRightInd/>
              <w:spacing w:before="40" w:after="40" w:line="240" w:lineRule="auto"/>
              <w:textAlignment w:val="auto"/>
              <w:rPr>
                <w:rFonts w:asciiTheme="minorHAnsi" w:eastAsia="Calibri" w:hAnsiTheme="minorHAnsi"/>
                <w:b/>
                <w:sz w:val="18"/>
                <w:szCs w:val="18"/>
              </w:rPr>
            </w:pPr>
            <w:r w:rsidRPr="002F02F1">
              <w:rPr>
                <w:rFonts w:asciiTheme="minorHAnsi" w:eastAsia="Calibri" w:hAnsiTheme="minorHAnsi"/>
                <w:b/>
                <w:sz w:val="18"/>
                <w:szCs w:val="18"/>
              </w:rPr>
              <w:t>Total</w:t>
            </w:r>
          </w:p>
        </w:tc>
        <w:tc>
          <w:tcPr>
            <w:tcW w:w="993" w:type="dxa"/>
            <w:shd w:val="clear" w:color="auto" w:fill="B8CCE4" w:themeFill="accent1" w:themeFillTint="66"/>
            <w:vAlign w:val="center"/>
          </w:tcPr>
          <w:p w:rsidR="009425C6" w:rsidRPr="002F02F1" w:rsidRDefault="009425C6" w:rsidP="009425C6">
            <w:pPr>
              <w:keepNext/>
              <w:keepLines/>
              <w:adjustRightInd/>
              <w:spacing w:before="40" w:after="40" w:line="240" w:lineRule="auto"/>
              <w:jc w:val="right"/>
              <w:textAlignment w:val="auto"/>
              <w:rPr>
                <w:rFonts w:asciiTheme="minorHAnsi" w:eastAsia="Calibri" w:hAnsiTheme="minorHAnsi"/>
                <w:b/>
                <w:sz w:val="18"/>
                <w:szCs w:val="18"/>
              </w:rPr>
            </w:pPr>
            <w:r w:rsidRPr="002F02F1">
              <w:rPr>
                <w:rFonts w:asciiTheme="minorHAnsi" w:hAnsiTheme="minorHAnsi"/>
                <w:b/>
                <w:sz w:val="18"/>
                <w:szCs w:val="18"/>
              </w:rPr>
              <w:t>8,377</w:t>
            </w:r>
          </w:p>
        </w:tc>
        <w:tc>
          <w:tcPr>
            <w:tcW w:w="1062" w:type="dxa"/>
            <w:shd w:val="clear" w:color="auto" w:fill="B8CCE4" w:themeFill="accent1" w:themeFillTint="66"/>
            <w:vAlign w:val="center"/>
          </w:tcPr>
          <w:p w:rsidR="009425C6" w:rsidRPr="002F02F1" w:rsidRDefault="009425C6" w:rsidP="009425C6">
            <w:pPr>
              <w:keepNext/>
              <w:keepLines/>
              <w:adjustRightInd/>
              <w:spacing w:before="40" w:after="40" w:line="240" w:lineRule="auto"/>
              <w:jc w:val="right"/>
              <w:textAlignment w:val="auto"/>
              <w:rPr>
                <w:rFonts w:asciiTheme="minorHAnsi" w:eastAsia="Calibri" w:hAnsiTheme="minorHAnsi"/>
                <w:b/>
                <w:sz w:val="18"/>
                <w:szCs w:val="18"/>
              </w:rPr>
            </w:pPr>
            <w:r w:rsidRPr="002F02F1">
              <w:rPr>
                <w:rFonts w:asciiTheme="minorHAnsi" w:hAnsiTheme="minorHAnsi"/>
                <w:b/>
                <w:sz w:val="18"/>
                <w:szCs w:val="18"/>
              </w:rPr>
              <w:t>7,855</w:t>
            </w:r>
          </w:p>
        </w:tc>
        <w:tc>
          <w:tcPr>
            <w:tcW w:w="1072" w:type="dxa"/>
            <w:shd w:val="clear" w:color="auto" w:fill="B8CCE4" w:themeFill="accent1" w:themeFillTint="66"/>
            <w:vAlign w:val="center"/>
          </w:tcPr>
          <w:p w:rsidR="009425C6" w:rsidRPr="002F02F1" w:rsidRDefault="009425C6" w:rsidP="009425C6">
            <w:pPr>
              <w:keepNext/>
              <w:keepLines/>
              <w:adjustRightInd/>
              <w:spacing w:before="40" w:after="40" w:line="240" w:lineRule="auto"/>
              <w:jc w:val="right"/>
              <w:textAlignment w:val="auto"/>
              <w:rPr>
                <w:rFonts w:asciiTheme="minorHAnsi" w:eastAsia="Calibri" w:hAnsiTheme="minorHAnsi"/>
                <w:b/>
                <w:sz w:val="18"/>
                <w:szCs w:val="18"/>
              </w:rPr>
            </w:pPr>
            <w:r w:rsidRPr="002F02F1">
              <w:rPr>
                <w:rFonts w:asciiTheme="minorHAnsi" w:hAnsiTheme="minorHAnsi"/>
                <w:b/>
                <w:sz w:val="18"/>
                <w:szCs w:val="18"/>
              </w:rPr>
              <w:t>6,291</w:t>
            </w:r>
          </w:p>
        </w:tc>
        <w:tc>
          <w:tcPr>
            <w:tcW w:w="1021" w:type="dxa"/>
            <w:shd w:val="clear" w:color="auto" w:fill="B8CCE4" w:themeFill="accent1" w:themeFillTint="66"/>
            <w:vAlign w:val="center"/>
          </w:tcPr>
          <w:p w:rsidR="009425C6" w:rsidRPr="002F02F1" w:rsidRDefault="009425C6" w:rsidP="009425C6">
            <w:pPr>
              <w:keepNext/>
              <w:keepLines/>
              <w:adjustRightInd/>
              <w:spacing w:before="40" w:after="40" w:line="240" w:lineRule="auto"/>
              <w:jc w:val="right"/>
              <w:textAlignment w:val="auto"/>
              <w:rPr>
                <w:rFonts w:asciiTheme="minorHAnsi" w:eastAsia="Calibri" w:hAnsiTheme="minorHAnsi"/>
                <w:b/>
                <w:sz w:val="18"/>
                <w:szCs w:val="18"/>
              </w:rPr>
            </w:pPr>
            <w:r w:rsidRPr="002F02F1">
              <w:rPr>
                <w:rFonts w:asciiTheme="minorHAnsi" w:hAnsiTheme="minorHAnsi"/>
                <w:b/>
                <w:sz w:val="18"/>
                <w:szCs w:val="18"/>
              </w:rPr>
              <w:t>8,517</w:t>
            </w:r>
          </w:p>
        </w:tc>
        <w:tc>
          <w:tcPr>
            <w:tcW w:w="993" w:type="dxa"/>
            <w:shd w:val="clear" w:color="auto" w:fill="B8CCE4" w:themeFill="accent1" w:themeFillTint="66"/>
            <w:vAlign w:val="center"/>
          </w:tcPr>
          <w:p w:rsidR="009425C6" w:rsidRPr="002F02F1" w:rsidRDefault="009425C6" w:rsidP="009425C6">
            <w:pPr>
              <w:keepNext/>
              <w:keepLines/>
              <w:adjustRightInd/>
              <w:spacing w:before="40" w:after="40" w:line="240" w:lineRule="auto"/>
              <w:jc w:val="right"/>
              <w:textAlignment w:val="auto"/>
              <w:rPr>
                <w:rFonts w:asciiTheme="minorHAnsi" w:eastAsia="Calibri" w:hAnsiTheme="minorHAnsi"/>
                <w:b/>
                <w:sz w:val="18"/>
                <w:szCs w:val="18"/>
              </w:rPr>
            </w:pPr>
            <w:r w:rsidRPr="002F02F1">
              <w:rPr>
                <w:rFonts w:asciiTheme="minorHAnsi" w:hAnsiTheme="minorHAnsi"/>
                <w:b/>
                <w:sz w:val="18"/>
                <w:szCs w:val="18"/>
              </w:rPr>
              <w:t>8,451</w:t>
            </w:r>
          </w:p>
        </w:tc>
        <w:tc>
          <w:tcPr>
            <w:tcW w:w="1072" w:type="dxa"/>
            <w:shd w:val="clear" w:color="auto" w:fill="B8CCE4" w:themeFill="accent1" w:themeFillTint="66"/>
            <w:vAlign w:val="center"/>
          </w:tcPr>
          <w:p w:rsidR="009425C6" w:rsidRPr="002F02F1" w:rsidRDefault="009425C6" w:rsidP="009425C6">
            <w:pPr>
              <w:keepNext/>
              <w:keepLines/>
              <w:adjustRightInd/>
              <w:spacing w:before="40" w:after="40" w:line="240" w:lineRule="auto"/>
              <w:jc w:val="right"/>
              <w:textAlignment w:val="auto"/>
              <w:rPr>
                <w:rFonts w:asciiTheme="minorHAnsi" w:eastAsia="Calibri" w:hAnsiTheme="minorHAnsi"/>
                <w:b/>
                <w:sz w:val="18"/>
                <w:szCs w:val="18"/>
              </w:rPr>
            </w:pPr>
            <w:r w:rsidRPr="002F02F1">
              <w:rPr>
                <w:rFonts w:asciiTheme="minorHAnsi" w:hAnsiTheme="minorHAnsi"/>
                <w:b/>
                <w:sz w:val="18"/>
                <w:szCs w:val="18"/>
              </w:rPr>
              <w:t>5,891</w:t>
            </w:r>
          </w:p>
        </w:tc>
      </w:tr>
    </w:tbl>
    <w:p w:rsidR="00B30B20" w:rsidRDefault="00B30B20" w:rsidP="00F33DED"/>
    <w:p w:rsidR="00E229CB" w:rsidRDefault="00974703" w:rsidP="00F33DED">
      <w:r>
        <w:t xml:space="preserve">The difference between the constrained and the unconstrained LSE </w:t>
      </w:r>
      <w:r w:rsidR="00100B36">
        <w:t>e</w:t>
      </w:r>
      <w:r>
        <w:t xml:space="preserve">nergy </w:t>
      </w:r>
      <w:r w:rsidR="00100B36">
        <w:t>e</w:t>
      </w:r>
      <w:r>
        <w:t xml:space="preserve">xpenses is the </w:t>
      </w:r>
      <w:r w:rsidR="00E229CB">
        <w:t xml:space="preserve">total </w:t>
      </w:r>
      <w:r>
        <w:t>annual value of congestion</w:t>
      </w:r>
      <w:r w:rsidR="00E229CB">
        <w:t xml:space="preserve">. </w:t>
      </w:r>
      <w:r w:rsidR="004A0B9D">
        <w:fldChar w:fldCharType="begin"/>
      </w:r>
      <w:r w:rsidR="004A0B9D">
        <w:instrText xml:space="preserve"> REF _Ref476920008 \h </w:instrText>
      </w:r>
      <w:r w:rsidR="004A0B9D">
        <w:fldChar w:fldCharType="separate"/>
      </w:r>
      <w:r w:rsidR="00742B49">
        <w:t xml:space="preserve">Figure </w:t>
      </w:r>
      <w:r w:rsidR="00742B49">
        <w:rPr>
          <w:noProof/>
        </w:rPr>
        <w:t>6</w:t>
      </w:r>
      <w:r w:rsidR="00742B49">
        <w:noBreakHyphen/>
      </w:r>
      <w:r w:rsidR="00742B49">
        <w:rPr>
          <w:noProof/>
        </w:rPr>
        <w:t>9</w:t>
      </w:r>
      <w:r w:rsidR="004A0B9D">
        <w:fldChar w:fldCharType="end"/>
      </w:r>
      <w:r w:rsidR="004A0B9D">
        <w:t xml:space="preserve"> and </w:t>
      </w:r>
      <w:r w:rsidR="004A0B9D">
        <w:fldChar w:fldCharType="begin"/>
      </w:r>
      <w:r w:rsidR="004A0B9D">
        <w:instrText xml:space="preserve"> REF _Ref476920010 \h </w:instrText>
      </w:r>
      <w:r w:rsidR="004A0B9D">
        <w:fldChar w:fldCharType="separate"/>
      </w:r>
      <w:r w:rsidR="00742B49">
        <w:t xml:space="preserve">Figure </w:t>
      </w:r>
      <w:r w:rsidR="00742B49">
        <w:rPr>
          <w:noProof/>
        </w:rPr>
        <w:t>6</w:t>
      </w:r>
      <w:r w:rsidR="00742B49">
        <w:noBreakHyphen/>
      </w:r>
      <w:r w:rsidR="00742B49">
        <w:rPr>
          <w:noProof/>
        </w:rPr>
        <w:t>10</w:t>
      </w:r>
      <w:r w:rsidR="004A0B9D">
        <w:fldChar w:fldCharType="end"/>
      </w:r>
      <w:r w:rsidR="00E229CB">
        <w:t xml:space="preserve"> show</w:t>
      </w:r>
      <w:r w:rsidR="006B07E8">
        <w:t xml:space="preserve"> this</w:t>
      </w:r>
      <w:r w:rsidR="00D3402A">
        <w:t xml:space="preserve"> </w:t>
      </w:r>
      <w:r w:rsidR="00E229CB">
        <w:t xml:space="preserve">congestion </w:t>
      </w:r>
      <w:r w:rsidR="006B07E8">
        <w:t xml:space="preserve">metric </w:t>
      </w:r>
      <w:r w:rsidR="00E229CB">
        <w:t>and the amounts attributable to individual interfaces</w:t>
      </w:r>
      <w:r w:rsidR="004A0B9D">
        <w:t xml:space="preserve"> for 2025 and 2030</w:t>
      </w:r>
      <w:r w:rsidR="00E229CB">
        <w:t xml:space="preserve">. </w:t>
      </w:r>
      <w:r w:rsidR="009B0A48" w:rsidRPr="007B1070">
        <w:fldChar w:fldCharType="begin"/>
      </w:r>
      <w:r w:rsidR="009B0A48" w:rsidRPr="007B1070">
        <w:instrText xml:space="preserve"> REF _Ref483836014 \h </w:instrText>
      </w:r>
      <w:r w:rsidR="009B0A48" w:rsidRPr="00B30B20">
        <w:instrText xml:space="preserve"> \* MERGEFORMAT </w:instrText>
      </w:r>
      <w:r w:rsidR="009B0A48" w:rsidRPr="007B1070">
        <w:fldChar w:fldCharType="separate"/>
      </w:r>
      <w:r w:rsidR="00742B49">
        <w:t xml:space="preserve">Table </w:t>
      </w:r>
      <w:r w:rsidR="00742B49">
        <w:rPr>
          <w:noProof/>
        </w:rPr>
        <w:t>6</w:t>
      </w:r>
      <w:r w:rsidR="00742B49">
        <w:rPr>
          <w:noProof/>
        </w:rPr>
        <w:noBreakHyphen/>
      </w:r>
      <w:r w:rsidR="009B0A48" w:rsidRPr="007B1070">
        <w:fldChar w:fldCharType="end"/>
      </w:r>
      <w:r w:rsidR="00F10B5D">
        <w:t>10</w:t>
      </w:r>
      <w:r w:rsidR="009B0A48" w:rsidRPr="007B1070">
        <w:t xml:space="preserve"> shows the data for these figures.</w:t>
      </w:r>
      <w:r w:rsidR="009B0A48">
        <w:t xml:space="preserve"> </w:t>
      </w:r>
      <w:r w:rsidR="00E229CB">
        <w:t>Scenarios 4</w:t>
      </w:r>
      <w:r>
        <w:t xml:space="preserve"> </w:t>
      </w:r>
      <w:r w:rsidR="00E229CB">
        <w:t xml:space="preserve">and 5 show </w:t>
      </w:r>
      <w:r w:rsidR="00EC6C1D">
        <w:t xml:space="preserve">virtually </w:t>
      </w:r>
      <w:r w:rsidR="00E229CB">
        <w:t>no congestion because resources are well situated near the load centers in southern New England. Scenario 1 has some congestion</w:t>
      </w:r>
      <w:r w:rsidR="004A0B9D">
        <w:t>,</w:t>
      </w:r>
      <w:r w:rsidR="00E229CB">
        <w:t xml:space="preserve"> resulting from the expansion of wind resources whose production </w:t>
      </w:r>
      <w:r w:rsidR="006B07E8">
        <w:t xml:space="preserve">would </w:t>
      </w:r>
      <w:r w:rsidR="001264F1">
        <w:t xml:space="preserve">result in transmission flows </w:t>
      </w:r>
      <w:r w:rsidR="00E229CB">
        <w:t>exceed</w:t>
      </w:r>
      <w:r w:rsidR="001264F1">
        <w:t>ing</w:t>
      </w:r>
      <w:r w:rsidR="00E229CB">
        <w:t xml:space="preserve"> the export capability of the interfaces in Maine during some hours</w:t>
      </w:r>
      <w:r w:rsidR="00B30B20">
        <w:t>,</w:t>
      </w:r>
      <w:r w:rsidR="00582CDC">
        <w:t xml:space="preserve"> </w:t>
      </w:r>
      <w:r w:rsidR="006B07E8">
        <w:t xml:space="preserve">as seen in the interface flows </w:t>
      </w:r>
      <w:r w:rsidR="00582CDC">
        <w:t>of the unconstrained case</w:t>
      </w:r>
      <w:r w:rsidR="009E7B29">
        <w:t xml:space="preserve">. </w:t>
      </w:r>
      <w:r w:rsidR="00EC6C1D">
        <w:t>This is similar</w:t>
      </w:r>
      <w:r w:rsidR="00A375AF">
        <w:t xml:space="preserve"> to the patterns shown in Scenario 3 for 2025, but the amount of congestion in Scenario 3 </w:t>
      </w:r>
      <w:r w:rsidR="007C3C50">
        <w:t xml:space="preserve">decreases </w:t>
      </w:r>
      <w:r w:rsidR="00A375AF">
        <w:t>in 2030</w:t>
      </w:r>
      <w:r w:rsidR="00E8164F">
        <w:t xml:space="preserve"> </w:t>
      </w:r>
      <w:r w:rsidR="00582CDC">
        <w:t xml:space="preserve">because </w:t>
      </w:r>
      <w:r w:rsidR="00E8164F">
        <w:t>this s</w:t>
      </w:r>
      <w:r w:rsidR="00A375AF">
        <w:t>cenario adds additional resources and imports in southern New England that have low production costs.</w:t>
      </w:r>
      <w:r w:rsidR="007C3C50">
        <w:t xml:space="preserve"> The congestion in Scenario 6 results from </w:t>
      </w:r>
      <w:r w:rsidR="00E8164F">
        <w:t xml:space="preserve">the </w:t>
      </w:r>
      <w:r w:rsidR="007C3C50">
        <w:t>expansion of wind resources in Maine, but the congestion is relatively low because the offshore expansion of wind resources is electrically close to the load centers in southern New England</w:t>
      </w:r>
      <w:r w:rsidR="009E7B29">
        <w:t xml:space="preserve">. </w:t>
      </w:r>
      <w:r w:rsidR="007C3C50">
        <w:t>Scenario 2, which has the highest amounts of wind production in Maine, shows the largest amount of congestion</w:t>
      </w:r>
      <w:r w:rsidR="009E7B29">
        <w:t xml:space="preserve">. </w:t>
      </w:r>
      <w:r w:rsidR="00A375AF">
        <w:t xml:space="preserve"> </w:t>
      </w:r>
    </w:p>
    <w:p w:rsidR="009B0A48" w:rsidRDefault="009B0A48" w:rsidP="00712F7A">
      <w:pPr>
        <w:keepNext/>
        <w:keepLines/>
        <w:spacing w:after="0" w:line="240" w:lineRule="auto"/>
        <w:jc w:val="center"/>
      </w:pPr>
      <w:r w:rsidRPr="009B0A48">
        <w:rPr>
          <w:noProof/>
        </w:rPr>
        <w:lastRenderedPageBreak/>
        <w:drawing>
          <wp:inline distT="0" distB="0" distL="0" distR="0" wp14:anchorId="0D3420E1" wp14:editId="23DE0C44">
            <wp:extent cx="5258106" cy="2517648"/>
            <wp:effectExtent l="19050" t="19050" r="19050" b="165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57874" cy="2517537"/>
                    </a:xfrm>
                    <a:prstGeom prst="rect">
                      <a:avLst/>
                    </a:prstGeom>
                    <a:noFill/>
                    <a:ln w="3175">
                      <a:solidFill>
                        <a:schemeClr val="tx1"/>
                      </a:solidFill>
                    </a:ln>
                  </pic:spPr>
                </pic:pic>
              </a:graphicData>
            </a:graphic>
          </wp:inline>
        </w:drawing>
      </w:r>
    </w:p>
    <w:p w:rsidR="004A0B9D" w:rsidRDefault="00B07739" w:rsidP="009B0A48">
      <w:pPr>
        <w:pStyle w:val="Caption"/>
        <w:spacing w:before="120" w:after="240"/>
        <w:ind w:left="540" w:right="1440"/>
      </w:pPr>
      <w:bookmarkStart w:id="300" w:name="_Ref476920008"/>
      <w:bookmarkStart w:id="301" w:name="_Toc486406079"/>
      <w:r>
        <w:t xml:space="preserve">Figure </w:t>
      </w:r>
      <w:fldSimple w:instr=" STYLEREF 1 \s ">
        <w:r w:rsidR="00742B49">
          <w:rPr>
            <w:noProof/>
          </w:rPr>
          <w:t>6</w:t>
        </w:r>
      </w:fldSimple>
      <w:r w:rsidR="00024994">
        <w:noBreakHyphen/>
      </w:r>
      <w:fldSimple w:instr=" SEQ Figure \* ARABIC \s 1 ">
        <w:r w:rsidR="00742B49">
          <w:rPr>
            <w:noProof/>
          </w:rPr>
          <w:t>9</w:t>
        </w:r>
      </w:fldSimple>
      <w:bookmarkEnd w:id="300"/>
      <w:r>
        <w:t xml:space="preserve">: </w:t>
      </w:r>
      <w:r w:rsidRPr="00B07739">
        <w:t xml:space="preserve">GridView </w:t>
      </w:r>
      <w:r w:rsidR="004A0B9D">
        <w:t>c</w:t>
      </w:r>
      <w:r w:rsidRPr="00B07739">
        <w:t xml:space="preserve">ongestion </w:t>
      </w:r>
      <w:r w:rsidR="004A0B9D">
        <w:t>m</w:t>
      </w:r>
      <w:r w:rsidRPr="00B07739">
        <w:t>etric</w:t>
      </w:r>
      <w:r w:rsidR="004A0B9D">
        <w:t xml:space="preserve"> by interface,</w:t>
      </w:r>
      <w:r w:rsidRPr="00B07739">
        <w:t xml:space="preserve"> 2025</w:t>
      </w:r>
      <w:r w:rsidR="004A0B9D">
        <w:t xml:space="preserve"> ($ millions).</w:t>
      </w:r>
      <w:bookmarkEnd w:id="301"/>
      <w:r w:rsidR="00DE6D31" w:rsidRPr="00DE6D31">
        <w:rPr>
          <w:highlight w:val="yellow"/>
        </w:rPr>
        <w:t xml:space="preserve"> </w:t>
      </w:r>
    </w:p>
    <w:p w:rsidR="009B0A48" w:rsidRDefault="009B0A48" w:rsidP="00587D05">
      <w:pPr>
        <w:keepNext/>
        <w:keepLines/>
        <w:spacing w:after="0" w:line="240" w:lineRule="auto"/>
        <w:jc w:val="center"/>
      </w:pPr>
      <w:r w:rsidRPr="009B0A48">
        <w:rPr>
          <w:noProof/>
        </w:rPr>
        <w:drawing>
          <wp:inline distT="0" distB="0" distL="0" distR="0" wp14:anchorId="18894CD8" wp14:editId="6655C086">
            <wp:extent cx="5215433" cy="2497216"/>
            <wp:effectExtent l="19050" t="19050" r="23495" b="177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18754" cy="2498806"/>
                    </a:xfrm>
                    <a:prstGeom prst="rect">
                      <a:avLst/>
                    </a:prstGeom>
                    <a:noFill/>
                    <a:ln w="3175">
                      <a:solidFill>
                        <a:schemeClr val="tx1"/>
                      </a:solidFill>
                    </a:ln>
                  </pic:spPr>
                </pic:pic>
              </a:graphicData>
            </a:graphic>
          </wp:inline>
        </w:drawing>
      </w:r>
    </w:p>
    <w:p w:rsidR="004A0B9D" w:rsidRDefault="00B07739" w:rsidP="00587D05">
      <w:pPr>
        <w:pStyle w:val="Caption"/>
        <w:keepNext w:val="0"/>
        <w:keepLines w:val="0"/>
        <w:tabs>
          <w:tab w:val="left" w:pos="1080"/>
        </w:tabs>
        <w:spacing w:before="120" w:after="240"/>
        <w:ind w:left="630"/>
      </w:pPr>
      <w:bookmarkStart w:id="302" w:name="_Ref476920010"/>
      <w:bookmarkStart w:id="303" w:name="_Toc486406080"/>
      <w:r>
        <w:t xml:space="preserve">Figure </w:t>
      </w:r>
      <w:fldSimple w:instr=" STYLEREF 1 \s ">
        <w:r w:rsidR="00742B49">
          <w:rPr>
            <w:noProof/>
          </w:rPr>
          <w:t>6</w:t>
        </w:r>
      </w:fldSimple>
      <w:r w:rsidR="00024994">
        <w:noBreakHyphen/>
      </w:r>
      <w:fldSimple w:instr=" SEQ Figure \* ARABIC \s 1 ">
        <w:r w:rsidR="00742B49">
          <w:rPr>
            <w:noProof/>
          </w:rPr>
          <w:t>10</w:t>
        </w:r>
      </w:fldSimple>
      <w:bookmarkEnd w:id="302"/>
      <w:r>
        <w:t xml:space="preserve">: GridView </w:t>
      </w:r>
      <w:r w:rsidR="004A0B9D">
        <w:t>c</w:t>
      </w:r>
      <w:r>
        <w:t xml:space="preserve">ongestion </w:t>
      </w:r>
      <w:r w:rsidR="004A0B9D">
        <w:t>m</w:t>
      </w:r>
      <w:r>
        <w:t>etric</w:t>
      </w:r>
      <w:r w:rsidR="004A0B9D">
        <w:t xml:space="preserve"> by interface,</w:t>
      </w:r>
      <w:r>
        <w:t xml:space="preserve"> 2030</w:t>
      </w:r>
      <w:r w:rsidR="004A0B9D">
        <w:t xml:space="preserve"> ($ millions).</w:t>
      </w:r>
      <w:bookmarkEnd w:id="303"/>
    </w:p>
    <w:p w:rsidR="009B0A48" w:rsidRDefault="009B0A48" w:rsidP="00587D05">
      <w:pPr>
        <w:pStyle w:val="Caption"/>
        <w:jc w:val="center"/>
      </w:pPr>
      <w:bookmarkStart w:id="304" w:name="_Ref483836014"/>
      <w:bookmarkStart w:id="305" w:name="_Toc486406045"/>
      <w:r>
        <w:lastRenderedPageBreak/>
        <w:t xml:space="preserve">Table </w:t>
      </w:r>
      <w:fldSimple w:instr=" STYLEREF 1 \s ">
        <w:r w:rsidR="004248FE">
          <w:rPr>
            <w:noProof/>
          </w:rPr>
          <w:t>6</w:t>
        </w:r>
      </w:fldSimple>
      <w:r w:rsidR="004248FE">
        <w:noBreakHyphen/>
      </w:r>
      <w:fldSimple w:instr=" SEQ Table \* ARABIC \s 1 ">
        <w:r w:rsidR="004248FE">
          <w:rPr>
            <w:noProof/>
          </w:rPr>
          <w:t>10</w:t>
        </w:r>
      </w:fldSimple>
      <w:bookmarkEnd w:id="304"/>
      <w:r>
        <w:br/>
      </w:r>
      <w:r w:rsidRPr="009B0A48">
        <w:t xml:space="preserve">GridView Congestion Metric </w:t>
      </w:r>
      <w:r w:rsidR="00587D05">
        <w:t>b</w:t>
      </w:r>
      <w:r w:rsidR="00587D05" w:rsidRPr="009B0A48">
        <w:t xml:space="preserve">y </w:t>
      </w:r>
      <w:r w:rsidRPr="009B0A48">
        <w:t>Interface</w:t>
      </w:r>
      <w:r>
        <w:t>, 2025 and 2030 ($ Millions)</w:t>
      </w:r>
      <w:bookmarkEnd w:id="305"/>
    </w:p>
    <w:tbl>
      <w:tblPr>
        <w:tblW w:w="995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8"/>
        <w:gridCol w:w="1659"/>
        <w:gridCol w:w="1080"/>
        <w:gridCol w:w="1017"/>
        <w:gridCol w:w="1110"/>
        <w:gridCol w:w="1050"/>
        <w:gridCol w:w="1170"/>
        <w:gridCol w:w="1080"/>
        <w:gridCol w:w="1080"/>
      </w:tblGrid>
      <w:tr w:rsidR="00BC7575" w:rsidRPr="00BC7575" w:rsidTr="003A73BB">
        <w:trPr>
          <w:jc w:val="center"/>
        </w:trPr>
        <w:tc>
          <w:tcPr>
            <w:tcW w:w="708" w:type="dxa"/>
            <w:shd w:val="clear" w:color="auto" w:fill="0070C0"/>
            <w:vAlign w:val="center"/>
          </w:tcPr>
          <w:p w:rsidR="00BC7575" w:rsidRPr="00BC7575" w:rsidRDefault="00BC7575" w:rsidP="00BC7575">
            <w:pPr>
              <w:keepNext/>
              <w:keepLines/>
              <w:adjustRightInd/>
              <w:spacing w:before="40" w:after="40" w:line="240" w:lineRule="auto"/>
              <w:jc w:val="center"/>
              <w:textAlignment w:val="auto"/>
              <w:rPr>
                <w:rFonts w:ascii="Calibri" w:eastAsia="Calibri" w:hAnsi="Calibri"/>
                <w:b/>
                <w:color w:val="FFFFFF"/>
                <w:sz w:val="18"/>
                <w:szCs w:val="18"/>
              </w:rPr>
            </w:pPr>
            <w:r w:rsidRPr="00BC7575">
              <w:rPr>
                <w:rFonts w:ascii="Calibri" w:eastAsia="Calibri" w:hAnsi="Calibri"/>
                <w:b/>
                <w:color w:val="FFFFFF"/>
                <w:sz w:val="18"/>
                <w:szCs w:val="18"/>
              </w:rPr>
              <w:t>Year</w:t>
            </w:r>
          </w:p>
        </w:tc>
        <w:tc>
          <w:tcPr>
            <w:tcW w:w="1659" w:type="dxa"/>
            <w:shd w:val="clear" w:color="auto" w:fill="0070C0"/>
            <w:tcMar>
              <w:left w:w="115" w:type="dxa"/>
              <w:right w:w="58" w:type="dxa"/>
            </w:tcMar>
            <w:vAlign w:val="center"/>
          </w:tcPr>
          <w:p w:rsidR="00BC7575" w:rsidRPr="00BC7575" w:rsidRDefault="00BC7575" w:rsidP="00BC7575">
            <w:pPr>
              <w:keepNext/>
              <w:keepLines/>
              <w:adjustRightInd/>
              <w:spacing w:before="40" w:after="40" w:line="240" w:lineRule="auto"/>
              <w:jc w:val="center"/>
              <w:textAlignment w:val="auto"/>
              <w:rPr>
                <w:rFonts w:ascii="Calibri" w:eastAsia="Calibri" w:hAnsi="Calibri"/>
                <w:b/>
                <w:color w:val="FFFFFF"/>
                <w:sz w:val="18"/>
                <w:szCs w:val="18"/>
              </w:rPr>
            </w:pPr>
            <w:r w:rsidRPr="00BC7575">
              <w:rPr>
                <w:rFonts w:ascii="Calibri" w:eastAsia="Calibri" w:hAnsi="Calibri"/>
                <w:b/>
                <w:color w:val="FFFFFF"/>
                <w:sz w:val="18"/>
                <w:szCs w:val="18"/>
              </w:rPr>
              <w:t>Scenario</w:t>
            </w:r>
          </w:p>
        </w:tc>
        <w:tc>
          <w:tcPr>
            <w:tcW w:w="1080" w:type="dxa"/>
            <w:shd w:val="clear" w:color="auto" w:fill="0070C0"/>
            <w:vAlign w:val="center"/>
          </w:tcPr>
          <w:p w:rsidR="00BC7575" w:rsidRPr="00BC7575" w:rsidRDefault="00BC7575" w:rsidP="00BC7575">
            <w:pPr>
              <w:keepNext/>
              <w:keepLines/>
              <w:adjustRightInd/>
              <w:spacing w:before="40" w:after="40" w:line="240" w:lineRule="auto"/>
              <w:jc w:val="center"/>
              <w:textAlignment w:val="auto"/>
              <w:rPr>
                <w:rFonts w:ascii="Calibri" w:eastAsia="Calibri" w:hAnsi="Calibri"/>
                <w:b/>
                <w:color w:val="FFFFFF"/>
                <w:sz w:val="18"/>
                <w:szCs w:val="18"/>
              </w:rPr>
            </w:pPr>
            <w:r w:rsidRPr="00BC7575">
              <w:rPr>
                <w:rFonts w:ascii="Calibri" w:eastAsia="Calibri" w:hAnsi="Calibri"/>
                <w:b/>
                <w:color w:val="FFFFFF"/>
                <w:sz w:val="18"/>
                <w:szCs w:val="18"/>
              </w:rPr>
              <w:t>Orrington South</w:t>
            </w:r>
          </w:p>
        </w:tc>
        <w:tc>
          <w:tcPr>
            <w:tcW w:w="1017" w:type="dxa"/>
            <w:shd w:val="clear" w:color="auto" w:fill="0070C0"/>
            <w:vAlign w:val="center"/>
          </w:tcPr>
          <w:p w:rsidR="00BC7575" w:rsidRPr="00BC7575" w:rsidRDefault="00BC7575" w:rsidP="00BC7575">
            <w:pPr>
              <w:keepNext/>
              <w:keepLines/>
              <w:adjustRightInd/>
              <w:spacing w:before="40" w:after="40" w:line="240" w:lineRule="auto"/>
              <w:jc w:val="center"/>
              <w:textAlignment w:val="auto"/>
              <w:rPr>
                <w:rFonts w:ascii="Calibri" w:eastAsia="Calibri" w:hAnsi="Calibri"/>
                <w:b/>
                <w:color w:val="FFFFFF"/>
                <w:sz w:val="18"/>
                <w:szCs w:val="18"/>
              </w:rPr>
            </w:pPr>
            <w:r w:rsidRPr="00BC7575">
              <w:rPr>
                <w:rFonts w:ascii="Calibri" w:eastAsia="Calibri" w:hAnsi="Calibri"/>
                <w:b/>
                <w:color w:val="FFFFFF"/>
                <w:sz w:val="18"/>
                <w:szCs w:val="18"/>
              </w:rPr>
              <w:t>Surowiec South</w:t>
            </w:r>
          </w:p>
        </w:tc>
        <w:tc>
          <w:tcPr>
            <w:tcW w:w="1110" w:type="dxa"/>
            <w:shd w:val="clear" w:color="auto" w:fill="0070C0"/>
            <w:vAlign w:val="center"/>
          </w:tcPr>
          <w:p w:rsidR="00BC7575" w:rsidRPr="00BC7575" w:rsidRDefault="00BC7575" w:rsidP="00BC7575">
            <w:pPr>
              <w:keepNext/>
              <w:keepLines/>
              <w:adjustRightInd/>
              <w:spacing w:before="40" w:after="40" w:line="240" w:lineRule="auto"/>
              <w:jc w:val="center"/>
              <w:textAlignment w:val="auto"/>
              <w:rPr>
                <w:rFonts w:ascii="Calibri" w:eastAsia="Calibri" w:hAnsi="Calibri"/>
                <w:b/>
                <w:color w:val="FFFFFF"/>
                <w:sz w:val="18"/>
                <w:szCs w:val="18"/>
              </w:rPr>
            </w:pPr>
            <w:r w:rsidRPr="00BC7575">
              <w:rPr>
                <w:rFonts w:ascii="Calibri" w:eastAsia="Calibri" w:hAnsi="Calibri"/>
                <w:b/>
                <w:color w:val="FFFFFF"/>
                <w:sz w:val="18"/>
                <w:szCs w:val="18"/>
              </w:rPr>
              <w:t>Maine–New Hampshire</w:t>
            </w:r>
          </w:p>
        </w:tc>
        <w:tc>
          <w:tcPr>
            <w:tcW w:w="1050" w:type="dxa"/>
            <w:shd w:val="clear" w:color="auto" w:fill="0070C0"/>
            <w:vAlign w:val="center"/>
          </w:tcPr>
          <w:p w:rsidR="00BC7575" w:rsidRPr="00BC7575" w:rsidRDefault="00BC7575" w:rsidP="00BC7575">
            <w:pPr>
              <w:keepNext/>
              <w:keepLines/>
              <w:adjustRightInd/>
              <w:spacing w:before="40" w:after="40" w:line="240" w:lineRule="auto"/>
              <w:jc w:val="center"/>
              <w:textAlignment w:val="auto"/>
              <w:rPr>
                <w:rFonts w:ascii="Calibri" w:eastAsia="Calibri" w:hAnsi="Calibri"/>
                <w:b/>
                <w:color w:val="FFFFFF"/>
                <w:sz w:val="18"/>
                <w:szCs w:val="18"/>
              </w:rPr>
            </w:pPr>
            <w:r w:rsidRPr="00BC7575">
              <w:rPr>
                <w:rFonts w:ascii="Calibri" w:eastAsia="Calibri" w:hAnsi="Calibri"/>
                <w:b/>
                <w:color w:val="FFFFFF"/>
                <w:sz w:val="18"/>
                <w:szCs w:val="18"/>
              </w:rPr>
              <w:t>North–South</w:t>
            </w:r>
          </w:p>
        </w:tc>
        <w:tc>
          <w:tcPr>
            <w:tcW w:w="1170" w:type="dxa"/>
            <w:shd w:val="clear" w:color="auto" w:fill="0070C0"/>
            <w:vAlign w:val="center"/>
          </w:tcPr>
          <w:p w:rsidR="00BC7575" w:rsidRPr="00BC7575" w:rsidRDefault="00BC7575" w:rsidP="00BC7575">
            <w:pPr>
              <w:keepNext/>
              <w:keepLines/>
              <w:adjustRightInd/>
              <w:spacing w:before="40" w:after="40" w:line="240" w:lineRule="auto"/>
              <w:jc w:val="center"/>
              <w:textAlignment w:val="auto"/>
              <w:rPr>
                <w:rFonts w:ascii="Calibri" w:eastAsia="Calibri" w:hAnsi="Calibri"/>
                <w:b/>
                <w:color w:val="FFFFFF"/>
                <w:sz w:val="18"/>
                <w:szCs w:val="18"/>
              </w:rPr>
            </w:pPr>
            <w:r w:rsidRPr="00BC7575">
              <w:rPr>
                <w:rFonts w:ascii="Calibri" w:eastAsia="Calibri" w:hAnsi="Calibri"/>
                <w:b/>
                <w:color w:val="FFFFFF"/>
                <w:sz w:val="18"/>
                <w:szCs w:val="18"/>
              </w:rPr>
              <w:t>Northern New Hampshire/Vermont</w:t>
            </w:r>
          </w:p>
        </w:tc>
        <w:tc>
          <w:tcPr>
            <w:tcW w:w="1080" w:type="dxa"/>
            <w:shd w:val="clear" w:color="auto" w:fill="0070C0"/>
            <w:vAlign w:val="center"/>
          </w:tcPr>
          <w:p w:rsidR="00BC7575" w:rsidRPr="00BC7575" w:rsidRDefault="00BC7575" w:rsidP="00BC7575">
            <w:pPr>
              <w:keepNext/>
              <w:keepLines/>
              <w:adjustRightInd/>
              <w:spacing w:before="40" w:after="40" w:line="240" w:lineRule="auto"/>
              <w:jc w:val="center"/>
              <w:textAlignment w:val="auto"/>
              <w:rPr>
                <w:rFonts w:ascii="Calibri" w:eastAsia="Calibri" w:hAnsi="Calibri"/>
                <w:b/>
                <w:color w:val="FFFFFF"/>
                <w:sz w:val="18"/>
                <w:szCs w:val="18"/>
              </w:rPr>
            </w:pPr>
            <w:r w:rsidRPr="00BC7575">
              <w:rPr>
                <w:rFonts w:ascii="Calibri" w:eastAsia="Calibri" w:hAnsi="Calibri"/>
                <w:b/>
                <w:color w:val="FFFFFF"/>
                <w:sz w:val="18"/>
                <w:szCs w:val="18"/>
              </w:rPr>
              <w:t>Other</w:t>
            </w:r>
          </w:p>
        </w:tc>
        <w:tc>
          <w:tcPr>
            <w:tcW w:w="1080" w:type="dxa"/>
            <w:shd w:val="clear" w:color="auto" w:fill="0070C0"/>
            <w:vAlign w:val="center"/>
          </w:tcPr>
          <w:p w:rsidR="00BC7575" w:rsidRPr="00BC7575" w:rsidRDefault="00BC7575" w:rsidP="00BC7575">
            <w:pPr>
              <w:keepNext/>
              <w:keepLines/>
              <w:adjustRightInd/>
              <w:spacing w:before="40" w:after="40" w:line="240" w:lineRule="auto"/>
              <w:jc w:val="center"/>
              <w:textAlignment w:val="auto"/>
              <w:rPr>
                <w:rFonts w:ascii="Calibri" w:eastAsia="Calibri" w:hAnsi="Calibri"/>
                <w:b/>
                <w:color w:val="FFFFFF"/>
                <w:sz w:val="18"/>
                <w:szCs w:val="18"/>
              </w:rPr>
            </w:pPr>
            <w:r w:rsidRPr="00BC7575">
              <w:rPr>
                <w:rFonts w:ascii="Calibri" w:eastAsia="Calibri" w:hAnsi="Calibri"/>
                <w:b/>
                <w:color w:val="FFFFFF"/>
                <w:sz w:val="18"/>
                <w:szCs w:val="18"/>
              </w:rPr>
              <w:t>Total</w:t>
            </w:r>
          </w:p>
        </w:tc>
      </w:tr>
      <w:tr w:rsidR="00BC7575" w:rsidRPr="00BC7575" w:rsidTr="00AE63C5">
        <w:trPr>
          <w:jc w:val="center"/>
        </w:trPr>
        <w:tc>
          <w:tcPr>
            <w:tcW w:w="708" w:type="dxa"/>
            <w:vMerge w:val="restart"/>
            <w:shd w:val="clear" w:color="auto" w:fill="auto"/>
            <w:vAlign w:val="center"/>
          </w:tcPr>
          <w:p w:rsidR="00BC7575" w:rsidRPr="00BC7575" w:rsidRDefault="00BC7575" w:rsidP="00BC7575">
            <w:pPr>
              <w:keepNext/>
              <w:keepLines/>
              <w:adjustRightInd/>
              <w:spacing w:before="40" w:after="40" w:line="240" w:lineRule="auto"/>
              <w:textAlignment w:val="auto"/>
              <w:rPr>
                <w:rFonts w:ascii="Calibri" w:eastAsia="Calibri" w:hAnsi="Calibri"/>
                <w:b/>
                <w:sz w:val="18"/>
                <w:szCs w:val="18"/>
              </w:rPr>
            </w:pPr>
            <w:r w:rsidRPr="00BC7575">
              <w:rPr>
                <w:rFonts w:ascii="Calibri" w:eastAsia="Calibri" w:hAnsi="Calibri"/>
                <w:b/>
                <w:sz w:val="18"/>
                <w:szCs w:val="18"/>
              </w:rPr>
              <w:t>2025</w:t>
            </w:r>
          </w:p>
          <w:p w:rsidR="00BC7575" w:rsidRPr="00BC7575" w:rsidRDefault="00BC7575" w:rsidP="00BC7575">
            <w:pPr>
              <w:keepNext/>
              <w:keepLines/>
              <w:adjustRightInd/>
              <w:spacing w:before="40" w:after="40" w:line="240" w:lineRule="auto"/>
              <w:textAlignment w:val="auto"/>
              <w:rPr>
                <w:rFonts w:ascii="Calibri" w:eastAsia="Calibri" w:hAnsi="Calibri"/>
                <w:b/>
                <w:sz w:val="18"/>
                <w:szCs w:val="18"/>
              </w:rPr>
            </w:pPr>
          </w:p>
        </w:tc>
        <w:tc>
          <w:tcPr>
            <w:tcW w:w="1659" w:type="dxa"/>
            <w:shd w:val="clear" w:color="auto" w:fill="auto"/>
            <w:tcMar>
              <w:left w:w="115" w:type="dxa"/>
              <w:right w:w="58" w:type="dxa"/>
            </w:tcMar>
            <w:vAlign w:val="center"/>
          </w:tcPr>
          <w:p w:rsidR="00BC7575" w:rsidRPr="00BC7575" w:rsidRDefault="00BC7575" w:rsidP="00BC7575">
            <w:pPr>
              <w:keepNext/>
              <w:keepLines/>
              <w:adjustRightInd/>
              <w:spacing w:before="40" w:after="40" w:line="240" w:lineRule="auto"/>
              <w:textAlignment w:val="auto"/>
              <w:rPr>
                <w:rFonts w:ascii="Calibri" w:eastAsia="Calibri" w:hAnsi="Calibri"/>
                <w:sz w:val="18"/>
                <w:szCs w:val="18"/>
              </w:rPr>
            </w:pPr>
            <w:r w:rsidRPr="00BC7575">
              <w:rPr>
                <w:rFonts w:ascii="Calibri" w:eastAsia="Calibri" w:hAnsi="Calibri"/>
                <w:sz w:val="18"/>
                <w:szCs w:val="18"/>
              </w:rPr>
              <w:t>RPS + Gas</w:t>
            </w:r>
          </w:p>
        </w:tc>
        <w:tc>
          <w:tcPr>
            <w:tcW w:w="108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169.0</w:t>
            </w:r>
          </w:p>
        </w:tc>
        <w:tc>
          <w:tcPr>
            <w:tcW w:w="1017"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15.5</w:t>
            </w:r>
          </w:p>
        </w:tc>
        <w:tc>
          <w:tcPr>
            <w:tcW w:w="111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0.0</w:t>
            </w:r>
          </w:p>
        </w:tc>
        <w:tc>
          <w:tcPr>
            <w:tcW w:w="105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0.1</w:t>
            </w:r>
          </w:p>
        </w:tc>
        <w:tc>
          <w:tcPr>
            <w:tcW w:w="117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8.3</w:t>
            </w:r>
          </w:p>
        </w:tc>
        <w:tc>
          <w:tcPr>
            <w:tcW w:w="108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0.0</w:t>
            </w:r>
          </w:p>
        </w:tc>
        <w:tc>
          <w:tcPr>
            <w:tcW w:w="1080" w:type="dxa"/>
            <w:shd w:val="clear" w:color="auto" w:fill="auto"/>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192.9</w:t>
            </w:r>
          </w:p>
        </w:tc>
      </w:tr>
      <w:tr w:rsidR="00BC7575" w:rsidRPr="00BC7575" w:rsidTr="00AE63C5">
        <w:trPr>
          <w:jc w:val="center"/>
        </w:trPr>
        <w:tc>
          <w:tcPr>
            <w:tcW w:w="708" w:type="dxa"/>
            <w:vMerge/>
            <w:shd w:val="clear" w:color="auto" w:fill="auto"/>
            <w:vAlign w:val="center"/>
          </w:tcPr>
          <w:p w:rsidR="00BC7575" w:rsidRPr="00BC7575" w:rsidRDefault="00BC7575" w:rsidP="00BC7575">
            <w:pPr>
              <w:keepNext/>
              <w:keepLines/>
              <w:adjustRightInd/>
              <w:spacing w:before="40" w:after="40" w:line="240" w:lineRule="auto"/>
              <w:textAlignment w:val="auto"/>
              <w:rPr>
                <w:rFonts w:ascii="Calibri" w:eastAsia="Calibri" w:hAnsi="Calibri"/>
                <w:b/>
                <w:sz w:val="18"/>
                <w:szCs w:val="18"/>
              </w:rPr>
            </w:pPr>
          </w:p>
        </w:tc>
        <w:tc>
          <w:tcPr>
            <w:tcW w:w="1659" w:type="dxa"/>
            <w:shd w:val="clear" w:color="auto" w:fill="auto"/>
            <w:tcMar>
              <w:left w:w="115" w:type="dxa"/>
              <w:right w:w="58" w:type="dxa"/>
            </w:tcMar>
            <w:vAlign w:val="center"/>
          </w:tcPr>
          <w:p w:rsidR="00BC7575" w:rsidRPr="00BC7575" w:rsidRDefault="00BC7575" w:rsidP="00BC7575">
            <w:pPr>
              <w:keepNext/>
              <w:keepLines/>
              <w:adjustRightInd/>
              <w:spacing w:before="40" w:after="40" w:line="240" w:lineRule="auto"/>
              <w:textAlignment w:val="auto"/>
              <w:rPr>
                <w:rFonts w:ascii="Calibri" w:eastAsia="Calibri" w:hAnsi="Calibri"/>
                <w:sz w:val="18"/>
                <w:szCs w:val="18"/>
              </w:rPr>
            </w:pPr>
            <w:r w:rsidRPr="00BC7575">
              <w:rPr>
                <w:rFonts w:ascii="Calibri" w:eastAsia="Calibri" w:hAnsi="Calibri"/>
                <w:sz w:val="18"/>
                <w:szCs w:val="18"/>
              </w:rPr>
              <w:t>ISO Queue</w:t>
            </w:r>
          </w:p>
        </w:tc>
        <w:tc>
          <w:tcPr>
            <w:tcW w:w="108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95.5</w:t>
            </w:r>
          </w:p>
        </w:tc>
        <w:tc>
          <w:tcPr>
            <w:tcW w:w="1017"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180.6</w:t>
            </w:r>
          </w:p>
        </w:tc>
        <w:tc>
          <w:tcPr>
            <w:tcW w:w="111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0.0</w:t>
            </w:r>
          </w:p>
        </w:tc>
        <w:tc>
          <w:tcPr>
            <w:tcW w:w="105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0.2</w:t>
            </w:r>
          </w:p>
        </w:tc>
        <w:tc>
          <w:tcPr>
            <w:tcW w:w="117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7.9</w:t>
            </w:r>
          </w:p>
        </w:tc>
        <w:tc>
          <w:tcPr>
            <w:tcW w:w="108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0.1</w:t>
            </w:r>
          </w:p>
        </w:tc>
        <w:tc>
          <w:tcPr>
            <w:tcW w:w="1080" w:type="dxa"/>
            <w:shd w:val="clear" w:color="auto" w:fill="auto"/>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284.3</w:t>
            </w:r>
          </w:p>
        </w:tc>
      </w:tr>
      <w:tr w:rsidR="00BC7575" w:rsidRPr="00BC7575" w:rsidTr="00AE63C5">
        <w:trPr>
          <w:jc w:val="center"/>
        </w:trPr>
        <w:tc>
          <w:tcPr>
            <w:tcW w:w="708" w:type="dxa"/>
            <w:vMerge/>
            <w:shd w:val="clear" w:color="auto" w:fill="auto"/>
            <w:vAlign w:val="center"/>
          </w:tcPr>
          <w:p w:rsidR="00BC7575" w:rsidRPr="00BC7575" w:rsidRDefault="00BC7575" w:rsidP="00BC7575">
            <w:pPr>
              <w:keepNext/>
              <w:keepLines/>
              <w:adjustRightInd/>
              <w:spacing w:before="40" w:after="40" w:line="240" w:lineRule="auto"/>
              <w:textAlignment w:val="auto"/>
              <w:rPr>
                <w:rFonts w:ascii="Calibri" w:eastAsia="Calibri" w:hAnsi="Calibri"/>
                <w:b/>
                <w:sz w:val="18"/>
                <w:szCs w:val="18"/>
              </w:rPr>
            </w:pPr>
          </w:p>
        </w:tc>
        <w:tc>
          <w:tcPr>
            <w:tcW w:w="1659" w:type="dxa"/>
            <w:shd w:val="clear" w:color="auto" w:fill="auto"/>
            <w:tcMar>
              <w:left w:w="115" w:type="dxa"/>
              <w:right w:w="58" w:type="dxa"/>
            </w:tcMar>
            <w:vAlign w:val="center"/>
          </w:tcPr>
          <w:p w:rsidR="00BC7575" w:rsidRPr="00BC7575" w:rsidRDefault="00BC7575" w:rsidP="00BC7575">
            <w:pPr>
              <w:keepNext/>
              <w:keepLines/>
              <w:adjustRightInd/>
              <w:spacing w:before="40" w:after="40" w:line="240" w:lineRule="auto"/>
              <w:textAlignment w:val="auto"/>
              <w:rPr>
                <w:rFonts w:ascii="Calibri" w:eastAsia="Calibri" w:hAnsi="Calibri"/>
                <w:sz w:val="18"/>
                <w:szCs w:val="18"/>
              </w:rPr>
            </w:pPr>
            <w:r w:rsidRPr="00BC7575">
              <w:rPr>
                <w:rFonts w:ascii="Calibri" w:eastAsia="Calibri" w:hAnsi="Calibri"/>
                <w:sz w:val="18"/>
                <w:szCs w:val="18"/>
              </w:rPr>
              <w:t>Renew Plus</w:t>
            </w:r>
          </w:p>
        </w:tc>
        <w:tc>
          <w:tcPr>
            <w:tcW w:w="108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168.8</w:t>
            </w:r>
          </w:p>
        </w:tc>
        <w:tc>
          <w:tcPr>
            <w:tcW w:w="1017"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35.4</w:t>
            </w:r>
          </w:p>
        </w:tc>
        <w:tc>
          <w:tcPr>
            <w:tcW w:w="111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0.0</w:t>
            </w:r>
          </w:p>
        </w:tc>
        <w:tc>
          <w:tcPr>
            <w:tcW w:w="105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0.1</w:t>
            </w:r>
          </w:p>
        </w:tc>
        <w:tc>
          <w:tcPr>
            <w:tcW w:w="117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7.1</w:t>
            </w:r>
          </w:p>
        </w:tc>
        <w:tc>
          <w:tcPr>
            <w:tcW w:w="108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0.3</w:t>
            </w:r>
          </w:p>
        </w:tc>
        <w:tc>
          <w:tcPr>
            <w:tcW w:w="1080" w:type="dxa"/>
            <w:shd w:val="clear" w:color="auto" w:fill="auto"/>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211.7</w:t>
            </w:r>
          </w:p>
        </w:tc>
      </w:tr>
      <w:tr w:rsidR="00BC7575" w:rsidRPr="00BC7575" w:rsidTr="00AE63C5">
        <w:trPr>
          <w:jc w:val="center"/>
        </w:trPr>
        <w:tc>
          <w:tcPr>
            <w:tcW w:w="708" w:type="dxa"/>
            <w:vMerge/>
            <w:shd w:val="clear" w:color="auto" w:fill="auto"/>
            <w:vAlign w:val="center"/>
          </w:tcPr>
          <w:p w:rsidR="00BC7575" w:rsidRPr="00BC7575" w:rsidRDefault="00BC7575" w:rsidP="00BC7575">
            <w:pPr>
              <w:keepNext/>
              <w:keepLines/>
              <w:adjustRightInd/>
              <w:spacing w:before="40" w:after="40" w:line="240" w:lineRule="auto"/>
              <w:textAlignment w:val="auto"/>
              <w:rPr>
                <w:rFonts w:ascii="Calibri" w:eastAsia="Calibri" w:hAnsi="Calibri"/>
                <w:b/>
                <w:sz w:val="18"/>
                <w:szCs w:val="18"/>
              </w:rPr>
            </w:pPr>
          </w:p>
        </w:tc>
        <w:tc>
          <w:tcPr>
            <w:tcW w:w="1659" w:type="dxa"/>
            <w:shd w:val="clear" w:color="auto" w:fill="auto"/>
            <w:tcMar>
              <w:left w:w="115" w:type="dxa"/>
              <w:right w:w="58" w:type="dxa"/>
            </w:tcMar>
            <w:vAlign w:val="center"/>
          </w:tcPr>
          <w:p w:rsidR="00BC7575" w:rsidRPr="00BC7575" w:rsidRDefault="00BC7575" w:rsidP="00BC7575">
            <w:pPr>
              <w:keepNext/>
              <w:keepLines/>
              <w:adjustRightInd/>
              <w:spacing w:before="40" w:after="40" w:line="240" w:lineRule="auto"/>
              <w:textAlignment w:val="auto"/>
              <w:rPr>
                <w:rFonts w:ascii="Calibri" w:eastAsia="Calibri" w:hAnsi="Calibri"/>
                <w:sz w:val="18"/>
                <w:szCs w:val="18"/>
              </w:rPr>
            </w:pPr>
            <w:r w:rsidRPr="00BC7575">
              <w:rPr>
                <w:rFonts w:ascii="Calibri" w:eastAsia="Calibri" w:hAnsi="Calibri"/>
                <w:sz w:val="18"/>
                <w:szCs w:val="18"/>
              </w:rPr>
              <w:t>No Retire</w:t>
            </w:r>
          </w:p>
        </w:tc>
        <w:tc>
          <w:tcPr>
            <w:tcW w:w="108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3.9</w:t>
            </w:r>
          </w:p>
        </w:tc>
        <w:tc>
          <w:tcPr>
            <w:tcW w:w="1017"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1.4</w:t>
            </w:r>
          </w:p>
        </w:tc>
        <w:tc>
          <w:tcPr>
            <w:tcW w:w="111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0.0</w:t>
            </w:r>
          </w:p>
        </w:tc>
        <w:tc>
          <w:tcPr>
            <w:tcW w:w="105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1.0</w:t>
            </w:r>
          </w:p>
        </w:tc>
        <w:tc>
          <w:tcPr>
            <w:tcW w:w="117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8.3</w:t>
            </w:r>
          </w:p>
        </w:tc>
        <w:tc>
          <w:tcPr>
            <w:tcW w:w="108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1.4</w:t>
            </w:r>
          </w:p>
        </w:tc>
        <w:tc>
          <w:tcPr>
            <w:tcW w:w="1080" w:type="dxa"/>
            <w:shd w:val="clear" w:color="auto" w:fill="auto"/>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16.2</w:t>
            </w:r>
          </w:p>
        </w:tc>
      </w:tr>
      <w:tr w:rsidR="00BC7575" w:rsidRPr="00BC7575" w:rsidTr="00AE63C5">
        <w:trPr>
          <w:jc w:val="center"/>
        </w:trPr>
        <w:tc>
          <w:tcPr>
            <w:tcW w:w="708" w:type="dxa"/>
            <w:vMerge/>
            <w:shd w:val="clear" w:color="auto" w:fill="auto"/>
            <w:vAlign w:val="center"/>
          </w:tcPr>
          <w:p w:rsidR="00BC7575" w:rsidRPr="00BC7575" w:rsidRDefault="00BC7575" w:rsidP="00BC7575">
            <w:pPr>
              <w:keepNext/>
              <w:keepLines/>
              <w:adjustRightInd/>
              <w:spacing w:before="40" w:after="40" w:line="240" w:lineRule="auto"/>
              <w:textAlignment w:val="auto"/>
              <w:rPr>
                <w:rFonts w:ascii="Calibri" w:eastAsia="Calibri" w:hAnsi="Calibri"/>
                <w:b/>
                <w:sz w:val="18"/>
                <w:szCs w:val="18"/>
              </w:rPr>
            </w:pPr>
          </w:p>
        </w:tc>
        <w:tc>
          <w:tcPr>
            <w:tcW w:w="1659" w:type="dxa"/>
            <w:shd w:val="clear" w:color="auto" w:fill="auto"/>
            <w:tcMar>
              <w:left w:w="115" w:type="dxa"/>
              <w:right w:w="58" w:type="dxa"/>
            </w:tcMar>
            <w:vAlign w:val="center"/>
          </w:tcPr>
          <w:p w:rsidR="00BC7575" w:rsidRPr="00BC7575" w:rsidRDefault="00BC7575" w:rsidP="00BC7575">
            <w:pPr>
              <w:keepNext/>
              <w:keepLines/>
              <w:adjustRightInd/>
              <w:spacing w:before="40" w:after="40" w:line="240" w:lineRule="auto"/>
              <w:textAlignment w:val="auto"/>
              <w:rPr>
                <w:rFonts w:ascii="Calibri" w:eastAsia="Calibri" w:hAnsi="Calibri"/>
                <w:sz w:val="18"/>
                <w:szCs w:val="18"/>
              </w:rPr>
            </w:pPr>
            <w:r w:rsidRPr="00BC7575">
              <w:rPr>
                <w:rFonts w:ascii="Calibri" w:eastAsia="Calibri" w:hAnsi="Calibri"/>
                <w:sz w:val="18"/>
                <w:szCs w:val="18"/>
              </w:rPr>
              <w:t>ACP + Gas</w:t>
            </w:r>
          </w:p>
        </w:tc>
        <w:tc>
          <w:tcPr>
            <w:tcW w:w="108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3.7</w:t>
            </w:r>
          </w:p>
        </w:tc>
        <w:tc>
          <w:tcPr>
            <w:tcW w:w="1017"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2.6</w:t>
            </w:r>
          </w:p>
        </w:tc>
        <w:tc>
          <w:tcPr>
            <w:tcW w:w="111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0.0</w:t>
            </w:r>
          </w:p>
        </w:tc>
        <w:tc>
          <w:tcPr>
            <w:tcW w:w="105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0.0</w:t>
            </w:r>
          </w:p>
        </w:tc>
        <w:tc>
          <w:tcPr>
            <w:tcW w:w="117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8.7</w:t>
            </w:r>
          </w:p>
        </w:tc>
        <w:tc>
          <w:tcPr>
            <w:tcW w:w="108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1.5</w:t>
            </w:r>
          </w:p>
        </w:tc>
        <w:tc>
          <w:tcPr>
            <w:tcW w:w="1080" w:type="dxa"/>
            <w:shd w:val="clear" w:color="auto" w:fill="auto"/>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16.5</w:t>
            </w:r>
          </w:p>
        </w:tc>
      </w:tr>
      <w:tr w:rsidR="00BC7575" w:rsidRPr="00BC7575" w:rsidTr="00AE63C5">
        <w:trPr>
          <w:jc w:val="center"/>
        </w:trPr>
        <w:tc>
          <w:tcPr>
            <w:tcW w:w="708" w:type="dxa"/>
            <w:vMerge/>
            <w:shd w:val="clear" w:color="auto" w:fill="auto"/>
            <w:vAlign w:val="center"/>
          </w:tcPr>
          <w:p w:rsidR="00BC7575" w:rsidRPr="00BC7575" w:rsidRDefault="00BC7575" w:rsidP="00BC7575">
            <w:pPr>
              <w:keepNext/>
              <w:keepLines/>
              <w:adjustRightInd/>
              <w:spacing w:before="40" w:after="40" w:line="240" w:lineRule="auto"/>
              <w:textAlignment w:val="auto"/>
              <w:rPr>
                <w:rFonts w:ascii="Calibri" w:eastAsia="Calibri" w:hAnsi="Calibri"/>
                <w:b/>
                <w:sz w:val="18"/>
                <w:szCs w:val="18"/>
              </w:rPr>
            </w:pPr>
          </w:p>
        </w:tc>
        <w:tc>
          <w:tcPr>
            <w:tcW w:w="1659" w:type="dxa"/>
            <w:shd w:val="clear" w:color="auto" w:fill="auto"/>
            <w:tcMar>
              <w:left w:w="115" w:type="dxa"/>
              <w:right w:w="58" w:type="dxa"/>
            </w:tcMar>
            <w:vAlign w:val="center"/>
          </w:tcPr>
          <w:p w:rsidR="00BC7575" w:rsidRPr="00BC7575" w:rsidRDefault="00BC7575" w:rsidP="00BC7575">
            <w:pPr>
              <w:keepNext/>
              <w:keepLines/>
              <w:adjustRightInd/>
              <w:spacing w:before="40" w:after="40" w:line="240" w:lineRule="auto"/>
              <w:textAlignment w:val="auto"/>
              <w:rPr>
                <w:rFonts w:ascii="Calibri" w:eastAsia="Calibri" w:hAnsi="Calibri"/>
                <w:sz w:val="18"/>
                <w:szCs w:val="18"/>
              </w:rPr>
            </w:pPr>
            <w:r w:rsidRPr="00BC7575">
              <w:rPr>
                <w:rFonts w:ascii="Calibri" w:eastAsia="Calibri" w:hAnsi="Calibri"/>
                <w:sz w:val="18"/>
                <w:szCs w:val="18"/>
              </w:rPr>
              <w:t>RPS + Geo Renew</w:t>
            </w:r>
          </w:p>
        </w:tc>
        <w:tc>
          <w:tcPr>
            <w:tcW w:w="108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114.4</w:t>
            </w:r>
          </w:p>
        </w:tc>
        <w:tc>
          <w:tcPr>
            <w:tcW w:w="1017"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13.5</w:t>
            </w:r>
          </w:p>
        </w:tc>
        <w:tc>
          <w:tcPr>
            <w:tcW w:w="111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0.0</w:t>
            </w:r>
          </w:p>
        </w:tc>
        <w:tc>
          <w:tcPr>
            <w:tcW w:w="105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0.1</w:t>
            </w:r>
          </w:p>
        </w:tc>
        <w:tc>
          <w:tcPr>
            <w:tcW w:w="117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7.4</w:t>
            </w:r>
          </w:p>
        </w:tc>
        <w:tc>
          <w:tcPr>
            <w:tcW w:w="1080" w:type="dxa"/>
            <w:shd w:val="clear" w:color="auto" w:fill="auto"/>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0.1</w:t>
            </w:r>
          </w:p>
        </w:tc>
        <w:tc>
          <w:tcPr>
            <w:tcW w:w="1080" w:type="dxa"/>
            <w:shd w:val="clear" w:color="auto" w:fill="auto"/>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135.3</w:t>
            </w:r>
          </w:p>
        </w:tc>
      </w:tr>
      <w:tr w:rsidR="00BC7575" w:rsidRPr="00BC7575" w:rsidTr="00AE63C5">
        <w:trPr>
          <w:jc w:val="center"/>
        </w:trPr>
        <w:tc>
          <w:tcPr>
            <w:tcW w:w="708" w:type="dxa"/>
            <w:vMerge w:val="restart"/>
            <w:shd w:val="clear" w:color="auto" w:fill="DBE5F1" w:themeFill="accent1" w:themeFillTint="33"/>
            <w:vAlign w:val="center"/>
          </w:tcPr>
          <w:p w:rsidR="00BC7575" w:rsidRPr="00BC7575" w:rsidRDefault="00BC7575" w:rsidP="00BC7575">
            <w:pPr>
              <w:keepNext/>
              <w:keepLines/>
              <w:adjustRightInd/>
              <w:spacing w:before="40" w:after="40" w:line="240" w:lineRule="auto"/>
              <w:textAlignment w:val="auto"/>
              <w:rPr>
                <w:rFonts w:ascii="Calibri" w:eastAsia="Calibri" w:hAnsi="Calibri"/>
                <w:b/>
                <w:sz w:val="18"/>
                <w:szCs w:val="18"/>
              </w:rPr>
            </w:pPr>
            <w:r w:rsidRPr="00BC7575">
              <w:rPr>
                <w:rFonts w:ascii="Calibri" w:eastAsia="Calibri" w:hAnsi="Calibri"/>
                <w:b/>
                <w:sz w:val="18"/>
                <w:szCs w:val="18"/>
              </w:rPr>
              <w:t>2030</w:t>
            </w:r>
          </w:p>
          <w:p w:rsidR="00BC7575" w:rsidRPr="00BC7575" w:rsidRDefault="00BC7575" w:rsidP="00BC7575">
            <w:pPr>
              <w:keepNext/>
              <w:keepLines/>
              <w:adjustRightInd/>
              <w:spacing w:before="40" w:after="40" w:line="240" w:lineRule="auto"/>
              <w:textAlignment w:val="auto"/>
              <w:rPr>
                <w:rFonts w:ascii="Calibri" w:eastAsia="Calibri" w:hAnsi="Calibri"/>
                <w:b/>
                <w:sz w:val="18"/>
                <w:szCs w:val="18"/>
              </w:rPr>
            </w:pPr>
          </w:p>
        </w:tc>
        <w:tc>
          <w:tcPr>
            <w:tcW w:w="1659" w:type="dxa"/>
            <w:shd w:val="clear" w:color="auto" w:fill="DBE5F1" w:themeFill="accent1" w:themeFillTint="33"/>
            <w:tcMar>
              <w:left w:w="115" w:type="dxa"/>
              <w:right w:w="58" w:type="dxa"/>
            </w:tcMar>
            <w:vAlign w:val="center"/>
          </w:tcPr>
          <w:p w:rsidR="00BC7575" w:rsidRPr="00BC7575" w:rsidRDefault="00BC7575" w:rsidP="00BC7575">
            <w:pPr>
              <w:keepNext/>
              <w:keepLines/>
              <w:adjustRightInd/>
              <w:spacing w:before="40" w:after="40" w:line="240" w:lineRule="auto"/>
              <w:textAlignment w:val="auto"/>
              <w:rPr>
                <w:rFonts w:ascii="Calibri" w:eastAsia="Calibri" w:hAnsi="Calibri"/>
                <w:sz w:val="18"/>
                <w:szCs w:val="18"/>
              </w:rPr>
            </w:pPr>
            <w:r w:rsidRPr="00BC7575">
              <w:rPr>
                <w:rFonts w:ascii="Calibri" w:eastAsia="Calibri" w:hAnsi="Calibri"/>
                <w:sz w:val="18"/>
                <w:szCs w:val="18"/>
              </w:rPr>
              <w:t>RPS + Gas</w:t>
            </w:r>
          </w:p>
        </w:tc>
        <w:tc>
          <w:tcPr>
            <w:tcW w:w="108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254.3</w:t>
            </w:r>
          </w:p>
        </w:tc>
        <w:tc>
          <w:tcPr>
            <w:tcW w:w="1017"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5.8</w:t>
            </w:r>
          </w:p>
        </w:tc>
        <w:tc>
          <w:tcPr>
            <w:tcW w:w="111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1.4</w:t>
            </w:r>
          </w:p>
        </w:tc>
        <w:tc>
          <w:tcPr>
            <w:tcW w:w="105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2.8</w:t>
            </w:r>
          </w:p>
        </w:tc>
        <w:tc>
          <w:tcPr>
            <w:tcW w:w="117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8.2</w:t>
            </w:r>
          </w:p>
        </w:tc>
        <w:tc>
          <w:tcPr>
            <w:tcW w:w="108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0.2</w:t>
            </w:r>
          </w:p>
        </w:tc>
        <w:tc>
          <w:tcPr>
            <w:tcW w:w="1080" w:type="dxa"/>
            <w:shd w:val="clear" w:color="auto" w:fill="DBE5F1" w:themeFill="accent1" w:themeFillTint="33"/>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272.6</w:t>
            </w:r>
          </w:p>
        </w:tc>
      </w:tr>
      <w:tr w:rsidR="00BC7575" w:rsidRPr="00BC7575" w:rsidTr="00AE63C5">
        <w:trPr>
          <w:jc w:val="center"/>
        </w:trPr>
        <w:tc>
          <w:tcPr>
            <w:tcW w:w="708" w:type="dxa"/>
            <w:vMerge/>
            <w:shd w:val="clear" w:color="auto" w:fill="DBE5F1" w:themeFill="accent1" w:themeFillTint="33"/>
            <w:vAlign w:val="center"/>
          </w:tcPr>
          <w:p w:rsidR="00BC7575" w:rsidRPr="00BC7575" w:rsidRDefault="00BC7575" w:rsidP="00BC7575">
            <w:pPr>
              <w:keepNext/>
              <w:keepLines/>
              <w:adjustRightInd/>
              <w:spacing w:before="40" w:after="40" w:line="240" w:lineRule="auto"/>
              <w:textAlignment w:val="auto"/>
              <w:rPr>
                <w:rFonts w:ascii="Calibri" w:eastAsia="Calibri" w:hAnsi="Calibri"/>
                <w:b/>
                <w:sz w:val="18"/>
                <w:szCs w:val="18"/>
              </w:rPr>
            </w:pPr>
          </w:p>
        </w:tc>
        <w:tc>
          <w:tcPr>
            <w:tcW w:w="1659" w:type="dxa"/>
            <w:shd w:val="clear" w:color="auto" w:fill="DBE5F1" w:themeFill="accent1" w:themeFillTint="33"/>
            <w:tcMar>
              <w:left w:w="115" w:type="dxa"/>
              <w:right w:w="58" w:type="dxa"/>
            </w:tcMar>
            <w:vAlign w:val="center"/>
          </w:tcPr>
          <w:p w:rsidR="00BC7575" w:rsidRPr="00BC7575" w:rsidRDefault="00BC7575" w:rsidP="00BC7575">
            <w:pPr>
              <w:keepNext/>
              <w:keepLines/>
              <w:adjustRightInd/>
              <w:spacing w:before="40" w:after="40" w:line="240" w:lineRule="auto"/>
              <w:textAlignment w:val="auto"/>
              <w:rPr>
                <w:rFonts w:ascii="Calibri" w:eastAsia="Calibri" w:hAnsi="Calibri"/>
                <w:sz w:val="18"/>
                <w:szCs w:val="18"/>
              </w:rPr>
            </w:pPr>
            <w:r w:rsidRPr="00BC7575">
              <w:rPr>
                <w:rFonts w:ascii="Calibri" w:eastAsia="Calibri" w:hAnsi="Calibri"/>
                <w:sz w:val="18"/>
                <w:szCs w:val="18"/>
              </w:rPr>
              <w:t>ISO Queue</w:t>
            </w:r>
          </w:p>
        </w:tc>
        <w:tc>
          <w:tcPr>
            <w:tcW w:w="108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52.2</w:t>
            </w:r>
          </w:p>
        </w:tc>
        <w:tc>
          <w:tcPr>
            <w:tcW w:w="1017"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455.9</w:t>
            </w:r>
          </w:p>
        </w:tc>
        <w:tc>
          <w:tcPr>
            <w:tcW w:w="111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0.0</w:t>
            </w:r>
          </w:p>
        </w:tc>
        <w:tc>
          <w:tcPr>
            <w:tcW w:w="105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1.4</w:t>
            </w:r>
          </w:p>
        </w:tc>
        <w:tc>
          <w:tcPr>
            <w:tcW w:w="117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6.7</w:t>
            </w:r>
          </w:p>
        </w:tc>
        <w:tc>
          <w:tcPr>
            <w:tcW w:w="108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0.0</w:t>
            </w:r>
          </w:p>
        </w:tc>
        <w:tc>
          <w:tcPr>
            <w:tcW w:w="1080" w:type="dxa"/>
            <w:shd w:val="clear" w:color="auto" w:fill="DBE5F1" w:themeFill="accent1" w:themeFillTint="33"/>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516.2</w:t>
            </w:r>
          </w:p>
        </w:tc>
      </w:tr>
      <w:tr w:rsidR="00BC7575" w:rsidRPr="00BC7575" w:rsidTr="00AE63C5">
        <w:trPr>
          <w:jc w:val="center"/>
        </w:trPr>
        <w:tc>
          <w:tcPr>
            <w:tcW w:w="708" w:type="dxa"/>
            <w:vMerge/>
            <w:shd w:val="clear" w:color="auto" w:fill="DBE5F1" w:themeFill="accent1" w:themeFillTint="33"/>
            <w:vAlign w:val="center"/>
          </w:tcPr>
          <w:p w:rsidR="00BC7575" w:rsidRPr="00BC7575" w:rsidRDefault="00BC7575" w:rsidP="00BC7575">
            <w:pPr>
              <w:keepNext/>
              <w:keepLines/>
              <w:adjustRightInd/>
              <w:spacing w:before="40" w:after="40" w:line="240" w:lineRule="auto"/>
              <w:textAlignment w:val="auto"/>
              <w:rPr>
                <w:rFonts w:ascii="Calibri" w:eastAsia="Calibri" w:hAnsi="Calibri"/>
                <w:b/>
                <w:sz w:val="18"/>
                <w:szCs w:val="18"/>
              </w:rPr>
            </w:pPr>
          </w:p>
        </w:tc>
        <w:tc>
          <w:tcPr>
            <w:tcW w:w="1659" w:type="dxa"/>
            <w:shd w:val="clear" w:color="auto" w:fill="DBE5F1" w:themeFill="accent1" w:themeFillTint="33"/>
            <w:tcMar>
              <w:left w:w="115" w:type="dxa"/>
              <w:right w:w="58" w:type="dxa"/>
            </w:tcMar>
            <w:vAlign w:val="center"/>
          </w:tcPr>
          <w:p w:rsidR="00BC7575" w:rsidRPr="00BC7575" w:rsidRDefault="00BC7575" w:rsidP="00BC7575">
            <w:pPr>
              <w:keepNext/>
              <w:keepLines/>
              <w:adjustRightInd/>
              <w:spacing w:before="40" w:after="40" w:line="240" w:lineRule="auto"/>
              <w:textAlignment w:val="auto"/>
              <w:rPr>
                <w:rFonts w:ascii="Calibri" w:eastAsia="Calibri" w:hAnsi="Calibri"/>
                <w:sz w:val="18"/>
                <w:szCs w:val="18"/>
              </w:rPr>
            </w:pPr>
            <w:r w:rsidRPr="00BC7575">
              <w:rPr>
                <w:rFonts w:ascii="Calibri" w:eastAsia="Calibri" w:hAnsi="Calibri"/>
                <w:sz w:val="18"/>
                <w:szCs w:val="18"/>
              </w:rPr>
              <w:t>Renew Plus</w:t>
            </w:r>
          </w:p>
        </w:tc>
        <w:tc>
          <w:tcPr>
            <w:tcW w:w="108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60.7</w:t>
            </w:r>
          </w:p>
        </w:tc>
        <w:tc>
          <w:tcPr>
            <w:tcW w:w="1017"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143.8</w:t>
            </w:r>
          </w:p>
        </w:tc>
        <w:tc>
          <w:tcPr>
            <w:tcW w:w="111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0.0</w:t>
            </w:r>
          </w:p>
        </w:tc>
        <w:tc>
          <w:tcPr>
            <w:tcW w:w="105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0.3</w:t>
            </w:r>
          </w:p>
        </w:tc>
        <w:tc>
          <w:tcPr>
            <w:tcW w:w="117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4.9</w:t>
            </w:r>
          </w:p>
        </w:tc>
        <w:tc>
          <w:tcPr>
            <w:tcW w:w="108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1.5</w:t>
            </w:r>
          </w:p>
        </w:tc>
        <w:tc>
          <w:tcPr>
            <w:tcW w:w="1080" w:type="dxa"/>
            <w:shd w:val="clear" w:color="auto" w:fill="DBE5F1" w:themeFill="accent1" w:themeFillTint="33"/>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211.2</w:t>
            </w:r>
          </w:p>
        </w:tc>
      </w:tr>
      <w:tr w:rsidR="00BC7575" w:rsidRPr="00BC7575" w:rsidTr="00AE63C5">
        <w:trPr>
          <w:jc w:val="center"/>
        </w:trPr>
        <w:tc>
          <w:tcPr>
            <w:tcW w:w="708" w:type="dxa"/>
            <w:vMerge/>
            <w:shd w:val="clear" w:color="auto" w:fill="DBE5F1" w:themeFill="accent1" w:themeFillTint="33"/>
            <w:vAlign w:val="center"/>
          </w:tcPr>
          <w:p w:rsidR="00BC7575" w:rsidRPr="00BC7575" w:rsidRDefault="00BC7575" w:rsidP="00BC7575">
            <w:pPr>
              <w:keepNext/>
              <w:keepLines/>
              <w:adjustRightInd/>
              <w:spacing w:before="40" w:after="40" w:line="240" w:lineRule="auto"/>
              <w:textAlignment w:val="auto"/>
              <w:rPr>
                <w:rFonts w:ascii="Calibri" w:eastAsia="Calibri" w:hAnsi="Calibri"/>
                <w:b/>
                <w:sz w:val="18"/>
                <w:szCs w:val="18"/>
              </w:rPr>
            </w:pPr>
          </w:p>
        </w:tc>
        <w:tc>
          <w:tcPr>
            <w:tcW w:w="1659" w:type="dxa"/>
            <w:shd w:val="clear" w:color="auto" w:fill="DBE5F1" w:themeFill="accent1" w:themeFillTint="33"/>
            <w:tcMar>
              <w:left w:w="115" w:type="dxa"/>
              <w:right w:w="58" w:type="dxa"/>
            </w:tcMar>
            <w:vAlign w:val="center"/>
          </w:tcPr>
          <w:p w:rsidR="00BC7575" w:rsidRPr="00BC7575" w:rsidRDefault="00BC7575" w:rsidP="00BC7575">
            <w:pPr>
              <w:keepNext/>
              <w:keepLines/>
              <w:adjustRightInd/>
              <w:spacing w:before="40" w:after="40" w:line="240" w:lineRule="auto"/>
              <w:textAlignment w:val="auto"/>
              <w:rPr>
                <w:rFonts w:ascii="Calibri" w:eastAsia="Calibri" w:hAnsi="Calibri"/>
                <w:sz w:val="18"/>
                <w:szCs w:val="18"/>
              </w:rPr>
            </w:pPr>
            <w:r w:rsidRPr="00BC7575">
              <w:rPr>
                <w:rFonts w:ascii="Calibri" w:eastAsia="Calibri" w:hAnsi="Calibri"/>
                <w:sz w:val="18"/>
                <w:szCs w:val="18"/>
              </w:rPr>
              <w:t>No Retire</w:t>
            </w:r>
          </w:p>
        </w:tc>
        <w:tc>
          <w:tcPr>
            <w:tcW w:w="108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8.0</w:t>
            </w:r>
          </w:p>
        </w:tc>
        <w:tc>
          <w:tcPr>
            <w:tcW w:w="1017"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0.7</w:t>
            </w:r>
          </w:p>
        </w:tc>
        <w:tc>
          <w:tcPr>
            <w:tcW w:w="111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0.0</w:t>
            </w:r>
          </w:p>
        </w:tc>
        <w:tc>
          <w:tcPr>
            <w:tcW w:w="105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1.2</w:t>
            </w:r>
          </w:p>
        </w:tc>
        <w:tc>
          <w:tcPr>
            <w:tcW w:w="117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7.9</w:t>
            </w:r>
          </w:p>
        </w:tc>
        <w:tc>
          <w:tcPr>
            <w:tcW w:w="108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1.4</w:t>
            </w:r>
          </w:p>
        </w:tc>
        <w:tc>
          <w:tcPr>
            <w:tcW w:w="1080" w:type="dxa"/>
            <w:shd w:val="clear" w:color="auto" w:fill="DBE5F1" w:themeFill="accent1" w:themeFillTint="33"/>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19.2</w:t>
            </w:r>
          </w:p>
        </w:tc>
      </w:tr>
      <w:tr w:rsidR="00BC7575" w:rsidRPr="00BC7575" w:rsidTr="00AE63C5">
        <w:trPr>
          <w:jc w:val="center"/>
        </w:trPr>
        <w:tc>
          <w:tcPr>
            <w:tcW w:w="708" w:type="dxa"/>
            <w:vMerge/>
            <w:shd w:val="clear" w:color="auto" w:fill="DBE5F1" w:themeFill="accent1" w:themeFillTint="33"/>
            <w:vAlign w:val="center"/>
          </w:tcPr>
          <w:p w:rsidR="00BC7575" w:rsidRPr="00BC7575" w:rsidRDefault="00BC7575" w:rsidP="00BC7575">
            <w:pPr>
              <w:keepNext/>
              <w:keepLines/>
              <w:adjustRightInd/>
              <w:spacing w:before="40" w:after="40" w:line="240" w:lineRule="auto"/>
              <w:textAlignment w:val="auto"/>
              <w:rPr>
                <w:rFonts w:ascii="Calibri" w:eastAsia="Calibri" w:hAnsi="Calibri"/>
                <w:b/>
                <w:sz w:val="18"/>
                <w:szCs w:val="18"/>
              </w:rPr>
            </w:pPr>
          </w:p>
        </w:tc>
        <w:tc>
          <w:tcPr>
            <w:tcW w:w="1659" w:type="dxa"/>
            <w:shd w:val="clear" w:color="auto" w:fill="DBE5F1" w:themeFill="accent1" w:themeFillTint="33"/>
            <w:tcMar>
              <w:left w:w="115" w:type="dxa"/>
              <w:right w:w="58" w:type="dxa"/>
            </w:tcMar>
            <w:vAlign w:val="center"/>
          </w:tcPr>
          <w:p w:rsidR="00BC7575" w:rsidRPr="00BC7575" w:rsidRDefault="00BC7575" w:rsidP="00BC7575">
            <w:pPr>
              <w:keepNext/>
              <w:keepLines/>
              <w:adjustRightInd/>
              <w:spacing w:before="40" w:after="40" w:line="240" w:lineRule="auto"/>
              <w:textAlignment w:val="auto"/>
              <w:rPr>
                <w:rFonts w:ascii="Calibri" w:eastAsia="Calibri" w:hAnsi="Calibri"/>
                <w:sz w:val="18"/>
                <w:szCs w:val="18"/>
              </w:rPr>
            </w:pPr>
            <w:r w:rsidRPr="00BC7575">
              <w:rPr>
                <w:rFonts w:ascii="Calibri" w:eastAsia="Calibri" w:hAnsi="Calibri"/>
                <w:sz w:val="18"/>
                <w:szCs w:val="18"/>
              </w:rPr>
              <w:t>ACP + Gas</w:t>
            </w:r>
          </w:p>
        </w:tc>
        <w:tc>
          <w:tcPr>
            <w:tcW w:w="108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4.2</w:t>
            </w:r>
          </w:p>
        </w:tc>
        <w:tc>
          <w:tcPr>
            <w:tcW w:w="1017"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0.1</w:t>
            </w:r>
          </w:p>
        </w:tc>
        <w:tc>
          <w:tcPr>
            <w:tcW w:w="111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0.6</w:t>
            </w:r>
          </w:p>
        </w:tc>
        <w:tc>
          <w:tcPr>
            <w:tcW w:w="105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0.8</w:t>
            </w:r>
          </w:p>
        </w:tc>
        <w:tc>
          <w:tcPr>
            <w:tcW w:w="117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8.3</w:t>
            </w:r>
          </w:p>
        </w:tc>
        <w:tc>
          <w:tcPr>
            <w:tcW w:w="108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1.7</w:t>
            </w:r>
          </w:p>
        </w:tc>
        <w:tc>
          <w:tcPr>
            <w:tcW w:w="1080" w:type="dxa"/>
            <w:shd w:val="clear" w:color="auto" w:fill="DBE5F1" w:themeFill="accent1" w:themeFillTint="33"/>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15.6</w:t>
            </w:r>
          </w:p>
        </w:tc>
      </w:tr>
      <w:tr w:rsidR="00BC7575" w:rsidRPr="00BC7575" w:rsidTr="00AE63C5">
        <w:trPr>
          <w:jc w:val="center"/>
        </w:trPr>
        <w:tc>
          <w:tcPr>
            <w:tcW w:w="708" w:type="dxa"/>
            <w:vMerge/>
            <w:shd w:val="clear" w:color="auto" w:fill="DBE5F1" w:themeFill="accent1" w:themeFillTint="33"/>
            <w:vAlign w:val="center"/>
          </w:tcPr>
          <w:p w:rsidR="00BC7575" w:rsidRPr="00BC7575" w:rsidRDefault="00BC7575" w:rsidP="00BC7575">
            <w:pPr>
              <w:keepNext/>
              <w:keepLines/>
              <w:adjustRightInd/>
              <w:spacing w:before="40" w:after="40" w:line="240" w:lineRule="auto"/>
              <w:textAlignment w:val="auto"/>
              <w:rPr>
                <w:rFonts w:ascii="Calibri" w:eastAsia="Calibri" w:hAnsi="Calibri"/>
                <w:b/>
                <w:sz w:val="18"/>
                <w:szCs w:val="18"/>
              </w:rPr>
            </w:pPr>
          </w:p>
        </w:tc>
        <w:tc>
          <w:tcPr>
            <w:tcW w:w="1659" w:type="dxa"/>
            <w:shd w:val="clear" w:color="auto" w:fill="DBE5F1" w:themeFill="accent1" w:themeFillTint="33"/>
            <w:tcMar>
              <w:left w:w="115" w:type="dxa"/>
              <w:right w:w="58" w:type="dxa"/>
            </w:tcMar>
            <w:vAlign w:val="center"/>
          </w:tcPr>
          <w:p w:rsidR="00BC7575" w:rsidRPr="00BC7575" w:rsidRDefault="00BC7575" w:rsidP="00BC7575">
            <w:pPr>
              <w:keepNext/>
              <w:keepLines/>
              <w:adjustRightInd/>
              <w:spacing w:before="40" w:after="40" w:line="240" w:lineRule="auto"/>
              <w:textAlignment w:val="auto"/>
              <w:rPr>
                <w:rFonts w:ascii="Calibri" w:eastAsia="Calibri" w:hAnsi="Calibri"/>
                <w:sz w:val="18"/>
                <w:szCs w:val="18"/>
              </w:rPr>
            </w:pPr>
            <w:r w:rsidRPr="00BC7575">
              <w:rPr>
                <w:rFonts w:ascii="Calibri" w:eastAsia="Calibri" w:hAnsi="Calibri"/>
                <w:sz w:val="18"/>
                <w:szCs w:val="18"/>
              </w:rPr>
              <w:t>RPS + Geo Renew</w:t>
            </w:r>
          </w:p>
        </w:tc>
        <w:tc>
          <w:tcPr>
            <w:tcW w:w="108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56.0</w:t>
            </w:r>
          </w:p>
        </w:tc>
        <w:tc>
          <w:tcPr>
            <w:tcW w:w="1017"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188.9</w:t>
            </w:r>
          </w:p>
        </w:tc>
        <w:tc>
          <w:tcPr>
            <w:tcW w:w="111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0.0</w:t>
            </w:r>
          </w:p>
        </w:tc>
        <w:tc>
          <w:tcPr>
            <w:tcW w:w="105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0.1</w:t>
            </w:r>
          </w:p>
        </w:tc>
        <w:tc>
          <w:tcPr>
            <w:tcW w:w="117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3.1</w:t>
            </w:r>
          </w:p>
        </w:tc>
        <w:tc>
          <w:tcPr>
            <w:tcW w:w="1080" w:type="dxa"/>
            <w:shd w:val="clear" w:color="auto" w:fill="DBE5F1" w:themeFill="accent1" w:themeFillTint="33"/>
            <w:vAlign w:val="center"/>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8.7</w:t>
            </w:r>
          </w:p>
        </w:tc>
        <w:tc>
          <w:tcPr>
            <w:tcW w:w="1080" w:type="dxa"/>
            <w:shd w:val="clear" w:color="auto" w:fill="DBE5F1" w:themeFill="accent1" w:themeFillTint="33"/>
          </w:tcPr>
          <w:p w:rsidR="00BC7575" w:rsidRPr="00BC7575" w:rsidRDefault="00BC7575" w:rsidP="00BC7575">
            <w:pPr>
              <w:keepNext/>
              <w:keepLines/>
              <w:adjustRightInd/>
              <w:spacing w:before="40" w:after="40" w:line="240" w:lineRule="auto"/>
              <w:jc w:val="right"/>
              <w:textAlignment w:val="auto"/>
              <w:rPr>
                <w:rFonts w:ascii="Calibri" w:eastAsia="Calibri" w:hAnsi="Calibri"/>
                <w:sz w:val="18"/>
                <w:szCs w:val="18"/>
              </w:rPr>
            </w:pPr>
            <w:r w:rsidRPr="00BC7575">
              <w:rPr>
                <w:rFonts w:ascii="Calibri" w:eastAsia="Calibri" w:hAnsi="Calibri"/>
                <w:sz w:val="18"/>
                <w:szCs w:val="18"/>
              </w:rPr>
              <w:t>256.8</w:t>
            </w:r>
          </w:p>
        </w:tc>
      </w:tr>
    </w:tbl>
    <w:p w:rsidR="004D5523" w:rsidRPr="00F435A3" w:rsidRDefault="00B3740D" w:rsidP="00AE63C5">
      <w:pPr>
        <w:pStyle w:val="Heading3"/>
        <w:spacing w:before="240"/>
        <w:rPr>
          <w:color w:val="FF0000"/>
        </w:rPr>
      </w:pPr>
      <w:bookmarkStart w:id="306" w:name="_Ref477165154"/>
      <w:bookmarkStart w:id="307" w:name="_Toc486406000"/>
      <w:r>
        <w:t>Wholesale Energy Market Revenues and Contributions to Fixed Costs</w:t>
      </w:r>
      <w:bookmarkEnd w:id="306"/>
      <w:bookmarkEnd w:id="307"/>
    </w:p>
    <w:p w:rsidR="00E1173F" w:rsidRDefault="00613ED2" w:rsidP="008D215C">
      <w:r>
        <w:t xml:space="preserve">The simulations calculate </w:t>
      </w:r>
      <w:r w:rsidR="00DC1266">
        <w:t xml:space="preserve">gross </w:t>
      </w:r>
      <w:r w:rsidR="001850C1">
        <w:t xml:space="preserve">hourly </w:t>
      </w:r>
      <w:r>
        <w:t xml:space="preserve">resource </w:t>
      </w:r>
      <w:r w:rsidR="006A1C63">
        <w:t xml:space="preserve">revenues from </w:t>
      </w:r>
      <w:r>
        <w:t xml:space="preserve">the </w:t>
      </w:r>
      <w:r w:rsidR="001850C1">
        <w:t xml:space="preserve">wholesale </w:t>
      </w:r>
      <w:r>
        <w:t xml:space="preserve">energy market as </w:t>
      </w:r>
      <w:r w:rsidR="001F659A">
        <w:t xml:space="preserve">equal to </w:t>
      </w:r>
      <w:r>
        <w:t xml:space="preserve">the </w:t>
      </w:r>
      <w:r w:rsidR="001F659A">
        <w:t xml:space="preserve">hourly </w:t>
      </w:r>
      <w:r>
        <w:t xml:space="preserve">LMP </w:t>
      </w:r>
      <w:r w:rsidR="00E8164F">
        <w:t xml:space="preserve">multiplied by </w:t>
      </w:r>
      <w:r>
        <w:t xml:space="preserve">the hourly </w:t>
      </w:r>
      <w:r w:rsidR="00E8164F">
        <w:t>megawatt</w:t>
      </w:r>
      <w:r>
        <w:t xml:space="preserve"> output of the resource. </w:t>
      </w:r>
      <w:r w:rsidR="001850C1">
        <w:t xml:space="preserve">Subtracting the hourly production cost for the resource </w:t>
      </w:r>
      <w:r w:rsidR="00DC1266">
        <w:t xml:space="preserve">from </w:t>
      </w:r>
      <w:r w:rsidR="006B07E8">
        <w:t xml:space="preserve">the </w:t>
      </w:r>
      <w:r w:rsidR="001F659A">
        <w:t xml:space="preserve">wholesale energy market revenue </w:t>
      </w:r>
      <w:r w:rsidR="001850C1">
        <w:t xml:space="preserve">determines the net hourly </w:t>
      </w:r>
      <w:r w:rsidR="001F659A">
        <w:t xml:space="preserve">wholesale energy market </w:t>
      </w:r>
      <w:r w:rsidR="001850C1">
        <w:t xml:space="preserve">revenue. </w:t>
      </w:r>
      <w:r w:rsidR="00DC1266">
        <w:t xml:space="preserve">Only positive values </w:t>
      </w:r>
      <w:r w:rsidR="001F659A">
        <w:t xml:space="preserve">are </w:t>
      </w:r>
      <w:r w:rsidR="006B07E8">
        <w:t>included</w:t>
      </w:r>
      <w:r w:rsidR="001F659A">
        <w:t xml:space="preserve"> in this metric</w:t>
      </w:r>
      <w:r w:rsidR="00DC1266">
        <w:t xml:space="preserve"> because u</w:t>
      </w:r>
      <w:r w:rsidR="001850C1">
        <w:t xml:space="preserve">plift revenues to the resource are added for those hours when net energy market revenues </w:t>
      </w:r>
      <w:r w:rsidR="00921273">
        <w:t>would otherwise be</w:t>
      </w:r>
      <w:r w:rsidR="001850C1">
        <w:t xml:space="preserve"> negative</w:t>
      </w:r>
      <w:r w:rsidR="00364EBB">
        <w:t>.</w:t>
      </w:r>
      <w:r w:rsidR="001850C1">
        <w:t xml:space="preserve"> </w:t>
      </w:r>
      <w:r w:rsidR="00DC1266">
        <w:t>As a result</w:t>
      </w:r>
      <w:r w:rsidR="00B85D43">
        <w:t>,</w:t>
      </w:r>
      <w:r w:rsidR="00DC1266">
        <w:t xml:space="preserve"> </w:t>
      </w:r>
      <w:r w:rsidR="001F659A">
        <w:t xml:space="preserve">the resource never receives less than the </w:t>
      </w:r>
      <w:r w:rsidR="006B07E8">
        <w:t xml:space="preserve">cost </w:t>
      </w:r>
      <w:r w:rsidR="001F659A">
        <w:t xml:space="preserve">of </w:t>
      </w:r>
      <w:r w:rsidR="006B07E8">
        <w:t>producing the energy</w:t>
      </w:r>
      <w:r w:rsidR="001850C1">
        <w:t xml:space="preserve">. </w:t>
      </w:r>
      <w:r w:rsidR="003A103A">
        <w:t>The</w:t>
      </w:r>
      <w:r>
        <w:t xml:space="preserve"> sum of the</w:t>
      </w:r>
      <w:r w:rsidR="001850C1">
        <w:t xml:space="preserve"> hourly </w:t>
      </w:r>
      <w:r w:rsidR="001F659A">
        <w:t xml:space="preserve">wholesale energy market </w:t>
      </w:r>
      <w:r w:rsidR="001850C1">
        <w:t xml:space="preserve">revenues </w:t>
      </w:r>
      <w:r w:rsidR="003761CA">
        <w:t>(accounting for</w:t>
      </w:r>
      <w:r w:rsidR="00DC1266">
        <w:t xml:space="preserve"> uplift</w:t>
      </w:r>
      <w:r w:rsidR="003761CA">
        <w:t>)</w:t>
      </w:r>
      <w:r w:rsidR="00DC1266">
        <w:t xml:space="preserve"> </w:t>
      </w:r>
      <w:r>
        <w:t xml:space="preserve">over all hours of the </w:t>
      </w:r>
      <w:r w:rsidR="003A103A">
        <w:t xml:space="preserve">year </w:t>
      </w:r>
      <w:r>
        <w:t xml:space="preserve">provides the </w:t>
      </w:r>
      <w:r w:rsidR="00B30B20">
        <w:t xml:space="preserve">net </w:t>
      </w:r>
      <w:r w:rsidR="003A103A">
        <w:t xml:space="preserve">annual </w:t>
      </w:r>
      <w:r w:rsidR="00C77D6B">
        <w:t xml:space="preserve">wholesale </w:t>
      </w:r>
      <w:r>
        <w:t>energy market revenues to resources.</w:t>
      </w:r>
      <w:r w:rsidR="003A103A">
        <w:t xml:space="preserve"> </w:t>
      </w:r>
    </w:p>
    <w:p w:rsidR="00AB6D09" w:rsidRDefault="00557261" w:rsidP="00201D25">
      <w:r>
        <w:t xml:space="preserve">The contributions to fixed costs for various technology types are normalized by dividing the annual net wholesale energy market revenues </w:t>
      </w:r>
      <w:r w:rsidR="002C4AAF">
        <w:t>($/year)</w:t>
      </w:r>
      <w:r>
        <w:t xml:space="preserve"> by the assumed k</w:t>
      </w:r>
      <w:r w:rsidR="002C4AAF">
        <w:t>ilowatt</w:t>
      </w:r>
      <w:r>
        <w:t xml:space="preserve"> nameplate rating of the resource. </w:t>
      </w:r>
      <w:r w:rsidR="002C4AAF">
        <w:fldChar w:fldCharType="begin"/>
      </w:r>
      <w:r w:rsidR="002C4AAF">
        <w:instrText xml:space="preserve"> REF _Ref476922670 \h </w:instrText>
      </w:r>
      <w:r w:rsidR="002C4AAF">
        <w:fldChar w:fldCharType="separate"/>
      </w:r>
      <w:r w:rsidR="00742B49" w:rsidRPr="00845209">
        <w:rPr>
          <w:sz w:val="18"/>
          <w:szCs w:val="18"/>
        </w:rPr>
        <w:t xml:space="preserve">Figure </w:t>
      </w:r>
      <w:r w:rsidR="00742B49">
        <w:rPr>
          <w:noProof/>
          <w:sz w:val="18"/>
          <w:szCs w:val="18"/>
        </w:rPr>
        <w:t>6</w:t>
      </w:r>
      <w:r w:rsidR="00742B49" w:rsidRPr="00845209">
        <w:rPr>
          <w:sz w:val="18"/>
          <w:szCs w:val="18"/>
        </w:rPr>
        <w:noBreakHyphen/>
      </w:r>
      <w:r w:rsidR="00742B49">
        <w:rPr>
          <w:noProof/>
          <w:sz w:val="18"/>
          <w:szCs w:val="18"/>
        </w:rPr>
        <w:t>11</w:t>
      </w:r>
      <w:r w:rsidR="002C4AAF">
        <w:fldChar w:fldCharType="end"/>
      </w:r>
      <w:r w:rsidR="002C4AAF">
        <w:t xml:space="preserve"> and </w:t>
      </w:r>
      <w:r w:rsidR="002C4AAF">
        <w:fldChar w:fldCharType="begin"/>
      </w:r>
      <w:r w:rsidR="002C4AAF">
        <w:instrText xml:space="preserve"> REF _Ref476922673 \h </w:instrText>
      </w:r>
      <w:r w:rsidR="002C4AAF">
        <w:fldChar w:fldCharType="separate"/>
      </w:r>
      <w:r w:rsidR="00742B49" w:rsidRPr="00845209">
        <w:t xml:space="preserve">Figure </w:t>
      </w:r>
      <w:r w:rsidR="00742B49">
        <w:rPr>
          <w:noProof/>
        </w:rPr>
        <w:t>6</w:t>
      </w:r>
      <w:r w:rsidR="00742B49" w:rsidRPr="00845209">
        <w:noBreakHyphen/>
      </w:r>
      <w:r w:rsidR="00742B49">
        <w:rPr>
          <w:noProof/>
        </w:rPr>
        <w:t>12</w:t>
      </w:r>
      <w:r w:rsidR="002C4AAF">
        <w:fldChar w:fldCharType="end"/>
      </w:r>
      <w:r w:rsidR="00C77D6B">
        <w:t xml:space="preserve"> compare</w:t>
      </w:r>
      <w:r w:rsidR="002C4AAF">
        <w:t>, for 2025 and 2030,</w:t>
      </w:r>
      <w:r w:rsidR="00C77D6B">
        <w:t xml:space="preserve"> t</w:t>
      </w:r>
      <w:r w:rsidR="003A103A">
        <w:t xml:space="preserve">he </w:t>
      </w:r>
      <w:r>
        <w:t xml:space="preserve">normalized </w:t>
      </w:r>
      <w:r w:rsidR="00C77D6B">
        <w:t xml:space="preserve">annual </w:t>
      </w:r>
      <w:r w:rsidR="00085368">
        <w:t xml:space="preserve">net </w:t>
      </w:r>
      <w:r w:rsidR="00E1173F">
        <w:t xml:space="preserve">wholesale energy market </w:t>
      </w:r>
      <w:r w:rsidR="00C77D6B">
        <w:t>r</w:t>
      </w:r>
      <w:r w:rsidR="003A103A">
        <w:t xml:space="preserve">evenues of typical </w:t>
      </w:r>
      <w:r w:rsidR="00C77D6B">
        <w:t xml:space="preserve">new </w:t>
      </w:r>
      <w:r w:rsidR="003A103A">
        <w:t>resources</w:t>
      </w:r>
      <w:r w:rsidR="006B07E8">
        <w:t>, including uplift</w:t>
      </w:r>
      <w:r w:rsidR="003A103A">
        <w:t xml:space="preserve"> </w:t>
      </w:r>
      <w:r w:rsidR="00AD0C54">
        <w:t xml:space="preserve">(shown as solid colors) </w:t>
      </w:r>
      <w:r w:rsidR="003A103A">
        <w:t xml:space="preserve">with the </w:t>
      </w:r>
      <w:r w:rsidR="00C77D6B">
        <w:t xml:space="preserve">annual carrying charges </w:t>
      </w:r>
      <w:r w:rsidRPr="00B30B20">
        <w:t>(</w:t>
      </w:r>
      <w:r w:rsidR="00AD0C54" w:rsidRPr="00B30B20">
        <w:t xml:space="preserve">shown as open rectangles </w:t>
      </w:r>
      <w:r w:rsidR="00C77D6B" w:rsidRPr="00B30B20">
        <w:t xml:space="preserve">summarized </w:t>
      </w:r>
      <w:r w:rsidR="00F22F19" w:rsidRPr="00B30B20">
        <w:t xml:space="preserve">as </w:t>
      </w:r>
      <w:r w:rsidR="0065126D" w:rsidRPr="00B30B20">
        <w:t>$/</w:t>
      </w:r>
      <w:r w:rsidR="00B31D11" w:rsidRPr="00B30B20">
        <w:t xml:space="preserve">kW-year </w:t>
      </w:r>
      <w:r w:rsidR="00C77D6B" w:rsidRPr="00B30B20">
        <w:t xml:space="preserve">in </w:t>
      </w:r>
      <w:r w:rsidR="00B30B20" w:rsidRPr="00B30B20">
        <w:fldChar w:fldCharType="begin"/>
      </w:r>
      <w:r w:rsidR="00B30B20" w:rsidRPr="00B30B20">
        <w:instrText xml:space="preserve"> REF _Ref486340651 \h  \* MERGEFORMAT </w:instrText>
      </w:r>
      <w:r w:rsidR="00B30B20" w:rsidRPr="00B30B20">
        <w:fldChar w:fldCharType="separate"/>
      </w:r>
      <w:r w:rsidR="00B30B20" w:rsidRPr="00B30B20">
        <w:t xml:space="preserve">Table </w:t>
      </w:r>
      <w:r w:rsidR="00B30B20" w:rsidRPr="00B30B20">
        <w:rPr>
          <w:noProof/>
        </w:rPr>
        <w:t>5</w:t>
      </w:r>
      <w:r w:rsidR="00B30B20" w:rsidRPr="00B30B20">
        <w:noBreakHyphen/>
      </w:r>
      <w:r w:rsidR="00B30B20" w:rsidRPr="00B30B20">
        <w:rPr>
          <w:noProof/>
        </w:rPr>
        <w:t>16</w:t>
      </w:r>
      <w:r w:rsidR="00B30B20" w:rsidRPr="00B30B20">
        <w:fldChar w:fldCharType="end"/>
      </w:r>
      <w:r w:rsidR="00C77D6B" w:rsidRPr="00B30B20">
        <w:t xml:space="preserve"> </w:t>
      </w:r>
      <w:r w:rsidRPr="00B30B20">
        <w:t xml:space="preserve">in </w:t>
      </w:r>
      <w:r w:rsidR="00B30B20" w:rsidRPr="00B30B20">
        <w:t xml:space="preserve">Section </w:t>
      </w:r>
      <w:r w:rsidR="00B30B20" w:rsidRPr="00B30B20">
        <w:fldChar w:fldCharType="begin"/>
      </w:r>
      <w:r w:rsidR="00B30B20" w:rsidRPr="00B30B20">
        <w:instrText xml:space="preserve"> REF _Ref480804991 \r \h  \* MERGEFORMAT </w:instrText>
      </w:r>
      <w:r w:rsidR="00B30B20" w:rsidRPr="00B30B20">
        <w:fldChar w:fldCharType="separate"/>
      </w:r>
      <w:r w:rsidR="00B30B20" w:rsidRPr="00B30B20">
        <w:t>5.7.1</w:t>
      </w:r>
      <w:r w:rsidR="00B30B20" w:rsidRPr="00B30B20">
        <w:fldChar w:fldCharType="end"/>
      </w:r>
      <w:r w:rsidR="00C77D6B" w:rsidRPr="00B30B20">
        <w:t>)</w:t>
      </w:r>
      <w:r w:rsidR="00EB52EB" w:rsidRPr="00B30B20">
        <w:t>.</w:t>
      </w:r>
      <w:r w:rsidR="007F0082" w:rsidRPr="00B30B20">
        <w:fldChar w:fldCharType="begin"/>
      </w:r>
      <w:r w:rsidR="007F0082" w:rsidRPr="00B30B20">
        <w:instrText xml:space="preserve"> REF _Ref483837586 \h </w:instrText>
      </w:r>
      <w:r w:rsidR="001D02A4" w:rsidRPr="00B30B20">
        <w:instrText xml:space="preserve"> \* MERGEFORMAT </w:instrText>
      </w:r>
      <w:r w:rsidR="007F0082" w:rsidRPr="00B30B20">
        <w:fldChar w:fldCharType="end"/>
      </w:r>
      <w:r w:rsidR="007F0082" w:rsidRPr="00B30B20">
        <w:t xml:space="preserve"> </w:t>
      </w:r>
    </w:p>
    <w:p w:rsidR="00775D2E" w:rsidRDefault="00775D2E" w:rsidP="00EB52EB">
      <w:pPr>
        <w:keepNext/>
        <w:spacing w:after="0" w:line="240" w:lineRule="auto"/>
        <w:jc w:val="center"/>
      </w:pPr>
      <w:r w:rsidRPr="00775D2E">
        <w:rPr>
          <w:noProof/>
        </w:rPr>
        <w:lastRenderedPageBreak/>
        <w:drawing>
          <wp:inline distT="0" distB="0" distL="0" distR="0" wp14:anchorId="02C7CE84" wp14:editId="464A5EC4">
            <wp:extent cx="5931535" cy="24568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31535" cy="2456815"/>
                    </a:xfrm>
                    <a:prstGeom prst="rect">
                      <a:avLst/>
                    </a:prstGeom>
                    <a:noFill/>
                    <a:ln>
                      <a:noFill/>
                    </a:ln>
                  </pic:spPr>
                </pic:pic>
              </a:graphicData>
            </a:graphic>
          </wp:inline>
        </w:drawing>
      </w:r>
    </w:p>
    <w:p w:rsidR="002C4AAF" w:rsidRPr="00845209" w:rsidRDefault="00997E95" w:rsidP="00845209">
      <w:pPr>
        <w:pStyle w:val="Caption"/>
        <w:spacing w:before="120" w:after="240"/>
        <w:ind w:left="90" w:right="90"/>
        <w:rPr>
          <w:sz w:val="18"/>
          <w:szCs w:val="18"/>
        </w:rPr>
      </w:pPr>
      <w:bookmarkStart w:id="308" w:name="_Ref476922670"/>
      <w:bookmarkStart w:id="309" w:name="_Toc486406081"/>
      <w:r w:rsidRPr="00845209">
        <w:rPr>
          <w:sz w:val="18"/>
          <w:szCs w:val="18"/>
        </w:rPr>
        <w:t xml:space="preserve">Figure </w:t>
      </w:r>
      <w:r w:rsidR="00024994" w:rsidRPr="00845209">
        <w:rPr>
          <w:sz w:val="18"/>
          <w:szCs w:val="18"/>
        </w:rPr>
        <w:fldChar w:fldCharType="begin"/>
      </w:r>
      <w:r w:rsidR="00024994" w:rsidRPr="00845209">
        <w:rPr>
          <w:sz w:val="18"/>
          <w:szCs w:val="18"/>
        </w:rPr>
        <w:instrText xml:space="preserve"> STYLEREF 1 \s </w:instrText>
      </w:r>
      <w:r w:rsidR="00024994" w:rsidRPr="00845209">
        <w:rPr>
          <w:sz w:val="18"/>
          <w:szCs w:val="18"/>
        </w:rPr>
        <w:fldChar w:fldCharType="separate"/>
      </w:r>
      <w:r w:rsidR="00742B49">
        <w:rPr>
          <w:noProof/>
          <w:sz w:val="18"/>
          <w:szCs w:val="18"/>
        </w:rPr>
        <w:t>6</w:t>
      </w:r>
      <w:r w:rsidR="00024994" w:rsidRPr="00845209">
        <w:rPr>
          <w:sz w:val="18"/>
          <w:szCs w:val="18"/>
        </w:rPr>
        <w:fldChar w:fldCharType="end"/>
      </w:r>
      <w:r w:rsidR="00024994" w:rsidRPr="00845209">
        <w:rPr>
          <w:sz w:val="18"/>
          <w:szCs w:val="18"/>
        </w:rPr>
        <w:noBreakHyphen/>
      </w:r>
      <w:r w:rsidR="00024994" w:rsidRPr="00845209">
        <w:rPr>
          <w:sz w:val="18"/>
          <w:szCs w:val="18"/>
        </w:rPr>
        <w:fldChar w:fldCharType="begin"/>
      </w:r>
      <w:r w:rsidR="00024994" w:rsidRPr="00845209">
        <w:rPr>
          <w:sz w:val="18"/>
          <w:szCs w:val="18"/>
        </w:rPr>
        <w:instrText xml:space="preserve"> SEQ Figure \* ARABIC \s 1 </w:instrText>
      </w:r>
      <w:r w:rsidR="00024994" w:rsidRPr="00845209">
        <w:rPr>
          <w:sz w:val="18"/>
          <w:szCs w:val="18"/>
        </w:rPr>
        <w:fldChar w:fldCharType="separate"/>
      </w:r>
      <w:r w:rsidR="00742B49">
        <w:rPr>
          <w:noProof/>
          <w:sz w:val="18"/>
          <w:szCs w:val="18"/>
        </w:rPr>
        <w:t>11</w:t>
      </w:r>
      <w:r w:rsidR="00024994" w:rsidRPr="00845209">
        <w:rPr>
          <w:sz w:val="18"/>
          <w:szCs w:val="18"/>
        </w:rPr>
        <w:fldChar w:fldCharType="end"/>
      </w:r>
      <w:bookmarkEnd w:id="308"/>
      <w:r w:rsidRPr="00845209">
        <w:rPr>
          <w:sz w:val="18"/>
          <w:szCs w:val="18"/>
        </w:rPr>
        <w:t xml:space="preserve">: </w:t>
      </w:r>
      <w:r w:rsidR="00477DB7" w:rsidRPr="00845209">
        <w:rPr>
          <w:sz w:val="18"/>
          <w:szCs w:val="18"/>
        </w:rPr>
        <w:t xml:space="preserve">Comparison of annual </w:t>
      </w:r>
      <w:r w:rsidR="00944DA3" w:rsidRPr="00845209">
        <w:rPr>
          <w:sz w:val="18"/>
          <w:szCs w:val="18"/>
        </w:rPr>
        <w:t xml:space="preserve">energy </w:t>
      </w:r>
      <w:r w:rsidR="00845209" w:rsidRPr="00845209">
        <w:rPr>
          <w:sz w:val="18"/>
          <w:szCs w:val="18"/>
        </w:rPr>
        <w:t xml:space="preserve">market net </w:t>
      </w:r>
      <w:r w:rsidR="00477DB7" w:rsidRPr="00845209">
        <w:rPr>
          <w:sz w:val="18"/>
          <w:szCs w:val="18"/>
        </w:rPr>
        <w:t>revenues for various technology types with annual carrying charges</w:t>
      </w:r>
      <w:r w:rsidR="00845209" w:rsidRPr="00845209">
        <w:rPr>
          <w:sz w:val="18"/>
          <w:szCs w:val="18"/>
        </w:rPr>
        <w:t xml:space="preserve">, </w:t>
      </w:r>
      <w:r w:rsidRPr="00845209">
        <w:rPr>
          <w:sz w:val="18"/>
          <w:szCs w:val="18"/>
        </w:rPr>
        <w:t>2025</w:t>
      </w:r>
      <w:r w:rsidR="002C4AAF" w:rsidRPr="00845209">
        <w:rPr>
          <w:sz w:val="18"/>
          <w:szCs w:val="18"/>
        </w:rPr>
        <w:t>,</w:t>
      </w:r>
      <w:r w:rsidRPr="00845209">
        <w:rPr>
          <w:sz w:val="18"/>
          <w:szCs w:val="18"/>
        </w:rPr>
        <w:t xml:space="preserve"> </w:t>
      </w:r>
      <w:r w:rsidR="00B46BC1" w:rsidRPr="00845209">
        <w:rPr>
          <w:sz w:val="18"/>
          <w:szCs w:val="18"/>
        </w:rPr>
        <w:t>u</w:t>
      </w:r>
      <w:r w:rsidRPr="00845209">
        <w:rPr>
          <w:sz w:val="18"/>
          <w:szCs w:val="18"/>
        </w:rPr>
        <w:t>nconstrained</w:t>
      </w:r>
      <w:r w:rsidR="002C4AAF" w:rsidRPr="00845209">
        <w:rPr>
          <w:sz w:val="18"/>
          <w:szCs w:val="18"/>
        </w:rPr>
        <w:t xml:space="preserve"> ($/kW-year).</w:t>
      </w:r>
      <w:bookmarkEnd w:id="309"/>
      <w:r w:rsidR="00477DB7">
        <w:rPr>
          <w:sz w:val="18"/>
          <w:szCs w:val="18"/>
        </w:rPr>
        <w:t xml:space="preserve"> </w:t>
      </w:r>
    </w:p>
    <w:p w:rsidR="00775D2E" w:rsidRPr="0043452B" w:rsidRDefault="00775D2E" w:rsidP="005154A7">
      <w:pPr>
        <w:keepNext/>
        <w:keepLines/>
        <w:spacing w:after="0" w:line="240" w:lineRule="auto"/>
        <w:jc w:val="center"/>
      </w:pPr>
      <w:r w:rsidRPr="00845209">
        <w:rPr>
          <w:noProof/>
        </w:rPr>
        <w:drawing>
          <wp:inline distT="0" distB="0" distL="0" distR="0" wp14:anchorId="2E22639E" wp14:editId="785469C7">
            <wp:extent cx="5930926" cy="2474976"/>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31535" cy="2475230"/>
                    </a:xfrm>
                    <a:prstGeom prst="rect">
                      <a:avLst/>
                    </a:prstGeom>
                    <a:noFill/>
                    <a:ln>
                      <a:noFill/>
                    </a:ln>
                  </pic:spPr>
                </pic:pic>
              </a:graphicData>
            </a:graphic>
          </wp:inline>
        </w:drawing>
      </w:r>
    </w:p>
    <w:p w:rsidR="00997E95" w:rsidRDefault="00997E95" w:rsidP="005154A7">
      <w:pPr>
        <w:pStyle w:val="Caption"/>
        <w:tabs>
          <w:tab w:val="left" w:pos="9360"/>
        </w:tabs>
        <w:spacing w:before="120" w:after="240"/>
        <w:rPr>
          <w:sz w:val="18"/>
          <w:szCs w:val="18"/>
        </w:rPr>
      </w:pPr>
      <w:bookmarkStart w:id="310" w:name="_Ref476922673"/>
      <w:bookmarkStart w:id="311" w:name="_Toc486406082"/>
      <w:r w:rsidRPr="00845209">
        <w:t xml:space="preserve">Figure </w:t>
      </w:r>
      <w:fldSimple w:instr=" STYLEREF 1 \s ">
        <w:r w:rsidR="00742B49">
          <w:rPr>
            <w:noProof/>
          </w:rPr>
          <w:t>6</w:t>
        </w:r>
      </w:fldSimple>
      <w:r w:rsidR="00024994" w:rsidRPr="00845209">
        <w:noBreakHyphen/>
      </w:r>
      <w:fldSimple w:instr=" SEQ Figure \* ARABIC \s 1 ">
        <w:r w:rsidR="00742B49">
          <w:rPr>
            <w:noProof/>
          </w:rPr>
          <w:t>12</w:t>
        </w:r>
      </w:fldSimple>
      <w:bookmarkEnd w:id="310"/>
      <w:r w:rsidRPr="00845209">
        <w:t xml:space="preserve">: </w:t>
      </w:r>
      <w:r w:rsidR="00477DB7" w:rsidRPr="0043452B">
        <w:rPr>
          <w:sz w:val="18"/>
          <w:szCs w:val="18"/>
        </w:rPr>
        <w:t xml:space="preserve">Comparison of annual net </w:t>
      </w:r>
      <w:r w:rsidR="00944DA3" w:rsidRPr="0043452B">
        <w:rPr>
          <w:sz w:val="18"/>
          <w:szCs w:val="18"/>
        </w:rPr>
        <w:t xml:space="preserve">energy </w:t>
      </w:r>
      <w:r w:rsidR="00845209" w:rsidRPr="0043452B">
        <w:rPr>
          <w:sz w:val="18"/>
          <w:szCs w:val="18"/>
        </w:rPr>
        <w:t xml:space="preserve">market </w:t>
      </w:r>
      <w:r w:rsidR="00477DB7" w:rsidRPr="0043452B">
        <w:rPr>
          <w:sz w:val="18"/>
          <w:szCs w:val="18"/>
        </w:rPr>
        <w:t>revenues for various technology types with annual carrying charges</w:t>
      </w:r>
      <w:r w:rsidR="00845209" w:rsidRPr="0043452B">
        <w:rPr>
          <w:sz w:val="18"/>
          <w:szCs w:val="18"/>
        </w:rPr>
        <w:t xml:space="preserve">, </w:t>
      </w:r>
      <w:r w:rsidR="002C4AAF" w:rsidRPr="0043452B">
        <w:t>2030, unconstrained</w:t>
      </w:r>
      <w:r w:rsidRPr="0043452B">
        <w:t xml:space="preserve"> ($/kW-y</w:t>
      </w:r>
      <w:r w:rsidR="002C4AAF" w:rsidRPr="0043452B">
        <w:t>ea</w:t>
      </w:r>
      <w:r w:rsidRPr="0043452B">
        <w:t>r)</w:t>
      </w:r>
      <w:r w:rsidR="002C4AAF" w:rsidRPr="0043452B">
        <w:t>.</w:t>
      </w:r>
      <w:bookmarkEnd w:id="311"/>
      <w:r w:rsidR="00DE6D31" w:rsidRPr="0043452B">
        <w:rPr>
          <w:sz w:val="18"/>
          <w:szCs w:val="18"/>
        </w:rPr>
        <w:t xml:space="preserve"> </w:t>
      </w:r>
    </w:p>
    <w:p w:rsidR="00DF1188" w:rsidRDefault="00AB6D09" w:rsidP="00DF1188">
      <w:r w:rsidRPr="00B30B20">
        <w:fldChar w:fldCharType="begin"/>
      </w:r>
      <w:r w:rsidRPr="00B30B20">
        <w:instrText xml:space="preserve"> REF _Ref476925856 \h  \* MERGEFORMAT </w:instrText>
      </w:r>
      <w:r w:rsidRPr="00B30B20">
        <w:fldChar w:fldCharType="separate"/>
      </w:r>
      <w:r w:rsidRPr="00B30B20">
        <w:t xml:space="preserve">Figure </w:t>
      </w:r>
      <w:r w:rsidRPr="00B30B20">
        <w:rPr>
          <w:noProof/>
        </w:rPr>
        <w:t>6</w:t>
      </w:r>
      <w:r w:rsidRPr="00B30B20">
        <w:rPr>
          <w:noProof/>
        </w:rPr>
        <w:noBreakHyphen/>
        <w:t>13</w:t>
      </w:r>
      <w:r w:rsidRPr="00B30B20">
        <w:fldChar w:fldCharType="end"/>
      </w:r>
      <w:r w:rsidRPr="00B30B20">
        <w:t xml:space="preserve"> and </w:t>
      </w:r>
      <w:r w:rsidRPr="00B30B20">
        <w:fldChar w:fldCharType="begin"/>
      </w:r>
      <w:r w:rsidRPr="00B30B20">
        <w:instrText xml:space="preserve"> REF _Ref476925858 \h  \* MERGEFORMAT </w:instrText>
      </w:r>
      <w:r w:rsidRPr="00B30B20">
        <w:fldChar w:fldCharType="separate"/>
      </w:r>
      <w:r w:rsidRPr="00B30B20">
        <w:t xml:space="preserve">Figure </w:t>
      </w:r>
      <w:r w:rsidRPr="00B30B20">
        <w:rPr>
          <w:noProof/>
        </w:rPr>
        <w:t>6</w:t>
      </w:r>
      <w:r w:rsidRPr="00B30B20">
        <w:rPr>
          <w:noProof/>
        </w:rPr>
        <w:noBreakHyphen/>
        <w:t>14</w:t>
      </w:r>
      <w:r w:rsidRPr="00B30B20">
        <w:fldChar w:fldCharType="end"/>
      </w:r>
      <w:r w:rsidRPr="00B30B20">
        <w:t xml:space="preserve"> show the percentage of annual</w:t>
      </w:r>
      <w:r w:rsidRPr="00845209">
        <w:t xml:space="preserve"> energy </w:t>
      </w:r>
      <w:r w:rsidRPr="005154A7">
        <w:t xml:space="preserve">market net-revenue contributions to the </w:t>
      </w:r>
      <w:r w:rsidRPr="00AB6D09">
        <w:t xml:space="preserve">annual fixed-cost carrying charge for various technology types (with </w:t>
      </w:r>
      <w:r w:rsidRPr="00AB6D09">
        <w:fldChar w:fldCharType="begin"/>
      </w:r>
      <w:r w:rsidRPr="00AB6D09">
        <w:instrText xml:space="preserve"> REF _Ref483908561 \h  \* MERGEFORMAT </w:instrText>
      </w:r>
      <w:r w:rsidRPr="00AB6D09">
        <w:fldChar w:fldCharType="separate"/>
      </w:r>
      <w:r w:rsidRPr="00AB6D09">
        <w:t xml:space="preserve">Table </w:t>
      </w:r>
      <w:r w:rsidRPr="00AB6D09">
        <w:rPr>
          <w:noProof/>
        </w:rPr>
        <w:t>6</w:t>
      </w:r>
      <w:r w:rsidRPr="00AB6D09">
        <w:rPr>
          <w:noProof/>
        </w:rPr>
        <w:noBreakHyphen/>
        <w:t>11</w:t>
      </w:r>
      <w:r w:rsidRPr="00AB6D09">
        <w:fldChar w:fldCharType="end"/>
      </w:r>
      <w:r w:rsidRPr="00AB6D09">
        <w:t xml:space="preserve"> showing the data). </w:t>
      </w:r>
      <w:r w:rsidRPr="00AB6D09">
        <w:rPr>
          <w:szCs w:val="20"/>
        </w:rPr>
        <w:t xml:space="preserve">In </w:t>
      </w:r>
      <w:r w:rsidRPr="00AB6D09">
        <w:rPr>
          <w:szCs w:val="20"/>
        </w:rPr>
        <w:fldChar w:fldCharType="begin"/>
      </w:r>
      <w:r w:rsidRPr="00AB6D09">
        <w:rPr>
          <w:szCs w:val="20"/>
        </w:rPr>
        <w:instrText xml:space="preserve"> REF _Ref476922670 \h  \* MERGEFORMAT </w:instrText>
      </w:r>
      <w:r w:rsidRPr="00AB6D09">
        <w:rPr>
          <w:szCs w:val="20"/>
        </w:rPr>
      </w:r>
      <w:r w:rsidRPr="00AB6D09">
        <w:rPr>
          <w:szCs w:val="20"/>
        </w:rPr>
        <w:fldChar w:fldCharType="separate"/>
      </w:r>
      <w:r w:rsidRPr="00AB6D09">
        <w:rPr>
          <w:szCs w:val="20"/>
        </w:rPr>
        <w:t xml:space="preserve">Figure </w:t>
      </w:r>
      <w:r w:rsidRPr="00AB6D09">
        <w:rPr>
          <w:noProof/>
          <w:szCs w:val="20"/>
        </w:rPr>
        <w:t>6</w:t>
      </w:r>
      <w:r w:rsidRPr="00AB6D09">
        <w:rPr>
          <w:noProof/>
          <w:szCs w:val="20"/>
        </w:rPr>
        <w:noBreakHyphen/>
        <w:t>11</w:t>
      </w:r>
      <w:r w:rsidRPr="00AB6D09">
        <w:rPr>
          <w:szCs w:val="20"/>
        </w:rPr>
        <w:fldChar w:fldCharType="end"/>
      </w:r>
      <w:r w:rsidRPr="005154A7">
        <w:rPr>
          <w:szCs w:val="20"/>
        </w:rPr>
        <w:t xml:space="preserve"> to </w:t>
      </w:r>
      <w:r w:rsidRPr="005154A7">
        <w:rPr>
          <w:szCs w:val="20"/>
        </w:rPr>
        <w:fldChar w:fldCharType="begin"/>
      </w:r>
      <w:r w:rsidRPr="005154A7">
        <w:rPr>
          <w:szCs w:val="20"/>
        </w:rPr>
        <w:instrText xml:space="preserve"> REF _Ref476925858 \h  \* MERGEFORMAT </w:instrText>
      </w:r>
      <w:r w:rsidRPr="005154A7">
        <w:rPr>
          <w:szCs w:val="20"/>
        </w:rPr>
      </w:r>
      <w:r w:rsidRPr="005154A7">
        <w:rPr>
          <w:szCs w:val="20"/>
        </w:rPr>
        <w:fldChar w:fldCharType="separate"/>
      </w:r>
      <w:r w:rsidRPr="005154A7">
        <w:rPr>
          <w:szCs w:val="20"/>
        </w:rPr>
        <w:t xml:space="preserve">Figure </w:t>
      </w:r>
      <w:r w:rsidRPr="005154A7">
        <w:rPr>
          <w:noProof/>
          <w:szCs w:val="20"/>
        </w:rPr>
        <w:t>6</w:t>
      </w:r>
      <w:r w:rsidRPr="005154A7">
        <w:rPr>
          <w:noProof/>
          <w:szCs w:val="20"/>
        </w:rPr>
        <w:noBreakHyphen/>
        <w:t>14</w:t>
      </w:r>
      <w:r w:rsidRPr="005154A7">
        <w:rPr>
          <w:szCs w:val="20"/>
        </w:rPr>
        <w:fldChar w:fldCharType="end"/>
      </w:r>
      <w:r w:rsidRPr="005154A7">
        <w:t>, “Offshore Wind #1” and “Offshore Wind #2”</w:t>
      </w:r>
      <w:r w:rsidRPr="000979E7">
        <w:t xml:space="preserve"> represent two different locations; Offshore Wind #1 is closer to shore and less windy, and Offshore Wind #2 is further away from shore and </w:t>
      </w:r>
      <w:r>
        <w:t>has greater available wind energy</w:t>
      </w:r>
      <w:r w:rsidRPr="000979E7">
        <w:t>. Under its Information Policy, the ISO cannot provide more details about these wind resources.</w:t>
      </w:r>
      <w:r w:rsidRPr="000979E7">
        <w:rPr>
          <w:rStyle w:val="FootnoteReference"/>
        </w:rPr>
        <w:footnoteReference w:id="66"/>
      </w:r>
      <w:r w:rsidRPr="000979E7">
        <w:t xml:space="preserve"> </w:t>
      </w:r>
      <w:r w:rsidR="00DF1188">
        <w:fldChar w:fldCharType="begin"/>
      </w:r>
      <w:r w:rsidR="00DF1188">
        <w:instrText xml:space="preserve"> REF _Ref483908561 \h </w:instrText>
      </w:r>
      <w:r w:rsidR="00DF1188">
        <w:fldChar w:fldCharType="separate"/>
      </w:r>
      <w:r w:rsidR="00DF1188">
        <w:t xml:space="preserve">Table </w:t>
      </w:r>
      <w:r w:rsidR="00DF1188">
        <w:rPr>
          <w:noProof/>
        </w:rPr>
        <w:t>6</w:t>
      </w:r>
      <w:r w:rsidR="00DF1188">
        <w:noBreakHyphen/>
      </w:r>
      <w:r w:rsidR="00DF1188">
        <w:rPr>
          <w:noProof/>
        </w:rPr>
        <w:t>12</w:t>
      </w:r>
      <w:r w:rsidR="00DF1188">
        <w:fldChar w:fldCharType="end"/>
      </w:r>
      <w:r w:rsidR="00DF1188">
        <w:t xml:space="preserve"> shows</w:t>
      </w:r>
      <w:r w:rsidR="00DF1188" w:rsidRPr="00DF1188">
        <w:t xml:space="preserve"> </w:t>
      </w:r>
      <w:r w:rsidR="00DF1188">
        <w:t>the percentage of annual net energy market revenue contributions to fixed costs for the various technology types.</w:t>
      </w:r>
    </w:p>
    <w:p w:rsidR="00775D2E" w:rsidRDefault="00775D2E" w:rsidP="00AB6D09">
      <w:pPr>
        <w:keepLines/>
        <w:spacing w:after="0" w:line="240" w:lineRule="auto"/>
        <w:jc w:val="center"/>
      </w:pPr>
      <w:r w:rsidRPr="00775D2E">
        <w:rPr>
          <w:noProof/>
        </w:rPr>
        <w:lastRenderedPageBreak/>
        <w:drawing>
          <wp:inline distT="0" distB="0" distL="0" distR="0" wp14:anchorId="596AFF23" wp14:editId="78CAC7B0">
            <wp:extent cx="5943600" cy="23533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2353310"/>
                    </a:xfrm>
                    <a:prstGeom prst="rect">
                      <a:avLst/>
                    </a:prstGeom>
                    <a:noFill/>
                    <a:ln>
                      <a:noFill/>
                    </a:ln>
                  </pic:spPr>
                </pic:pic>
              </a:graphicData>
            </a:graphic>
          </wp:inline>
        </w:drawing>
      </w:r>
    </w:p>
    <w:p w:rsidR="004D5523" w:rsidRPr="005726DC" w:rsidRDefault="00D76B73" w:rsidP="00EC51AA">
      <w:pPr>
        <w:pStyle w:val="Caption"/>
        <w:spacing w:before="120" w:after="240"/>
        <w:rPr>
          <w:rFonts w:asciiTheme="minorHAnsi" w:hAnsiTheme="minorHAnsi"/>
        </w:rPr>
      </w:pPr>
      <w:bookmarkStart w:id="312" w:name="_Ref476925856"/>
      <w:bookmarkStart w:id="313" w:name="_Toc486406083"/>
      <w:r w:rsidRPr="005726DC">
        <w:t xml:space="preserve">Figure </w:t>
      </w:r>
      <w:fldSimple w:instr=" STYLEREF 1 \s ">
        <w:r w:rsidR="00742B49">
          <w:rPr>
            <w:noProof/>
          </w:rPr>
          <w:t>6</w:t>
        </w:r>
      </w:fldSimple>
      <w:r w:rsidR="00024994" w:rsidRPr="005726DC">
        <w:noBreakHyphen/>
      </w:r>
      <w:fldSimple w:instr=" SEQ Figure \* ARABIC \s 1 ">
        <w:r w:rsidR="00742B49">
          <w:rPr>
            <w:noProof/>
          </w:rPr>
          <w:t>13</w:t>
        </w:r>
      </w:fldSimple>
      <w:bookmarkEnd w:id="312"/>
      <w:r w:rsidRPr="005726DC">
        <w:t xml:space="preserve">: </w:t>
      </w:r>
      <w:r w:rsidR="00624E33" w:rsidRPr="005726DC">
        <w:t xml:space="preserve">Percentage of annual </w:t>
      </w:r>
      <w:r w:rsidR="00944DA3" w:rsidRPr="005726DC">
        <w:t xml:space="preserve">net energy market </w:t>
      </w:r>
      <w:r w:rsidR="00624E33" w:rsidRPr="005726DC">
        <w:t>revenue c</w:t>
      </w:r>
      <w:r w:rsidRPr="005726DC">
        <w:t>ontributions to fixed costs (plus uplift) for various technology types</w:t>
      </w:r>
      <w:r w:rsidR="00EC51AA" w:rsidRPr="005726DC">
        <w:t xml:space="preserve">, </w:t>
      </w:r>
      <w:r w:rsidRPr="005726DC">
        <w:t xml:space="preserve">2025, unconstrained </w:t>
      </w:r>
      <w:r w:rsidR="00B46BC1" w:rsidRPr="005726DC">
        <w:t>(% of revenue requirements)</w:t>
      </w:r>
      <w:r w:rsidR="00DE6D31" w:rsidRPr="005726DC">
        <w:t>.</w:t>
      </w:r>
      <w:bookmarkEnd w:id="313"/>
      <w:r w:rsidR="00DE6D31" w:rsidRPr="005726DC">
        <w:t xml:space="preserve"> </w:t>
      </w:r>
    </w:p>
    <w:p w:rsidR="00775D2E" w:rsidRDefault="00775D2E" w:rsidP="00A37C67">
      <w:pPr>
        <w:keepNext/>
        <w:keepLines/>
        <w:spacing w:after="0" w:line="240" w:lineRule="auto"/>
        <w:jc w:val="center"/>
      </w:pPr>
      <w:r w:rsidRPr="00775D2E">
        <w:rPr>
          <w:noProof/>
        </w:rPr>
        <w:drawing>
          <wp:inline distT="0" distB="0" distL="0" distR="0" wp14:anchorId="165BB34F" wp14:editId="56FAA7A7">
            <wp:extent cx="5943600" cy="2322830"/>
            <wp:effectExtent l="0" t="0" r="0" b="1270"/>
            <wp:docPr id="7171" name="Pictur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2322830"/>
                    </a:xfrm>
                    <a:prstGeom prst="rect">
                      <a:avLst/>
                    </a:prstGeom>
                    <a:noFill/>
                    <a:ln>
                      <a:noFill/>
                    </a:ln>
                  </pic:spPr>
                </pic:pic>
              </a:graphicData>
            </a:graphic>
          </wp:inline>
        </w:drawing>
      </w:r>
    </w:p>
    <w:p w:rsidR="00D76B73" w:rsidRDefault="00D76B73" w:rsidP="00A37C67">
      <w:pPr>
        <w:pStyle w:val="Caption"/>
        <w:keepNext w:val="0"/>
        <w:keepLines w:val="0"/>
        <w:spacing w:before="120" w:after="80"/>
        <w:ind w:right="90"/>
      </w:pPr>
      <w:bookmarkStart w:id="314" w:name="_Ref476925858"/>
      <w:bookmarkStart w:id="315" w:name="_Toc486406084"/>
      <w:r w:rsidRPr="005726DC">
        <w:t xml:space="preserve">Figure </w:t>
      </w:r>
      <w:fldSimple w:instr=" STYLEREF 1 \s ">
        <w:r w:rsidR="00742B49">
          <w:rPr>
            <w:noProof/>
          </w:rPr>
          <w:t>6</w:t>
        </w:r>
      </w:fldSimple>
      <w:r w:rsidR="00024994" w:rsidRPr="005726DC">
        <w:noBreakHyphen/>
      </w:r>
      <w:fldSimple w:instr=" SEQ Figure \* ARABIC \s 1 ">
        <w:r w:rsidR="00742B49">
          <w:rPr>
            <w:noProof/>
          </w:rPr>
          <w:t>14</w:t>
        </w:r>
      </w:fldSimple>
      <w:bookmarkEnd w:id="314"/>
      <w:r w:rsidRPr="005726DC">
        <w:t xml:space="preserve">: </w:t>
      </w:r>
      <w:r w:rsidR="00624E33" w:rsidRPr="005726DC">
        <w:t xml:space="preserve">Percentage of annual </w:t>
      </w:r>
      <w:r w:rsidR="00944DA3" w:rsidRPr="005726DC">
        <w:t xml:space="preserve">net energy market </w:t>
      </w:r>
      <w:r w:rsidR="00624E33" w:rsidRPr="005726DC">
        <w:t>revenue c</w:t>
      </w:r>
      <w:r w:rsidRPr="005726DC">
        <w:t>ontributions to fixed costs (plus uplift) for various technology types</w:t>
      </w:r>
      <w:r w:rsidR="00AB3CBB" w:rsidRPr="005726DC">
        <w:t xml:space="preserve">, </w:t>
      </w:r>
      <w:r w:rsidRPr="005726DC">
        <w:t>2030, unconstrained (% of revenue requirements).</w:t>
      </w:r>
      <w:bookmarkEnd w:id="315"/>
    </w:p>
    <w:p w:rsidR="006B07E8" w:rsidRPr="00FC53B0" w:rsidRDefault="006B07E8" w:rsidP="006B07E8">
      <w:pPr>
        <w:pStyle w:val="Caption"/>
        <w:jc w:val="center"/>
        <w:rPr>
          <w:rFonts w:asciiTheme="minorHAnsi" w:hAnsiTheme="minorHAnsi"/>
        </w:rPr>
      </w:pPr>
      <w:bookmarkStart w:id="316" w:name="_Ref486336677"/>
      <w:bookmarkStart w:id="317" w:name="_Toc486406046"/>
      <w:r w:rsidRPr="0091124D">
        <w:lastRenderedPageBreak/>
        <w:t xml:space="preserve">Table </w:t>
      </w:r>
      <w:r w:rsidR="004248FE" w:rsidRPr="008E1A87">
        <w:fldChar w:fldCharType="begin"/>
      </w:r>
      <w:r w:rsidR="004248FE" w:rsidRPr="0091124D">
        <w:instrText xml:space="preserve"> STYLEREF 1 \s </w:instrText>
      </w:r>
      <w:r w:rsidR="004248FE" w:rsidRPr="008E1A87">
        <w:fldChar w:fldCharType="separate"/>
      </w:r>
      <w:r w:rsidR="004248FE" w:rsidRPr="0091124D">
        <w:rPr>
          <w:noProof/>
        </w:rPr>
        <w:t>6</w:t>
      </w:r>
      <w:r w:rsidR="004248FE" w:rsidRPr="008E1A87">
        <w:fldChar w:fldCharType="end"/>
      </w:r>
      <w:r w:rsidR="004248FE" w:rsidRPr="0091124D">
        <w:noBreakHyphen/>
      </w:r>
      <w:r w:rsidR="004248FE" w:rsidRPr="008E1A87">
        <w:fldChar w:fldCharType="begin"/>
      </w:r>
      <w:r w:rsidR="004248FE" w:rsidRPr="0091124D">
        <w:instrText xml:space="preserve"> SEQ Table \* ARABIC \s 1 </w:instrText>
      </w:r>
      <w:r w:rsidR="004248FE" w:rsidRPr="008E1A87">
        <w:fldChar w:fldCharType="separate"/>
      </w:r>
      <w:r w:rsidR="004248FE" w:rsidRPr="0091124D">
        <w:rPr>
          <w:noProof/>
        </w:rPr>
        <w:t>11</w:t>
      </w:r>
      <w:r w:rsidR="004248FE" w:rsidRPr="008E1A87">
        <w:fldChar w:fldCharType="end"/>
      </w:r>
      <w:bookmarkEnd w:id="316"/>
      <w:r w:rsidRPr="0091124D">
        <w:br/>
      </w:r>
      <w:r w:rsidRPr="00DF1188">
        <w:t xml:space="preserve">Comparison of Annual Net Energy Market Revenues for </w:t>
      </w:r>
      <w:r w:rsidRPr="00737F69">
        <w:t>Various Technology Types with Annual Carrying Charges, 2025 and 2030</w:t>
      </w:r>
      <w:r w:rsidRPr="00737F69">
        <w:rPr>
          <w:rFonts w:asciiTheme="minorHAnsi" w:hAnsiTheme="minorHAnsi"/>
        </w:rPr>
        <w:t xml:space="preserve"> ($/kW-y</w:t>
      </w:r>
      <w:r w:rsidR="008A12AF" w:rsidRPr="00737F69">
        <w:rPr>
          <w:rFonts w:asciiTheme="minorHAnsi" w:hAnsiTheme="minorHAnsi"/>
        </w:rPr>
        <w:t>ea</w:t>
      </w:r>
      <w:r w:rsidRPr="00737F69">
        <w:rPr>
          <w:rFonts w:asciiTheme="minorHAnsi" w:hAnsiTheme="minorHAnsi"/>
        </w:rPr>
        <w:t>r)</w:t>
      </w:r>
      <w:r w:rsidRPr="00DF1188">
        <w:rPr>
          <w:rFonts w:asciiTheme="minorHAnsi" w:hAnsiTheme="minorHAnsi"/>
        </w:rPr>
        <w:t xml:space="preserve"> </w:t>
      </w:r>
      <w:bookmarkEnd w:id="317"/>
    </w:p>
    <w:tbl>
      <w:tblPr>
        <w:tblW w:w="10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4A0" w:firstRow="1" w:lastRow="0" w:firstColumn="1" w:lastColumn="0" w:noHBand="0" w:noVBand="1"/>
      </w:tblPr>
      <w:tblGrid>
        <w:gridCol w:w="1862"/>
        <w:gridCol w:w="1419"/>
        <w:gridCol w:w="1223"/>
        <w:gridCol w:w="989"/>
        <w:gridCol w:w="949"/>
        <w:gridCol w:w="1116"/>
        <w:gridCol w:w="1038"/>
        <w:gridCol w:w="1223"/>
        <w:gridCol w:w="914"/>
      </w:tblGrid>
      <w:tr w:rsidR="00AB6D09" w:rsidRPr="0043452B" w:rsidTr="0006098B">
        <w:trPr>
          <w:jc w:val="center"/>
        </w:trPr>
        <w:tc>
          <w:tcPr>
            <w:tcW w:w="1862" w:type="dxa"/>
            <w:shd w:val="clear" w:color="auto" w:fill="0070C0"/>
            <w:tcMar>
              <w:top w:w="14" w:type="dxa"/>
              <w:bottom w:w="14" w:type="dxa"/>
            </w:tcMar>
            <w:vAlign w:val="center"/>
          </w:tcPr>
          <w:p w:rsidR="00AB6D09" w:rsidRPr="00EC51AA" w:rsidRDefault="00AB6D09" w:rsidP="00496106">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EC51AA">
              <w:rPr>
                <w:rFonts w:asciiTheme="minorHAnsi" w:eastAsia="Calibri" w:hAnsiTheme="minorHAnsi"/>
                <w:b/>
                <w:color w:val="FFFFFF" w:themeColor="background1"/>
                <w:sz w:val="18"/>
                <w:szCs w:val="18"/>
              </w:rPr>
              <w:t>Transmission</w:t>
            </w:r>
            <w:r>
              <w:rPr>
                <w:rFonts w:asciiTheme="minorHAnsi" w:eastAsia="Calibri" w:hAnsiTheme="minorHAnsi"/>
                <w:b/>
                <w:color w:val="FFFFFF" w:themeColor="background1"/>
                <w:sz w:val="18"/>
                <w:szCs w:val="18"/>
              </w:rPr>
              <w:t xml:space="preserve"> and Year</w:t>
            </w:r>
          </w:p>
        </w:tc>
        <w:tc>
          <w:tcPr>
            <w:tcW w:w="1419" w:type="dxa"/>
            <w:shd w:val="clear" w:color="auto" w:fill="0070C0"/>
            <w:tcMar>
              <w:top w:w="14" w:type="dxa"/>
              <w:bottom w:w="14" w:type="dxa"/>
            </w:tcMar>
            <w:vAlign w:val="center"/>
          </w:tcPr>
          <w:p w:rsidR="00AB6D09" w:rsidRPr="00EC51AA" w:rsidRDefault="00AB6D09" w:rsidP="00AB6D09">
            <w:pPr>
              <w:keepNext/>
              <w:keepLines/>
              <w:spacing w:before="40" w:after="40" w:line="240" w:lineRule="auto"/>
              <w:jc w:val="center"/>
              <w:rPr>
                <w:rFonts w:asciiTheme="minorHAnsi" w:eastAsia="Calibri" w:hAnsiTheme="minorHAnsi"/>
                <w:b/>
                <w:color w:val="FFFFFF" w:themeColor="background1"/>
                <w:sz w:val="18"/>
                <w:szCs w:val="18"/>
              </w:rPr>
            </w:pPr>
            <w:r w:rsidRPr="00EC51AA">
              <w:rPr>
                <w:rFonts w:asciiTheme="minorHAnsi" w:eastAsia="Calibri" w:hAnsiTheme="minorHAnsi"/>
                <w:b/>
                <w:color w:val="FFFFFF" w:themeColor="background1"/>
                <w:sz w:val="18"/>
                <w:szCs w:val="18"/>
              </w:rPr>
              <w:t>Scenario</w:t>
            </w:r>
          </w:p>
        </w:tc>
        <w:tc>
          <w:tcPr>
            <w:tcW w:w="1223" w:type="dxa"/>
            <w:shd w:val="clear" w:color="auto" w:fill="0070C0"/>
            <w:tcMar>
              <w:top w:w="14" w:type="dxa"/>
              <w:bottom w:w="14" w:type="dxa"/>
            </w:tcMar>
            <w:vAlign w:val="center"/>
          </w:tcPr>
          <w:p w:rsidR="00AB6D09" w:rsidRPr="00EC51AA" w:rsidRDefault="00AB6D09" w:rsidP="00496106">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EC51AA">
              <w:rPr>
                <w:rFonts w:asciiTheme="minorHAnsi" w:eastAsia="Calibri" w:hAnsiTheme="minorHAnsi"/>
                <w:b/>
                <w:color w:val="FFFFFF" w:themeColor="background1"/>
                <w:sz w:val="18"/>
                <w:szCs w:val="18"/>
              </w:rPr>
              <w:t>Massachusetts PV</w:t>
            </w:r>
          </w:p>
        </w:tc>
        <w:tc>
          <w:tcPr>
            <w:tcW w:w="989" w:type="dxa"/>
            <w:shd w:val="clear" w:color="auto" w:fill="0070C0"/>
            <w:tcMar>
              <w:top w:w="14" w:type="dxa"/>
              <w:bottom w:w="14" w:type="dxa"/>
            </w:tcMar>
            <w:vAlign w:val="center"/>
          </w:tcPr>
          <w:p w:rsidR="00AB6D09" w:rsidRPr="00EC51AA" w:rsidRDefault="00AB6D09" w:rsidP="00496106">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EC51AA">
              <w:rPr>
                <w:rFonts w:asciiTheme="minorHAnsi" w:eastAsia="Calibri" w:hAnsiTheme="minorHAnsi"/>
                <w:b/>
                <w:color w:val="FFFFFF" w:themeColor="background1"/>
                <w:sz w:val="18"/>
                <w:szCs w:val="18"/>
              </w:rPr>
              <w:t>NGCC</w:t>
            </w:r>
          </w:p>
        </w:tc>
        <w:tc>
          <w:tcPr>
            <w:tcW w:w="949" w:type="dxa"/>
            <w:shd w:val="clear" w:color="auto" w:fill="0070C0"/>
            <w:tcMar>
              <w:top w:w="14" w:type="dxa"/>
              <w:bottom w:w="14" w:type="dxa"/>
            </w:tcMar>
            <w:vAlign w:val="center"/>
          </w:tcPr>
          <w:p w:rsidR="00AB6D09" w:rsidRPr="00EC51AA" w:rsidRDefault="00AB6D09" w:rsidP="00496106">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EC51AA">
              <w:rPr>
                <w:rFonts w:asciiTheme="minorHAnsi" w:eastAsia="Calibri" w:hAnsiTheme="minorHAnsi"/>
                <w:b/>
                <w:color w:val="FFFFFF" w:themeColor="background1"/>
                <w:sz w:val="18"/>
                <w:szCs w:val="18"/>
              </w:rPr>
              <w:t>Simple-Cycle Gas Turbine</w:t>
            </w:r>
          </w:p>
        </w:tc>
        <w:tc>
          <w:tcPr>
            <w:tcW w:w="1116" w:type="dxa"/>
            <w:shd w:val="clear" w:color="auto" w:fill="0070C0"/>
            <w:tcMar>
              <w:top w:w="14" w:type="dxa"/>
              <w:bottom w:w="14" w:type="dxa"/>
            </w:tcMar>
            <w:vAlign w:val="center"/>
          </w:tcPr>
          <w:p w:rsidR="00AB6D09" w:rsidRPr="00EC51AA" w:rsidRDefault="00AB6D09" w:rsidP="00496106">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EC51AA">
              <w:rPr>
                <w:rFonts w:asciiTheme="minorHAnsi" w:eastAsia="Calibri" w:hAnsiTheme="minorHAnsi"/>
                <w:b/>
                <w:color w:val="FFFFFF" w:themeColor="background1"/>
                <w:sz w:val="18"/>
                <w:szCs w:val="18"/>
              </w:rPr>
              <w:t>Offshore Wind #1</w:t>
            </w:r>
          </w:p>
        </w:tc>
        <w:tc>
          <w:tcPr>
            <w:tcW w:w="1038" w:type="dxa"/>
            <w:shd w:val="clear" w:color="auto" w:fill="0070C0"/>
            <w:tcMar>
              <w:top w:w="14" w:type="dxa"/>
              <w:bottom w:w="14" w:type="dxa"/>
            </w:tcMar>
            <w:vAlign w:val="center"/>
          </w:tcPr>
          <w:p w:rsidR="00AB6D09" w:rsidRPr="00EC51AA" w:rsidRDefault="00AB6D09" w:rsidP="00496106">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EC51AA">
              <w:rPr>
                <w:rFonts w:asciiTheme="minorHAnsi" w:eastAsia="Calibri" w:hAnsiTheme="minorHAnsi"/>
                <w:b/>
                <w:color w:val="FFFFFF" w:themeColor="background1"/>
                <w:sz w:val="18"/>
                <w:szCs w:val="18"/>
              </w:rPr>
              <w:t>Offshore Wind #2</w:t>
            </w:r>
          </w:p>
        </w:tc>
        <w:tc>
          <w:tcPr>
            <w:tcW w:w="1223" w:type="dxa"/>
            <w:shd w:val="clear" w:color="auto" w:fill="0070C0"/>
            <w:tcMar>
              <w:top w:w="14" w:type="dxa"/>
              <w:bottom w:w="14" w:type="dxa"/>
            </w:tcMar>
            <w:vAlign w:val="center"/>
          </w:tcPr>
          <w:p w:rsidR="00AB6D09" w:rsidRPr="00EC51AA" w:rsidRDefault="00AB6D09" w:rsidP="00496106">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EC51AA">
              <w:rPr>
                <w:rFonts w:asciiTheme="minorHAnsi" w:eastAsia="Calibri" w:hAnsiTheme="minorHAnsi"/>
                <w:b/>
                <w:color w:val="FFFFFF" w:themeColor="background1"/>
                <w:sz w:val="18"/>
                <w:szCs w:val="18"/>
              </w:rPr>
              <w:t>Massachusetts Wind</w:t>
            </w:r>
          </w:p>
        </w:tc>
        <w:tc>
          <w:tcPr>
            <w:tcW w:w="914" w:type="dxa"/>
            <w:shd w:val="clear" w:color="auto" w:fill="0070C0"/>
            <w:tcMar>
              <w:top w:w="14" w:type="dxa"/>
              <w:bottom w:w="14" w:type="dxa"/>
            </w:tcMar>
            <w:vAlign w:val="center"/>
          </w:tcPr>
          <w:p w:rsidR="00AB6D09" w:rsidRPr="00EC51AA" w:rsidRDefault="00AB6D09" w:rsidP="00496106">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EC51AA">
              <w:rPr>
                <w:rFonts w:asciiTheme="minorHAnsi" w:eastAsia="Calibri" w:hAnsiTheme="minorHAnsi"/>
                <w:b/>
                <w:color w:val="FFFFFF" w:themeColor="background1"/>
                <w:sz w:val="18"/>
                <w:szCs w:val="18"/>
              </w:rPr>
              <w:t>Maine Wind</w:t>
            </w:r>
          </w:p>
        </w:tc>
      </w:tr>
      <w:tr w:rsidR="0006098B" w:rsidRPr="0006098B" w:rsidTr="0006098B">
        <w:trPr>
          <w:jc w:val="center"/>
        </w:trPr>
        <w:tc>
          <w:tcPr>
            <w:tcW w:w="3281" w:type="dxa"/>
            <w:gridSpan w:val="2"/>
            <w:shd w:val="clear" w:color="auto" w:fill="B8CCE4" w:themeFill="accent1" w:themeFillTint="66"/>
            <w:tcMar>
              <w:top w:w="14" w:type="dxa"/>
              <w:bottom w:w="14" w:type="dxa"/>
            </w:tcMar>
            <w:vAlign w:val="center"/>
          </w:tcPr>
          <w:p w:rsidR="0006098B" w:rsidRPr="0006098B" w:rsidRDefault="0006098B" w:rsidP="00496106">
            <w:pPr>
              <w:keepNext/>
              <w:keepLines/>
              <w:adjustRightInd/>
              <w:spacing w:before="40" w:after="40" w:line="240" w:lineRule="auto"/>
              <w:jc w:val="center"/>
              <w:textAlignment w:val="auto"/>
              <w:rPr>
                <w:rFonts w:asciiTheme="minorHAnsi" w:eastAsia="Calibri" w:hAnsiTheme="minorHAnsi"/>
                <w:b/>
                <w:color w:val="000000" w:themeColor="text1"/>
                <w:sz w:val="18"/>
                <w:szCs w:val="18"/>
              </w:rPr>
            </w:pPr>
            <w:r w:rsidRPr="0006098B">
              <w:rPr>
                <w:rFonts w:asciiTheme="minorHAnsi" w:eastAsia="Calibri" w:hAnsiTheme="minorHAnsi"/>
                <w:b/>
                <w:color w:val="000000" w:themeColor="text1"/>
                <w:sz w:val="18"/>
                <w:szCs w:val="18"/>
              </w:rPr>
              <w:t xml:space="preserve">Annual Carrying Charges </w:t>
            </w:r>
          </w:p>
          <w:p w:rsidR="0006098B" w:rsidRPr="0006098B" w:rsidRDefault="0006098B" w:rsidP="00496106">
            <w:pPr>
              <w:keepNext/>
              <w:keepLines/>
              <w:adjustRightInd/>
              <w:spacing w:before="40" w:after="40" w:line="240" w:lineRule="auto"/>
              <w:jc w:val="center"/>
              <w:textAlignment w:val="auto"/>
              <w:rPr>
                <w:rFonts w:asciiTheme="minorHAnsi" w:eastAsia="Calibri" w:hAnsiTheme="minorHAnsi"/>
                <w:b/>
                <w:color w:val="000000" w:themeColor="text1"/>
                <w:sz w:val="18"/>
                <w:szCs w:val="18"/>
              </w:rPr>
            </w:pPr>
            <w:r w:rsidRPr="0006098B">
              <w:rPr>
                <w:rFonts w:asciiTheme="minorHAnsi" w:eastAsia="Calibri" w:hAnsiTheme="minorHAnsi"/>
                <w:b/>
                <w:color w:val="000000" w:themeColor="text1"/>
                <w:sz w:val="18"/>
                <w:szCs w:val="18"/>
              </w:rPr>
              <w:t>($/kW-yr), 2025 and 2030</w:t>
            </w:r>
          </w:p>
        </w:tc>
        <w:tc>
          <w:tcPr>
            <w:tcW w:w="1223" w:type="dxa"/>
            <w:shd w:val="clear" w:color="auto" w:fill="B8CCE4" w:themeFill="accent1" w:themeFillTint="66"/>
            <w:tcMar>
              <w:top w:w="14" w:type="dxa"/>
              <w:bottom w:w="14" w:type="dxa"/>
              <w:right w:w="144" w:type="dxa"/>
            </w:tcMar>
            <w:vAlign w:val="center"/>
          </w:tcPr>
          <w:p w:rsidR="0006098B" w:rsidRPr="0006098B" w:rsidRDefault="0006098B" w:rsidP="0006098B">
            <w:pPr>
              <w:keepNext/>
              <w:keepLines/>
              <w:adjustRightInd/>
              <w:spacing w:before="40" w:after="40" w:line="240" w:lineRule="auto"/>
              <w:jc w:val="right"/>
              <w:textAlignment w:val="auto"/>
              <w:rPr>
                <w:rFonts w:asciiTheme="minorHAnsi" w:eastAsia="Calibri" w:hAnsiTheme="minorHAnsi"/>
                <w:color w:val="000000" w:themeColor="text1"/>
                <w:sz w:val="18"/>
                <w:szCs w:val="18"/>
              </w:rPr>
            </w:pPr>
            <w:r w:rsidRPr="0006098B">
              <w:rPr>
                <w:rFonts w:asciiTheme="minorHAnsi" w:eastAsia="Calibri" w:hAnsiTheme="minorHAnsi"/>
                <w:color w:val="000000" w:themeColor="text1"/>
                <w:sz w:val="18"/>
                <w:szCs w:val="18"/>
              </w:rPr>
              <w:t>384</w:t>
            </w:r>
          </w:p>
        </w:tc>
        <w:tc>
          <w:tcPr>
            <w:tcW w:w="989" w:type="dxa"/>
            <w:shd w:val="clear" w:color="auto" w:fill="B8CCE4" w:themeFill="accent1" w:themeFillTint="66"/>
            <w:tcMar>
              <w:top w:w="14" w:type="dxa"/>
              <w:bottom w:w="14" w:type="dxa"/>
              <w:right w:w="144" w:type="dxa"/>
            </w:tcMar>
            <w:vAlign w:val="center"/>
          </w:tcPr>
          <w:p w:rsidR="0006098B" w:rsidRPr="0006098B" w:rsidRDefault="0006098B" w:rsidP="0006098B">
            <w:pPr>
              <w:keepNext/>
              <w:keepLines/>
              <w:adjustRightInd/>
              <w:spacing w:before="40" w:after="40" w:line="240" w:lineRule="auto"/>
              <w:jc w:val="right"/>
              <w:textAlignment w:val="auto"/>
              <w:rPr>
                <w:rFonts w:asciiTheme="minorHAnsi" w:eastAsia="Calibri" w:hAnsiTheme="minorHAnsi"/>
                <w:color w:val="000000" w:themeColor="text1"/>
                <w:sz w:val="18"/>
                <w:szCs w:val="18"/>
              </w:rPr>
            </w:pPr>
            <w:r w:rsidRPr="0006098B">
              <w:rPr>
                <w:rFonts w:asciiTheme="minorHAnsi" w:eastAsia="Calibri" w:hAnsiTheme="minorHAnsi"/>
                <w:color w:val="000000" w:themeColor="text1"/>
                <w:sz w:val="18"/>
                <w:szCs w:val="18"/>
              </w:rPr>
              <w:t>159</w:t>
            </w:r>
          </w:p>
        </w:tc>
        <w:tc>
          <w:tcPr>
            <w:tcW w:w="949" w:type="dxa"/>
            <w:shd w:val="clear" w:color="auto" w:fill="B8CCE4" w:themeFill="accent1" w:themeFillTint="66"/>
            <w:tcMar>
              <w:top w:w="14" w:type="dxa"/>
              <w:bottom w:w="14" w:type="dxa"/>
              <w:right w:w="144" w:type="dxa"/>
            </w:tcMar>
            <w:vAlign w:val="center"/>
          </w:tcPr>
          <w:p w:rsidR="0006098B" w:rsidRPr="0006098B" w:rsidRDefault="0006098B" w:rsidP="0006098B">
            <w:pPr>
              <w:keepNext/>
              <w:keepLines/>
              <w:adjustRightInd/>
              <w:spacing w:before="40" w:after="40" w:line="240" w:lineRule="auto"/>
              <w:jc w:val="right"/>
              <w:textAlignment w:val="auto"/>
              <w:rPr>
                <w:rFonts w:asciiTheme="minorHAnsi" w:eastAsia="Calibri" w:hAnsiTheme="minorHAnsi"/>
                <w:color w:val="000000" w:themeColor="text1"/>
                <w:sz w:val="18"/>
                <w:szCs w:val="18"/>
              </w:rPr>
            </w:pPr>
            <w:r w:rsidRPr="0006098B">
              <w:rPr>
                <w:rFonts w:asciiTheme="minorHAnsi" w:eastAsia="Calibri" w:hAnsiTheme="minorHAnsi"/>
                <w:color w:val="000000" w:themeColor="text1"/>
                <w:sz w:val="18"/>
                <w:szCs w:val="18"/>
              </w:rPr>
              <w:t>168</w:t>
            </w:r>
          </w:p>
        </w:tc>
        <w:tc>
          <w:tcPr>
            <w:tcW w:w="1116" w:type="dxa"/>
            <w:shd w:val="clear" w:color="auto" w:fill="B8CCE4" w:themeFill="accent1" w:themeFillTint="66"/>
            <w:tcMar>
              <w:top w:w="14" w:type="dxa"/>
              <w:bottom w:w="14" w:type="dxa"/>
              <w:right w:w="144" w:type="dxa"/>
            </w:tcMar>
            <w:vAlign w:val="center"/>
          </w:tcPr>
          <w:p w:rsidR="0006098B" w:rsidRPr="0006098B" w:rsidRDefault="0006098B" w:rsidP="0006098B">
            <w:pPr>
              <w:keepNext/>
              <w:keepLines/>
              <w:adjustRightInd/>
              <w:spacing w:before="40" w:after="40" w:line="240" w:lineRule="auto"/>
              <w:jc w:val="right"/>
              <w:textAlignment w:val="auto"/>
              <w:rPr>
                <w:rFonts w:asciiTheme="minorHAnsi" w:eastAsia="Calibri" w:hAnsiTheme="minorHAnsi"/>
                <w:color w:val="000000" w:themeColor="text1"/>
                <w:sz w:val="18"/>
                <w:szCs w:val="18"/>
              </w:rPr>
            </w:pPr>
            <w:r w:rsidRPr="0006098B">
              <w:rPr>
                <w:rFonts w:asciiTheme="minorHAnsi" w:eastAsia="Calibri" w:hAnsiTheme="minorHAnsi"/>
                <w:color w:val="000000" w:themeColor="text1"/>
                <w:sz w:val="18"/>
                <w:szCs w:val="18"/>
              </w:rPr>
              <w:t>974</w:t>
            </w:r>
          </w:p>
        </w:tc>
        <w:tc>
          <w:tcPr>
            <w:tcW w:w="1038" w:type="dxa"/>
            <w:shd w:val="clear" w:color="auto" w:fill="B8CCE4" w:themeFill="accent1" w:themeFillTint="66"/>
            <w:tcMar>
              <w:top w:w="14" w:type="dxa"/>
              <w:bottom w:w="14" w:type="dxa"/>
              <w:right w:w="144" w:type="dxa"/>
            </w:tcMar>
            <w:vAlign w:val="center"/>
          </w:tcPr>
          <w:p w:rsidR="0006098B" w:rsidRPr="0006098B" w:rsidRDefault="0006098B" w:rsidP="0006098B">
            <w:pPr>
              <w:keepNext/>
              <w:keepLines/>
              <w:adjustRightInd/>
              <w:spacing w:before="40" w:after="40" w:line="240" w:lineRule="auto"/>
              <w:jc w:val="right"/>
              <w:textAlignment w:val="auto"/>
              <w:rPr>
                <w:rFonts w:asciiTheme="minorHAnsi" w:eastAsia="Calibri" w:hAnsiTheme="minorHAnsi"/>
                <w:color w:val="000000" w:themeColor="text1"/>
                <w:sz w:val="18"/>
                <w:szCs w:val="18"/>
              </w:rPr>
            </w:pPr>
            <w:r w:rsidRPr="0006098B">
              <w:rPr>
                <w:rFonts w:asciiTheme="minorHAnsi" w:eastAsia="Calibri" w:hAnsiTheme="minorHAnsi"/>
                <w:color w:val="000000" w:themeColor="text1"/>
                <w:sz w:val="18"/>
                <w:szCs w:val="18"/>
              </w:rPr>
              <w:t>974</w:t>
            </w:r>
          </w:p>
        </w:tc>
        <w:tc>
          <w:tcPr>
            <w:tcW w:w="1223" w:type="dxa"/>
            <w:shd w:val="clear" w:color="auto" w:fill="B8CCE4" w:themeFill="accent1" w:themeFillTint="66"/>
            <w:tcMar>
              <w:top w:w="14" w:type="dxa"/>
              <w:bottom w:w="14" w:type="dxa"/>
              <w:right w:w="144" w:type="dxa"/>
            </w:tcMar>
            <w:vAlign w:val="center"/>
          </w:tcPr>
          <w:p w:rsidR="0006098B" w:rsidRPr="0006098B" w:rsidRDefault="0006098B" w:rsidP="0006098B">
            <w:pPr>
              <w:keepNext/>
              <w:keepLines/>
              <w:adjustRightInd/>
              <w:spacing w:before="40" w:after="40" w:line="240" w:lineRule="auto"/>
              <w:jc w:val="right"/>
              <w:textAlignment w:val="auto"/>
              <w:rPr>
                <w:rFonts w:asciiTheme="minorHAnsi" w:eastAsia="Calibri" w:hAnsiTheme="minorHAnsi"/>
                <w:color w:val="000000" w:themeColor="text1"/>
                <w:sz w:val="18"/>
                <w:szCs w:val="18"/>
              </w:rPr>
            </w:pPr>
            <w:r w:rsidRPr="0006098B">
              <w:rPr>
                <w:rFonts w:asciiTheme="minorHAnsi" w:eastAsia="Calibri" w:hAnsiTheme="minorHAnsi"/>
                <w:color w:val="000000" w:themeColor="text1"/>
                <w:sz w:val="18"/>
                <w:szCs w:val="18"/>
              </w:rPr>
              <w:t>370</w:t>
            </w:r>
          </w:p>
        </w:tc>
        <w:tc>
          <w:tcPr>
            <w:tcW w:w="914" w:type="dxa"/>
            <w:shd w:val="clear" w:color="auto" w:fill="B8CCE4" w:themeFill="accent1" w:themeFillTint="66"/>
            <w:tcMar>
              <w:top w:w="14" w:type="dxa"/>
              <w:bottom w:w="14" w:type="dxa"/>
              <w:right w:w="144" w:type="dxa"/>
            </w:tcMar>
            <w:vAlign w:val="center"/>
          </w:tcPr>
          <w:p w:rsidR="0006098B" w:rsidRPr="0006098B" w:rsidRDefault="0006098B" w:rsidP="0006098B">
            <w:pPr>
              <w:keepNext/>
              <w:keepLines/>
              <w:adjustRightInd/>
              <w:spacing w:before="40" w:after="40" w:line="240" w:lineRule="auto"/>
              <w:jc w:val="right"/>
              <w:textAlignment w:val="auto"/>
              <w:rPr>
                <w:rFonts w:asciiTheme="minorHAnsi" w:eastAsia="Calibri" w:hAnsiTheme="minorHAnsi"/>
                <w:color w:val="000000" w:themeColor="text1"/>
                <w:sz w:val="18"/>
                <w:szCs w:val="18"/>
              </w:rPr>
            </w:pPr>
            <w:r w:rsidRPr="0006098B">
              <w:rPr>
                <w:rFonts w:asciiTheme="minorHAnsi" w:eastAsia="Calibri" w:hAnsiTheme="minorHAnsi"/>
                <w:color w:val="000000" w:themeColor="text1"/>
                <w:sz w:val="18"/>
                <w:szCs w:val="18"/>
              </w:rPr>
              <w:t>370</w:t>
            </w:r>
          </w:p>
        </w:tc>
      </w:tr>
      <w:tr w:rsidR="00AB6D09" w:rsidRPr="0043452B" w:rsidTr="0006098B">
        <w:trPr>
          <w:jc w:val="center"/>
        </w:trPr>
        <w:tc>
          <w:tcPr>
            <w:tcW w:w="1862" w:type="dxa"/>
            <w:vMerge w:val="restart"/>
            <w:shd w:val="clear" w:color="auto" w:fill="auto"/>
            <w:tcMar>
              <w:top w:w="14" w:type="dxa"/>
              <w:bottom w:w="14" w:type="dxa"/>
            </w:tcMar>
            <w:vAlign w:val="center"/>
          </w:tcPr>
          <w:p w:rsidR="00AB6D09" w:rsidRPr="00EC51AA" w:rsidRDefault="00AB6D09" w:rsidP="00DF1188">
            <w:pPr>
              <w:keepNext/>
              <w:keepLines/>
              <w:adjustRightInd/>
              <w:spacing w:before="40" w:after="40" w:line="240" w:lineRule="auto"/>
              <w:textAlignment w:val="auto"/>
              <w:rPr>
                <w:rFonts w:asciiTheme="minorHAnsi" w:eastAsia="Calibri" w:hAnsiTheme="minorHAnsi"/>
                <w:b/>
                <w:sz w:val="18"/>
                <w:szCs w:val="18"/>
              </w:rPr>
            </w:pPr>
            <w:r>
              <w:rPr>
                <w:rFonts w:asciiTheme="minorHAnsi" w:eastAsia="Calibri" w:hAnsiTheme="minorHAnsi"/>
                <w:b/>
                <w:sz w:val="18"/>
                <w:szCs w:val="18"/>
              </w:rPr>
              <w:t xml:space="preserve">2025 </w:t>
            </w:r>
            <w:r w:rsidRPr="00EC51AA">
              <w:rPr>
                <w:rFonts w:asciiTheme="minorHAnsi" w:eastAsia="Calibri" w:hAnsiTheme="minorHAnsi"/>
                <w:b/>
                <w:sz w:val="18"/>
                <w:szCs w:val="18"/>
              </w:rPr>
              <w:t>Constrained</w:t>
            </w:r>
            <w:r w:rsidR="00DF1188">
              <w:rPr>
                <w:rFonts w:asciiTheme="minorHAnsi" w:eastAsia="Calibri" w:hAnsiTheme="minorHAnsi"/>
                <w:b/>
                <w:sz w:val="18"/>
                <w:szCs w:val="18"/>
              </w:rPr>
              <w:br/>
            </w:r>
            <w:r w:rsidR="000C200E">
              <w:rPr>
                <w:rFonts w:asciiTheme="minorHAnsi" w:eastAsia="Calibri" w:hAnsiTheme="minorHAnsi"/>
                <w:b/>
                <w:sz w:val="18"/>
                <w:szCs w:val="18"/>
              </w:rPr>
              <w:t xml:space="preserve">Net Energy Market Revenues </w:t>
            </w:r>
            <w:r w:rsidR="000C200E" w:rsidRPr="000C200E">
              <w:rPr>
                <w:rFonts w:asciiTheme="minorHAnsi" w:eastAsia="Calibri" w:hAnsiTheme="minorHAnsi"/>
                <w:b/>
                <w:sz w:val="18"/>
                <w:szCs w:val="18"/>
              </w:rPr>
              <w:t>($/kW-yr)</w:t>
            </w:r>
          </w:p>
        </w:tc>
        <w:tc>
          <w:tcPr>
            <w:tcW w:w="1419" w:type="dxa"/>
            <w:shd w:val="clear" w:color="auto" w:fill="auto"/>
            <w:tcMar>
              <w:top w:w="14" w:type="dxa"/>
              <w:bottom w:w="14" w:type="dxa"/>
            </w:tcMar>
            <w:vAlign w:val="center"/>
          </w:tcPr>
          <w:p w:rsidR="00AB6D09" w:rsidRPr="0043452B" w:rsidRDefault="00AB6D09" w:rsidP="00496106">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RPS + Gas</w:t>
            </w:r>
          </w:p>
        </w:tc>
        <w:tc>
          <w:tcPr>
            <w:tcW w:w="1223"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65.7</w:t>
            </w:r>
          </w:p>
        </w:tc>
        <w:tc>
          <w:tcPr>
            <w:tcW w:w="989"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2.7</w:t>
            </w:r>
          </w:p>
        </w:tc>
        <w:tc>
          <w:tcPr>
            <w:tcW w:w="949"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0.3</w:t>
            </w:r>
          </w:p>
        </w:tc>
        <w:tc>
          <w:tcPr>
            <w:tcW w:w="1116"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124.2</w:t>
            </w:r>
          </w:p>
        </w:tc>
        <w:tc>
          <w:tcPr>
            <w:tcW w:w="1038"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187.3</w:t>
            </w:r>
          </w:p>
        </w:tc>
        <w:tc>
          <w:tcPr>
            <w:tcW w:w="1223"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149.2</w:t>
            </w:r>
          </w:p>
        </w:tc>
        <w:tc>
          <w:tcPr>
            <w:tcW w:w="914"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69.3</w:t>
            </w:r>
          </w:p>
        </w:tc>
      </w:tr>
      <w:tr w:rsidR="00AB6D09" w:rsidRPr="0043452B" w:rsidTr="0006098B">
        <w:trPr>
          <w:jc w:val="center"/>
        </w:trPr>
        <w:tc>
          <w:tcPr>
            <w:tcW w:w="1862" w:type="dxa"/>
            <w:vMerge/>
            <w:shd w:val="clear" w:color="auto" w:fill="auto"/>
            <w:tcMar>
              <w:top w:w="14" w:type="dxa"/>
              <w:bottom w:w="14" w:type="dxa"/>
            </w:tcMar>
            <w:vAlign w:val="center"/>
          </w:tcPr>
          <w:p w:rsidR="00AB6D09" w:rsidRPr="00EC51AA" w:rsidRDefault="00AB6D09" w:rsidP="00496106">
            <w:pPr>
              <w:keepNext/>
              <w:keepLines/>
              <w:spacing w:before="40" w:after="40" w:line="240" w:lineRule="auto"/>
              <w:rPr>
                <w:rFonts w:asciiTheme="minorHAnsi" w:eastAsia="Calibri" w:hAnsiTheme="minorHAnsi"/>
                <w:b/>
                <w:sz w:val="18"/>
                <w:szCs w:val="18"/>
              </w:rPr>
            </w:pPr>
          </w:p>
        </w:tc>
        <w:tc>
          <w:tcPr>
            <w:tcW w:w="1419" w:type="dxa"/>
            <w:shd w:val="clear" w:color="auto" w:fill="auto"/>
            <w:tcMar>
              <w:top w:w="14" w:type="dxa"/>
              <w:bottom w:w="14" w:type="dxa"/>
            </w:tcMar>
            <w:vAlign w:val="center"/>
          </w:tcPr>
          <w:p w:rsidR="00AB6D09" w:rsidRPr="0043452B" w:rsidRDefault="00AB6D09" w:rsidP="00496106">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ISO Queue</w:t>
            </w:r>
          </w:p>
        </w:tc>
        <w:tc>
          <w:tcPr>
            <w:tcW w:w="1223"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63.8</w:t>
            </w:r>
          </w:p>
        </w:tc>
        <w:tc>
          <w:tcPr>
            <w:tcW w:w="989"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3.4</w:t>
            </w:r>
          </w:p>
        </w:tc>
        <w:tc>
          <w:tcPr>
            <w:tcW w:w="949"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0.9</w:t>
            </w:r>
          </w:p>
        </w:tc>
        <w:tc>
          <w:tcPr>
            <w:tcW w:w="1116"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120.9</w:t>
            </w:r>
          </w:p>
        </w:tc>
        <w:tc>
          <w:tcPr>
            <w:tcW w:w="1038"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182.8</w:t>
            </w:r>
          </w:p>
        </w:tc>
        <w:tc>
          <w:tcPr>
            <w:tcW w:w="1223"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145.2</w:t>
            </w:r>
          </w:p>
        </w:tc>
        <w:tc>
          <w:tcPr>
            <w:tcW w:w="914"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43.9</w:t>
            </w:r>
          </w:p>
        </w:tc>
      </w:tr>
      <w:tr w:rsidR="00AB6D09" w:rsidRPr="0043452B" w:rsidTr="0006098B">
        <w:trPr>
          <w:jc w:val="center"/>
        </w:trPr>
        <w:tc>
          <w:tcPr>
            <w:tcW w:w="1862" w:type="dxa"/>
            <w:vMerge/>
            <w:shd w:val="clear" w:color="auto" w:fill="auto"/>
            <w:tcMar>
              <w:top w:w="14" w:type="dxa"/>
              <w:bottom w:w="14" w:type="dxa"/>
            </w:tcMar>
            <w:vAlign w:val="center"/>
          </w:tcPr>
          <w:p w:rsidR="00AB6D09" w:rsidRPr="00EC51AA" w:rsidRDefault="00AB6D09" w:rsidP="00496106">
            <w:pPr>
              <w:keepNext/>
              <w:keepLines/>
              <w:spacing w:before="40" w:after="40" w:line="240" w:lineRule="auto"/>
              <w:rPr>
                <w:rFonts w:asciiTheme="minorHAnsi" w:eastAsia="Calibri" w:hAnsiTheme="minorHAnsi"/>
                <w:b/>
                <w:sz w:val="18"/>
                <w:szCs w:val="18"/>
              </w:rPr>
            </w:pPr>
          </w:p>
        </w:tc>
        <w:tc>
          <w:tcPr>
            <w:tcW w:w="1419" w:type="dxa"/>
            <w:shd w:val="clear" w:color="auto" w:fill="auto"/>
            <w:tcMar>
              <w:top w:w="14" w:type="dxa"/>
              <w:bottom w:w="14" w:type="dxa"/>
            </w:tcMar>
            <w:vAlign w:val="center"/>
          </w:tcPr>
          <w:p w:rsidR="00AB6D09" w:rsidRPr="0043452B" w:rsidRDefault="00AB6D09" w:rsidP="00496106">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Renew Plus</w:t>
            </w:r>
          </w:p>
        </w:tc>
        <w:tc>
          <w:tcPr>
            <w:tcW w:w="1223"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50.7</w:t>
            </w:r>
          </w:p>
        </w:tc>
        <w:tc>
          <w:tcPr>
            <w:tcW w:w="989"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0.2</w:t>
            </w:r>
          </w:p>
        </w:tc>
        <w:tc>
          <w:tcPr>
            <w:tcW w:w="949"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0.0</w:t>
            </w:r>
          </w:p>
        </w:tc>
        <w:tc>
          <w:tcPr>
            <w:tcW w:w="1116"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112.6</w:t>
            </w:r>
          </w:p>
        </w:tc>
        <w:tc>
          <w:tcPr>
            <w:tcW w:w="1038"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168.4</w:t>
            </w:r>
          </w:p>
        </w:tc>
        <w:tc>
          <w:tcPr>
            <w:tcW w:w="1223"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134.9</w:t>
            </w:r>
          </w:p>
        </w:tc>
        <w:tc>
          <w:tcPr>
            <w:tcW w:w="914"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49.3</w:t>
            </w:r>
          </w:p>
        </w:tc>
      </w:tr>
      <w:tr w:rsidR="00AB6D09" w:rsidRPr="0043452B" w:rsidTr="0006098B">
        <w:trPr>
          <w:jc w:val="center"/>
        </w:trPr>
        <w:tc>
          <w:tcPr>
            <w:tcW w:w="1862" w:type="dxa"/>
            <w:vMerge/>
            <w:shd w:val="clear" w:color="auto" w:fill="auto"/>
            <w:tcMar>
              <w:top w:w="14" w:type="dxa"/>
              <w:bottom w:w="14" w:type="dxa"/>
            </w:tcMar>
            <w:vAlign w:val="center"/>
          </w:tcPr>
          <w:p w:rsidR="00AB6D09" w:rsidRPr="00EC51AA" w:rsidRDefault="00AB6D09" w:rsidP="00496106">
            <w:pPr>
              <w:keepNext/>
              <w:keepLines/>
              <w:spacing w:before="40" w:after="40" w:line="240" w:lineRule="auto"/>
              <w:rPr>
                <w:rFonts w:asciiTheme="minorHAnsi" w:eastAsia="Calibri" w:hAnsiTheme="minorHAnsi"/>
                <w:b/>
                <w:sz w:val="18"/>
                <w:szCs w:val="18"/>
              </w:rPr>
            </w:pPr>
          </w:p>
        </w:tc>
        <w:tc>
          <w:tcPr>
            <w:tcW w:w="1419" w:type="dxa"/>
            <w:shd w:val="clear" w:color="auto" w:fill="auto"/>
            <w:tcMar>
              <w:top w:w="14" w:type="dxa"/>
              <w:bottom w:w="14" w:type="dxa"/>
            </w:tcMar>
            <w:vAlign w:val="center"/>
          </w:tcPr>
          <w:p w:rsidR="00AB6D09" w:rsidRPr="0043452B" w:rsidRDefault="00AB6D09" w:rsidP="00496106">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No Retire</w:t>
            </w:r>
          </w:p>
        </w:tc>
        <w:tc>
          <w:tcPr>
            <w:tcW w:w="1223"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65.1</w:t>
            </w:r>
          </w:p>
        </w:tc>
        <w:tc>
          <w:tcPr>
            <w:tcW w:w="989"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2.2</w:t>
            </w:r>
          </w:p>
        </w:tc>
        <w:tc>
          <w:tcPr>
            <w:tcW w:w="949"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0.1</w:t>
            </w:r>
          </w:p>
        </w:tc>
        <w:tc>
          <w:tcPr>
            <w:tcW w:w="1116"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124.3</w:t>
            </w:r>
          </w:p>
        </w:tc>
        <w:tc>
          <w:tcPr>
            <w:tcW w:w="1038"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187.2</w:t>
            </w:r>
          </w:p>
        </w:tc>
        <w:tc>
          <w:tcPr>
            <w:tcW w:w="1223"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149.3</w:t>
            </w:r>
          </w:p>
        </w:tc>
        <w:tc>
          <w:tcPr>
            <w:tcW w:w="914"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149.7</w:t>
            </w:r>
          </w:p>
        </w:tc>
      </w:tr>
      <w:tr w:rsidR="00AB6D09" w:rsidRPr="0043452B" w:rsidTr="0006098B">
        <w:trPr>
          <w:jc w:val="center"/>
        </w:trPr>
        <w:tc>
          <w:tcPr>
            <w:tcW w:w="1862" w:type="dxa"/>
            <w:vMerge/>
            <w:shd w:val="clear" w:color="auto" w:fill="auto"/>
            <w:tcMar>
              <w:top w:w="14" w:type="dxa"/>
              <w:bottom w:w="14" w:type="dxa"/>
            </w:tcMar>
            <w:vAlign w:val="center"/>
          </w:tcPr>
          <w:p w:rsidR="00AB6D09" w:rsidRPr="00EC51AA" w:rsidRDefault="00AB6D09" w:rsidP="00496106">
            <w:pPr>
              <w:keepNext/>
              <w:keepLines/>
              <w:spacing w:before="40" w:after="40" w:line="240" w:lineRule="auto"/>
              <w:rPr>
                <w:rFonts w:asciiTheme="minorHAnsi" w:eastAsia="Calibri" w:hAnsiTheme="minorHAnsi"/>
                <w:b/>
                <w:sz w:val="18"/>
                <w:szCs w:val="18"/>
              </w:rPr>
            </w:pPr>
          </w:p>
        </w:tc>
        <w:tc>
          <w:tcPr>
            <w:tcW w:w="1419" w:type="dxa"/>
            <w:shd w:val="clear" w:color="auto" w:fill="auto"/>
            <w:tcMar>
              <w:top w:w="14" w:type="dxa"/>
              <w:bottom w:w="14" w:type="dxa"/>
            </w:tcMar>
            <w:vAlign w:val="center"/>
          </w:tcPr>
          <w:p w:rsidR="00AB6D09" w:rsidRPr="0043452B" w:rsidRDefault="00AB6D09" w:rsidP="00496106">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ACP + Gas</w:t>
            </w:r>
          </w:p>
        </w:tc>
        <w:tc>
          <w:tcPr>
            <w:tcW w:w="1223"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66.1</w:t>
            </w:r>
          </w:p>
        </w:tc>
        <w:tc>
          <w:tcPr>
            <w:tcW w:w="989"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2.0</w:t>
            </w:r>
          </w:p>
        </w:tc>
        <w:tc>
          <w:tcPr>
            <w:tcW w:w="949"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0.1</w:t>
            </w:r>
          </w:p>
        </w:tc>
        <w:tc>
          <w:tcPr>
            <w:tcW w:w="1116"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126.6</w:t>
            </w:r>
          </w:p>
        </w:tc>
        <w:tc>
          <w:tcPr>
            <w:tcW w:w="1038"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190.6</w:t>
            </w:r>
          </w:p>
        </w:tc>
        <w:tc>
          <w:tcPr>
            <w:tcW w:w="1223"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152.0</w:t>
            </w:r>
          </w:p>
        </w:tc>
        <w:tc>
          <w:tcPr>
            <w:tcW w:w="914"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152.5</w:t>
            </w:r>
          </w:p>
        </w:tc>
      </w:tr>
      <w:tr w:rsidR="00AB6D09" w:rsidRPr="0043452B" w:rsidTr="0006098B">
        <w:trPr>
          <w:jc w:val="center"/>
        </w:trPr>
        <w:tc>
          <w:tcPr>
            <w:tcW w:w="1862" w:type="dxa"/>
            <w:vMerge/>
            <w:shd w:val="clear" w:color="auto" w:fill="auto"/>
            <w:tcMar>
              <w:top w:w="14" w:type="dxa"/>
              <w:bottom w:w="14" w:type="dxa"/>
            </w:tcMar>
            <w:vAlign w:val="center"/>
          </w:tcPr>
          <w:p w:rsidR="00AB6D09" w:rsidRPr="00EC51AA" w:rsidRDefault="00AB6D09" w:rsidP="00496106">
            <w:pPr>
              <w:keepNext/>
              <w:keepLines/>
              <w:spacing w:before="40" w:after="40" w:line="240" w:lineRule="auto"/>
              <w:rPr>
                <w:rFonts w:asciiTheme="minorHAnsi" w:eastAsia="Calibri" w:hAnsiTheme="minorHAnsi"/>
                <w:b/>
                <w:sz w:val="18"/>
                <w:szCs w:val="18"/>
              </w:rPr>
            </w:pPr>
          </w:p>
        </w:tc>
        <w:tc>
          <w:tcPr>
            <w:tcW w:w="1419" w:type="dxa"/>
            <w:shd w:val="clear" w:color="auto" w:fill="auto"/>
            <w:tcMar>
              <w:top w:w="14" w:type="dxa"/>
              <w:bottom w:w="14" w:type="dxa"/>
            </w:tcMar>
            <w:vAlign w:val="center"/>
          </w:tcPr>
          <w:p w:rsidR="00AB6D09" w:rsidRPr="0043452B" w:rsidRDefault="00AB6D09" w:rsidP="00496106">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RPS + Geo Renew</w:t>
            </w:r>
          </w:p>
        </w:tc>
        <w:tc>
          <w:tcPr>
            <w:tcW w:w="1223"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60.6</w:t>
            </w:r>
          </w:p>
        </w:tc>
        <w:tc>
          <w:tcPr>
            <w:tcW w:w="989"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2.0</w:t>
            </w:r>
          </w:p>
        </w:tc>
        <w:tc>
          <w:tcPr>
            <w:tcW w:w="949"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0.0</w:t>
            </w:r>
          </w:p>
        </w:tc>
        <w:tc>
          <w:tcPr>
            <w:tcW w:w="1116"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116.2</w:t>
            </w:r>
          </w:p>
        </w:tc>
        <w:tc>
          <w:tcPr>
            <w:tcW w:w="1038"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175.1</w:t>
            </w:r>
          </w:p>
        </w:tc>
        <w:tc>
          <w:tcPr>
            <w:tcW w:w="1223"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140.4</w:t>
            </w:r>
          </w:p>
        </w:tc>
        <w:tc>
          <w:tcPr>
            <w:tcW w:w="914"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84.2</w:t>
            </w:r>
          </w:p>
        </w:tc>
      </w:tr>
      <w:tr w:rsidR="00AB6D09" w:rsidRPr="0043452B" w:rsidTr="0006098B">
        <w:trPr>
          <w:jc w:val="center"/>
        </w:trPr>
        <w:tc>
          <w:tcPr>
            <w:tcW w:w="1862" w:type="dxa"/>
            <w:vMerge w:val="restart"/>
            <w:shd w:val="clear" w:color="auto" w:fill="DBE5F1" w:themeFill="accent1" w:themeFillTint="33"/>
            <w:tcMar>
              <w:top w:w="14" w:type="dxa"/>
              <w:bottom w:w="14" w:type="dxa"/>
            </w:tcMar>
            <w:vAlign w:val="center"/>
          </w:tcPr>
          <w:p w:rsidR="00AB6D09" w:rsidRPr="00EC51AA" w:rsidRDefault="00AB6D09" w:rsidP="00DF1188">
            <w:pPr>
              <w:keepNext/>
              <w:keepLines/>
              <w:spacing w:before="40" w:after="40" w:line="240" w:lineRule="auto"/>
              <w:rPr>
                <w:rFonts w:asciiTheme="minorHAnsi" w:eastAsia="Calibri" w:hAnsiTheme="minorHAnsi"/>
                <w:b/>
                <w:sz w:val="18"/>
                <w:szCs w:val="18"/>
              </w:rPr>
            </w:pPr>
            <w:r>
              <w:rPr>
                <w:rFonts w:asciiTheme="minorHAnsi" w:eastAsia="Calibri" w:hAnsiTheme="minorHAnsi"/>
                <w:b/>
                <w:sz w:val="18"/>
                <w:szCs w:val="18"/>
              </w:rPr>
              <w:t xml:space="preserve">2030 </w:t>
            </w:r>
            <w:r w:rsidRPr="00EC51AA">
              <w:rPr>
                <w:rFonts w:asciiTheme="minorHAnsi" w:eastAsia="Calibri" w:hAnsiTheme="minorHAnsi"/>
                <w:b/>
                <w:sz w:val="18"/>
                <w:szCs w:val="18"/>
              </w:rPr>
              <w:t>Constrained</w:t>
            </w:r>
            <w:r w:rsidR="00DF1188">
              <w:rPr>
                <w:rFonts w:asciiTheme="minorHAnsi" w:eastAsia="Calibri" w:hAnsiTheme="minorHAnsi"/>
                <w:b/>
                <w:sz w:val="18"/>
                <w:szCs w:val="18"/>
              </w:rPr>
              <w:br/>
            </w:r>
            <w:r w:rsidR="000C200E" w:rsidRPr="000C200E">
              <w:rPr>
                <w:rFonts w:asciiTheme="minorHAnsi" w:eastAsia="Calibri" w:hAnsiTheme="minorHAnsi"/>
                <w:b/>
                <w:sz w:val="18"/>
                <w:szCs w:val="18"/>
              </w:rPr>
              <w:t>Net Energy Market Revenues</w:t>
            </w:r>
            <w:r w:rsidR="000C200E">
              <w:rPr>
                <w:rFonts w:asciiTheme="minorHAnsi" w:eastAsia="Calibri" w:hAnsiTheme="minorHAnsi"/>
                <w:b/>
                <w:sz w:val="18"/>
                <w:szCs w:val="18"/>
              </w:rPr>
              <w:t xml:space="preserve"> </w:t>
            </w:r>
            <w:r w:rsidR="000C200E" w:rsidRPr="000C200E">
              <w:rPr>
                <w:rFonts w:asciiTheme="minorHAnsi" w:eastAsia="Calibri" w:hAnsiTheme="minorHAnsi"/>
                <w:b/>
                <w:sz w:val="18"/>
                <w:szCs w:val="18"/>
              </w:rPr>
              <w:t>($/kW-yr)</w:t>
            </w:r>
          </w:p>
        </w:tc>
        <w:tc>
          <w:tcPr>
            <w:tcW w:w="1419" w:type="dxa"/>
            <w:shd w:val="clear" w:color="auto" w:fill="DBE5F1" w:themeFill="accent1" w:themeFillTint="33"/>
            <w:tcMar>
              <w:top w:w="14" w:type="dxa"/>
              <w:bottom w:w="14" w:type="dxa"/>
            </w:tcMar>
            <w:vAlign w:val="center"/>
          </w:tcPr>
          <w:p w:rsidR="00AB6D09" w:rsidRPr="0043452B" w:rsidRDefault="00AB6D09" w:rsidP="00496106">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RPS + Gas</w:t>
            </w:r>
          </w:p>
        </w:tc>
        <w:tc>
          <w:tcPr>
            <w:tcW w:w="1223"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72.9</w:t>
            </w:r>
          </w:p>
        </w:tc>
        <w:tc>
          <w:tcPr>
            <w:tcW w:w="989"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0.3</w:t>
            </w:r>
          </w:p>
        </w:tc>
        <w:tc>
          <w:tcPr>
            <w:tcW w:w="949"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0.0</w:t>
            </w:r>
          </w:p>
        </w:tc>
        <w:tc>
          <w:tcPr>
            <w:tcW w:w="1116"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40.6</w:t>
            </w:r>
          </w:p>
        </w:tc>
        <w:tc>
          <w:tcPr>
            <w:tcW w:w="1038"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60.9</w:t>
            </w:r>
          </w:p>
        </w:tc>
        <w:tc>
          <w:tcPr>
            <w:tcW w:w="1223"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170.8</w:t>
            </w:r>
          </w:p>
        </w:tc>
        <w:tc>
          <w:tcPr>
            <w:tcW w:w="914"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58.7</w:t>
            </w:r>
          </w:p>
        </w:tc>
      </w:tr>
      <w:tr w:rsidR="00AB6D09" w:rsidRPr="0043452B" w:rsidTr="0006098B">
        <w:trPr>
          <w:jc w:val="center"/>
        </w:trPr>
        <w:tc>
          <w:tcPr>
            <w:tcW w:w="1862" w:type="dxa"/>
            <w:vMerge/>
            <w:shd w:val="clear" w:color="auto" w:fill="DBE5F1" w:themeFill="accent1" w:themeFillTint="33"/>
            <w:tcMar>
              <w:top w:w="14" w:type="dxa"/>
              <w:bottom w:w="14" w:type="dxa"/>
            </w:tcMar>
            <w:vAlign w:val="center"/>
          </w:tcPr>
          <w:p w:rsidR="00AB6D09" w:rsidRPr="00EC51AA" w:rsidRDefault="00AB6D09" w:rsidP="00496106">
            <w:pPr>
              <w:keepNext/>
              <w:keepLines/>
              <w:spacing w:before="40" w:after="40" w:line="240" w:lineRule="auto"/>
              <w:rPr>
                <w:rFonts w:asciiTheme="minorHAnsi" w:eastAsia="Calibri" w:hAnsiTheme="minorHAnsi"/>
                <w:b/>
                <w:sz w:val="18"/>
                <w:szCs w:val="18"/>
              </w:rPr>
            </w:pPr>
          </w:p>
        </w:tc>
        <w:tc>
          <w:tcPr>
            <w:tcW w:w="1419" w:type="dxa"/>
            <w:shd w:val="clear" w:color="auto" w:fill="DBE5F1" w:themeFill="accent1" w:themeFillTint="33"/>
            <w:tcMar>
              <w:top w:w="14" w:type="dxa"/>
              <w:bottom w:w="14" w:type="dxa"/>
            </w:tcMar>
            <w:vAlign w:val="center"/>
          </w:tcPr>
          <w:p w:rsidR="00AB6D09" w:rsidRPr="0043452B" w:rsidRDefault="00AB6D09" w:rsidP="00496106">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ISO Queue</w:t>
            </w:r>
          </w:p>
        </w:tc>
        <w:tc>
          <w:tcPr>
            <w:tcW w:w="1223"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64.2</w:t>
            </w:r>
          </w:p>
        </w:tc>
        <w:tc>
          <w:tcPr>
            <w:tcW w:w="989"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1.9</w:t>
            </w:r>
          </w:p>
        </w:tc>
        <w:tc>
          <w:tcPr>
            <w:tcW w:w="949"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0.8</w:t>
            </w:r>
          </w:p>
        </w:tc>
        <w:tc>
          <w:tcPr>
            <w:tcW w:w="1116"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466.9</w:t>
            </w:r>
          </w:p>
        </w:tc>
        <w:tc>
          <w:tcPr>
            <w:tcW w:w="1038"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697.4</w:t>
            </w:r>
          </w:p>
        </w:tc>
        <w:tc>
          <w:tcPr>
            <w:tcW w:w="1223"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159.2</w:t>
            </w:r>
          </w:p>
        </w:tc>
        <w:tc>
          <w:tcPr>
            <w:tcW w:w="914"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12.2</w:t>
            </w:r>
          </w:p>
        </w:tc>
      </w:tr>
      <w:tr w:rsidR="00AB6D09" w:rsidRPr="0043452B" w:rsidTr="0006098B">
        <w:trPr>
          <w:jc w:val="center"/>
        </w:trPr>
        <w:tc>
          <w:tcPr>
            <w:tcW w:w="1862" w:type="dxa"/>
            <w:vMerge/>
            <w:shd w:val="clear" w:color="auto" w:fill="DBE5F1" w:themeFill="accent1" w:themeFillTint="33"/>
            <w:tcMar>
              <w:top w:w="14" w:type="dxa"/>
              <w:bottom w:w="14" w:type="dxa"/>
            </w:tcMar>
            <w:vAlign w:val="center"/>
          </w:tcPr>
          <w:p w:rsidR="00AB6D09" w:rsidRPr="00EC51AA" w:rsidRDefault="00AB6D09" w:rsidP="00496106">
            <w:pPr>
              <w:keepNext/>
              <w:keepLines/>
              <w:spacing w:before="40" w:after="40" w:line="240" w:lineRule="auto"/>
              <w:rPr>
                <w:rFonts w:asciiTheme="minorHAnsi" w:eastAsia="Calibri" w:hAnsiTheme="minorHAnsi"/>
                <w:b/>
                <w:sz w:val="18"/>
                <w:szCs w:val="18"/>
              </w:rPr>
            </w:pPr>
          </w:p>
        </w:tc>
        <w:tc>
          <w:tcPr>
            <w:tcW w:w="1419" w:type="dxa"/>
            <w:shd w:val="clear" w:color="auto" w:fill="DBE5F1" w:themeFill="accent1" w:themeFillTint="33"/>
            <w:tcMar>
              <w:top w:w="14" w:type="dxa"/>
              <w:bottom w:w="14" w:type="dxa"/>
            </w:tcMar>
            <w:vAlign w:val="center"/>
          </w:tcPr>
          <w:p w:rsidR="00AB6D09" w:rsidRPr="0043452B" w:rsidRDefault="00AB6D09" w:rsidP="00496106">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Renew Plus</w:t>
            </w:r>
          </w:p>
        </w:tc>
        <w:tc>
          <w:tcPr>
            <w:tcW w:w="1223"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32.2</w:t>
            </w:r>
          </w:p>
        </w:tc>
        <w:tc>
          <w:tcPr>
            <w:tcW w:w="989"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0.0</w:t>
            </w:r>
          </w:p>
        </w:tc>
        <w:tc>
          <w:tcPr>
            <w:tcW w:w="949"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0.0</w:t>
            </w:r>
          </w:p>
        </w:tc>
        <w:tc>
          <w:tcPr>
            <w:tcW w:w="1116"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104.5</w:t>
            </w:r>
          </w:p>
        </w:tc>
        <w:tc>
          <w:tcPr>
            <w:tcW w:w="1038"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154.9</w:t>
            </w:r>
          </w:p>
        </w:tc>
        <w:tc>
          <w:tcPr>
            <w:tcW w:w="1223"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125.4</w:t>
            </w:r>
          </w:p>
        </w:tc>
        <w:tc>
          <w:tcPr>
            <w:tcW w:w="914"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43.1</w:t>
            </w:r>
          </w:p>
        </w:tc>
      </w:tr>
      <w:tr w:rsidR="00AB6D09" w:rsidRPr="0043452B" w:rsidTr="0006098B">
        <w:trPr>
          <w:jc w:val="center"/>
        </w:trPr>
        <w:tc>
          <w:tcPr>
            <w:tcW w:w="1862" w:type="dxa"/>
            <w:vMerge/>
            <w:shd w:val="clear" w:color="auto" w:fill="DBE5F1" w:themeFill="accent1" w:themeFillTint="33"/>
            <w:tcMar>
              <w:top w:w="14" w:type="dxa"/>
              <w:bottom w:w="14" w:type="dxa"/>
            </w:tcMar>
            <w:vAlign w:val="center"/>
          </w:tcPr>
          <w:p w:rsidR="00AB6D09" w:rsidRPr="00EC51AA" w:rsidRDefault="00AB6D09" w:rsidP="00496106">
            <w:pPr>
              <w:keepNext/>
              <w:keepLines/>
              <w:spacing w:before="40" w:after="40" w:line="240" w:lineRule="auto"/>
              <w:rPr>
                <w:rFonts w:asciiTheme="minorHAnsi" w:eastAsia="Calibri" w:hAnsiTheme="minorHAnsi"/>
                <w:b/>
                <w:sz w:val="18"/>
                <w:szCs w:val="18"/>
              </w:rPr>
            </w:pPr>
          </w:p>
        </w:tc>
        <w:tc>
          <w:tcPr>
            <w:tcW w:w="1419" w:type="dxa"/>
            <w:shd w:val="clear" w:color="auto" w:fill="DBE5F1" w:themeFill="accent1" w:themeFillTint="33"/>
            <w:tcMar>
              <w:top w:w="14" w:type="dxa"/>
              <w:bottom w:w="14" w:type="dxa"/>
            </w:tcMar>
            <w:vAlign w:val="center"/>
          </w:tcPr>
          <w:p w:rsidR="00AB6D09" w:rsidRPr="0043452B" w:rsidRDefault="00AB6D09" w:rsidP="00496106">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No Retire</w:t>
            </w:r>
          </w:p>
        </w:tc>
        <w:tc>
          <w:tcPr>
            <w:tcW w:w="1223"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72.1</w:t>
            </w:r>
          </w:p>
        </w:tc>
        <w:tc>
          <w:tcPr>
            <w:tcW w:w="989"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3.7</w:t>
            </w:r>
          </w:p>
        </w:tc>
        <w:tc>
          <w:tcPr>
            <w:tcW w:w="949"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1.0</w:t>
            </w:r>
          </w:p>
        </w:tc>
        <w:tc>
          <w:tcPr>
            <w:tcW w:w="1116"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141.6</w:t>
            </w:r>
          </w:p>
        </w:tc>
        <w:tc>
          <w:tcPr>
            <w:tcW w:w="1038"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213.2</w:t>
            </w:r>
          </w:p>
        </w:tc>
        <w:tc>
          <w:tcPr>
            <w:tcW w:w="1223"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170.2</w:t>
            </w:r>
          </w:p>
        </w:tc>
        <w:tc>
          <w:tcPr>
            <w:tcW w:w="914"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168.4</w:t>
            </w:r>
          </w:p>
        </w:tc>
      </w:tr>
      <w:tr w:rsidR="00AB6D09" w:rsidRPr="0043452B" w:rsidTr="0006098B">
        <w:trPr>
          <w:jc w:val="center"/>
        </w:trPr>
        <w:tc>
          <w:tcPr>
            <w:tcW w:w="1862" w:type="dxa"/>
            <w:vMerge/>
            <w:shd w:val="clear" w:color="auto" w:fill="DBE5F1" w:themeFill="accent1" w:themeFillTint="33"/>
            <w:tcMar>
              <w:top w:w="14" w:type="dxa"/>
              <w:bottom w:w="14" w:type="dxa"/>
            </w:tcMar>
            <w:vAlign w:val="center"/>
          </w:tcPr>
          <w:p w:rsidR="00AB6D09" w:rsidRPr="00EC51AA" w:rsidRDefault="00AB6D09" w:rsidP="00496106">
            <w:pPr>
              <w:keepNext/>
              <w:keepLines/>
              <w:spacing w:before="40" w:after="40" w:line="240" w:lineRule="auto"/>
              <w:rPr>
                <w:rFonts w:asciiTheme="minorHAnsi" w:eastAsia="Calibri" w:hAnsiTheme="minorHAnsi"/>
                <w:b/>
                <w:sz w:val="18"/>
                <w:szCs w:val="18"/>
              </w:rPr>
            </w:pPr>
          </w:p>
        </w:tc>
        <w:tc>
          <w:tcPr>
            <w:tcW w:w="1419" w:type="dxa"/>
            <w:shd w:val="clear" w:color="auto" w:fill="DBE5F1" w:themeFill="accent1" w:themeFillTint="33"/>
            <w:tcMar>
              <w:top w:w="14" w:type="dxa"/>
              <w:bottom w:w="14" w:type="dxa"/>
            </w:tcMar>
            <w:vAlign w:val="center"/>
          </w:tcPr>
          <w:p w:rsidR="00AB6D09" w:rsidRPr="0043452B" w:rsidRDefault="00AB6D09" w:rsidP="00496106">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ACP + Gas</w:t>
            </w:r>
          </w:p>
        </w:tc>
        <w:tc>
          <w:tcPr>
            <w:tcW w:w="1223"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72.9</w:t>
            </w:r>
          </w:p>
        </w:tc>
        <w:tc>
          <w:tcPr>
            <w:tcW w:w="989"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0.4</w:t>
            </w:r>
          </w:p>
        </w:tc>
        <w:tc>
          <w:tcPr>
            <w:tcW w:w="949"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0.0</w:t>
            </w:r>
          </w:p>
        </w:tc>
        <w:tc>
          <w:tcPr>
            <w:tcW w:w="1116"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143.0</w:t>
            </w:r>
          </w:p>
        </w:tc>
        <w:tc>
          <w:tcPr>
            <w:tcW w:w="1038"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214.4</w:t>
            </w:r>
          </w:p>
        </w:tc>
        <w:tc>
          <w:tcPr>
            <w:tcW w:w="1223"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171.7</w:t>
            </w:r>
          </w:p>
        </w:tc>
        <w:tc>
          <w:tcPr>
            <w:tcW w:w="914"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174.1</w:t>
            </w:r>
          </w:p>
        </w:tc>
      </w:tr>
      <w:tr w:rsidR="00AB6D09" w:rsidRPr="0043452B" w:rsidTr="0006098B">
        <w:trPr>
          <w:jc w:val="center"/>
        </w:trPr>
        <w:tc>
          <w:tcPr>
            <w:tcW w:w="1862" w:type="dxa"/>
            <w:vMerge/>
            <w:shd w:val="clear" w:color="auto" w:fill="DBE5F1" w:themeFill="accent1" w:themeFillTint="33"/>
            <w:tcMar>
              <w:top w:w="14" w:type="dxa"/>
              <w:bottom w:w="14" w:type="dxa"/>
            </w:tcMar>
            <w:vAlign w:val="center"/>
          </w:tcPr>
          <w:p w:rsidR="00AB6D09" w:rsidRPr="00EC51AA" w:rsidRDefault="00AB6D09" w:rsidP="00496106">
            <w:pPr>
              <w:keepNext/>
              <w:keepLines/>
              <w:adjustRightInd/>
              <w:spacing w:before="40" w:after="40" w:line="240" w:lineRule="auto"/>
              <w:textAlignment w:val="auto"/>
              <w:rPr>
                <w:rFonts w:asciiTheme="minorHAnsi" w:eastAsia="Calibri" w:hAnsiTheme="minorHAnsi"/>
                <w:b/>
                <w:sz w:val="18"/>
                <w:szCs w:val="18"/>
              </w:rPr>
            </w:pPr>
          </w:p>
        </w:tc>
        <w:tc>
          <w:tcPr>
            <w:tcW w:w="1419" w:type="dxa"/>
            <w:shd w:val="clear" w:color="auto" w:fill="DBE5F1" w:themeFill="accent1" w:themeFillTint="33"/>
            <w:tcMar>
              <w:top w:w="14" w:type="dxa"/>
              <w:bottom w:w="14" w:type="dxa"/>
            </w:tcMar>
            <w:vAlign w:val="center"/>
          </w:tcPr>
          <w:p w:rsidR="00AB6D09" w:rsidRPr="0043452B" w:rsidRDefault="00AB6D09" w:rsidP="00496106">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RPS + Geo Renew</w:t>
            </w:r>
          </w:p>
        </w:tc>
        <w:tc>
          <w:tcPr>
            <w:tcW w:w="1223"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34.7</w:t>
            </w:r>
          </w:p>
        </w:tc>
        <w:tc>
          <w:tcPr>
            <w:tcW w:w="989"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0.3</w:t>
            </w:r>
          </w:p>
        </w:tc>
        <w:tc>
          <w:tcPr>
            <w:tcW w:w="949"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0.0</w:t>
            </w:r>
          </w:p>
        </w:tc>
        <w:tc>
          <w:tcPr>
            <w:tcW w:w="1116"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116.1</w:t>
            </w:r>
          </w:p>
        </w:tc>
        <w:tc>
          <w:tcPr>
            <w:tcW w:w="1038"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379.4</w:t>
            </w:r>
          </w:p>
        </w:tc>
        <w:tc>
          <w:tcPr>
            <w:tcW w:w="1223"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94.9</w:t>
            </w:r>
          </w:p>
        </w:tc>
        <w:tc>
          <w:tcPr>
            <w:tcW w:w="914"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25.3</w:t>
            </w:r>
          </w:p>
        </w:tc>
      </w:tr>
      <w:tr w:rsidR="00AB6D09" w:rsidRPr="0043452B" w:rsidTr="0006098B">
        <w:trPr>
          <w:jc w:val="center"/>
        </w:trPr>
        <w:tc>
          <w:tcPr>
            <w:tcW w:w="1862" w:type="dxa"/>
            <w:vMerge w:val="restart"/>
            <w:shd w:val="clear" w:color="auto" w:fill="auto"/>
            <w:tcMar>
              <w:top w:w="14" w:type="dxa"/>
              <w:bottom w:w="14" w:type="dxa"/>
            </w:tcMar>
            <w:vAlign w:val="center"/>
          </w:tcPr>
          <w:p w:rsidR="00AB6D09" w:rsidRPr="00EC51AA" w:rsidRDefault="00AB6D09" w:rsidP="00496106">
            <w:pPr>
              <w:keepNext/>
              <w:keepLines/>
              <w:adjustRightInd/>
              <w:spacing w:before="40" w:after="40" w:line="240" w:lineRule="auto"/>
              <w:textAlignment w:val="auto"/>
              <w:rPr>
                <w:rFonts w:asciiTheme="minorHAnsi" w:eastAsia="Calibri" w:hAnsiTheme="minorHAnsi"/>
                <w:b/>
                <w:sz w:val="18"/>
                <w:szCs w:val="18"/>
              </w:rPr>
            </w:pPr>
            <w:r>
              <w:rPr>
                <w:rFonts w:asciiTheme="minorHAnsi" w:eastAsia="Calibri" w:hAnsiTheme="minorHAnsi"/>
                <w:b/>
                <w:sz w:val="18"/>
                <w:szCs w:val="18"/>
              </w:rPr>
              <w:t xml:space="preserve">2025 </w:t>
            </w:r>
            <w:r w:rsidRPr="00EC51AA">
              <w:rPr>
                <w:rFonts w:asciiTheme="minorHAnsi" w:eastAsia="Calibri" w:hAnsiTheme="minorHAnsi"/>
                <w:b/>
                <w:sz w:val="18"/>
                <w:szCs w:val="18"/>
              </w:rPr>
              <w:t>Unconstrained</w:t>
            </w:r>
            <w:r w:rsidR="000C200E">
              <w:rPr>
                <w:rFonts w:asciiTheme="minorHAnsi" w:eastAsia="Calibri" w:hAnsiTheme="minorHAnsi"/>
                <w:b/>
                <w:sz w:val="18"/>
                <w:szCs w:val="18"/>
              </w:rPr>
              <w:t xml:space="preserve"> Net Energy Market Revenues </w:t>
            </w:r>
            <w:r w:rsidR="000C200E" w:rsidRPr="000C200E">
              <w:rPr>
                <w:rFonts w:asciiTheme="minorHAnsi" w:eastAsia="Calibri" w:hAnsiTheme="minorHAnsi"/>
                <w:b/>
                <w:sz w:val="18"/>
                <w:szCs w:val="18"/>
              </w:rPr>
              <w:t>($/kW-yr)</w:t>
            </w:r>
          </w:p>
        </w:tc>
        <w:tc>
          <w:tcPr>
            <w:tcW w:w="1419" w:type="dxa"/>
            <w:shd w:val="clear" w:color="auto" w:fill="auto"/>
            <w:tcMar>
              <w:top w:w="14" w:type="dxa"/>
              <w:bottom w:w="14" w:type="dxa"/>
            </w:tcMar>
            <w:vAlign w:val="center"/>
          </w:tcPr>
          <w:p w:rsidR="00AB6D09" w:rsidRPr="0043452B" w:rsidRDefault="00AB6D09" w:rsidP="00496106">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RPS + Gas</w:t>
            </w:r>
          </w:p>
        </w:tc>
        <w:tc>
          <w:tcPr>
            <w:tcW w:w="1223"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65.0</w:t>
            </w:r>
          </w:p>
        </w:tc>
        <w:tc>
          <w:tcPr>
            <w:tcW w:w="989"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2.3</w:t>
            </w:r>
          </w:p>
        </w:tc>
        <w:tc>
          <w:tcPr>
            <w:tcW w:w="949"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0.1</w:t>
            </w:r>
          </w:p>
        </w:tc>
        <w:tc>
          <w:tcPr>
            <w:tcW w:w="1116"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121.3</w:t>
            </w:r>
          </w:p>
        </w:tc>
        <w:tc>
          <w:tcPr>
            <w:tcW w:w="1038"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183.2</w:t>
            </w:r>
          </w:p>
        </w:tc>
        <w:tc>
          <w:tcPr>
            <w:tcW w:w="1223"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145.5</w:t>
            </w:r>
          </w:p>
        </w:tc>
        <w:tc>
          <w:tcPr>
            <w:tcW w:w="914"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148.9</w:t>
            </w:r>
          </w:p>
        </w:tc>
      </w:tr>
      <w:tr w:rsidR="00AB6D09" w:rsidRPr="0043452B" w:rsidTr="0006098B">
        <w:trPr>
          <w:jc w:val="center"/>
        </w:trPr>
        <w:tc>
          <w:tcPr>
            <w:tcW w:w="1862" w:type="dxa"/>
            <w:vMerge/>
            <w:shd w:val="clear" w:color="auto" w:fill="auto"/>
            <w:tcMar>
              <w:top w:w="14" w:type="dxa"/>
              <w:bottom w:w="14" w:type="dxa"/>
            </w:tcMar>
            <w:vAlign w:val="center"/>
          </w:tcPr>
          <w:p w:rsidR="00AB6D09" w:rsidRPr="00EC51AA" w:rsidRDefault="00AB6D09" w:rsidP="00496106">
            <w:pPr>
              <w:keepNext/>
              <w:keepLines/>
              <w:spacing w:before="40" w:after="40" w:line="240" w:lineRule="auto"/>
              <w:rPr>
                <w:rFonts w:asciiTheme="minorHAnsi" w:eastAsia="Calibri" w:hAnsiTheme="minorHAnsi"/>
                <w:b/>
                <w:sz w:val="18"/>
                <w:szCs w:val="18"/>
              </w:rPr>
            </w:pPr>
          </w:p>
        </w:tc>
        <w:tc>
          <w:tcPr>
            <w:tcW w:w="1419" w:type="dxa"/>
            <w:shd w:val="clear" w:color="auto" w:fill="auto"/>
            <w:tcMar>
              <w:top w:w="14" w:type="dxa"/>
              <w:bottom w:w="14" w:type="dxa"/>
            </w:tcMar>
            <w:vAlign w:val="center"/>
          </w:tcPr>
          <w:p w:rsidR="00AB6D09" w:rsidRPr="0043452B" w:rsidRDefault="00AB6D09" w:rsidP="00496106">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ISO Queue</w:t>
            </w:r>
          </w:p>
        </w:tc>
        <w:tc>
          <w:tcPr>
            <w:tcW w:w="1223"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61.8</w:t>
            </w:r>
          </w:p>
        </w:tc>
        <w:tc>
          <w:tcPr>
            <w:tcW w:w="989"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2.6</w:t>
            </w:r>
          </w:p>
        </w:tc>
        <w:tc>
          <w:tcPr>
            <w:tcW w:w="949"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0.2</w:t>
            </w:r>
          </w:p>
        </w:tc>
        <w:tc>
          <w:tcPr>
            <w:tcW w:w="1116"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111.0</w:t>
            </w:r>
          </w:p>
        </w:tc>
        <w:tc>
          <w:tcPr>
            <w:tcW w:w="1038"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169.4</w:t>
            </w:r>
          </w:p>
        </w:tc>
        <w:tc>
          <w:tcPr>
            <w:tcW w:w="1223"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132.8</w:t>
            </w:r>
          </w:p>
        </w:tc>
        <w:tc>
          <w:tcPr>
            <w:tcW w:w="914"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134.7</w:t>
            </w:r>
          </w:p>
        </w:tc>
      </w:tr>
      <w:tr w:rsidR="00AB6D09" w:rsidRPr="0043452B" w:rsidTr="0006098B">
        <w:trPr>
          <w:jc w:val="center"/>
        </w:trPr>
        <w:tc>
          <w:tcPr>
            <w:tcW w:w="1862" w:type="dxa"/>
            <w:vMerge/>
            <w:shd w:val="clear" w:color="auto" w:fill="auto"/>
            <w:tcMar>
              <w:top w:w="14" w:type="dxa"/>
              <w:bottom w:w="14" w:type="dxa"/>
            </w:tcMar>
            <w:vAlign w:val="center"/>
          </w:tcPr>
          <w:p w:rsidR="00AB6D09" w:rsidRPr="00EC51AA" w:rsidRDefault="00AB6D09" w:rsidP="00496106">
            <w:pPr>
              <w:keepNext/>
              <w:keepLines/>
              <w:spacing w:before="40" w:after="40" w:line="240" w:lineRule="auto"/>
              <w:rPr>
                <w:rFonts w:asciiTheme="minorHAnsi" w:eastAsia="Calibri" w:hAnsiTheme="minorHAnsi"/>
                <w:b/>
                <w:sz w:val="18"/>
                <w:szCs w:val="18"/>
              </w:rPr>
            </w:pPr>
          </w:p>
        </w:tc>
        <w:tc>
          <w:tcPr>
            <w:tcW w:w="1419" w:type="dxa"/>
            <w:shd w:val="clear" w:color="auto" w:fill="auto"/>
            <w:tcMar>
              <w:top w:w="14" w:type="dxa"/>
              <w:bottom w:w="14" w:type="dxa"/>
            </w:tcMar>
            <w:vAlign w:val="center"/>
          </w:tcPr>
          <w:p w:rsidR="00AB6D09" w:rsidRPr="0043452B" w:rsidRDefault="00AB6D09" w:rsidP="00496106">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Renew Plus</w:t>
            </w:r>
          </w:p>
        </w:tc>
        <w:tc>
          <w:tcPr>
            <w:tcW w:w="1223"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49.3</w:t>
            </w:r>
          </w:p>
        </w:tc>
        <w:tc>
          <w:tcPr>
            <w:tcW w:w="989"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0.3</w:t>
            </w:r>
          </w:p>
        </w:tc>
        <w:tc>
          <w:tcPr>
            <w:tcW w:w="949"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0.0</w:t>
            </w:r>
          </w:p>
        </w:tc>
        <w:tc>
          <w:tcPr>
            <w:tcW w:w="1116"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104.3</w:t>
            </w:r>
          </w:p>
        </w:tc>
        <w:tc>
          <w:tcPr>
            <w:tcW w:w="1038"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156.8</w:t>
            </w:r>
          </w:p>
        </w:tc>
        <w:tc>
          <w:tcPr>
            <w:tcW w:w="1223"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124.5</w:t>
            </w:r>
          </w:p>
        </w:tc>
        <w:tc>
          <w:tcPr>
            <w:tcW w:w="914"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124.6</w:t>
            </w:r>
          </w:p>
        </w:tc>
      </w:tr>
      <w:tr w:rsidR="00AB6D09" w:rsidRPr="0043452B" w:rsidTr="0006098B">
        <w:trPr>
          <w:jc w:val="center"/>
        </w:trPr>
        <w:tc>
          <w:tcPr>
            <w:tcW w:w="1862" w:type="dxa"/>
            <w:vMerge/>
            <w:shd w:val="clear" w:color="auto" w:fill="auto"/>
            <w:tcMar>
              <w:top w:w="14" w:type="dxa"/>
              <w:bottom w:w="14" w:type="dxa"/>
            </w:tcMar>
            <w:vAlign w:val="center"/>
          </w:tcPr>
          <w:p w:rsidR="00AB6D09" w:rsidRPr="00EC51AA" w:rsidRDefault="00AB6D09" w:rsidP="00496106">
            <w:pPr>
              <w:keepNext/>
              <w:keepLines/>
              <w:spacing w:before="40" w:after="40" w:line="240" w:lineRule="auto"/>
              <w:rPr>
                <w:rFonts w:asciiTheme="minorHAnsi" w:eastAsia="Calibri" w:hAnsiTheme="minorHAnsi"/>
                <w:b/>
                <w:sz w:val="18"/>
                <w:szCs w:val="18"/>
              </w:rPr>
            </w:pPr>
          </w:p>
        </w:tc>
        <w:tc>
          <w:tcPr>
            <w:tcW w:w="1419" w:type="dxa"/>
            <w:shd w:val="clear" w:color="auto" w:fill="auto"/>
            <w:tcMar>
              <w:top w:w="14" w:type="dxa"/>
              <w:bottom w:w="14" w:type="dxa"/>
            </w:tcMar>
            <w:vAlign w:val="center"/>
          </w:tcPr>
          <w:p w:rsidR="00AB6D09" w:rsidRPr="0043452B" w:rsidRDefault="00AB6D09" w:rsidP="00496106">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No Retire</w:t>
            </w:r>
          </w:p>
        </w:tc>
        <w:tc>
          <w:tcPr>
            <w:tcW w:w="1223"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64.9</w:t>
            </w:r>
          </w:p>
        </w:tc>
        <w:tc>
          <w:tcPr>
            <w:tcW w:w="989"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2.1</w:t>
            </w:r>
          </w:p>
        </w:tc>
        <w:tc>
          <w:tcPr>
            <w:tcW w:w="949"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0.1</w:t>
            </w:r>
          </w:p>
        </w:tc>
        <w:tc>
          <w:tcPr>
            <w:tcW w:w="1116"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123.6</w:t>
            </w:r>
          </w:p>
        </w:tc>
        <w:tc>
          <w:tcPr>
            <w:tcW w:w="1038"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186.3</w:t>
            </w:r>
          </w:p>
        </w:tc>
        <w:tc>
          <w:tcPr>
            <w:tcW w:w="1223"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148.5</w:t>
            </w:r>
          </w:p>
        </w:tc>
        <w:tc>
          <w:tcPr>
            <w:tcW w:w="914"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152.5</w:t>
            </w:r>
          </w:p>
        </w:tc>
      </w:tr>
      <w:tr w:rsidR="00AB6D09" w:rsidRPr="0043452B" w:rsidTr="0006098B">
        <w:trPr>
          <w:jc w:val="center"/>
        </w:trPr>
        <w:tc>
          <w:tcPr>
            <w:tcW w:w="1862" w:type="dxa"/>
            <w:vMerge/>
            <w:shd w:val="clear" w:color="auto" w:fill="auto"/>
            <w:tcMar>
              <w:top w:w="14" w:type="dxa"/>
              <w:bottom w:w="14" w:type="dxa"/>
            </w:tcMar>
            <w:vAlign w:val="center"/>
          </w:tcPr>
          <w:p w:rsidR="00AB6D09" w:rsidRPr="00EC51AA" w:rsidRDefault="00AB6D09" w:rsidP="00496106">
            <w:pPr>
              <w:keepNext/>
              <w:keepLines/>
              <w:spacing w:before="40" w:after="40" w:line="240" w:lineRule="auto"/>
              <w:rPr>
                <w:rFonts w:asciiTheme="minorHAnsi" w:eastAsia="Calibri" w:hAnsiTheme="minorHAnsi"/>
                <w:b/>
                <w:sz w:val="18"/>
                <w:szCs w:val="18"/>
              </w:rPr>
            </w:pPr>
          </w:p>
        </w:tc>
        <w:tc>
          <w:tcPr>
            <w:tcW w:w="1419" w:type="dxa"/>
            <w:shd w:val="clear" w:color="auto" w:fill="auto"/>
            <w:tcMar>
              <w:top w:w="14" w:type="dxa"/>
              <w:bottom w:w="14" w:type="dxa"/>
            </w:tcMar>
            <w:vAlign w:val="center"/>
          </w:tcPr>
          <w:p w:rsidR="00AB6D09" w:rsidRPr="0043452B" w:rsidRDefault="00AB6D09" w:rsidP="00496106">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ACP + Gas</w:t>
            </w:r>
          </w:p>
        </w:tc>
        <w:tc>
          <w:tcPr>
            <w:tcW w:w="1223"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66.2</w:t>
            </w:r>
          </w:p>
        </w:tc>
        <w:tc>
          <w:tcPr>
            <w:tcW w:w="989"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1.9</w:t>
            </w:r>
          </w:p>
        </w:tc>
        <w:tc>
          <w:tcPr>
            <w:tcW w:w="949"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0.1</w:t>
            </w:r>
          </w:p>
        </w:tc>
        <w:tc>
          <w:tcPr>
            <w:tcW w:w="1116"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36.2</w:t>
            </w:r>
          </w:p>
        </w:tc>
        <w:tc>
          <w:tcPr>
            <w:tcW w:w="1038"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54.5</w:t>
            </w:r>
          </w:p>
        </w:tc>
        <w:tc>
          <w:tcPr>
            <w:tcW w:w="1223"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152.1</w:t>
            </w:r>
          </w:p>
        </w:tc>
        <w:tc>
          <w:tcPr>
            <w:tcW w:w="914"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156.5</w:t>
            </w:r>
          </w:p>
        </w:tc>
      </w:tr>
      <w:tr w:rsidR="00AB6D09" w:rsidRPr="0043452B" w:rsidTr="0006098B">
        <w:trPr>
          <w:jc w:val="center"/>
        </w:trPr>
        <w:tc>
          <w:tcPr>
            <w:tcW w:w="1862" w:type="dxa"/>
            <w:vMerge/>
            <w:shd w:val="clear" w:color="auto" w:fill="auto"/>
            <w:tcMar>
              <w:top w:w="14" w:type="dxa"/>
              <w:bottom w:w="14" w:type="dxa"/>
            </w:tcMar>
            <w:vAlign w:val="center"/>
          </w:tcPr>
          <w:p w:rsidR="00AB6D09" w:rsidRPr="00EC51AA" w:rsidRDefault="00AB6D09" w:rsidP="00496106">
            <w:pPr>
              <w:keepNext/>
              <w:keepLines/>
              <w:spacing w:before="40" w:after="40" w:line="240" w:lineRule="auto"/>
              <w:rPr>
                <w:rFonts w:asciiTheme="minorHAnsi" w:eastAsia="Calibri" w:hAnsiTheme="minorHAnsi"/>
                <w:b/>
                <w:sz w:val="18"/>
                <w:szCs w:val="18"/>
              </w:rPr>
            </w:pPr>
          </w:p>
        </w:tc>
        <w:tc>
          <w:tcPr>
            <w:tcW w:w="1419" w:type="dxa"/>
            <w:shd w:val="clear" w:color="auto" w:fill="auto"/>
            <w:tcMar>
              <w:top w:w="14" w:type="dxa"/>
              <w:bottom w:w="14" w:type="dxa"/>
            </w:tcMar>
            <w:vAlign w:val="center"/>
          </w:tcPr>
          <w:p w:rsidR="00AB6D09" w:rsidRPr="0043452B" w:rsidRDefault="00AB6D09" w:rsidP="00496106">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RPS + Geo Renew</w:t>
            </w:r>
          </w:p>
        </w:tc>
        <w:tc>
          <w:tcPr>
            <w:tcW w:w="1223"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60.0</w:t>
            </w:r>
          </w:p>
        </w:tc>
        <w:tc>
          <w:tcPr>
            <w:tcW w:w="989"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1.8</w:t>
            </w:r>
          </w:p>
        </w:tc>
        <w:tc>
          <w:tcPr>
            <w:tcW w:w="949"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0.0</w:t>
            </w:r>
          </w:p>
        </w:tc>
        <w:tc>
          <w:tcPr>
            <w:tcW w:w="1116"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112.9</w:t>
            </w:r>
          </w:p>
        </w:tc>
        <w:tc>
          <w:tcPr>
            <w:tcW w:w="1038"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170.9</w:t>
            </w:r>
          </w:p>
        </w:tc>
        <w:tc>
          <w:tcPr>
            <w:tcW w:w="1223"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136.5</w:t>
            </w:r>
          </w:p>
        </w:tc>
        <w:tc>
          <w:tcPr>
            <w:tcW w:w="914" w:type="dxa"/>
            <w:shd w:val="clear" w:color="auto" w:fill="auto"/>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140.2</w:t>
            </w:r>
          </w:p>
        </w:tc>
      </w:tr>
      <w:tr w:rsidR="00AB6D09" w:rsidRPr="0043452B" w:rsidTr="0006098B">
        <w:trPr>
          <w:jc w:val="center"/>
        </w:trPr>
        <w:tc>
          <w:tcPr>
            <w:tcW w:w="1862" w:type="dxa"/>
            <w:vMerge w:val="restart"/>
            <w:shd w:val="clear" w:color="auto" w:fill="DBE5F1" w:themeFill="accent1" w:themeFillTint="33"/>
            <w:tcMar>
              <w:top w:w="14" w:type="dxa"/>
              <w:bottom w:w="14" w:type="dxa"/>
            </w:tcMar>
            <w:vAlign w:val="center"/>
          </w:tcPr>
          <w:p w:rsidR="00AB6D09" w:rsidRPr="00EC51AA" w:rsidRDefault="00AB6D09" w:rsidP="00AB6D09">
            <w:pPr>
              <w:keepNext/>
              <w:keepLines/>
              <w:spacing w:before="40" w:after="40" w:line="240" w:lineRule="auto"/>
              <w:rPr>
                <w:rFonts w:asciiTheme="minorHAnsi" w:eastAsia="Calibri" w:hAnsiTheme="minorHAnsi"/>
                <w:b/>
                <w:sz w:val="18"/>
                <w:szCs w:val="18"/>
              </w:rPr>
            </w:pPr>
            <w:r>
              <w:rPr>
                <w:rFonts w:asciiTheme="minorHAnsi" w:eastAsia="Calibri" w:hAnsiTheme="minorHAnsi"/>
                <w:b/>
                <w:sz w:val="18"/>
                <w:szCs w:val="18"/>
              </w:rPr>
              <w:t xml:space="preserve">2030 </w:t>
            </w:r>
            <w:r w:rsidRPr="00EC51AA">
              <w:rPr>
                <w:rFonts w:asciiTheme="minorHAnsi" w:eastAsia="Calibri" w:hAnsiTheme="minorHAnsi"/>
                <w:b/>
                <w:sz w:val="18"/>
                <w:szCs w:val="18"/>
              </w:rPr>
              <w:t>Unconstrained</w:t>
            </w:r>
            <w:r w:rsidR="000C200E">
              <w:rPr>
                <w:rFonts w:asciiTheme="minorHAnsi" w:eastAsia="Calibri" w:hAnsiTheme="minorHAnsi"/>
                <w:b/>
                <w:sz w:val="18"/>
                <w:szCs w:val="18"/>
              </w:rPr>
              <w:t xml:space="preserve"> </w:t>
            </w:r>
            <w:r w:rsidR="000C200E" w:rsidRPr="000C200E">
              <w:rPr>
                <w:rFonts w:asciiTheme="minorHAnsi" w:eastAsia="Calibri" w:hAnsiTheme="minorHAnsi"/>
                <w:b/>
                <w:sz w:val="18"/>
                <w:szCs w:val="18"/>
              </w:rPr>
              <w:t>Net Energy Market Revenues</w:t>
            </w:r>
            <w:r w:rsidR="000C200E">
              <w:rPr>
                <w:rFonts w:asciiTheme="minorHAnsi" w:eastAsia="Calibri" w:hAnsiTheme="minorHAnsi"/>
                <w:b/>
                <w:sz w:val="18"/>
                <w:szCs w:val="18"/>
              </w:rPr>
              <w:t xml:space="preserve"> </w:t>
            </w:r>
            <w:r w:rsidR="000C200E" w:rsidRPr="000C200E">
              <w:rPr>
                <w:rFonts w:asciiTheme="minorHAnsi" w:eastAsia="Calibri" w:hAnsiTheme="minorHAnsi"/>
                <w:b/>
                <w:sz w:val="18"/>
                <w:szCs w:val="18"/>
              </w:rPr>
              <w:t>($/kW-yr)</w:t>
            </w:r>
          </w:p>
        </w:tc>
        <w:tc>
          <w:tcPr>
            <w:tcW w:w="1419" w:type="dxa"/>
            <w:shd w:val="clear" w:color="auto" w:fill="DBE5F1" w:themeFill="accent1" w:themeFillTint="33"/>
            <w:tcMar>
              <w:top w:w="14" w:type="dxa"/>
              <w:bottom w:w="14" w:type="dxa"/>
            </w:tcMar>
            <w:vAlign w:val="center"/>
          </w:tcPr>
          <w:p w:rsidR="00AB6D09" w:rsidRPr="0043452B" w:rsidRDefault="00AB6D09" w:rsidP="00496106">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RPS + Gas</w:t>
            </w:r>
          </w:p>
        </w:tc>
        <w:tc>
          <w:tcPr>
            <w:tcW w:w="1223"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72.7</w:t>
            </w:r>
          </w:p>
        </w:tc>
        <w:tc>
          <w:tcPr>
            <w:tcW w:w="989"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0.3</w:t>
            </w:r>
          </w:p>
        </w:tc>
        <w:tc>
          <w:tcPr>
            <w:tcW w:w="949"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0.0</w:t>
            </w:r>
          </w:p>
        </w:tc>
        <w:tc>
          <w:tcPr>
            <w:tcW w:w="1116"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140.5</w:t>
            </w:r>
          </w:p>
        </w:tc>
        <w:tc>
          <w:tcPr>
            <w:tcW w:w="1038"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210.7</w:t>
            </w:r>
          </w:p>
        </w:tc>
        <w:tc>
          <w:tcPr>
            <w:tcW w:w="1223"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168.7</w:t>
            </w:r>
          </w:p>
        </w:tc>
        <w:tc>
          <w:tcPr>
            <w:tcW w:w="914"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173.2</w:t>
            </w:r>
          </w:p>
        </w:tc>
      </w:tr>
      <w:tr w:rsidR="00AB6D09" w:rsidRPr="0043452B" w:rsidTr="0006098B">
        <w:trPr>
          <w:jc w:val="center"/>
        </w:trPr>
        <w:tc>
          <w:tcPr>
            <w:tcW w:w="1862" w:type="dxa"/>
            <w:vMerge/>
            <w:shd w:val="clear" w:color="auto" w:fill="DBE5F1" w:themeFill="accent1" w:themeFillTint="33"/>
            <w:tcMar>
              <w:top w:w="14" w:type="dxa"/>
              <w:bottom w:w="14" w:type="dxa"/>
            </w:tcMar>
            <w:vAlign w:val="center"/>
          </w:tcPr>
          <w:p w:rsidR="00AB6D09" w:rsidRPr="00EC51AA" w:rsidRDefault="00AB6D09" w:rsidP="00496106">
            <w:pPr>
              <w:keepNext/>
              <w:keepLines/>
              <w:spacing w:before="40" w:after="40" w:line="240" w:lineRule="auto"/>
              <w:rPr>
                <w:rFonts w:asciiTheme="minorHAnsi" w:eastAsia="Calibri" w:hAnsiTheme="minorHAnsi"/>
                <w:b/>
                <w:sz w:val="18"/>
                <w:szCs w:val="18"/>
              </w:rPr>
            </w:pPr>
          </w:p>
        </w:tc>
        <w:tc>
          <w:tcPr>
            <w:tcW w:w="1419" w:type="dxa"/>
            <w:shd w:val="clear" w:color="auto" w:fill="DBE5F1" w:themeFill="accent1" w:themeFillTint="33"/>
            <w:tcMar>
              <w:top w:w="14" w:type="dxa"/>
              <w:bottom w:w="14" w:type="dxa"/>
            </w:tcMar>
            <w:vAlign w:val="center"/>
          </w:tcPr>
          <w:p w:rsidR="00AB6D09" w:rsidRPr="0043452B" w:rsidRDefault="00AB6D09" w:rsidP="00496106">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ISO Queue</w:t>
            </w:r>
          </w:p>
        </w:tc>
        <w:tc>
          <w:tcPr>
            <w:tcW w:w="1223"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44.8</w:t>
            </w:r>
          </w:p>
        </w:tc>
        <w:tc>
          <w:tcPr>
            <w:tcW w:w="989"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0.9</w:t>
            </w:r>
          </w:p>
        </w:tc>
        <w:tc>
          <w:tcPr>
            <w:tcW w:w="949"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0.0</w:t>
            </w:r>
          </w:p>
        </w:tc>
        <w:tc>
          <w:tcPr>
            <w:tcW w:w="1116"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236.5</w:t>
            </w:r>
          </w:p>
        </w:tc>
        <w:tc>
          <w:tcPr>
            <w:tcW w:w="1038"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367.4</w:t>
            </w:r>
          </w:p>
        </w:tc>
        <w:tc>
          <w:tcPr>
            <w:tcW w:w="1223"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75.9</w:t>
            </w:r>
          </w:p>
        </w:tc>
        <w:tc>
          <w:tcPr>
            <w:tcW w:w="914"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69.1</w:t>
            </w:r>
          </w:p>
        </w:tc>
      </w:tr>
      <w:tr w:rsidR="00AB6D09" w:rsidRPr="0043452B" w:rsidTr="0006098B">
        <w:trPr>
          <w:jc w:val="center"/>
        </w:trPr>
        <w:tc>
          <w:tcPr>
            <w:tcW w:w="1862" w:type="dxa"/>
            <w:vMerge/>
            <w:shd w:val="clear" w:color="auto" w:fill="DBE5F1" w:themeFill="accent1" w:themeFillTint="33"/>
            <w:tcMar>
              <w:top w:w="14" w:type="dxa"/>
              <w:bottom w:w="14" w:type="dxa"/>
            </w:tcMar>
            <w:vAlign w:val="center"/>
          </w:tcPr>
          <w:p w:rsidR="00AB6D09" w:rsidRPr="00EC51AA" w:rsidRDefault="00AB6D09" w:rsidP="00496106">
            <w:pPr>
              <w:keepNext/>
              <w:keepLines/>
              <w:spacing w:before="40" w:after="40" w:line="240" w:lineRule="auto"/>
              <w:rPr>
                <w:rFonts w:asciiTheme="minorHAnsi" w:eastAsia="Calibri" w:hAnsiTheme="minorHAnsi"/>
                <w:b/>
                <w:sz w:val="18"/>
                <w:szCs w:val="18"/>
              </w:rPr>
            </w:pPr>
          </w:p>
        </w:tc>
        <w:tc>
          <w:tcPr>
            <w:tcW w:w="1419" w:type="dxa"/>
            <w:shd w:val="clear" w:color="auto" w:fill="DBE5F1" w:themeFill="accent1" w:themeFillTint="33"/>
            <w:tcMar>
              <w:top w:w="14" w:type="dxa"/>
              <w:bottom w:w="14" w:type="dxa"/>
            </w:tcMar>
            <w:vAlign w:val="center"/>
          </w:tcPr>
          <w:p w:rsidR="00AB6D09" w:rsidRPr="0043452B" w:rsidRDefault="00AB6D09" w:rsidP="00496106">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Renew Plus</w:t>
            </w:r>
          </w:p>
        </w:tc>
        <w:tc>
          <w:tcPr>
            <w:tcW w:w="1223"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32.7</w:t>
            </w:r>
          </w:p>
        </w:tc>
        <w:tc>
          <w:tcPr>
            <w:tcW w:w="989"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0.0</w:t>
            </w:r>
          </w:p>
        </w:tc>
        <w:tc>
          <w:tcPr>
            <w:tcW w:w="949"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0.0</w:t>
            </w:r>
          </w:p>
        </w:tc>
        <w:tc>
          <w:tcPr>
            <w:tcW w:w="1116"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90.7</w:t>
            </w:r>
          </w:p>
        </w:tc>
        <w:tc>
          <w:tcPr>
            <w:tcW w:w="1038"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136.2</w:t>
            </w:r>
          </w:p>
        </w:tc>
        <w:tc>
          <w:tcPr>
            <w:tcW w:w="1223"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108.2</w:t>
            </w:r>
          </w:p>
        </w:tc>
        <w:tc>
          <w:tcPr>
            <w:tcW w:w="914"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105.3</w:t>
            </w:r>
          </w:p>
        </w:tc>
      </w:tr>
      <w:tr w:rsidR="00AB6D09" w:rsidRPr="0043452B" w:rsidTr="0006098B">
        <w:trPr>
          <w:jc w:val="center"/>
        </w:trPr>
        <w:tc>
          <w:tcPr>
            <w:tcW w:w="1862" w:type="dxa"/>
            <w:vMerge/>
            <w:shd w:val="clear" w:color="auto" w:fill="DBE5F1" w:themeFill="accent1" w:themeFillTint="33"/>
            <w:tcMar>
              <w:top w:w="14" w:type="dxa"/>
              <w:bottom w:w="14" w:type="dxa"/>
            </w:tcMar>
            <w:vAlign w:val="center"/>
          </w:tcPr>
          <w:p w:rsidR="00AB6D09" w:rsidRPr="00EC51AA" w:rsidRDefault="00AB6D09" w:rsidP="00496106">
            <w:pPr>
              <w:keepNext/>
              <w:keepLines/>
              <w:spacing w:before="40" w:after="40" w:line="240" w:lineRule="auto"/>
              <w:rPr>
                <w:rFonts w:asciiTheme="minorHAnsi" w:eastAsia="Calibri" w:hAnsiTheme="minorHAnsi"/>
                <w:b/>
                <w:sz w:val="18"/>
                <w:szCs w:val="18"/>
              </w:rPr>
            </w:pPr>
          </w:p>
        </w:tc>
        <w:tc>
          <w:tcPr>
            <w:tcW w:w="1419" w:type="dxa"/>
            <w:shd w:val="clear" w:color="auto" w:fill="DBE5F1" w:themeFill="accent1" w:themeFillTint="33"/>
            <w:tcMar>
              <w:top w:w="14" w:type="dxa"/>
              <w:bottom w:w="14" w:type="dxa"/>
            </w:tcMar>
            <w:vAlign w:val="center"/>
          </w:tcPr>
          <w:p w:rsidR="00AB6D09" w:rsidRPr="0043452B" w:rsidRDefault="00AB6D09" w:rsidP="00496106">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No Retire</w:t>
            </w:r>
          </w:p>
        </w:tc>
        <w:tc>
          <w:tcPr>
            <w:tcW w:w="1223"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72.1</w:t>
            </w:r>
          </w:p>
        </w:tc>
        <w:tc>
          <w:tcPr>
            <w:tcW w:w="989"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3.7</w:t>
            </w:r>
          </w:p>
        </w:tc>
        <w:tc>
          <w:tcPr>
            <w:tcW w:w="949"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1.0</w:t>
            </w:r>
          </w:p>
        </w:tc>
        <w:tc>
          <w:tcPr>
            <w:tcW w:w="1116"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141.2</w:t>
            </w:r>
          </w:p>
        </w:tc>
        <w:tc>
          <w:tcPr>
            <w:tcW w:w="1038"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212.8</w:t>
            </w:r>
          </w:p>
        </w:tc>
        <w:tc>
          <w:tcPr>
            <w:tcW w:w="1223"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169.7</w:t>
            </w:r>
          </w:p>
        </w:tc>
        <w:tc>
          <w:tcPr>
            <w:tcW w:w="914"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173.9</w:t>
            </w:r>
          </w:p>
        </w:tc>
      </w:tr>
      <w:tr w:rsidR="00AB6D09" w:rsidRPr="0043452B" w:rsidTr="0006098B">
        <w:trPr>
          <w:jc w:val="center"/>
        </w:trPr>
        <w:tc>
          <w:tcPr>
            <w:tcW w:w="1862" w:type="dxa"/>
            <w:vMerge/>
            <w:shd w:val="clear" w:color="auto" w:fill="DBE5F1" w:themeFill="accent1" w:themeFillTint="33"/>
            <w:tcMar>
              <w:top w:w="14" w:type="dxa"/>
              <w:bottom w:w="14" w:type="dxa"/>
            </w:tcMar>
            <w:vAlign w:val="center"/>
          </w:tcPr>
          <w:p w:rsidR="00AB6D09" w:rsidRPr="00EC51AA" w:rsidRDefault="00AB6D09" w:rsidP="00496106">
            <w:pPr>
              <w:keepNext/>
              <w:keepLines/>
              <w:spacing w:before="40" w:after="40" w:line="240" w:lineRule="auto"/>
              <w:rPr>
                <w:rFonts w:asciiTheme="minorHAnsi" w:eastAsia="Calibri" w:hAnsiTheme="minorHAnsi"/>
                <w:b/>
                <w:sz w:val="18"/>
                <w:szCs w:val="18"/>
              </w:rPr>
            </w:pPr>
          </w:p>
        </w:tc>
        <w:tc>
          <w:tcPr>
            <w:tcW w:w="1419" w:type="dxa"/>
            <w:shd w:val="clear" w:color="auto" w:fill="DBE5F1" w:themeFill="accent1" w:themeFillTint="33"/>
            <w:tcMar>
              <w:top w:w="14" w:type="dxa"/>
              <w:bottom w:w="14" w:type="dxa"/>
            </w:tcMar>
            <w:vAlign w:val="center"/>
          </w:tcPr>
          <w:p w:rsidR="00AB6D09" w:rsidRPr="0043452B" w:rsidRDefault="00AB6D09" w:rsidP="00496106">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ACP + Gas</w:t>
            </w:r>
          </w:p>
        </w:tc>
        <w:tc>
          <w:tcPr>
            <w:tcW w:w="1223"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73.0</w:t>
            </w:r>
          </w:p>
        </w:tc>
        <w:tc>
          <w:tcPr>
            <w:tcW w:w="989"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0.3</w:t>
            </w:r>
          </w:p>
        </w:tc>
        <w:tc>
          <w:tcPr>
            <w:tcW w:w="949"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0.0</w:t>
            </w:r>
          </w:p>
        </w:tc>
        <w:tc>
          <w:tcPr>
            <w:tcW w:w="1116"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142.6</w:t>
            </w:r>
          </w:p>
        </w:tc>
        <w:tc>
          <w:tcPr>
            <w:tcW w:w="1038"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214.0</w:t>
            </w:r>
          </w:p>
        </w:tc>
        <w:tc>
          <w:tcPr>
            <w:tcW w:w="1223"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171.5</w:t>
            </w:r>
          </w:p>
        </w:tc>
        <w:tc>
          <w:tcPr>
            <w:tcW w:w="914"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176.9</w:t>
            </w:r>
          </w:p>
        </w:tc>
      </w:tr>
      <w:tr w:rsidR="00AB6D09" w:rsidRPr="0043452B" w:rsidTr="0006098B">
        <w:trPr>
          <w:jc w:val="center"/>
        </w:trPr>
        <w:tc>
          <w:tcPr>
            <w:tcW w:w="1862" w:type="dxa"/>
            <w:vMerge/>
            <w:shd w:val="clear" w:color="auto" w:fill="DBE5F1" w:themeFill="accent1" w:themeFillTint="33"/>
            <w:tcMar>
              <w:top w:w="14" w:type="dxa"/>
              <w:bottom w:w="14" w:type="dxa"/>
            </w:tcMar>
            <w:vAlign w:val="center"/>
          </w:tcPr>
          <w:p w:rsidR="00AB6D09" w:rsidRPr="00EC51AA" w:rsidRDefault="00AB6D09" w:rsidP="00496106">
            <w:pPr>
              <w:keepNext/>
              <w:keepLines/>
              <w:adjustRightInd/>
              <w:spacing w:before="40" w:after="40" w:line="240" w:lineRule="auto"/>
              <w:textAlignment w:val="auto"/>
              <w:rPr>
                <w:rFonts w:asciiTheme="minorHAnsi" w:eastAsia="Calibri" w:hAnsiTheme="minorHAnsi"/>
                <w:b/>
                <w:sz w:val="18"/>
                <w:szCs w:val="18"/>
              </w:rPr>
            </w:pPr>
          </w:p>
        </w:tc>
        <w:tc>
          <w:tcPr>
            <w:tcW w:w="1419" w:type="dxa"/>
            <w:shd w:val="clear" w:color="auto" w:fill="DBE5F1" w:themeFill="accent1" w:themeFillTint="33"/>
            <w:tcMar>
              <w:top w:w="14" w:type="dxa"/>
              <w:bottom w:w="14" w:type="dxa"/>
            </w:tcMar>
            <w:vAlign w:val="center"/>
          </w:tcPr>
          <w:p w:rsidR="00AB6D09" w:rsidRPr="0043452B" w:rsidRDefault="00AB6D09" w:rsidP="00496106">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RPS + Geo Renew</w:t>
            </w:r>
          </w:p>
        </w:tc>
        <w:tc>
          <w:tcPr>
            <w:tcW w:w="1223"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31.2</w:t>
            </w:r>
          </w:p>
        </w:tc>
        <w:tc>
          <w:tcPr>
            <w:tcW w:w="989"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0.3</w:t>
            </w:r>
          </w:p>
        </w:tc>
        <w:tc>
          <w:tcPr>
            <w:tcW w:w="949"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0.0</w:t>
            </w:r>
          </w:p>
        </w:tc>
        <w:tc>
          <w:tcPr>
            <w:tcW w:w="1116"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90.9</w:t>
            </w:r>
          </w:p>
        </w:tc>
        <w:tc>
          <w:tcPr>
            <w:tcW w:w="1038"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295.3</w:t>
            </w:r>
          </w:p>
        </w:tc>
        <w:tc>
          <w:tcPr>
            <w:tcW w:w="1223"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71.0</w:t>
            </w:r>
          </w:p>
        </w:tc>
        <w:tc>
          <w:tcPr>
            <w:tcW w:w="914" w:type="dxa"/>
            <w:shd w:val="clear" w:color="auto" w:fill="DBE5F1" w:themeFill="accent1" w:themeFillTint="33"/>
            <w:tcMar>
              <w:top w:w="14" w:type="dxa"/>
              <w:left w:w="0" w:type="dxa"/>
              <w:bottom w:w="14" w:type="dxa"/>
              <w:right w:w="144" w:type="dxa"/>
            </w:tcMar>
            <w:vAlign w:val="center"/>
          </w:tcPr>
          <w:p w:rsidR="00AB6D09" w:rsidRPr="0043452B" w:rsidRDefault="00AB6D09" w:rsidP="00496106">
            <w:pPr>
              <w:keepNext/>
              <w:keepLines/>
              <w:adjustRightInd/>
              <w:spacing w:before="40" w:after="40" w:line="240" w:lineRule="auto"/>
              <w:jc w:val="right"/>
              <w:textAlignment w:val="auto"/>
              <w:rPr>
                <w:rFonts w:asciiTheme="minorHAnsi" w:eastAsia="Calibri" w:hAnsiTheme="minorHAnsi"/>
                <w:sz w:val="18"/>
                <w:szCs w:val="18"/>
              </w:rPr>
            </w:pPr>
            <w:r w:rsidRPr="0043452B">
              <w:rPr>
                <w:rFonts w:asciiTheme="minorHAnsi" w:eastAsia="Calibri" w:hAnsiTheme="minorHAnsi"/>
                <w:sz w:val="18"/>
                <w:szCs w:val="18"/>
              </w:rPr>
              <w:t>75.4</w:t>
            </w:r>
          </w:p>
        </w:tc>
      </w:tr>
    </w:tbl>
    <w:p w:rsidR="006B07E8" w:rsidRDefault="006B07E8" w:rsidP="00F94F67">
      <w:pPr>
        <w:spacing w:after="0" w:line="240" w:lineRule="auto"/>
      </w:pPr>
    </w:p>
    <w:p w:rsidR="00EC51AA" w:rsidRDefault="005726DC" w:rsidP="00043578">
      <w:pPr>
        <w:pStyle w:val="Caption"/>
        <w:jc w:val="center"/>
        <w:rPr>
          <w:rFonts w:asciiTheme="minorHAnsi" w:hAnsiTheme="minorHAnsi"/>
          <w:sz w:val="18"/>
          <w:szCs w:val="18"/>
        </w:rPr>
      </w:pPr>
      <w:bookmarkStart w:id="318" w:name="_Ref483908561"/>
      <w:bookmarkStart w:id="319" w:name="_Toc486406047"/>
      <w:r>
        <w:lastRenderedPageBreak/>
        <w:t xml:space="preserve">Table </w:t>
      </w:r>
      <w:fldSimple w:instr=" STYLEREF 1 \s ">
        <w:r w:rsidR="004248FE">
          <w:rPr>
            <w:noProof/>
          </w:rPr>
          <w:t>6</w:t>
        </w:r>
      </w:fldSimple>
      <w:r w:rsidR="004248FE">
        <w:noBreakHyphen/>
      </w:r>
      <w:fldSimple w:instr=" SEQ Table \* ARABIC \s 1 ">
        <w:r w:rsidR="004248FE">
          <w:rPr>
            <w:noProof/>
          </w:rPr>
          <w:t>12</w:t>
        </w:r>
      </w:fldSimple>
      <w:bookmarkEnd w:id="318"/>
      <w:r>
        <w:br/>
      </w:r>
      <w:r w:rsidR="00851FD1" w:rsidRPr="00F94F67">
        <w:t>Percentage of Annual Net Energy Market Revenue Contributions to Fixed Costs (</w:t>
      </w:r>
      <w:r w:rsidR="009D16E2" w:rsidRPr="00F94F67">
        <w:t>Reflecting</w:t>
      </w:r>
      <w:r w:rsidR="00851FD1" w:rsidRPr="00F94F67">
        <w:t xml:space="preserve"> Uplift)</w:t>
      </w:r>
      <w:r w:rsidR="00851FD1" w:rsidRPr="00F94F67">
        <w:br/>
        <w:t>for Various Technology T</w:t>
      </w:r>
      <w:r w:rsidR="00A37C67" w:rsidRPr="00F94F67">
        <w:t>y</w:t>
      </w:r>
      <w:r w:rsidR="00851FD1" w:rsidRPr="00F94F67">
        <w:t>pes, 2025 and 2030</w:t>
      </w:r>
      <w:bookmarkEnd w:id="319"/>
    </w:p>
    <w:tbl>
      <w:tblPr>
        <w:tblW w:w="10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4A0" w:firstRow="1" w:lastRow="0" w:firstColumn="1" w:lastColumn="0" w:noHBand="0" w:noVBand="1"/>
      </w:tblPr>
      <w:tblGrid>
        <w:gridCol w:w="1293"/>
        <w:gridCol w:w="1504"/>
        <w:gridCol w:w="1223"/>
        <w:gridCol w:w="1047"/>
        <w:gridCol w:w="982"/>
        <w:gridCol w:w="1160"/>
        <w:gridCol w:w="1072"/>
        <w:gridCol w:w="1223"/>
        <w:gridCol w:w="955"/>
      </w:tblGrid>
      <w:tr w:rsidR="00F94F67" w:rsidRPr="0043452B" w:rsidTr="00F94F67">
        <w:trPr>
          <w:jc w:val="center"/>
        </w:trPr>
        <w:tc>
          <w:tcPr>
            <w:tcW w:w="1293" w:type="dxa"/>
            <w:shd w:val="clear" w:color="auto" w:fill="0070C0"/>
            <w:tcMar>
              <w:top w:w="14" w:type="dxa"/>
              <w:bottom w:w="14" w:type="dxa"/>
            </w:tcMar>
            <w:vAlign w:val="center"/>
          </w:tcPr>
          <w:p w:rsidR="00F94F67" w:rsidRPr="00EC51AA" w:rsidRDefault="00F94F67" w:rsidP="00A37C67">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EC51AA">
              <w:rPr>
                <w:rFonts w:asciiTheme="minorHAnsi" w:eastAsia="Calibri" w:hAnsiTheme="minorHAnsi"/>
                <w:b/>
                <w:color w:val="FFFFFF" w:themeColor="background1"/>
                <w:sz w:val="18"/>
                <w:szCs w:val="18"/>
              </w:rPr>
              <w:t>Transmission</w:t>
            </w:r>
            <w:r>
              <w:rPr>
                <w:rFonts w:asciiTheme="minorHAnsi" w:eastAsia="Calibri" w:hAnsiTheme="minorHAnsi"/>
                <w:b/>
                <w:color w:val="FFFFFF" w:themeColor="background1"/>
                <w:sz w:val="18"/>
                <w:szCs w:val="18"/>
              </w:rPr>
              <w:t xml:space="preserve"> and Year</w:t>
            </w:r>
          </w:p>
        </w:tc>
        <w:tc>
          <w:tcPr>
            <w:tcW w:w="1504" w:type="dxa"/>
            <w:shd w:val="clear" w:color="auto" w:fill="0070C0"/>
            <w:tcMar>
              <w:top w:w="14" w:type="dxa"/>
              <w:bottom w:w="14" w:type="dxa"/>
            </w:tcMar>
            <w:vAlign w:val="center"/>
          </w:tcPr>
          <w:p w:rsidR="00F94F67" w:rsidRPr="00EC51AA" w:rsidRDefault="00F94F67" w:rsidP="00A37C67">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EC51AA">
              <w:rPr>
                <w:rFonts w:asciiTheme="minorHAnsi" w:eastAsia="Calibri" w:hAnsiTheme="minorHAnsi"/>
                <w:b/>
                <w:color w:val="FFFFFF" w:themeColor="background1"/>
                <w:sz w:val="18"/>
                <w:szCs w:val="18"/>
              </w:rPr>
              <w:t>Scenario</w:t>
            </w:r>
          </w:p>
        </w:tc>
        <w:tc>
          <w:tcPr>
            <w:tcW w:w="1223" w:type="dxa"/>
            <w:shd w:val="clear" w:color="auto" w:fill="0070C0"/>
            <w:tcMar>
              <w:top w:w="14" w:type="dxa"/>
              <w:bottom w:w="14" w:type="dxa"/>
            </w:tcMar>
            <w:vAlign w:val="center"/>
          </w:tcPr>
          <w:p w:rsidR="00F94F67" w:rsidRPr="00EC51AA" w:rsidRDefault="00F94F67" w:rsidP="00A37C67">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EC51AA">
              <w:rPr>
                <w:rFonts w:asciiTheme="minorHAnsi" w:eastAsia="Calibri" w:hAnsiTheme="minorHAnsi"/>
                <w:b/>
                <w:color w:val="FFFFFF" w:themeColor="background1"/>
                <w:sz w:val="18"/>
                <w:szCs w:val="18"/>
              </w:rPr>
              <w:t>Massachusetts PV</w:t>
            </w:r>
          </w:p>
        </w:tc>
        <w:tc>
          <w:tcPr>
            <w:tcW w:w="1047" w:type="dxa"/>
            <w:shd w:val="clear" w:color="auto" w:fill="0070C0"/>
            <w:tcMar>
              <w:top w:w="14" w:type="dxa"/>
              <w:bottom w:w="14" w:type="dxa"/>
            </w:tcMar>
            <w:vAlign w:val="center"/>
          </w:tcPr>
          <w:p w:rsidR="00F94F67" w:rsidRPr="00EC51AA" w:rsidRDefault="00F94F67" w:rsidP="00A37C67">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EC51AA">
              <w:rPr>
                <w:rFonts w:asciiTheme="minorHAnsi" w:eastAsia="Calibri" w:hAnsiTheme="minorHAnsi"/>
                <w:b/>
                <w:color w:val="FFFFFF" w:themeColor="background1"/>
                <w:sz w:val="18"/>
                <w:szCs w:val="18"/>
              </w:rPr>
              <w:t>NGCC</w:t>
            </w:r>
          </w:p>
        </w:tc>
        <w:tc>
          <w:tcPr>
            <w:tcW w:w="982" w:type="dxa"/>
            <w:shd w:val="clear" w:color="auto" w:fill="0070C0"/>
            <w:tcMar>
              <w:top w:w="14" w:type="dxa"/>
              <w:bottom w:w="14" w:type="dxa"/>
            </w:tcMar>
            <w:vAlign w:val="center"/>
          </w:tcPr>
          <w:p w:rsidR="00F94F67" w:rsidRPr="00EC51AA" w:rsidRDefault="00F94F67" w:rsidP="00A37C67">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EC51AA">
              <w:rPr>
                <w:rFonts w:asciiTheme="minorHAnsi" w:eastAsia="Calibri" w:hAnsiTheme="minorHAnsi"/>
                <w:b/>
                <w:color w:val="FFFFFF" w:themeColor="background1"/>
                <w:sz w:val="18"/>
                <w:szCs w:val="18"/>
              </w:rPr>
              <w:t>Simple-Cycle Gas Turbine</w:t>
            </w:r>
          </w:p>
        </w:tc>
        <w:tc>
          <w:tcPr>
            <w:tcW w:w="1160" w:type="dxa"/>
            <w:shd w:val="clear" w:color="auto" w:fill="0070C0"/>
            <w:tcMar>
              <w:top w:w="14" w:type="dxa"/>
              <w:bottom w:w="14" w:type="dxa"/>
            </w:tcMar>
            <w:vAlign w:val="center"/>
          </w:tcPr>
          <w:p w:rsidR="00F94F67" w:rsidRPr="00EC51AA" w:rsidRDefault="00F94F67" w:rsidP="00A37C67">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EC51AA">
              <w:rPr>
                <w:rFonts w:asciiTheme="minorHAnsi" w:eastAsia="Calibri" w:hAnsiTheme="minorHAnsi"/>
                <w:b/>
                <w:color w:val="FFFFFF" w:themeColor="background1"/>
                <w:sz w:val="18"/>
                <w:szCs w:val="18"/>
              </w:rPr>
              <w:t>Offshore Wind #1</w:t>
            </w:r>
          </w:p>
        </w:tc>
        <w:tc>
          <w:tcPr>
            <w:tcW w:w="1072" w:type="dxa"/>
            <w:shd w:val="clear" w:color="auto" w:fill="0070C0"/>
            <w:tcMar>
              <w:top w:w="14" w:type="dxa"/>
              <w:bottom w:w="14" w:type="dxa"/>
            </w:tcMar>
            <w:vAlign w:val="center"/>
          </w:tcPr>
          <w:p w:rsidR="00F94F67" w:rsidRPr="00EC51AA" w:rsidRDefault="00F94F67" w:rsidP="00A37C67">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EC51AA">
              <w:rPr>
                <w:rFonts w:asciiTheme="minorHAnsi" w:eastAsia="Calibri" w:hAnsiTheme="minorHAnsi"/>
                <w:b/>
                <w:color w:val="FFFFFF" w:themeColor="background1"/>
                <w:sz w:val="18"/>
                <w:szCs w:val="18"/>
              </w:rPr>
              <w:t>Offshore Wind #2</w:t>
            </w:r>
          </w:p>
        </w:tc>
        <w:tc>
          <w:tcPr>
            <w:tcW w:w="1223" w:type="dxa"/>
            <w:shd w:val="clear" w:color="auto" w:fill="0070C0"/>
            <w:tcMar>
              <w:top w:w="14" w:type="dxa"/>
              <w:bottom w:w="14" w:type="dxa"/>
            </w:tcMar>
            <w:vAlign w:val="center"/>
          </w:tcPr>
          <w:p w:rsidR="00F94F67" w:rsidRPr="00EC51AA" w:rsidRDefault="00F94F67" w:rsidP="00A37C67">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EC51AA">
              <w:rPr>
                <w:rFonts w:asciiTheme="minorHAnsi" w:eastAsia="Calibri" w:hAnsiTheme="minorHAnsi"/>
                <w:b/>
                <w:color w:val="FFFFFF" w:themeColor="background1"/>
                <w:sz w:val="18"/>
                <w:szCs w:val="18"/>
              </w:rPr>
              <w:t>Massachusetts Wind</w:t>
            </w:r>
          </w:p>
        </w:tc>
        <w:tc>
          <w:tcPr>
            <w:tcW w:w="955" w:type="dxa"/>
            <w:shd w:val="clear" w:color="auto" w:fill="0070C0"/>
            <w:tcMar>
              <w:top w:w="14" w:type="dxa"/>
              <w:bottom w:w="14" w:type="dxa"/>
            </w:tcMar>
            <w:vAlign w:val="center"/>
          </w:tcPr>
          <w:p w:rsidR="00F94F67" w:rsidRPr="00EC51AA" w:rsidRDefault="00F94F67" w:rsidP="00A37C67">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EC51AA">
              <w:rPr>
                <w:rFonts w:asciiTheme="minorHAnsi" w:eastAsia="Calibri" w:hAnsiTheme="minorHAnsi"/>
                <w:b/>
                <w:color w:val="FFFFFF" w:themeColor="background1"/>
                <w:sz w:val="18"/>
                <w:szCs w:val="18"/>
              </w:rPr>
              <w:t>Maine Wind</w:t>
            </w:r>
          </w:p>
        </w:tc>
      </w:tr>
      <w:tr w:rsidR="00F94F67" w:rsidRPr="0043452B" w:rsidTr="00F94F67">
        <w:trPr>
          <w:jc w:val="center"/>
        </w:trPr>
        <w:tc>
          <w:tcPr>
            <w:tcW w:w="1293" w:type="dxa"/>
            <w:vMerge w:val="restart"/>
            <w:shd w:val="clear" w:color="auto" w:fill="auto"/>
            <w:tcMar>
              <w:top w:w="14" w:type="dxa"/>
              <w:bottom w:w="14" w:type="dxa"/>
            </w:tcMar>
            <w:vAlign w:val="center"/>
          </w:tcPr>
          <w:p w:rsidR="00F94F67" w:rsidRPr="00EC51AA" w:rsidRDefault="00F94F67" w:rsidP="00A37C67">
            <w:pPr>
              <w:keepNext/>
              <w:keepLines/>
              <w:adjustRightInd/>
              <w:spacing w:before="40" w:after="40" w:line="240" w:lineRule="auto"/>
              <w:textAlignment w:val="auto"/>
              <w:rPr>
                <w:rFonts w:asciiTheme="minorHAnsi" w:eastAsia="Calibri" w:hAnsiTheme="minorHAnsi"/>
                <w:b/>
                <w:sz w:val="18"/>
                <w:szCs w:val="18"/>
              </w:rPr>
            </w:pPr>
            <w:r>
              <w:rPr>
                <w:rFonts w:asciiTheme="minorHAnsi" w:eastAsia="Calibri" w:hAnsiTheme="minorHAnsi"/>
                <w:b/>
                <w:sz w:val="18"/>
                <w:szCs w:val="18"/>
              </w:rPr>
              <w:t xml:space="preserve">2025 </w:t>
            </w:r>
            <w:r w:rsidRPr="00EC51AA">
              <w:rPr>
                <w:rFonts w:asciiTheme="minorHAnsi" w:eastAsia="Calibri" w:hAnsiTheme="minorHAnsi"/>
                <w:b/>
                <w:sz w:val="18"/>
                <w:szCs w:val="18"/>
              </w:rPr>
              <w:t>Constrained</w:t>
            </w:r>
          </w:p>
        </w:tc>
        <w:tc>
          <w:tcPr>
            <w:tcW w:w="1504" w:type="dxa"/>
            <w:shd w:val="clear" w:color="auto" w:fill="auto"/>
            <w:tcMar>
              <w:top w:w="14" w:type="dxa"/>
              <w:bottom w:w="14" w:type="dxa"/>
            </w:tcMar>
            <w:vAlign w:val="center"/>
          </w:tcPr>
          <w:p w:rsidR="00F94F67" w:rsidRPr="0043452B" w:rsidRDefault="00F94F67" w:rsidP="00A37C67">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RPS + Gas</w:t>
            </w:r>
          </w:p>
        </w:tc>
        <w:tc>
          <w:tcPr>
            <w:tcW w:w="1223"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17.1%</w:t>
            </w:r>
          </w:p>
        </w:tc>
        <w:tc>
          <w:tcPr>
            <w:tcW w:w="1047"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1.7%</w:t>
            </w:r>
          </w:p>
        </w:tc>
        <w:tc>
          <w:tcPr>
            <w:tcW w:w="982"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0.2%</w:t>
            </w:r>
          </w:p>
        </w:tc>
        <w:tc>
          <w:tcPr>
            <w:tcW w:w="1160"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12.7%</w:t>
            </w:r>
          </w:p>
        </w:tc>
        <w:tc>
          <w:tcPr>
            <w:tcW w:w="1072"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19.2%</w:t>
            </w:r>
          </w:p>
        </w:tc>
        <w:tc>
          <w:tcPr>
            <w:tcW w:w="1223"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40.3%</w:t>
            </w:r>
          </w:p>
        </w:tc>
        <w:tc>
          <w:tcPr>
            <w:tcW w:w="955"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18.7%</w:t>
            </w:r>
          </w:p>
        </w:tc>
      </w:tr>
      <w:tr w:rsidR="00F94F67" w:rsidRPr="0043452B" w:rsidTr="00F94F67">
        <w:trPr>
          <w:jc w:val="center"/>
        </w:trPr>
        <w:tc>
          <w:tcPr>
            <w:tcW w:w="1293" w:type="dxa"/>
            <w:vMerge/>
            <w:shd w:val="clear" w:color="auto" w:fill="auto"/>
            <w:tcMar>
              <w:top w:w="14" w:type="dxa"/>
              <w:bottom w:w="14" w:type="dxa"/>
            </w:tcMar>
            <w:vAlign w:val="center"/>
          </w:tcPr>
          <w:p w:rsidR="00F94F67" w:rsidRPr="00EC51AA" w:rsidRDefault="00F94F67" w:rsidP="00A37C67">
            <w:pPr>
              <w:keepNext/>
              <w:keepLines/>
              <w:spacing w:before="40" w:after="40" w:line="240" w:lineRule="auto"/>
              <w:rPr>
                <w:rFonts w:asciiTheme="minorHAnsi" w:eastAsia="Calibri" w:hAnsiTheme="minorHAnsi"/>
                <w:b/>
                <w:sz w:val="18"/>
                <w:szCs w:val="18"/>
              </w:rPr>
            </w:pPr>
          </w:p>
        </w:tc>
        <w:tc>
          <w:tcPr>
            <w:tcW w:w="1504" w:type="dxa"/>
            <w:shd w:val="clear" w:color="auto" w:fill="auto"/>
            <w:tcMar>
              <w:top w:w="14" w:type="dxa"/>
              <w:bottom w:w="14" w:type="dxa"/>
            </w:tcMar>
            <w:vAlign w:val="center"/>
          </w:tcPr>
          <w:p w:rsidR="00F94F67" w:rsidRPr="0043452B" w:rsidRDefault="00F94F67" w:rsidP="00A37C67">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ISO Queue</w:t>
            </w:r>
          </w:p>
        </w:tc>
        <w:tc>
          <w:tcPr>
            <w:tcW w:w="1223"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16.6%</w:t>
            </w:r>
          </w:p>
        </w:tc>
        <w:tc>
          <w:tcPr>
            <w:tcW w:w="1047"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2.1%</w:t>
            </w:r>
          </w:p>
        </w:tc>
        <w:tc>
          <w:tcPr>
            <w:tcW w:w="982"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0.5%</w:t>
            </w:r>
          </w:p>
        </w:tc>
        <w:tc>
          <w:tcPr>
            <w:tcW w:w="1160"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12.4%</w:t>
            </w:r>
          </w:p>
        </w:tc>
        <w:tc>
          <w:tcPr>
            <w:tcW w:w="1072"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18.8%</w:t>
            </w:r>
          </w:p>
        </w:tc>
        <w:tc>
          <w:tcPr>
            <w:tcW w:w="1223"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39.3%</w:t>
            </w:r>
          </w:p>
        </w:tc>
        <w:tc>
          <w:tcPr>
            <w:tcW w:w="955"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11.9%</w:t>
            </w:r>
          </w:p>
        </w:tc>
      </w:tr>
      <w:tr w:rsidR="00F94F67" w:rsidRPr="0043452B" w:rsidTr="00F94F67">
        <w:trPr>
          <w:jc w:val="center"/>
        </w:trPr>
        <w:tc>
          <w:tcPr>
            <w:tcW w:w="1293" w:type="dxa"/>
            <w:vMerge/>
            <w:shd w:val="clear" w:color="auto" w:fill="auto"/>
            <w:tcMar>
              <w:top w:w="14" w:type="dxa"/>
              <w:bottom w:w="14" w:type="dxa"/>
            </w:tcMar>
            <w:vAlign w:val="center"/>
          </w:tcPr>
          <w:p w:rsidR="00F94F67" w:rsidRPr="00EC51AA" w:rsidRDefault="00F94F67" w:rsidP="00A37C67">
            <w:pPr>
              <w:keepNext/>
              <w:keepLines/>
              <w:spacing w:before="40" w:after="40" w:line="240" w:lineRule="auto"/>
              <w:rPr>
                <w:rFonts w:asciiTheme="minorHAnsi" w:eastAsia="Calibri" w:hAnsiTheme="minorHAnsi"/>
                <w:b/>
                <w:sz w:val="18"/>
                <w:szCs w:val="18"/>
              </w:rPr>
            </w:pPr>
          </w:p>
        </w:tc>
        <w:tc>
          <w:tcPr>
            <w:tcW w:w="1504" w:type="dxa"/>
            <w:shd w:val="clear" w:color="auto" w:fill="auto"/>
            <w:tcMar>
              <w:top w:w="14" w:type="dxa"/>
              <w:bottom w:w="14" w:type="dxa"/>
            </w:tcMar>
            <w:vAlign w:val="center"/>
          </w:tcPr>
          <w:p w:rsidR="00F94F67" w:rsidRPr="0043452B" w:rsidRDefault="00F94F67" w:rsidP="00A37C67">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Renew Plus</w:t>
            </w:r>
          </w:p>
        </w:tc>
        <w:tc>
          <w:tcPr>
            <w:tcW w:w="1223"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13.2%</w:t>
            </w:r>
          </w:p>
        </w:tc>
        <w:tc>
          <w:tcPr>
            <w:tcW w:w="1047"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0.1%</w:t>
            </w:r>
          </w:p>
        </w:tc>
        <w:tc>
          <w:tcPr>
            <w:tcW w:w="982"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0.0%</w:t>
            </w:r>
          </w:p>
        </w:tc>
        <w:tc>
          <w:tcPr>
            <w:tcW w:w="1160"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11.6%</w:t>
            </w:r>
          </w:p>
        </w:tc>
        <w:tc>
          <w:tcPr>
            <w:tcW w:w="1072"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17.3%</w:t>
            </w:r>
          </w:p>
        </w:tc>
        <w:tc>
          <w:tcPr>
            <w:tcW w:w="1223"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36.5%</w:t>
            </w:r>
          </w:p>
        </w:tc>
        <w:tc>
          <w:tcPr>
            <w:tcW w:w="955"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13.3%</w:t>
            </w:r>
          </w:p>
        </w:tc>
      </w:tr>
      <w:tr w:rsidR="00F94F67" w:rsidRPr="0043452B" w:rsidTr="00F94F67">
        <w:trPr>
          <w:jc w:val="center"/>
        </w:trPr>
        <w:tc>
          <w:tcPr>
            <w:tcW w:w="1293" w:type="dxa"/>
            <w:vMerge/>
            <w:shd w:val="clear" w:color="auto" w:fill="auto"/>
            <w:tcMar>
              <w:top w:w="14" w:type="dxa"/>
              <w:bottom w:w="14" w:type="dxa"/>
            </w:tcMar>
            <w:vAlign w:val="center"/>
          </w:tcPr>
          <w:p w:rsidR="00F94F67" w:rsidRPr="00EC51AA" w:rsidRDefault="00F94F67" w:rsidP="00A37C67">
            <w:pPr>
              <w:keepNext/>
              <w:keepLines/>
              <w:spacing w:before="40" w:after="40" w:line="240" w:lineRule="auto"/>
              <w:rPr>
                <w:rFonts w:asciiTheme="minorHAnsi" w:eastAsia="Calibri" w:hAnsiTheme="minorHAnsi"/>
                <w:b/>
                <w:sz w:val="18"/>
                <w:szCs w:val="18"/>
              </w:rPr>
            </w:pPr>
          </w:p>
        </w:tc>
        <w:tc>
          <w:tcPr>
            <w:tcW w:w="1504" w:type="dxa"/>
            <w:shd w:val="clear" w:color="auto" w:fill="auto"/>
            <w:tcMar>
              <w:top w:w="14" w:type="dxa"/>
              <w:bottom w:w="14" w:type="dxa"/>
            </w:tcMar>
            <w:vAlign w:val="center"/>
          </w:tcPr>
          <w:p w:rsidR="00F94F67" w:rsidRPr="0043452B" w:rsidRDefault="00F94F67" w:rsidP="00A37C67">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No Retire</w:t>
            </w:r>
          </w:p>
        </w:tc>
        <w:tc>
          <w:tcPr>
            <w:tcW w:w="1223"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16.9%</w:t>
            </w:r>
          </w:p>
        </w:tc>
        <w:tc>
          <w:tcPr>
            <w:tcW w:w="1047"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1.4%</w:t>
            </w:r>
          </w:p>
        </w:tc>
        <w:tc>
          <w:tcPr>
            <w:tcW w:w="982"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0.1%</w:t>
            </w:r>
          </w:p>
        </w:tc>
        <w:tc>
          <w:tcPr>
            <w:tcW w:w="1160"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12.8%</w:t>
            </w:r>
          </w:p>
        </w:tc>
        <w:tc>
          <w:tcPr>
            <w:tcW w:w="1072"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19.2%</w:t>
            </w:r>
          </w:p>
        </w:tc>
        <w:tc>
          <w:tcPr>
            <w:tcW w:w="1223"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40.4%</w:t>
            </w:r>
          </w:p>
        </w:tc>
        <w:tc>
          <w:tcPr>
            <w:tcW w:w="955"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40.5%</w:t>
            </w:r>
          </w:p>
        </w:tc>
      </w:tr>
      <w:tr w:rsidR="00F94F67" w:rsidRPr="0043452B" w:rsidTr="00F94F67">
        <w:trPr>
          <w:jc w:val="center"/>
        </w:trPr>
        <w:tc>
          <w:tcPr>
            <w:tcW w:w="1293" w:type="dxa"/>
            <w:vMerge/>
            <w:shd w:val="clear" w:color="auto" w:fill="auto"/>
            <w:tcMar>
              <w:top w:w="14" w:type="dxa"/>
              <w:bottom w:w="14" w:type="dxa"/>
            </w:tcMar>
            <w:vAlign w:val="center"/>
          </w:tcPr>
          <w:p w:rsidR="00F94F67" w:rsidRPr="00EC51AA" w:rsidRDefault="00F94F67" w:rsidP="00A37C67">
            <w:pPr>
              <w:keepNext/>
              <w:keepLines/>
              <w:spacing w:before="40" w:after="40" w:line="240" w:lineRule="auto"/>
              <w:rPr>
                <w:rFonts w:asciiTheme="minorHAnsi" w:eastAsia="Calibri" w:hAnsiTheme="minorHAnsi"/>
                <w:b/>
                <w:sz w:val="18"/>
                <w:szCs w:val="18"/>
              </w:rPr>
            </w:pPr>
          </w:p>
        </w:tc>
        <w:tc>
          <w:tcPr>
            <w:tcW w:w="1504" w:type="dxa"/>
            <w:shd w:val="clear" w:color="auto" w:fill="auto"/>
            <w:tcMar>
              <w:top w:w="14" w:type="dxa"/>
              <w:bottom w:w="14" w:type="dxa"/>
            </w:tcMar>
            <w:vAlign w:val="center"/>
          </w:tcPr>
          <w:p w:rsidR="00F94F67" w:rsidRPr="0043452B" w:rsidRDefault="00F94F67" w:rsidP="00A37C67">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ACP + Gas</w:t>
            </w:r>
          </w:p>
        </w:tc>
        <w:tc>
          <w:tcPr>
            <w:tcW w:w="1223"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17.2%</w:t>
            </w:r>
          </w:p>
        </w:tc>
        <w:tc>
          <w:tcPr>
            <w:tcW w:w="1047"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1.2%</w:t>
            </w:r>
          </w:p>
        </w:tc>
        <w:tc>
          <w:tcPr>
            <w:tcW w:w="982"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0.1%</w:t>
            </w:r>
          </w:p>
        </w:tc>
        <w:tc>
          <w:tcPr>
            <w:tcW w:w="1160"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13.0%</w:t>
            </w:r>
          </w:p>
        </w:tc>
        <w:tc>
          <w:tcPr>
            <w:tcW w:w="1072"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19.6%</w:t>
            </w:r>
          </w:p>
        </w:tc>
        <w:tc>
          <w:tcPr>
            <w:tcW w:w="1223"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41.1%</w:t>
            </w:r>
          </w:p>
        </w:tc>
        <w:tc>
          <w:tcPr>
            <w:tcW w:w="955"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41.2%</w:t>
            </w:r>
          </w:p>
        </w:tc>
      </w:tr>
      <w:tr w:rsidR="00F94F67" w:rsidRPr="0043452B" w:rsidTr="00F94F67">
        <w:trPr>
          <w:jc w:val="center"/>
        </w:trPr>
        <w:tc>
          <w:tcPr>
            <w:tcW w:w="1293" w:type="dxa"/>
            <w:vMerge/>
            <w:shd w:val="clear" w:color="auto" w:fill="auto"/>
            <w:tcMar>
              <w:top w:w="14" w:type="dxa"/>
              <w:bottom w:w="14" w:type="dxa"/>
            </w:tcMar>
            <w:vAlign w:val="center"/>
          </w:tcPr>
          <w:p w:rsidR="00F94F67" w:rsidRPr="00EC51AA" w:rsidRDefault="00F94F67" w:rsidP="00A37C67">
            <w:pPr>
              <w:keepNext/>
              <w:keepLines/>
              <w:spacing w:before="40" w:after="40" w:line="240" w:lineRule="auto"/>
              <w:rPr>
                <w:rFonts w:asciiTheme="minorHAnsi" w:eastAsia="Calibri" w:hAnsiTheme="minorHAnsi"/>
                <w:b/>
                <w:sz w:val="18"/>
                <w:szCs w:val="18"/>
              </w:rPr>
            </w:pPr>
          </w:p>
        </w:tc>
        <w:tc>
          <w:tcPr>
            <w:tcW w:w="1504" w:type="dxa"/>
            <w:shd w:val="clear" w:color="auto" w:fill="auto"/>
            <w:tcMar>
              <w:top w:w="14" w:type="dxa"/>
              <w:bottom w:w="14" w:type="dxa"/>
            </w:tcMar>
            <w:vAlign w:val="center"/>
          </w:tcPr>
          <w:p w:rsidR="00F94F67" w:rsidRPr="0043452B" w:rsidRDefault="00F94F67" w:rsidP="00A37C67">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RPS + Geo Renew</w:t>
            </w:r>
          </w:p>
        </w:tc>
        <w:tc>
          <w:tcPr>
            <w:tcW w:w="1223"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15.8%</w:t>
            </w:r>
          </w:p>
        </w:tc>
        <w:tc>
          <w:tcPr>
            <w:tcW w:w="1047"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1.2%</w:t>
            </w:r>
          </w:p>
        </w:tc>
        <w:tc>
          <w:tcPr>
            <w:tcW w:w="982"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0.0%</w:t>
            </w:r>
          </w:p>
        </w:tc>
        <w:tc>
          <w:tcPr>
            <w:tcW w:w="1160"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11.9%</w:t>
            </w:r>
          </w:p>
        </w:tc>
        <w:tc>
          <w:tcPr>
            <w:tcW w:w="1072"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18.0%</w:t>
            </w:r>
          </w:p>
        </w:tc>
        <w:tc>
          <w:tcPr>
            <w:tcW w:w="1223"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38.0%</w:t>
            </w:r>
          </w:p>
        </w:tc>
        <w:tc>
          <w:tcPr>
            <w:tcW w:w="955"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22.8%</w:t>
            </w:r>
          </w:p>
        </w:tc>
      </w:tr>
      <w:tr w:rsidR="00F94F67" w:rsidRPr="0043452B" w:rsidTr="00F94F67">
        <w:trPr>
          <w:jc w:val="center"/>
        </w:trPr>
        <w:tc>
          <w:tcPr>
            <w:tcW w:w="1293" w:type="dxa"/>
            <w:vMerge w:val="restart"/>
            <w:shd w:val="clear" w:color="auto" w:fill="DBE5F1" w:themeFill="accent1" w:themeFillTint="33"/>
            <w:tcMar>
              <w:top w:w="14" w:type="dxa"/>
              <w:bottom w:w="14" w:type="dxa"/>
            </w:tcMar>
            <w:vAlign w:val="center"/>
          </w:tcPr>
          <w:p w:rsidR="00F94F67" w:rsidRPr="00EC51AA" w:rsidRDefault="00F94F67" w:rsidP="00A37C67">
            <w:pPr>
              <w:keepNext/>
              <w:keepLines/>
              <w:spacing w:before="40" w:after="40" w:line="240" w:lineRule="auto"/>
              <w:rPr>
                <w:rFonts w:asciiTheme="minorHAnsi" w:eastAsia="Calibri" w:hAnsiTheme="minorHAnsi"/>
                <w:b/>
                <w:sz w:val="18"/>
                <w:szCs w:val="18"/>
              </w:rPr>
            </w:pPr>
            <w:r>
              <w:rPr>
                <w:rFonts w:asciiTheme="minorHAnsi" w:eastAsia="Calibri" w:hAnsiTheme="minorHAnsi"/>
                <w:b/>
                <w:sz w:val="18"/>
                <w:szCs w:val="18"/>
              </w:rPr>
              <w:t>2030 Constrained</w:t>
            </w:r>
          </w:p>
        </w:tc>
        <w:tc>
          <w:tcPr>
            <w:tcW w:w="1504" w:type="dxa"/>
            <w:shd w:val="clear" w:color="auto" w:fill="DBE5F1" w:themeFill="accent1" w:themeFillTint="33"/>
            <w:tcMar>
              <w:top w:w="14" w:type="dxa"/>
              <w:bottom w:w="14" w:type="dxa"/>
            </w:tcMar>
            <w:vAlign w:val="center"/>
          </w:tcPr>
          <w:p w:rsidR="00F94F67" w:rsidRPr="0043452B" w:rsidRDefault="00F94F67" w:rsidP="00A37C67">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RPS + Gas</w:t>
            </w:r>
          </w:p>
        </w:tc>
        <w:tc>
          <w:tcPr>
            <w:tcW w:w="1223"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19.0%</w:t>
            </w:r>
          </w:p>
        </w:tc>
        <w:tc>
          <w:tcPr>
            <w:tcW w:w="1047"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0.2%</w:t>
            </w:r>
          </w:p>
        </w:tc>
        <w:tc>
          <w:tcPr>
            <w:tcW w:w="982"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0.0%</w:t>
            </w:r>
          </w:p>
        </w:tc>
        <w:tc>
          <w:tcPr>
            <w:tcW w:w="1160"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4.2%</w:t>
            </w:r>
          </w:p>
        </w:tc>
        <w:tc>
          <w:tcPr>
            <w:tcW w:w="1072"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6.3%</w:t>
            </w:r>
          </w:p>
        </w:tc>
        <w:tc>
          <w:tcPr>
            <w:tcW w:w="1223"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46.2%</w:t>
            </w:r>
          </w:p>
        </w:tc>
        <w:tc>
          <w:tcPr>
            <w:tcW w:w="955"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15.9%</w:t>
            </w:r>
          </w:p>
        </w:tc>
      </w:tr>
      <w:tr w:rsidR="00F94F67" w:rsidRPr="0043452B" w:rsidTr="00F94F67">
        <w:trPr>
          <w:jc w:val="center"/>
        </w:trPr>
        <w:tc>
          <w:tcPr>
            <w:tcW w:w="1293" w:type="dxa"/>
            <w:vMerge/>
            <w:shd w:val="clear" w:color="auto" w:fill="DBE5F1" w:themeFill="accent1" w:themeFillTint="33"/>
            <w:tcMar>
              <w:top w:w="14" w:type="dxa"/>
              <w:bottom w:w="14" w:type="dxa"/>
            </w:tcMar>
            <w:vAlign w:val="center"/>
          </w:tcPr>
          <w:p w:rsidR="00F94F67" w:rsidRPr="00EC51AA" w:rsidRDefault="00F94F67" w:rsidP="00A37C67">
            <w:pPr>
              <w:keepNext/>
              <w:keepLines/>
              <w:spacing w:before="40" w:after="40" w:line="240" w:lineRule="auto"/>
              <w:rPr>
                <w:rFonts w:asciiTheme="minorHAnsi" w:eastAsia="Calibri" w:hAnsiTheme="minorHAnsi"/>
                <w:b/>
                <w:sz w:val="18"/>
                <w:szCs w:val="18"/>
              </w:rPr>
            </w:pPr>
          </w:p>
        </w:tc>
        <w:tc>
          <w:tcPr>
            <w:tcW w:w="1504" w:type="dxa"/>
            <w:shd w:val="clear" w:color="auto" w:fill="DBE5F1" w:themeFill="accent1" w:themeFillTint="33"/>
            <w:tcMar>
              <w:top w:w="14" w:type="dxa"/>
              <w:bottom w:w="14" w:type="dxa"/>
            </w:tcMar>
            <w:vAlign w:val="center"/>
          </w:tcPr>
          <w:p w:rsidR="00F94F67" w:rsidRPr="0043452B" w:rsidRDefault="00F94F67" w:rsidP="00A37C67">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ISO Queue</w:t>
            </w:r>
          </w:p>
        </w:tc>
        <w:tc>
          <w:tcPr>
            <w:tcW w:w="1223"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16.7%</w:t>
            </w:r>
          </w:p>
        </w:tc>
        <w:tc>
          <w:tcPr>
            <w:tcW w:w="1047"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1.2%</w:t>
            </w:r>
          </w:p>
        </w:tc>
        <w:tc>
          <w:tcPr>
            <w:tcW w:w="982"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0.5%</w:t>
            </w:r>
          </w:p>
        </w:tc>
        <w:tc>
          <w:tcPr>
            <w:tcW w:w="1160"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47.9%</w:t>
            </w:r>
          </w:p>
        </w:tc>
        <w:tc>
          <w:tcPr>
            <w:tcW w:w="1072"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71.6%</w:t>
            </w:r>
          </w:p>
        </w:tc>
        <w:tc>
          <w:tcPr>
            <w:tcW w:w="1223"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43.1%</w:t>
            </w:r>
          </w:p>
        </w:tc>
        <w:tc>
          <w:tcPr>
            <w:tcW w:w="955"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3.3%</w:t>
            </w:r>
          </w:p>
        </w:tc>
      </w:tr>
      <w:tr w:rsidR="00F94F67" w:rsidRPr="0043452B" w:rsidTr="00F94F67">
        <w:trPr>
          <w:jc w:val="center"/>
        </w:trPr>
        <w:tc>
          <w:tcPr>
            <w:tcW w:w="1293" w:type="dxa"/>
            <w:vMerge/>
            <w:shd w:val="clear" w:color="auto" w:fill="DBE5F1" w:themeFill="accent1" w:themeFillTint="33"/>
            <w:tcMar>
              <w:top w:w="14" w:type="dxa"/>
              <w:bottom w:w="14" w:type="dxa"/>
            </w:tcMar>
            <w:vAlign w:val="center"/>
          </w:tcPr>
          <w:p w:rsidR="00F94F67" w:rsidRPr="00EC51AA" w:rsidRDefault="00F94F67" w:rsidP="00A37C67">
            <w:pPr>
              <w:keepNext/>
              <w:keepLines/>
              <w:spacing w:before="40" w:after="40" w:line="240" w:lineRule="auto"/>
              <w:rPr>
                <w:rFonts w:asciiTheme="minorHAnsi" w:eastAsia="Calibri" w:hAnsiTheme="minorHAnsi"/>
                <w:b/>
                <w:sz w:val="18"/>
                <w:szCs w:val="18"/>
              </w:rPr>
            </w:pPr>
          </w:p>
        </w:tc>
        <w:tc>
          <w:tcPr>
            <w:tcW w:w="1504" w:type="dxa"/>
            <w:shd w:val="clear" w:color="auto" w:fill="DBE5F1" w:themeFill="accent1" w:themeFillTint="33"/>
            <w:tcMar>
              <w:top w:w="14" w:type="dxa"/>
              <w:bottom w:w="14" w:type="dxa"/>
            </w:tcMar>
            <w:vAlign w:val="center"/>
          </w:tcPr>
          <w:p w:rsidR="00F94F67" w:rsidRPr="0043452B" w:rsidRDefault="00F94F67" w:rsidP="00A37C67">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Renew Plus</w:t>
            </w:r>
          </w:p>
        </w:tc>
        <w:tc>
          <w:tcPr>
            <w:tcW w:w="1223"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8.4%</w:t>
            </w:r>
          </w:p>
        </w:tc>
        <w:tc>
          <w:tcPr>
            <w:tcW w:w="1047"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0.0%</w:t>
            </w:r>
          </w:p>
        </w:tc>
        <w:tc>
          <w:tcPr>
            <w:tcW w:w="982"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0.0%</w:t>
            </w:r>
          </w:p>
        </w:tc>
        <w:tc>
          <w:tcPr>
            <w:tcW w:w="1160"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10.7%</w:t>
            </w:r>
          </w:p>
        </w:tc>
        <w:tc>
          <w:tcPr>
            <w:tcW w:w="1072"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15.9%</w:t>
            </w:r>
          </w:p>
        </w:tc>
        <w:tc>
          <w:tcPr>
            <w:tcW w:w="1223"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33.9%</w:t>
            </w:r>
          </w:p>
        </w:tc>
        <w:tc>
          <w:tcPr>
            <w:tcW w:w="955"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11.6%</w:t>
            </w:r>
          </w:p>
        </w:tc>
      </w:tr>
      <w:tr w:rsidR="00F94F67" w:rsidRPr="0043452B" w:rsidTr="00F94F67">
        <w:trPr>
          <w:jc w:val="center"/>
        </w:trPr>
        <w:tc>
          <w:tcPr>
            <w:tcW w:w="1293" w:type="dxa"/>
            <w:vMerge/>
            <w:shd w:val="clear" w:color="auto" w:fill="DBE5F1" w:themeFill="accent1" w:themeFillTint="33"/>
            <w:tcMar>
              <w:top w:w="14" w:type="dxa"/>
              <w:bottom w:w="14" w:type="dxa"/>
            </w:tcMar>
            <w:vAlign w:val="center"/>
          </w:tcPr>
          <w:p w:rsidR="00F94F67" w:rsidRPr="00EC51AA" w:rsidRDefault="00F94F67" w:rsidP="00A37C67">
            <w:pPr>
              <w:keepNext/>
              <w:keepLines/>
              <w:spacing w:before="40" w:after="40" w:line="240" w:lineRule="auto"/>
              <w:rPr>
                <w:rFonts w:asciiTheme="minorHAnsi" w:eastAsia="Calibri" w:hAnsiTheme="minorHAnsi"/>
                <w:b/>
                <w:sz w:val="18"/>
                <w:szCs w:val="18"/>
              </w:rPr>
            </w:pPr>
          </w:p>
        </w:tc>
        <w:tc>
          <w:tcPr>
            <w:tcW w:w="1504" w:type="dxa"/>
            <w:shd w:val="clear" w:color="auto" w:fill="DBE5F1" w:themeFill="accent1" w:themeFillTint="33"/>
            <w:tcMar>
              <w:top w:w="14" w:type="dxa"/>
              <w:bottom w:w="14" w:type="dxa"/>
            </w:tcMar>
            <w:vAlign w:val="center"/>
          </w:tcPr>
          <w:p w:rsidR="00F94F67" w:rsidRPr="0043452B" w:rsidRDefault="00F94F67" w:rsidP="00A37C67">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No Retire</w:t>
            </w:r>
          </w:p>
        </w:tc>
        <w:tc>
          <w:tcPr>
            <w:tcW w:w="1223"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18.8%</w:t>
            </w:r>
          </w:p>
        </w:tc>
        <w:tc>
          <w:tcPr>
            <w:tcW w:w="1047"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2.3%</w:t>
            </w:r>
          </w:p>
        </w:tc>
        <w:tc>
          <w:tcPr>
            <w:tcW w:w="982"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0.6%</w:t>
            </w:r>
          </w:p>
        </w:tc>
        <w:tc>
          <w:tcPr>
            <w:tcW w:w="1160"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14.5%</w:t>
            </w:r>
          </w:p>
        </w:tc>
        <w:tc>
          <w:tcPr>
            <w:tcW w:w="1072"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21.9%</w:t>
            </w:r>
          </w:p>
        </w:tc>
        <w:tc>
          <w:tcPr>
            <w:tcW w:w="1223"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46.0%</w:t>
            </w:r>
          </w:p>
        </w:tc>
        <w:tc>
          <w:tcPr>
            <w:tcW w:w="955"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45.5%</w:t>
            </w:r>
          </w:p>
        </w:tc>
      </w:tr>
      <w:tr w:rsidR="00F94F67" w:rsidRPr="0043452B" w:rsidTr="00F94F67">
        <w:trPr>
          <w:jc w:val="center"/>
        </w:trPr>
        <w:tc>
          <w:tcPr>
            <w:tcW w:w="1293" w:type="dxa"/>
            <w:vMerge/>
            <w:shd w:val="clear" w:color="auto" w:fill="DBE5F1" w:themeFill="accent1" w:themeFillTint="33"/>
            <w:tcMar>
              <w:top w:w="14" w:type="dxa"/>
              <w:bottom w:w="14" w:type="dxa"/>
            </w:tcMar>
            <w:vAlign w:val="center"/>
          </w:tcPr>
          <w:p w:rsidR="00F94F67" w:rsidRPr="00EC51AA" w:rsidRDefault="00F94F67" w:rsidP="00A37C67">
            <w:pPr>
              <w:keepNext/>
              <w:keepLines/>
              <w:spacing w:before="40" w:after="40" w:line="240" w:lineRule="auto"/>
              <w:rPr>
                <w:rFonts w:asciiTheme="minorHAnsi" w:eastAsia="Calibri" w:hAnsiTheme="minorHAnsi"/>
                <w:b/>
                <w:sz w:val="18"/>
                <w:szCs w:val="18"/>
              </w:rPr>
            </w:pPr>
          </w:p>
        </w:tc>
        <w:tc>
          <w:tcPr>
            <w:tcW w:w="1504" w:type="dxa"/>
            <w:shd w:val="clear" w:color="auto" w:fill="DBE5F1" w:themeFill="accent1" w:themeFillTint="33"/>
            <w:tcMar>
              <w:top w:w="14" w:type="dxa"/>
              <w:bottom w:w="14" w:type="dxa"/>
            </w:tcMar>
            <w:vAlign w:val="center"/>
          </w:tcPr>
          <w:p w:rsidR="00F94F67" w:rsidRPr="0043452B" w:rsidRDefault="00F94F67" w:rsidP="00A37C67">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ACP + Gas</w:t>
            </w:r>
          </w:p>
        </w:tc>
        <w:tc>
          <w:tcPr>
            <w:tcW w:w="1223"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19.0%</w:t>
            </w:r>
          </w:p>
        </w:tc>
        <w:tc>
          <w:tcPr>
            <w:tcW w:w="1047"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0.2%</w:t>
            </w:r>
          </w:p>
        </w:tc>
        <w:tc>
          <w:tcPr>
            <w:tcW w:w="982"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0.0%</w:t>
            </w:r>
          </w:p>
        </w:tc>
        <w:tc>
          <w:tcPr>
            <w:tcW w:w="1160"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14.7%</w:t>
            </w:r>
          </w:p>
        </w:tc>
        <w:tc>
          <w:tcPr>
            <w:tcW w:w="1072"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22.0%</w:t>
            </w:r>
          </w:p>
        </w:tc>
        <w:tc>
          <w:tcPr>
            <w:tcW w:w="1223"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46.4%</w:t>
            </w:r>
          </w:p>
        </w:tc>
        <w:tc>
          <w:tcPr>
            <w:tcW w:w="955"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47.1%</w:t>
            </w:r>
          </w:p>
        </w:tc>
      </w:tr>
      <w:tr w:rsidR="00F94F67" w:rsidRPr="0043452B" w:rsidTr="00F94F67">
        <w:trPr>
          <w:jc w:val="center"/>
        </w:trPr>
        <w:tc>
          <w:tcPr>
            <w:tcW w:w="1293" w:type="dxa"/>
            <w:vMerge/>
            <w:shd w:val="clear" w:color="auto" w:fill="DBE5F1" w:themeFill="accent1" w:themeFillTint="33"/>
            <w:tcMar>
              <w:top w:w="14" w:type="dxa"/>
              <w:bottom w:w="14" w:type="dxa"/>
            </w:tcMar>
            <w:vAlign w:val="center"/>
          </w:tcPr>
          <w:p w:rsidR="00F94F67" w:rsidRPr="00EC51AA" w:rsidRDefault="00F94F67" w:rsidP="00A37C67">
            <w:pPr>
              <w:keepNext/>
              <w:keepLines/>
              <w:adjustRightInd/>
              <w:spacing w:before="40" w:after="40" w:line="240" w:lineRule="auto"/>
              <w:textAlignment w:val="auto"/>
              <w:rPr>
                <w:rFonts w:asciiTheme="minorHAnsi" w:eastAsia="Calibri" w:hAnsiTheme="minorHAnsi"/>
                <w:b/>
                <w:sz w:val="18"/>
                <w:szCs w:val="18"/>
              </w:rPr>
            </w:pPr>
          </w:p>
        </w:tc>
        <w:tc>
          <w:tcPr>
            <w:tcW w:w="1504" w:type="dxa"/>
            <w:shd w:val="clear" w:color="auto" w:fill="DBE5F1" w:themeFill="accent1" w:themeFillTint="33"/>
            <w:tcMar>
              <w:top w:w="14" w:type="dxa"/>
              <w:bottom w:w="14" w:type="dxa"/>
            </w:tcMar>
            <w:vAlign w:val="center"/>
          </w:tcPr>
          <w:p w:rsidR="00F94F67" w:rsidRPr="0043452B" w:rsidRDefault="00F94F67" w:rsidP="00A37C67">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RPS + Geo Renew</w:t>
            </w:r>
          </w:p>
        </w:tc>
        <w:tc>
          <w:tcPr>
            <w:tcW w:w="1223"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9.0%</w:t>
            </w:r>
          </w:p>
        </w:tc>
        <w:tc>
          <w:tcPr>
            <w:tcW w:w="1047"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0.2%</w:t>
            </w:r>
          </w:p>
        </w:tc>
        <w:tc>
          <w:tcPr>
            <w:tcW w:w="982"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0.0%</w:t>
            </w:r>
          </w:p>
        </w:tc>
        <w:tc>
          <w:tcPr>
            <w:tcW w:w="1160"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11.9%</w:t>
            </w:r>
          </w:p>
        </w:tc>
        <w:tc>
          <w:tcPr>
            <w:tcW w:w="1072"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38.9%</w:t>
            </w:r>
          </w:p>
        </w:tc>
        <w:tc>
          <w:tcPr>
            <w:tcW w:w="1223"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25.7%</w:t>
            </w:r>
          </w:p>
        </w:tc>
        <w:tc>
          <w:tcPr>
            <w:tcW w:w="955"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6.8%</w:t>
            </w:r>
          </w:p>
        </w:tc>
      </w:tr>
      <w:tr w:rsidR="00F94F67" w:rsidRPr="0043452B" w:rsidTr="00F94F67">
        <w:trPr>
          <w:jc w:val="center"/>
        </w:trPr>
        <w:tc>
          <w:tcPr>
            <w:tcW w:w="1293" w:type="dxa"/>
            <w:vMerge w:val="restart"/>
            <w:shd w:val="clear" w:color="auto" w:fill="auto"/>
            <w:tcMar>
              <w:top w:w="14" w:type="dxa"/>
              <w:bottom w:w="14" w:type="dxa"/>
            </w:tcMar>
            <w:vAlign w:val="center"/>
          </w:tcPr>
          <w:p w:rsidR="00F94F67" w:rsidRPr="00EC51AA" w:rsidRDefault="00F94F67" w:rsidP="00F94F67">
            <w:pPr>
              <w:keepNext/>
              <w:keepLines/>
              <w:adjustRightInd/>
              <w:spacing w:before="40" w:after="40" w:line="240" w:lineRule="auto"/>
              <w:textAlignment w:val="auto"/>
              <w:rPr>
                <w:rFonts w:asciiTheme="minorHAnsi" w:eastAsia="Calibri" w:hAnsiTheme="minorHAnsi"/>
                <w:b/>
                <w:sz w:val="18"/>
                <w:szCs w:val="18"/>
              </w:rPr>
            </w:pPr>
            <w:r>
              <w:rPr>
                <w:rFonts w:asciiTheme="minorHAnsi" w:eastAsia="Calibri" w:hAnsiTheme="minorHAnsi"/>
                <w:b/>
                <w:sz w:val="18"/>
                <w:szCs w:val="18"/>
              </w:rPr>
              <w:t>20</w:t>
            </w:r>
            <w:r w:rsidR="00D3304E">
              <w:rPr>
                <w:rFonts w:asciiTheme="minorHAnsi" w:eastAsia="Calibri" w:hAnsiTheme="minorHAnsi"/>
                <w:b/>
                <w:sz w:val="18"/>
                <w:szCs w:val="18"/>
              </w:rPr>
              <w:t>2</w:t>
            </w:r>
            <w:r>
              <w:rPr>
                <w:rFonts w:asciiTheme="minorHAnsi" w:eastAsia="Calibri" w:hAnsiTheme="minorHAnsi"/>
                <w:b/>
                <w:sz w:val="18"/>
                <w:szCs w:val="18"/>
              </w:rPr>
              <w:t xml:space="preserve">5 </w:t>
            </w:r>
            <w:r w:rsidRPr="00EC51AA">
              <w:rPr>
                <w:rFonts w:asciiTheme="minorHAnsi" w:eastAsia="Calibri" w:hAnsiTheme="minorHAnsi"/>
                <w:b/>
                <w:sz w:val="18"/>
                <w:szCs w:val="18"/>
              </w:rPr>
              <w:t>Unconstrained</w:t>
            </w:r>
          </w:p>
        </w:tc>
        <w:tc>
          <w:tcPr>
            <w:tcW w:w="1504" w:type="dxa"/>
            <w:shd w:val="clear" w:color="auto" w:fill="auto"/>
            <w:tcMar>
              <w:top w:w="14" w:type="dxa"/>
              <w:bottom w:w="14" w:type="dxa"/>
            </w:tcMar>
            <w:vAlign w:val="center"/>
          </w:tcPr>
          <w:p w:rsidR="00F94F67" w:rsidRPr="0043452B" w:rsidRDefault="00F94F67" w:rsidP="00A37C67">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RPS + Gas</w:t>
            </w:r>
          </w:p>
        </w:tc>
        <w:tc>
          <w:tcPr>
            <w:tcW w:w="1223"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16.9%</w:t>
            </w:r>
          </w:p>
        </w:tc>
        <w:tc>
          <w:tcPr>
            <w:tcW w:w="1047"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1.4%</w:t>
            </w:r>
          </w:p>
        </w:tc>
        <w:tc>
          <w:tcPr>
            <w:tcW w:w="982"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0.0%</w:t>
            </w:r>
          </w:p>
        </w:tc>
        <w:tc>
          <w:tcPr>
            <w:tcW w:w="1160"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12.4%</w:t>
            </w:r>
          </w:p>
        </w:tc>
        <w:tc>
          <w:tcPr>
            <w:tcW w:w="1072"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18.8%</w:t>
            </w:r>
          </w:p>
        </w:tc>
        <w:tc>
          <w:tcPr>
            <w:tcW w:w="1223"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39.4%</w:t>
            </w:r>
          </w:p>
        </w:tc>
        <w:tc>
          <w:tcPr>
            <w:tcW w:w="955"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40.3%</w:t>
            </w:r>
          </w:p>
        </w:tc>
      </w:tr>
      <w:tr w:rsidR="00F94F67" w:rsidRPr="0043452B" w:rsidTr="00F94F67">
        <w:trPr>
          <w:jc w:val="center"/>
        </w:trPr>
        <w:tc>
          <w:tcPr>
            <w:tcW w:w="1293" w:type="dxa"/>
            <w:vMerge/>
            <w:shd w:val="clear" w:color="auto" w:fill="auto"/>
            <w:tcMar>
              <w:top w:w="14" w:type="dxa"/>
              <w:bottom w:w="14" w:type="dxa"/>
            </w:tcMar>
            <w:vAlign w:val="center"/>
          </w:tcPr>
          <w:p w:rsidR="00F94F67" w:rsidRPr="00EC51AA" w:rsidRDefault="00F94F67" w:rsidP="00A37C67">
            <w:pPr>
              <w:keepNext/>
              <w:keepLines/>
              <w:spacing w:before="40" w:after="40" w:line="240" w:lineRule="auto"/>
              <w:rPr>
                <w:rFonts w:asciiTheme="minorHAnsi" w:eastAsia="Calibri" w:hAnsiTheme="minorHAnsi"/>
                <w:b/>
                <w:sz w:val="18"/>
                <w:szCs w:val="18"/>
              </w:rPr>
            </w:pPr>
          </w:p>
        </w:tc>
        <w:tc>
          <w:tcPr>
            <w:tcW w:w="1504" w:type="dxa"/>
            <w:shd w:val="clear" w:color="auto" w:fill="auto"/>
            <w:tcMar>
              <w:top w:w="14" w:type="dxa"/>
              <w:bottom w:w="14" w:type="dxa"/>
            </w:tcMar>
            <w:vAlign w:val="center"/>
          </w:tcPr>
          <w:p w:rsidR="00F94F67" w:rsidRPr="0043452B" w:rsidRDefault="00F94F67" w:rsidP="00A37C67">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ISO Queue</w:t>
            </w:r>
          </w:p>
        </w:tc>
        <w:tc>
          <w:tcPr>
            <w:tcW w:w="1223"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16.1%</w:t>
            </w:r>
          </w:p>
        </w:tc>
        <w:tc>
          <w:tcPr>
            <w:tcW w:w="1047"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Pr>
                <w:rFonts w:asciiTheme="minorHAnsi" w:eastAsia="Calibri" w:hAnsiTheme="minorHAnsi"/>
                <w:b/>
                <w:sz w:val="18"/>
                <w:szCs w:val="18"/>
              </w:rPr>
              <w:t>2</w:t>
            </w:r>
            <w:r w:rsidRPr="00DE2AE4">
              <w:rPr>
                <w:rFonts w:asciiTheme="minorHAnsi" w:eastAsia="Calibri" w:hAnsiTheme="minorHAnsi"/>
                <w:sz w:val="18"/>
                <w:szCs w:val="18"/>
              </w:rPr>
              <w:t>1.7%</w:t>
            </w:r>
          </w:p>
        </w:tc>
        <w:tc>
          <w:tcPr>
            <w:tcW w:w="982"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0.1%</w:t>
            </w:r>
          </w:p>
        </w:tc>
        <w:tc>
          <w:tcPr>
            <w:tcW w:w="1160"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11.4%</w:t>
            </w:r>
          </w:p>
        </w:tc>
        <w:tc>
          <w:tcPr>
            <w:tcW w:w="1072"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17.4%</w:t>
            </w:r>
          </w:p>
        </w:tc>
        <w:tc>
          <w:tcPr>
            <w:tcW w:w="1223"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35.9%</w:t>
            </w:r>
          </w:p>
        </w:tc>
        <w:tc>
          <w:tcPr>
            <w:tcW w:w="955"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36.4%</w:t>
            </w:r>
          </w:p>
        </w:tc>
      </w:tr>
      <w:tr w:rsidR="00F94F67" w:rsidRPr="0043452B" w:rsidTr="00F94F67">
        <w:trPr>
          <w:jc w:val="center"/>
        </w:trPr>
        <w:tc>
          <w:tcPr>
            <w:tcW w:w="1293" w:type="dxa"/>
            <w:vMerge/>
            <w:shd w:val="clear" w:color="auto" w:fill="auto"/>
            <w:tcMar>
              <w:top w:w="14" w:type="dxa"/>
              <w:bottom w:w="14" w:type="dxa"/>
            </w:tcMar>
            <w:vAlign w:val="center"/>
          </w:tcPr>
          <w:p w:rsidR="00F94F67" w:rsidRPr="00EC51AA" w:rsidRDefault="00F94F67" w:rsidP="00A37C67">
            <w:pPr>
              <w:keepNext/>
              <w:keepLines/>
              <w:spacing w:before="40" w:after="40" w:line="240" w:lineRule="auto"/>
              <w:rPr>
                <w:rFonts w:asciiTheme="minorHAnsi" w:eastAsia="Calibri" w:hAnsiTheme="minorHAnsi"/>
                <w:b/>
                <w:sz w:val="18"/>
                <w:szCs w:val="18"/>
              </w:rPr>
            </w:pPr>
          </w:p>
        </w:tc>
        <w:tc>
          <w:tcPr>
            <w:tcW w:w="1504" w:type="dxa"/>
            <w:shd w:val="clear" w:color="auto" w:fill="auto"/>
            <w:tcMar>
              <w:top w:w="14" w:type="dxa"/>
              <w:bottom w:w="14" w:type="dxa"/>
            </w:tcMar>
            <w:vAlign w:val="center"/>
          </w:tcPr>
          <w:p w:rsidR="00F94F67" w:rsidRPr="0043452B" w:rsidRDefault="00F94F67" w:rsidP="00A37C67">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Renew Plus</w:t>
            </w:r>
          </w:p>
        </w:tc>
        <w:tc>
          <w:tcPr>
            <w:tcW w:w="1223"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12.9%</w:t>
            </w:r>
          </w:p>
        </w:tc>
        <w:tc>
          <w:tcPr>
            <w:tcW w:w="1047"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0.2%</w:t>
            </w:r>
          </w:p>
        </w:tc>
        <w:tc>
          <w:tcPr>
            <w:tcW w:w="982"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0.0%</w:t>
            </w:r>
          </w:p>
        </w:tc>
        <w:tc>
          <w:tcPr>
            <w:tcW w:w="1160"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10.7%</w:t>
            </w:r>
          </w:p>
        </w:tc>
        <w:tc>
          <w:tcPr>
            <w:tcW w:w="1072"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16.1%</w:t>
            </w:r>
          </w:p>
        </w:tc>
        <w:tc>
          <w:tcPr>
            <w:tcW w:w="1223"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33.7%</w:t>
            </w:r>
          </w:p>
        </w:tc>
        <w:tc>
          <w:tcPr>
            <w:tcW w:w="955"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33.7%</w:t>
            </w:r>
          </w:p>
        </w:tc>
      </w:tr>
      <w:tr w:rsidR="00F94F67" w:rsidRPr="0043452B" w:rsidTr="00F94F67">
        <w:trPr>
          <w:jc w:val="center"/>
        </w:trPr>
        <w:tc>
          <w:tcPr>
            <w:tcW w:w="1293" w:type="dxa"/>
            <w:vMerge/>
            <w:shd w:val="clear" w:color="auto" w:fill="auto"/>
            <w:tcMar>
              <w:top w:w="14" w:type="dxa"/>
              <w:bottom w:w="14" w:type="dxa"/>
            </w:tcMar>
            <w:vAlign w:val="center"/>
          </w:tcPr>
          <w:p w:rsidR="00F94F67" w:rsidRPr="00EC51AA" w:rsidRDefault="00F94F67" w:rsidP="00A37C67">
            <w:pPr>
              <w:keepNext/>
              <w:keepLines/>
              <w:spacing w:before="40" w:after="40" w:line="240" w:lineRule="auto"/>
              <w:rPr>
                <w:rFonts w:asciiTheme="minorHAnsi" w:eastAsia="Calibri" w:hAnsiTheme="minorHAnsi"/>
                <w:b/>
                <w:sz w:val="18"/>
                <w:szCs w:val="18"/>
              </w:rPr>
            </w:pPr>
          </w:p>
        </w:tc>
        <w:tc>
          <w:tcPr>
            <w:tcW w:w="1504" w:type="dxa"/>
            <w:shd w:val="clear" w:color="auto" w:fill="auto"/>
            <w:tcMar>
              <w:top w:w="14" w:type="dxa"/>
              <w:bottom w:w="14" w:type="dxa"/>
            </w:tcMar>
            <w:vAlign w:val="center"/>
          </w:tcPr>
          <w:p w:rsidR="00F94F67" w:rsidRPr="0043452B" w:rsidRDefault="00F94F67" w:rsidP="00A37C67">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No Retire</w:t>
            </w:r>
          </w:p>
        </w:tc>
        <w:tc>
          <w:tcPr>
            <w:tcW w:w="1223"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16.9%</w:t>
            </w:r>
          </w:p>
        </w:tc>
        <w:tc>
          <w:tcPr>
            <w:tcW w:w="1047"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1.3%</w:t>
            </w:r>
          </w:p>
        </w:tc>
        <w:tc>
          <w:tcPr>
            <w:tcW w:w="982"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0.1%</w:t>
            </w:r>
          </w:p>
        </w:tc>
        <w:tc>
          <w:tcPr>
            <w:tcW w:w="1160"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12.7%</w:t>
            </w:r>
          </w:p>
        </w:tc>
        <w:tc>
          <w:tcPr>
            <w:tcW w:w="1072"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19.1%</w:t>
            </w:r>
          </w:p>
        </w:tc>
        <w:tc>
          <w:tcPr>
            <w:tcW w:w="1223"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40.2%</w:t>
            </w:r>
          </w:p>
        </w:tc>
        <w:tc>
          <w:tcPr>
            <w:tcW w:w="955"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41.2%</w:t>
            </w:r>
          </w:p>
        </w:tc>
      </w:tr>
      <w:tr w:rsidR="00F94F67" w:rsidRPr="0043452B" w:rsidTr="00F94F67">
        <w:trPr>
          <w:jc w:val="center"/>
        </w:trPr>
        <w:tc>
          <w:tcPr>
            <w:tcW w:w="1293" w:type="dxa"/>
            <w:vMerge/>
            <w:shd w:val="clear" w:color="auto" w:fill="auto"/>
            <w:tcMar>
              <w:top w:w="14" w:type="dxa"/>
              <w:bottom w:w="14" w:type="dxa"/>
            </w:tcMar>
            <w:vAlign w:val="center"/>
          </w:tcPr>
          <w:p w:rsidR="00F94F67" w:rsidRPr="00EC51AA" w:rsidRDefault="00F94F67" w:rsidP="00A37C67">
            <w:pPr>
              <w:keepNext/>
              <w:keepLines/>
              <w:spacing w:before="40" w:after="40" w:line="240" w:lineRule="auto"/>
              <w:rPr>
                <w:rFonts w:asciiTheme="minorHAnsi" w:eastAsia="Calibri" w:hAnsiTheme="minorHAnsi"/>
                <w:b/>
                <w:sz w:val="18"/>
                <w:szCs w:val="18"/>
              </w:rPr>
            </w:pPr>
          </w:p>
        </w:tc>
        <w:tc>
          <w:tcPr>
            <w:tcW w:w="1504" w:type="dxa"/>
            <w:shd w:val="clear" w:color="auto" w:fill="auto"/>
            <w:tcMar>
              <w:top w:w="14" w:type="dxa"/>
              <w:bottom w:w="14" w:type="dxa"/>
            </w:tcMar>
            <w:vAlign w:val="center"/>
          </w:tcPr>
          <w:p w:rsidR="00F94F67" w:rsidRPr="0043452B" w:rsidRDefault="00F94F67" w:rsidP="00A37C67">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ACP + Gas</w:t>
            </w:r>
          </w:p>
        </w:tc>
        <w:tc>
          <w:tcPr>
            <w:tcW w:w="1223"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17.3%</w:t>
            </w:r>
          </w:p>
        </w:tc>
        <w:tc>
          <w:tcPr>
            <w:tcW w:w="1047"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1.2%</w:t>
            </w:r>
          </w:p>
        </w:tc>
        <w:tc>
          <w:tcPr>
            <w:tcW w:w="982"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0.1%</w:t>
            </w:r>
          </w:p>
        </w:tc>
        <w:tc>
          <w:tcPr>
            <w:tcW w:w="1160"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3.7%</w:t>
            </w:r>
          </w:p>
        </w:tc>
        <w:tc>
          <w:tcPr>
            <w:tcW w:w="1072"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5.6%</w:t>
            </w:r>
          </w:p>
        </w:tc>
        <w:tc>
          <w:tcPr>
            <w:tcW w:w="1223"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41.1%</w:t>
            </w:r>
          </w:p>
        </w:tc>
        <w:tc>
          <w:tcPr>
            <w:tcW w:w="955"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42.3%</w:t>
            </w:r>
          </w:p>
        </w:tc>
      </w:tr>
      <w:tr w:rsidR="00F94F67" w:rsidRPr="0043452B" w:rsidTr="00F94F67">
        <w:trPr>
          <w:jc w:val="center"/>
        </w:trPr>
        <w:tc>
          <w:tcPr>
            <w:tcW w:w="1293" w:type="dxa"/>
            <w:vMerge/>
            <w:shd w:val="clear" w:color="auto" w:fill="auto"/>
            <w:tcMar>
              <w:top w:w="14" w:type="dxa"/>
              <w:bottom w:w="14" w:type="dxa"/>
            </w:tcMar>
            <w:vAlign w:val="center"/>
          </w:tcPr>
          <w:p w:rsidR="00F94F67" w:rsidRPr="00EC51AA" w:rsidRDefault="00F94F67" w:rsidP="00A37C67">
            <w:pPr>
              <w:keepNext/>
              <w:keepLines/>
              <w:spacing w:before="40" w:after="40" w:line="240" w:lineRule="auto"/>
              <w:rPr>
                <w:rFonts w:asciiTheme="minorHAnsi" w:eastAsia="Calibri" w:hAnsiTheme="minorHAnsi"/>
                <w:b/>
                <w:sz w:val="18"/>
                <w:szCs w:val="18"/>
              </w:rPr>
            </w:pPr>
          </w:p>
        </w:tc>
        <w:tc>
          <w:tcPr>
            <w:tcW w:w="1504" w:type="dxa"/>
            <w:shd w:val="clear" w:color="auto" w:fill="auto"/>
            <w:tcMar>
              <w:top w:w="14" w:type="dxa"/>
              <w:bottom w:w="14" w:type="dxa"/>
            </w:tcMar>
            <w:vAlign w:val="center"/>
          </w:tcPr>
          <w:p w:rsidR="00F94F67" w:rsidRPr="0043452B" w:rsidRDefault="00F94F67" w:rsidP="00A37C67">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RPS + Geo Renew</w:t>
            </w:r>
          </w:p>
        </w:tc>
        <w:tc>
          <w:tcPr>
            <w:tcW w:w="1223"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15.6%</w:t>
            </w:r>
          </w:p>
        </w:tc>
        <w:tc>
          <w:tcPr>
            <w:tcW w:w="1047"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1.1%</w:t>
            </w:r>
          </w:p>
        </w:tc>
        <w:tc>
          <w:tcPr>
            <w:tcW w:w="982"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0.0%</w:t>
            </w:r>
          </w:p>
        </w:tc>
        <w:tc>
          <w:tcPr>
            <w:tcW w:w="1160"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11.6%</w:t>
            </w:r>
          </w:p>
        </w:tc>
        <w:tc>
          <w:tcPr>
            <w:tcW w:w="1072"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17.5%</w:t>
            </w:r>
          </w:p>
        </w:tc>
        <w:tc>
          <w:tcPr>
            <w:tcW w:w="1223"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36.9%</w:t>
            </w:r>
          </w:p>
        </w:tc>
        <w:tc>
          <w:tcPr>
            <w:tcW w:w="955" w:type="dxa"/>
            <w:shd w:val="clear" w:color="auto" w:fill="auto"/>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37.9%</w:t>
            </w:r>
          </w:p>
        </w:tc>
      </w:tr>
      <w:tr w:rsidR="00F94F67" w:rsidRPr="0043452B" w:rsidTr="00F94F67">
        <w:trPr>
          <w:jc w:val="center"/>
        </w:trPr>
        <w:tc>
          <w:tcPr>
            <w:tcW w:w="1293" w:type="dxa"/>
            <w:vMerge w:val="restart"/>
            <w:shd w:val="clear" w:color="auto" w:fill="DBE5F1" w:themeFill="accent1" w:themeFillTint="33"/>
            <w:tcMar>
              <w:top w:w="14" w:type="dxa"/>
              <w:bottom w:w="14" w:type="dxa"/>
            </w:tcMar>
            <w:vAlign w:val="center"/>
          </w:tcPr>
          <w:p w:rsidR="00F94F67" w:rsidRPr="00EC51AA" w:rsidRDefault="00F94F67" w:rsidP="00A37C67">
            <w:pPr>
              <w:keepNext/>
              <w:keepLines/>
              <w:spacing w:before="40" w:after="40" w:line="240" w:lineRule="auto"/>
              <w:rPr>
                <w:rFonts w:asciiTheme="minorHAnsi" w:eastAsia="Calibri" w:hAnsiTheme="minorHAnsi"/>
                <w:b/>
                <w:sz w:val="18"/>
                <w:szCs w:val="18"/>
              </w:rPr>
            </w:pPr>
            <w:r>
              <w:rPr>
                <w:rFonts w:asciiTheme="minorHAnsi" w:eastAsia="Calibri" w:hAnsiTheme="minorHAnsi"/>
                <w:b/>
                <w:sz w:val="18"/>
                <w:szCs w:val="18"/>
              </w:rPr>
              <w:t>2030 Unconstrained</w:t>
            </w:r>
          </w:p>
        </w:tc>
        <w:tc>
          <w:tcPr>
            <w:tcW w:w="1504" w:type="dxa"/>
            <w:shd w:val="clear" w:color="auto" w:fill="DBE5F1" w:themeFill="accent1" w:themeFillTint="33"/>
            <w:tcMar>
              <w:top w:w="14" w:type="dxa"/>
              <w:bottom w:w="14" w:type="dxa"/>
            </w:tcMar>
            <w:vAlign w:val="center"/>
          </w:tcPr>
          <w:p w:rsidR="00F94F67" w:rsidRPr="0043452B" w:rsidRDefault="00F94F67" w:rsidP="00A37C67">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RPS + Gas</w:t>
            </w:r>
          </w:p>
        </w:tc>
        <w:tc>
          <w:tcPr>
            <w:tcW w:w="1223"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18.9%</w:t>
            </w:r>
          </w:p>
        </w:tc>
        <w:tc>
          <w:tcPr>
            <w:tcW w:w="1047"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0.2%</w:t>
            </w:r>
          </w:p>
        </w:tc>
        <w:tc>
          <w:tcPr>
            <w:tcW w:w="982"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0.0%</w:t>
            </w:r>
          </w:p>
        </w:tc>
        <w:tc>
          <w:tcPr>
            <w:tcW w:w="1160"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14.4%</w:t>
            </w:r>
          </w:p>
        </w:tc>
        <w:tc>
          <w:tcPr>
            <w:tcW w:w="1072"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21.6%</w:t>
            </w:r>
          </w:p>
        </w:tc>
        <w:tc>
          <w:tcPr>
            <w:tcW w:w="1223"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45.6%</w:t>
            </w:r>
          </w:p>
        </w:tc>
        <w:tc>
          <w:tcPr>
            <w:tcW w:w="955"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46.8%</w:t>
            </w:r>
          </w:p>
        </w:tc>
      </w:tr>
      <w:tr w:rsidR="00F94F67" w:rsidRPr="0043452B" w:rsidTr="00F94F67">
        <w:trPr>
          <w:jc w:val="center"/>
        </w:trPr>
        <w:tc>
          <w:tcPr>
            <w:tcW w:w="1293" w:type="dxa"/>
            <w:vMerge/>
            <w:shd w:val="clear" w:color="auto" w:fill="DBE5F1" w:themeFill="accent1" w:themeFillTint="33"/>
            <w:tcMar>
              <w:top w:w="14" w:type="dxa"/>
              <w:bottom w:w="14" w:type="dxa"/>
            </w:tcMar>
            <w:vAlign w:val="center"/>
          </w:tcPr>
          <w:p w:rsidR="00F94F67" w:rsidRPr="00EC51AA" w:rsidRDefault="00F94F67" w:rsidP="00A37C67">
            <w:pPr>
              <w:keepNext/>
              <w:keepLines/>
              <w:spacing w:before="40" w:after="40" w:line="240" w:lineRule="auto"/>
              <w:rPr>
                <w:rFonts w:asciiTheme="minorHAnsi" w:eastAsia="Calibri" w:hAnsiTheme="minorHAnsi"/>
                <w:b/>
                <w:sz w:val="18"/>
                <w:szCs w:val="18"/>
              </w:rPr>
            </w:pPr>
          </w:p>
        </w:tc>
        <w:tc>
          <w:tcPr>
            <w:tcW w:w="1504" w:type="dxa"/>
            <w:shd w:val="clear" w:color="auto" w:fill="DBE5F1" w:themeFill="accent1" w:themeFillTint="33"/>
            <w:tcMar>
              <w:top w:w="14" w:type="dxa"/>
              <w:bottom w:w="14" w:type="dxa"/>
            </w:tcMar>
            <w:vAlign w:val="center"/>
          </w:tcPr>
          <w:p w:rsidR="00F94F67" w:rsidRPr="0043452B" w:rsidRDefault="00F94F67" w:rsidP="00A37C67">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ISO Queue</w:t>
            </w:r>
          </w:p>
        </w:tc>
        <w:tc>
          <w:tcPr>
            <w:tcW w:w="1223"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11.7%</w:t>
            </w:r>
          </w:p>
        </w:tc>
        <w:tc>
          <w:tcPr>
            <w:tcW w:w="1047"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0.6%</w:t>
            </w:r>
          </w:p>
        </w:tc>
        <w:tc>
          <w:tcPr>
            <w:tcW w:w="982"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0.0%</w:t>
            </w:r>
          </w:p>
        </w:tc>
        <w:tc>
          <w:tcPr>
            <w:tcW w:w="1160"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24.3%</w:t>
            </w:r>
          </w:p>
        </w:tc>
        <w:tc>
          <w:tcPr>
            <w:tcW w:w="1072"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37.7%</w:t>
            </w:r>
          </w:p>
        </w:tc>
        <w:tc>
          <w:tcPr>
            <w:tcW w:w="1223"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20.5%</w:t>
            </w:r>
          </w:p>
        </w:tc>
        <w:tc>
          <w:tcPr>
            <w:tcW w:w="955"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18.7%</w:t>
            </w:r>
          </w:p>
        </w:tc>
      </w:tr>
      <w:tr w:rsidR="00F94F67" w:rsidRPr="0043452B" w:rsidTr="00F94F67">
        <w:trPr>
          <w:jc w:val="center"/>
        </w:trPr>
        <w:tc>
          <w:tcPr>
            <w:tcW w:w="1293" w:type="dxa"/>
            <w:vMerge/>
            <w:shd w:val="clear" w:color="auto" w:fill="DBE5F1" w:themeFill="accent1" w:themeFillTint="33"/>
            <w:tcMar>
              <w:top w:w="14" w:type="dxa"/>
              <w:bottom w:w="14" w:type="dxa"/>
            </w:tcMar>
            <w:vAlign w:val="center"/>
          </w:tcPr>
          <w:p w:rsidR="00F94F67" w:rsidRPr="00EC51AA" w:rsidRDefault="00F94F67" w:rsidP="00A37C67">
            <w:pPr>
              <w:keepNext/>
              <w:keepLines/>
              <w:spacing w:before="40" w:after="40" w:line="240" w:lineRule="auto"/>
              <w:rPr>
                <w:rFonts w:asciiTheme="minorHAnsi" w:eastAsia="Calibri" w:hAnsiTheme="minorHAnsi"/>
                <w:b/>
                <w:sz w:val="18"/>
                <w:szCs w:val="18"/>
              </w:rPr>
            </w:pPr>
          </w:p>
        </w:tc>
        <w:tc>
          <w:tcPr>
            <w:tcW w:w="1504" w:type="dxa"/>
            <w:shd w:val="clear" w:color="auto" w:fill="DBE5F1" w:themeFill="accent1" w:themeFillTint="33"/>
            <w:tcMar>
              <w:top w:w="14" w:type="dxa"/>
              <w:bottom w:w="14" w:type="dxa"/>
            </w:tcMar>
            <w:vAlign w:val="center"/>
          </w:tcPr>
          <w:p w:rsidR="00F94F67" w:rsidRPr="0043452B" w:rsidRDefault="00F94F67" w:rsidP="00A37C67">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Renew Plus</w:t>
            </w:r>
          </w:p>
        </w:tc>
        <w:tc>
          <w:tcPr>
            <w:tcW w:w="1223"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8.5%</w:t>
            </w:r>
          </w:p>
        </w:tc>
        <w:tc>
          <w:tcPr>
            <w:tcW w:w="1047"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0.0%</w:t>
            </w:r>
          </w:p>
        </w:tc>
        <w:tc>
          <w:tcPr>
            <w:tcW w:w="982"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0.0%</w:t>
            </w:r>
          </w:p>
        </w:tc>
        <w:tc>
          <w:tcPr>
            <w:tcW w:w="1160"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9.3%</w:t>
            </w:r>
          </w:p>
        </w:tc>
        <w:tc>
          <w:tcPr>
            <w:tcW w:w="1072"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14.0%</w:t>
            </w:r>
          </w:p>
        </w:tc>
        <w:tc>
          <w:tcPr>
            <w:tcW w:w="1223"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29.3%</w:t>
            </w:r>
          </w:p>
        </w:tc>
        <w:tc>
          <w:tcPr>
            <w:tcW w:w="955"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28.5%</w:t>
            </w:r>
          </w:p>
        </w:tc>
      </w:tr>
      <w:tr w:rsidR="00F94F67" w:rsidRPr="0043452B" w:rsidTr="00F94F67">
        <w:trPr>
          <w:jc w:val="center"/>
        </w:trPr>
        <w:tc>
          <w:tcPr>
            <w:tcW w:w="1293" w:type="dxa"/>
            <w:vMerge/>
            <w:shd w:val="clear" w:color="auto" w:fill="DBE5F1" w:themeFill="accent1" w:themeFillTint="33"/>
            <w:tcMar>
              <w:top w:w="14" w:type="dxa"/>
              <w:bottom w:w="14" w:type="dxa"/>
            </w:tcMar>
            <w:vAlign w:val="center"/>
          </w:tcPr>
          <w:p w:rsidR="00F94F67" w:rsidRPr="00EC51AA" w:rsidRDefault="00F94F67" w:rsidP="00A37C67">
            <w:pPr>
              <w:keepNext/>
              <w:keepLines/>
              <w:spacing w:before="40" w:after="40" w:line="240" w:lineRule="auto"/>
              <w:rPr>
                <w:rFonts w:asciiTheme="minorHAnsi" w:eastAsia="Calibri" w:hAnsiTheme="minorHAnsi"/>
                <w:b/>
                <w:sz w:val="18"/>
                <w:szCs w:val="18"/>
              </w:rPr>
            </w:pPr>
          </w:p>
        </w:tc>
        <w:tc>
          <w:tcPr>
            <w:tcW w:w="1504" w:type="dxa"/>
            <w:shd w:val="clear" w:color="auto" w:fill="DBE5F1" w:themeFill="accent1" w:themeFillTint="33"/>
            <w:tcMar>
              <w:top w:w="14" w:type="dxa"/>
              <w:bottom w:w="14" w:type="dxa"/>
            </w:tcMar>
            <w:vAlign w:val="center"/>
          </w:tcPr>
          <w:p w:rsidR="00F94F67" w:rsidRPr="0043452B" w:rsidRDefault="00F94F67" w:rsidP="00A37C67">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No Retire</w:t>
            </w:r>
          </w:p>
        </w:tc>
        <w:tc>
          <w:tcPr>
            <w:tcW w:w="1223"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18.8%</w:t>
            </w:r>
          </w:p>
        </w:tc>
        <w:tc>
          <w:tcPr>
            <w:tcW w:w="1047"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2.3%</w:t>
            </w:r>
          </w:p>
        </w:tc>
        <w:tc>
          <w:tcPr>
            <w:tcW w:w="982"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0.6%</w:t>
            </w:r>
          </w:p>
        </w:tc>
        <w:tc>
          <w:tcPr>
            <w:tcW w:w="1160"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14.5%</w:t>
            </w:r>
          </w:p>
        </w:tc>
        <w:tc>
          <w:tcPr>
            <w:tcW w:w="1072"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21.8%</w:t>
            </w:r>
          </w:p>
        </w:tc>
        <w:tc>
          <w:tcPr>
            <w:tcW w:w="1223"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45.9%</w:t>
            </w:r>
          </w:p>
        </w:tc>
        <w:tc>
          <w:tcPr>
            <w:tcW w:w="955"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47.0%</w:t>
            </w:r>
          </w:p>
        </w:tc>
      </w:tr>
      <w:tr w:rsidR="00F94F67" w:rsidRPr="0043452B" w:rsidTr="00F94F67">
        <w:trPr>
          <w:jc w:val="center"/>
        </w:trPr>
        <w:tc>
          <w:tcPr>
            <w:tcW w:w="1293" w:type="dxa"/>
            <w:vMerge/>
            <w:shd w:val="clear" w:color="auto" w:fill="DBE5F1" w:themeFill="accent1" w:themeFillTint="33"/>
            <w:tcMar>
              <w:top w:w="14" w:type="dxa"/>
              <w:bottom w:w="14" w:type="dxa"/>
            </w:tcMar>
            <w:vAlign w:val="center"/>
          </w:tcPr>
          <w:p w:rsidR="00F94F67" w:rsidRPr="00EC51AA" w:rsidRDefault="00F94F67" w:rsidP="00A37C67">
            <w:pPr>
              <w:keepNext/>
              <w:keepLines/>
              <w:spacing w:before="40" w:after="40" w:line="240" w:lineRule="auto"/>
              <w:rPr>
                <w:rFonts w:asciiTheme="minorHAnsi" w:eastAsia="Calibri" w:hAnsiTheme="minorHAnsi"/>
                <w:b/>
                <w:sz w:val="18"/>
                <w:szCs w:val="18"/>
              </w:rPr>
            </w:pPr>
          </w:p>
        </w:tc>
        <w:tc>
          <w:tcPr>
            <w:tcW w:w="1504" w:type="dxa"/>
            <w:shd w:val="clear" w:color="auto" w:fill="DBE5F1" w:themeFill="accent1" w:themeFillTint="33"/>
            <w:tcMar>
              <w:top w:w="14" w:type="dxa"/>
              <w:bottom w:w="14" w:type="dxa"/>
            </w:tcMar>
            <w:vAlign w:val="center"/>
          </w:tcPr>
          <w:p w:rsidR="00F94F67" w:rsidRPr="0043452B" w:rsidRDefault="00F94F67" w:rsidP="00A37C67">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ACP + Gas</w:t>
            </w:r>
          </w:p>
        </w:tc>
        <w:tc>
          <w:tcPr>
            <w:tcW w:w="1223"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19.0%</w:t>
            </w:r>
          </w:p>
        </w:tc>
        <w:tc>
          <w:tcPr>
            <w:tcW w:w="1047"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0.2%</w:t>
            </w:r>
          </w:p>
        </w:tc>
        <w:tc>
          <w:tcPr>
            <w:tcW w:w="982"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0.0%</w:t>
            </w:r>
          </w:p>
        </w:tc>
        <w:tc>
          <w:tcPr>
            <w:tcW w:w="1160"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14.6%</w:t>
            </w:r>
          </w:p>
        </w:tc>
        <w:tc>
          <w:tcPr>
            <w:tcW w:w="1072"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22.0%</w:t>
            </w:r>
          </w:p>
        </w:tc>
        <w:tc>
          <w:tcPr>
            <w:tcW w:w="1223"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46.4%</w:t>
            </w:r>
          </w:p>
        </w:tc>
        <w:tc>
          <w:tcPr>
            <w:tcW w:w="955"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47.8%</w:t>
            </w:r>
          </w:p>
        </w:tc>
      </w:tr>
      <w:tr w:rsidR="00F94F67" w:rsidRPr="0043452B" w:rsidTr="00F94F67">
        <w:trPr>
          <w:jc w:val="center"/>
        </w:trPr>
        <w:tc>
          <w:tcPr>
            <w:tcW w:w="1293" w:type="dxa"/>
            <w:vMerge/>
            <w:shd w:val="clear" w:color="auto" w:fill="DBE5F1" w:themeFill="accent1" w:themeFillTint="33"/>
            <w:tcMar>
              <w:top w:w="14" w:type="dxa"/>
              <w:bottom w:w="14" w:type="dxa"/>
            </w:tcMar>
            <w:vAlign w:val="center"/>
          </w:tcPr>
          <w:p w:rsidR="00F94F67" w:rsidRPr="00EC51AA" w:rsidRDefault="00F94F67" w:rsidP="00A37C67">
            <w:pPr>
              <w:keepNext/>
              <w:keepLines/>
              <w:adjustRightInd/>
              <w:spacing w:before="40" w:after="40" w:line="240" w:lineRule="auto"/>
              <w:textAlignment w:val="auto"/>
              <w:rPr>
                <w:rFonts w:asciiTheme="minorHAnsi" w:eastAsia="Calibri" w:hAnsiTheme="minorHAnsi"/>
                <w:b/>
                <w:sz w:val="18"/>
                <w:szCs w:val="18"/>
              </w:rPr>
            </w:pPr>
          </w:p>
        </w:tc>
        <w:tc>
          <w:tcPr>
            <w:tcW w:w="1504" w:type="dxa"/>
            <w:shd w:val="clear" w:color="auto" w:fill="DBE5F1" w:themeFill="accent1" w:themeFillTint="33"/>
            <w:tcMar>
              <w:top w:w="14" w:type="dxa"/>
              <w:bottom w:w="14" w:type="dxa"/>
            </w:tcMar>
            <w:vAlign w:val="center"/>
          </w:tcPr>
          <w:p w:rsidR="00F94F67" w:rsidRPr="0043452B" w:rsidRDefault="00F94F67" w:rsidP="00A37C67">
            <w:pPr>
              <w:keepNext/>
              <w:keepLines/>
              <w:adjustRightInd/>
              <w:spacing w:before="40" w:after="40" w:line="240" w:lineRule="auto"/>
              <w:textAlignment w:val="auto"/>
              <w:rPr>
                <w:rFonts w:asciiTheme="minorHAnsi" w:eastAsia="Calibri" w:hAnsiTheme="minorHAnsi"/>
                <w:sz w:val="18"/>
                <w:szCs w:val="18"/>
              </w:rPr>
            </w:pPr>
            <w:r w:rsidRPr="0043452B">
              <w:rPr>
                <w:rFonts w:asciiTheme="minorHAnsi" w:eastAsia="Calibri" w:hAnsiTheme="minorHAnsi"/>
                <w:sz w:val="18"/>
                <w:szCs w:val="18"/>
              </w:rPr>
              <w:t>RPS + Geo Renew</w:t>
            </w:r>
          </w:p>
        </w:tc>
        <w:tc>
          <w:tcPr>
            <w:tcW w:w="1223"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8.1%</w:t>
            </w:r>
          </w:p>
        </w:tc>
        <w:tc>
          <w:tcPr>
            <w:tcW w:w="1047"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0.2%</w:t>
            </w:r>
          </w:p>
        </w:tc>
        <w:tc>
          <w:tcPr>
            <w:tcW w:w="982"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0.0%</w:t>
            </w:r>
          </w:p>
        </w:tc>
        <w:tc>
          <w:tcPr>
            <w:tcW w:w="1160"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9.3%</w:t>
            </w:r>
          </w:p>
        </w:tc>
        <w:tc>
          <w:tcPr>
            <w:tcW w:w="1072"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30.3%</w:t>
            </w:r>
          </w:p>
        </w:tc>
        <w:tc>
          <w:tcPr>
            <w:tcW w:w="1223"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19.2%</w:t>
            </w:r>
          </w:p>
        </w:tc>
        <w:tc>
          <w:tcPr>
            <w:tcW w:w="955" w:type="dxa"/>
            <w:shd w:val="clear" w:color="auto" w:fill="DBE5F1" w:themeFill="accent1" w:themeFillTint="33"/>
            <w:tcMar>
              <w:top w:w="14" w:type="dxa"/>
              <w:left w:w="0" w:type="dxa"/>
              <w:bottom w:w="14" w:type="dxa"/>
              <w:right w:w="144" w:type="dxa"/>
            </w:tcMar>
          </w:tcPr>
          <w:p w:rsidR="00F94F67" w:rsidRPr="0043452B" w:rsidRDefault="00F94F67" w:rsidP="00A37C67">
            <w:pPr>
              <w:keepNext/>
              <w:keepLines/>
              <w:adjustRightInd/>
              <w:spacing w:before="40" w:after="40" w:line="240" w:lineRule="auto"/>
              <w:jc w:val="right"/>
              <w:textAlignment w:val="auto"/>
              <w:rPr>
                <w:rFonts w:asciiTheme="minorHAnsi" w:eastAsia="Calibri" w:hAnsiTheme="minorHAnsi"/>
                <w:sz w:val="18"/>
                <w:szCs w:val="18"/>
              </w:rPr>
            </w:pPr>
            <w:r w:rsidRPr="00DE2AE4">
              <w:rPr>
                <w:rFonts w:asciiTheme="minorHAnsi" w:eastAsia="Calibri" w:hAnsiTheme="minorHAnsi"/>
                <w:sz w:val="18"/>
                <w:szCs w:val="18"/>
              </w:rPr>
              <w:t>20.4%</w:t>
            </w:r>
          </w:p>
        </w:tc>
      </w:tr>
    </w:tbl>
    <w:p w:rsidR="005726DC" w:rsidRPr="00712F7A" w:rsidRDefault="005726DC" w:rsidP="00712F7A">
      <w:pPr>
        <w:spacing w:line="240" w:lineRule="auto"/>
        <w:ind w:left="720" w:right="630"/>
        <w:rPr>
          <w:rFonts w:asciiTheme="minorHAnsi" w:hAnsiTheme="minorHAnsi"/>
          <w:sz w:val="18"/>
          <w:szCs w:val="18"/>
        </w:rPr>
      </w:pPr>
    </w:p>
    <w:p w:rsidR="00F76847" w:rsidRPr="00C92456" w:rsidRDefault="00F76847" w:rsidP="00F76847">
      <w:pPr>
        <w:rPr>
          <w:b/>
        </w:rPr>
      </w:pPr>
      <w:r w:rsidRPr="000979E7">
        <w:t xml:space="preserve">The results show that annual net wholesale energy market revenues for new resources may be insufficient to cover their annual carrying charges. This is true even for price-taking resources, such as wind generators and PV. All new resources would thus require other sources of income, potentially from the Forward Capacity </w:t>
      </w:r>
      <w:r w:rsidRPr="00C92456">
        <w:t xml:space="preserve">Market and markets for ancillary services. </w:t>
      </w:r>
    </w:p>
    <w:p w:rsidR="005378E6" w:rsidRPr="00C92456" w:rsidRDefault="005378E6" w:rsidP="005378E6">
      <w:pPr>
        <w:rPr>
          <w:color w:val="000000" w:themeColor="text1"/>
        </w:rPr>
      </w:pPr>
      <w:r w:rsidRPr="00C92456">
        <w:rPr>
          <w:color w:val="000000" w:themeColor="text1"/>
        </w:rPr>
        <w:t xml:space="preserve">The simulation results also show that the revenues to storage resources barely cover </w:t>
      </w:r>
      <w:r w:rsidR="00C92456" w:rsidRPr="00C92456">
        <w:rPr>
          <w:color w:val="000000" w:themeColor="text1"/>
        </w:rPr>
        <w:t xml:space="preserve">their </w:t>
      </w:r>
      <w:r w:rsidRPr="00C92456">
        <w:rPr>
          <w:color w:val="000000" w:themeColor="text1"/>
        </w:rPr>
        <w:t>operating expenses (production costs) for most scenarios. This is because the daily LMP differences between charge and discharge cycles are relatively small after accounting for the efficiency of the storage. The scenarios with the largest economic value in terms of $/kW-y</w:t>
      </w:r>
      <w:r w:rsidR="00C92456" w:rsidRPr="00C92456">
        <w:rPr>
          <w:color w:val="000000" w:themeColor="text1"/>
        </w:rPr>
        <w:t>ea</w:t>
      </w:r>
      <w:r w:rsidRPr="00C92456">
        <w:rPr>
          <w:color w:val="000000" w:themeColor="text1"/>
        </w:rPr>
        <w:t xml:space="preserve">r from operations are associated </w:t>
      </w:r>
      <w:r w:rsidR="00C92456" w:rsidRPr="00C92456">
        <w:rPr>
          <w:color w:val="000000" w:themeColor="text1"/>
        </w:rPr>
        <w:t xml:space="preserve">with a </w:t>
      </w:r>
      <w:r w:rsidRPr="00C92456">
        <w:rPr>
          <w:color w:val="000000" w:themeColor="text1"/>
        </w:rPr>
        <w:t>high penetration of renewables. Specifically, Scenarios 2, 3</w:t>
      </w:r>
      <w:r w:rsidR="00C92456" w:rsidRPr="00C92456">
        <w:rPr>
          <w:color w:val="000000" w:themeColor="text1"/>
        </w:rPr>
        <w:t>,</w:t>
      </w:r>
      <w:r w:rsidRPr="00C92456">
        <w:rPr>
          <w:color w:val="000000" w:themeColor="text1"/>
        </w:rPr>
        <w:t xml:space="preserve"> and 6 (ISO Queue, Renew Plus</w:t>
      </w:r>
      <w:r w:rsidR="00C92456" w:rsidRPr="00C92456">
        <w:rPr>
          <w:color w:val="000000" w:themeColor="text1"/>
        </w:rPr>
        <w:t>,</w:t>
      </w:r>
      <w:r w:rsidRPr="00C92456">
        <w:rPr>
          <w:color w:val="000000" w:themeColor="text1"/>
        </w:rPr>
        <w:t xml:space="preserve"> and RPS + Geo Renew) show positive </w:t>
      </w:r>
      <w:r w:rsidRPr="00C92456">
        <w:rPr>
          <w:color w:val="000000" w:themeColor="text1"/>
        </w:rPr>
        <w:lastRenderedPageBreak/>
        <w:t>economic value</w:t>
      </w:r>
      <w:r w:rsidR="00C72C28">
        <w:rPr>
          <w:color w:val="000000" w:themeColor="text1"/>
        </w:rPr>
        <w:t xml:space="preserve"> for storage</w:t>
      </w:r>
      <w:r w:rsidR="00C92456" w:rsidRPr="00C92456">
        <w:rPr>
          <w:color w:val="000000" w:themeColor="text1"/>
        </w:rPr>
        <w:t>,</w:t>
      </w:r>
      <w:r w:rsidRPr="00C92456">
        <w:rPr>
          <w:color w:val="000000" w:themeColor="text1"/>
        </w:rPr>
        <w:t xml:space="preserve"> while Scenarios 1, 4</w:t>
      </w:r>
      <w:r w:rsidR="00C92456" w:rsidRPr="00C92456">
        <w:rPr>
          <w:color w:val="000000" w:themeColor="text1"/>
        </w:rPr>
        <w:t>,</w:t>
      </w:r>
      <w:r w:rsidRPr="00C92456">
        <w:rPr>
          <w:color w:val="000000" w:themeColor="text1"/>
        </w:rPr>
        <w:t xml:space="preserve"> and 5 (RPS + Gas, No Retire,</w:t>
      </w:r>
      <w:r w:rsidR="00C92456" w:rsidRPr="00C92456">
        <w:rPr>
          <w:color w:val="000000" w:themeColor="text1"/>
        </w:rPr>
        <w:t xml:space="preserve"> </w:t>
      </w:r>
      <w:r w:rsidRPr="00C92456">
        <w:rPr>
          <w:color w:val="000000" w:themeColor="text1"/>
        </w:rPr>
        <w:t>ACP + Gas) tend to show low and negative contributions to fixed costs.</w:t>
      </w:r>
      <w:r w:rsidR="00C92456">
        <w:rPr>
          <w:color w:val="000000" w:themeColor="text1"/>
        </w:rPr>
        <w:t xml:space="preserve"> Refer to </w:t>
      </w:r>
      <w:r w:rsidR="00C92456">
        <w:rPr>
          <w:color w:val="000000" w:themeColor="text1"/>
        </w:rPr>
        <w:fldChar w:fldCharType="begin"/>
      </w:r>
      <w:r w:rsidR="00C92456">
        <w:rPr>
          <w:color w:val="000000" w:themeColor="text1"/>
        </w:rPr>
        <w:instrText xml:space="preserve"> REF _Ref486344164 \h </w:instrText>
      </w:r>
      <w:r w:rsidR="00C92456">
        <w:rPr>
          <w:color w:val="000000" w:themeColor="text1"/>
        </w:rPr>
      </w:r>
      <w:r w:rsidR="00C92456">
        <w:rPr>
          <w:color w:val="000000" w:themeColor="text1"/>
        </w:rPr>
        <w:fldChar w:fldCharType="separate"/>
      </w:r>
      <w:r w:rsidR="00C92456" w:rsidRPr="00C92456">
        <w:t>Table 6</w:t>
      </w:r>
      <w:r w:rsidR="00C92456" w:rsidRPr="00C92456">
        <w:noBreakHyphen/>
        <w:t>13</w:t>
      </w:r>
      <w:r w:rsidR="00C92456">
        <w:rPr>
          <w:color w:val="000000" w:themeColor="text1"/>
        </w:rPr>
        <w:fldChar w:fldCharType="end"/>
      </w:r>
      <w:r w:rsidR="00C92456">
        <w:rPr>
          <w:color w:val="000000" w:themeColor="text1"/>
        </w:rPr>
        <w:t>.</w:t>
      </w:r>
    </w:p>
    <w:p w:rsidR="005378E6" w:rsidRPr="00C92456" w:rsidRDefault="00C92456" w:rsidP="00C92456">
      <w:pPr>
        <w:pStyle w:val="Caption"/>
        <w:jc w:val="center"/>
        <w:rPr>
          <w:rFonts w:eastAsia="Calibri"/>
        </w:rPr>
      </w:pPr>
      <w:bookmarkStart w:id="320" w:name="_Ref486344164"/>
      <w:bookmarkStart w:id="321" w:name="_Toc486406048"/>
      <w:r w:rsidRPr="00C92456">
        <w:t xml:space="preserve">Table </w:t>
      </w:r>
      <w:fldSimple w:instr=" STYLEREF 1 \s ">
        <w:r w:rsidR="004248FE">
          <w:rPr>
            <w:noProof/>
          </w:rPr>
          <w:t>6</w:t>
        </w:r>
      </w:fldSimple>
      <w:r w:rsidR="004248FE">
        <w:noBreakHyphen/>
      </w:r>
      <w:fldSimple w:instr=" SEQ Table \* ARABIC \s 1 ">
        <w:r w:rsidR="004248FE">
          <w:rPr>
            <w:noProof/>
          </w:rPr>
          <w:t>13</w:t>
        </w:r>
      </w:fldSimple>
      <w:bookmarkEnd w:id="320"/>
      <w:r w:rsidRPr="00C92456">
        <w:br/>
      </w:r>
      <w:r w:rsidR="005378E6" w:rsidRPr="00C92456">
        <w:rPr>
          <w:rFonts w:eastAsia="Calibri"/>
        </w:rPr>
        <w:t>Energy Storage</w:t>
      </w:r>
      <w:r>
        <w:rPr>
          <w:rFonts w:eastAsia="Calibri"/>
        </w:rPr>
        <w:t>—</w:t>
      </w:r>
      <w:r w:rsidR="005378E6" w:rsidRPr="00C92456">
        <w:rPr>
          <w:rFonts w:eastAsia="Calibri"/>
        </w:rPr>
        <w:t>Operational and Economic Metrics</w:t>
      </w:r>
      <w:bookmarkEnd w:id="321"/>
    </w:p>
    <w:tbl>
      <w:tblPr>
        <w:tblW w:w="9602" w:type="dxa"/>
        <w:jc w:val="center"/>
        <w:tblInd w:w="97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2402"/>
        <w:gridCol w:w="1200"/>
        <w:gridCol w:w="1200"/>
        <w:gridCol w:w="1200"/>
        <w:gridCol w:w="1200"/>
        <w:gridCol w:w="1200"/>
        <w:gridCol w:w="1200"/>
      </w:tblGrid>
      <w:tr w:rsidR="00C92456" w:rsidRPr="005378E6" w:rsidTr="00FF183A">
        <w:trPr>
          <w:trHeight w:val="495"/>
          <w:jc w:val="center"/>
        </w:trPr>
        <w:tc>
          <w:tcPr>
            <w:tcW w:w="2402" w:type="dxa"/>
            <w:shd w:val="clear" w:color="000000" w:fill="0070C0"/>
            <w:vAlign w:val="center"/>
            <w:hideMark/>
          </w:tcPr>
          <w:p w:rsidR="00C92456" w:rsidRPr="005378E6" w:rsidRDefault="00C92456" w:rsidP="00C92456">
            <w:pPr>
              <w:adjustRightInd/>
              <w:spacing w:before="40" w:after="40" w:line="240" w:lineRule="auto"/>
              <w:jc w:val="center"/>
              <w:textAlignment w:val="auto"/>
              <w:rPr>
                <w:rFonts w:ascii="Calibri" w:hAnsi="Calibri"/>
                <w:b/>
                <w:bCs/>
                <w:color w:val="FFFFFF"/>
                <w:sz w:val="18"/>
                <w:szCs w:val="18"/>
              </w:rPr>
            </w:pPr>
            <w:r w:rsidRPr="005378E6">
              <w:rPr>
                <w:rFonts w:ascii="Calibri" w:hAnsi="Calibri"/>
                <w:b/>
                <w:bCs/>
                <w:color w:val="FFFFFF"/>
                <w:sz w:val="18"/>
                <w:szCs w:val="18"/>
              </w:rPr>
              <w:t>Transmission</w:t>
            </w:r>
            <w:r>
              <w:rPr>
                <w:rFonts w:ascii="Calibri" w:hAnsi="Calibri"/>
                <w:b/>
                <w:bCs/>
                <w:color w:val="FFFFFF"/>
                <w:sz w:val="18"/>
                <w:szCs w:val="18"/>
              </w:rPr>
              <w:t xml:space="preserve"> and </w:t>
            </w:r>
            <w:r w:rsidRPr="005378E6">
              <w:rPr>
                <w:rFonts w:ascii="Calibri" w:hAnsi="Calibri"/>
                <w:b/>
                <w:bCs/>
                <w:color w:val="FFFFFF"/>
                <w:sz w:val="18"/>
                <w:szCs w:val="18"/>
              </w:rPr>
              <w:t>Year</w:t>
            </w:r>
          </w:p>
        </w:tc>
        <w:tc>
          <w:tcPr>
            <w:tcW w:w="1200" w:type="dxa"/>
            <w:shd w:val="clear" w:color="000000" w:fill="0070C0"/>
            <w:vAlign w:val="center"/>
            <w:hideMark/>
          </w:tcPr>
          <w:p w:rsidR="00C92456" w:rsidRPr="005378E6" w:rsidRDefault="00C92456" w:rsidP="00C92456">
            <w:pPr>
              <w:adjustRightInd/>
              <w:spacing w:before="40" w:after="40" w:line="240" w:lineRule="auto"/>
              <w:jc w:val="center"/>
              <w:textAlignment w:val="auto"/>
              <w:rPr>
                <w:rFonts w:ascii="Calibri" w:hAnsi="Calibri"/>
                <w:b/>
                <w:bCs/>
                <w:color w:val="FFFFFF"/>
                <w:sz w:val="18"/>
                <w:szCs w:val="18"/>
              </w:rPr>
            </w:pPr>
            <w:r w:rsidRPr="005378E6">
              <w:rPr>
                <w:rFonts w:ascii="Calibri" w:hAnsi="Calibri"/>
                <w:b/>
                <w:bCs/>
                <w:color w:val="FFFFFF"/>
                <w:sz w:val="18"/>
                <w:szCs w:val="18"/>
              </w:rPr>
              <w:t>RPS + Gas</w:t>
            </w:r>
          </w:p>
        </w:tc>
        <w:tc>
          <w:tcPr>
            <w:tcW w:w="1200" w:type="dxa"/>
            <w:shd w:val="clear" w:color="000000" w:fill="0070C0"/>
            <w:vAlign w:val="center"/>
            <w:hideMark/>
          </w:tcPr>
          <w:p w:rsidR="00C92456" w:rsidRPr="005378E6" w:rsidRDefault="00C92456" w:rsidP="00C92456">
            <w:pPr>
              <w:adjustRightInd/>
              <w:spacing w:before="40" w:after="40" w:line="240" w:lineRule="auto"/>
              <w:jc w:val="center"/>
              <w:textAlignment w:val="auto"/>
              <w:rPr>
                <w:rFonts w:ascii="Calibri" w:hAnsi="Calibri"/>
                <w:b/>
                <w:bCs/>
                <w:color w:val="FFFFFF"/>
                <w:sz w:val="18"/>
                <w:szCs w:val="18"/>
              </w:rPr>
            </w:pPr>
            <w:r w:rsidRPr="005378E6">
              <w:rPr>
                <w:rFonts w:ascii="Calibri" w:hAnsi="Calibri"/>
                <w:b/>
                <w:bCs/>
                <w:color w:val="FFFFFF"/>
                <w:sz w:val="18"/>
                <w:szCs w:val="18"/>
              </w:rPr>
              <w:t>ISO Queue</w:t>
            </w:r>
          </w:p>
        </w:tc>
        <w:tc>
          <w:tcPr>
            <w:tcW w:w="1200" w:type="dxa"/>
            <w:shd w:val="clear" w:color="000000" w:fill="0070C0"/>
            <w:vAlign w:val="center"/>
            <w:hideMark/>
          </w:tcPr>
          <w:p w:rsidR="00C92456" w:rsidRPr="005378E6" w:rsidRDefault="00C92456" w:rsidP="00C92456">
            <w:pPr>
              <w:adjustRightInd/>
              <w:spacing w:before="40" w:after="40" w:line="240" w:lineRule="auto"/>
              <w:jc w:val="center"/>
              <w:textAlignment w:val="auto"/>
              <w:rPr>
                <w:rFonts w:ascii="Calibri" w:hAnsi="Calibri"/>
                <w:b/>
                <w:bCs/>
                <w:color w:val="FFFFFF"/>
                <w:sz w:val="18"/>
                <w:szCs w:val="18"/>
              </w:rPr>
            </w:pPr>
            <w:r w:rsidRPr="005378E6">
              <w:rPr>
                <w:rFonts w:ascii="Calibri" w:hAnsi="Calibri"/>
                <w:b/>
                <w:bCs/>
                <w:color w:val="FFFFFF"/>
                <w:sz w:val="18"/>
                <w:szCs w:val="18"/>
              </w:rPr>
              <w:t>Renew Plus</w:t>
            </w:r>
          </w:p>
        </w:tc>
        <w:tc>
          <w:tcPr>
            <w:tcW w:w="1200" w:type="dxa"/>
            <w:shd w:val="clear" w:color="000000" w:fill="0070C0"/>
            <w:vAlign w:val="center"/>
            <w:hideMark/>
          </w:tcPr>
          <w:p w:rsidR="00C92456" w:rsidRPr="005378E6" w:rsidRDefault="00C92456" w:rsidP="00C92456">
            <w:pPr>
              <w:adjustRightInd/>
              <w:spacing w:before="40" w:after="40" w:line="240" w:lineRule="auto"/>
              <w:jc w:val="center"/>
              <w:textAlignment w:val="auto"/>
              <w:rPr>
                <w:rFonts w:ascii="Calibri" w:hAnsi="Calibri"/>
                <w:b/>
                <w:bCs/>
                <w:color w:val="FFFFFF"/>
                <w:sz w:val="18"/>
                <w:szCs w:val="18"/>
              </w:rPr>
            </w:pPr>
            <w:r w:rsidRPr="005378E6">
              <w:rPr>
                <w:rFonts w:ascii="Calibri" w:hAnsi="Calibri"/>
                <w:b/>
                <w:bCs/>
                <w:color w:val="FFFFFF"/>
                <w:sz w:val="18"/>
                <w:szCs w:val="18"/>
              </w:rPr>
              <w:t>No Retire</w:t>
            </w:r>
          </w:p>
        </w:tc>
        <w:tc>
          <w:tcPr>
            <w:tcW w:w="1200" w:type="dxa"/>
            <w:shd w:val="clear" w:color="000000" w:fill="0070C0"/>
            <w:vAlign w:val="center"/>
            <w:hideMark/>
          </w:tcPr>
          <w:p w:rsidR="00C92456" w:rsidRPr="005378E6" w:rsidRDefault="00C92456" w:rsidP="00C92456">
            <w:pPr>
              <w:adjustRightInd/>
              <w:spacing w:before="40" w:after="40" w:line="240" w:lineRule="auto"/>
              <w:jc w:val="center"/>
              <w:textAlignment w:val="auto"/>
              <w:rPr>
                <w:rFonts w:ascii="Calibri" w:hAnsi="Calibri"/>
                <w:b/>
                <w:bCs/>
                <w:color w:val="FFFFFF"/>
                <w:sz w:val="18"/>
                <w:szCs w:val="18"/>
              </w:rPr>
            </w:pPr>
            <w:r w:rsidRPr="005378E6">
              <w:rPr>
                <w:rFonts w:ascii="Calibri" w:hAnsi="Calibri"/>
                <w:b/>
                <w:bCs/>
                <w:color w:val="FFFFFF"/>
                <w:sz w:val="18"/>
                <w:szCs w:val="18"/>
              </w:rPr>
              <w:t>ACP + Gas</w:t>
            </w:r>
          </w:p>
        </w:tc>
        <w:tc>
          <w:tcPr>
            <w:tcW w:w="1200" w:type="dxa"/>
            <w:shd w:val="clear" w:color="000000" w:fill="0070C0"/>
            <w:vAlign w:val="center"/>
            <w:hideMark/>
          </w:tcPr>
          <w:p w:rsidR="00C92456" w:rsidRPr="005378E6" w:rsidRDefault="00C92456" w:rsidP="00C92456">
            <w:pPr>
              <w:adjustRightInd/>
              <w:spacing w:before="40" w:after="40" w:line="240" w:lineRule="auto"/>
              <w:jc w:val="center"/>
              <w:textAlignment w:val="auto"/>
              <w:rPr>
                <w:rFonts w:ascii="Calibri" w:hAnsi="Calibri"/>
                <w:b/>
                <w:bCs/>
                <w:color w:val="FFFFFF"/>
                <w:sz w:val="18"/>
                <w:szCs w:val="18"/>
              </w:rPr>
            </w:pPr>
            <w:r w:rsidRPr="005378E6">
              <w:rPr>
                <w:rFonts w:ascii="Calibri" w:hAnsi="Calibri"/>
                <w:b/>
                <w:bCs/>
                <w:color w:val="FFFFFF"/>
                <w:sz w:val="18"/>
                <w:szCs w:val="18"/>
              </w:rPr>
              <w:t>RPS + Geo Renew</w:t>
            </w:r>
          </w:p>
        </w:tc>
      </w:tr>
      <w:tr w:rsidR="005378E6" w:rsidRPr="005378E6" w:rsidTr="002F02F1">
        <w:trPr>
          <w:trHeight w:val="315"/>
          <w:jc w:val="center"/>
        </w:trPr>
        <w:tc>
          <w:tcPr>
            <w:tcW w:w="9602" w:type="dxa"/>
            <w:gridSpan w:val="7"/>
            <w:shd w:val="clear" w:color="auto" w:fill="B8CCE4" w:themeFill="accent1" w:themeFillTint="66"/>
            <w:vAlign w:val="center"/>
            <w:hideMark/>
          </w:tcPr>
          <w:p w:rsidR="005378E6" w:rsidRPr="005378E6" w:rsidRDefault="005378E6" w:rsidP="00C92456">
            <w:pPr>
              <w:adjustRightInd/>
              <w:spacing w:before="40" w:after="40" w:line="240" w:lineRule="auto"/>
              <w:jc w:val="center"/>
              <w:textAlignment w:val="auto"/>
              <w:rPr>
                <w:rFonts w:ascii="Calibri" w:hAnsi="Calibri"/>
                <w:b/>
                <w:bCs/>
                <w:color w:val="FFFFFF"/>
                <w:sz w:val="18"/>
                <w:szCs w:val="18"/>
              </w:rPr>
            </w:pPr>
            <w:r w:rsidRPr="002F02F1">
              <w:rPr>
                <w:rFonts w:ascii="Calibri" w:hAnsi="Calibri"/>
                <w:b/>
                <w:bCs/>
                <w:color w:val="000000" w:themeColor="text1"/>
                <w:sz w:val="18"/>
                <w:szCs w:val="18"/>
              </w:rPr>
              <w:t>Net Revenues  ($ Million)</w:t>
            </w:r>
          </w:p>
        </w:tc>
      </w:tr>
      <w:tr w:rsidR="00C92456" w:rsidRPr="005378E6" w:rsidTr="00FF183A">
        <w:trPr>
          <w:trHeight w:val="315"/>
          <w:jc w:val="center"/>
        </w:trPr>
        <w:tc>
          <w:tcPr>
            <w:tcW w:w="2402" w:type="dxa"/>
            <w:shd w:val="clear" w:color="auto" w:fill="auto"/>
            <w:vAlign w:val="center"/>
            <w:hideMark/>
          </w:tcPr>
          <w:p w:rsidR="00C92456" w:rsidRPr="005378E6" w:rsidRDefault="00C92456" w:rsidP="00C92456">
            <w:pPr>
              <w:adjustRightInd/>
              <w:spacing w:before="40" w:after="40" w:line="240" w:lineRule="auto"/>
              <w:textAlignment w:val="auto"/>
              <w:rPr>
                <w:rFonts w:ascii="Calibri" w:hAnsi="Calibri"/>
                <w:color w:val="000000"/>
                <w:sz w:val="18"/>
                <w:szCs w:val="18"/>
              </w:rPr>
            </w:pPr>
            <w:r>
              <w:rPr>
                <w:rFonts w:ascii="Calibri" w:eastAsia="Calibri" w:hAnsi="Calibri"/>
                <w:b/>
                <w:bCs/>
                <w:color w:val="000000"/>
                <w:sz w:val="18"/>
                <w:szCs w:val="18"/>
              </w:rPr>
              <w:t xml:space="preserve">2025 </w:t>
            </w:r>
            <w:r w:rsidRPr="005378E6">
              <w:rPr>
                <w:rFonts w:ascii="Calibri" w:eastAsia="Calibri" w:hAnsi="Calibri"/>
                <w:b/>
                <w:bCs/>
                <w:color w:val="000000"/>
                <w:sz w:val="18"/>
                <w:szCs w:val="18"/>
              </w:rPr>
              <w:t>Unconstrained</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eastAsia="Calibri" w:hAnsi="Calibri"/>
                <w:color w:val="000000"/>
                <w:sz w:val="18"/>
                <w:szCs w:val="18"/>
              </w:rPr>
              <w:t>1.9</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eastAsia="Calibri" w:hAnsi="Calibri"/>
                <w:color w:val="000000"/>
                <w:sz w:val="18"/>
                <w:szCs w:val="18"/>
              </w:rPr>
              <w:t>11.0</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eastAsia="Calibri" w:hAnsi="Calibri"/>
                <w:color w:val="000000"/>
                <w:sz w:val="18"/>
                <w:szCs w:val="18"/>
              </w:rPr>
              <w:t>12.1</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eastAsia="Calibri" w:hAnsi="Calibri"/>
                <w:color w:val="000000"/>
                <w:sz w:val="18"/>
                <w:szCs w:val="18"/>
              </w:rPr>
              <w:t>0.4</w:t>
            </w:r>
          </w:p>
        </w:tc>
        <w:tc>
          <w:tcPr>
            <w:tcW w:w="1200" w:type="dxa"/>
            <w:shd w:val="clear" w:color="auto" w:fill="auto"/>
            <w:vAlign w:val="center"/>
            <w:hideMark/>
          </w:tcPr>
          <w:p w:rsidR="00C92456" w:rsidRPr="005378E6" w:rsidRDefault="00FF183A" w:rsidP="00C92456">
            <w:pPr>
              <w:adjustRightInd/>
              <w:spacing w:before="40" w:after="40" w:line="240" w:lineRule="auto"/>
              <w:ind w:firstLineChars="100" w:firstLine="180"/>
              <w:jc w:val="right"/>
              <w:textAlignment w:val="auto"/>
              <w:rPr>
                <w:rFonts w:ascii="Calibri" w:hAnsi="Calibri"/>
                <w:color w:val="000000"/>
                <w:sz w:val="18"/>
                <w:szCs w:val="18"/>
              </w:rPr>
            </w:pPr>
            <w:r>
              <w:rPr>
                <w:rFonts w:ascii="Calibri" w:eastAsia="Calibri" w:hAnsi="Calibri"/>
                <w:color w:val="000000"/>
                <w:sz w:val="18"/>
                <w:szCs w:val="18"/>
              </w:rPr>
              <w:t>−</w:t>
            </w:r>
            <w:r w:rsidR="00C92456" w:rsidRPr="005378E6">
              <w:rPr>
                <w:rFonts w:ascii="Calibri" w:eastAsia="Calibri" w:hAnsi="Calibri"/>
                <w:color w:val="000000"/>
                <w:sz w:val="18"/>
                <w:szCs w:val="18"/>
              </w:rPr>
              <w:t>1.5</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eastAsia="Calibri" w:hAnsi="Calibri"/>
                <w:color w:val="000000"/>
                <w:sz w:val="18"/>
                <w:szCs w:val="18"/>
              </w:rPr>
              <w:t>6.8</w:t>
            </w:r>
          </w:p>
        </w:tc>
      </w:tr>
      <w:tr w:rsidR="00C92456" w:rsidRPr="005378E6" w:rsidTr="00FF183A">
        <w:trPr>
          <w:trHeight w:val="315"/>
          <w:jc w:val="center"/>
        </w:trPr>
        <w:tc>
          <w:tcPr>
            <w:tcW w:w="2402" w:type="dxa"/>
            <w:shd w:val="clear" w:color="auto" w:fill="auto"/>
            <w:vAlign w:val="center"/>
            <w:hideMark/>
          </w:tcPr>
          <w:p w:rsidR="00C92456" w:rsidRPr="005378E6" w:rsidRDefault="00C92456" w:rsidP="00C92456">
            <w:pPr>
              <w:adjustRightInd/>
              <w:spacing w:before="40" w:after="40" w:line="240" w:lineRule="auto"/>
              <w:textAlignment w:val="auto"/>
              <w:rPr>
                <w:rFonts w:ascii="Calibri" w:hAnsi="Calibri"/>
                <w:color w:val="000000"/>
                <w:sz w:val="18"/>
                <w:szCs w:val="18"/>
              </w:rPr>
            </w:pPr>
            <w:r>
              <w:rPr>
                <w:rFonts w:ascii="Calibri" w:eastAsia="Calibri" w:hAnsi="Calibri"/>
                <w:b/>
                <w:bCs/>
                <w:color w:val="000000"/>
                <w:sz w:val="18"/>
                <w:szCs w:val="18"/>
              </w:rPr>
              <w:t xml:space="preserve">2025 </w:t>
            </w:r>
            <w:r w:rsidRPr="005378E6">
              <w:rPr>
                <w:rFonts w:ascii="Calibri" w:eastAsia="Calibri" w:hAnsi="Calibri"/>
                <w:b/>
                <w:bCs/>
                <w:color w:val="000000"/>
                <w:sz w:val="18"/>
                <w:szCs w:val="18"/>
              </w:rPr>
              <w:t>Constrained</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0.6</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3.4</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3.5</w:t>
            </w:r>
          </w:p>
        </w:tc>
        <w:tc>
          <w:tcPr>
            <w:tcW w:w="1200" w:type="dxa"/>
            <w:shd w:val="clear" w:color="auto" w:fill="auto"/>
            <w:vAlign w:val="center"/>
            <w:hideMark/>
          </w:tcPr>
          <w:p w:rsidR="00C92456" w:rsidRPr="005378E6" w:rsidRDefault="00FF183A" w:rsidP="00C92456">
            <w:pPr>
              <w:adjustRightInd/>
              <w:spacing w:before="40" w:after="40" w:line="240" w:lineRule="auto"/>
              <w:ind w:firstLineChars="100" w:firstLine="180"/>
              <w:jc w:val="right"/>
              <w:textAlignment w:val="auto"/>
              <w:rPr>
                <w:rFonts w:ascii="Calibri" w:hAnsi="Calibri"/>
                <w:color w:val="000000"/>
                <w:sz w:val="18"/>
                <w:szCs w:val="18"/>
              </w:rPr>
            </w:pPr>
            <w:r>
              <w:rPr>
                <w:rFonts w:ascii="Calibri" w:hAnsi="Calibri"/>
                <w:color w:val="000000"/>
                <w:sz w:val="18"/>
                <w:szCs w:val="18"/>
              </w:rPr>
              <w:t>−</w:t>
            </w:r>
            <w:r w:rsidR="00C92456" w:rsidRPr="005378E6">
              <w:rPr>
                <w:rFonts w:ascii="Calibri" w:hAnsi="Calibri"/>
                <w:color w:val="000000"/>
                <w:sz w:val="18"/>
                <w:szCs w:val="18"/>
              </w:rPr>
              <w:t>0.1</w:t>
            </w:r>
          </w:p>
        </w:tc>
        <w:tc>
          <w:tcPr>
            <w:tcW w:w="1200" w:type="dxa"/>
            <w:shd w:val="clear" w:color="auto" w:fill="auto"/>
            <w:vAlign w:val="center"/>
            <w:hideMark/>
          </w:tcPr>
          <w:p w:rsidR="00C92456" w:rsidRPr="005378E6" w:rsidRDefault="00FF183A" w:rsidP="00C92456">
            <w:pPr>
              <w:adjustRightInd/>
              <w:spacing w:before="40" w:after="40" w:line="240" w:lineRule="auto"/>
              <w:ind w:firstLineChars="100" w:firstLine="180"/>
              <w:jc w:val="right"/>
              <w:textAlignment w:val="auto"/>
              <w:rPr>
                <w:rFonts w:ascii="Calibri" w:hAnsi="Calibri"/>
                <w:color w:val="000000"/>
                <w:sz w:val="18"/>
                <w:szCs w:val="18"/>
              </w:rPr>
            </w:pPr>
            <w:r>
              <w:rPr>
                <w:rFonts w:ascii="Calibri" w:hAnsi="Calibri"/>
                <w:color w:val="000000"/>
                <w:sz w:val="18"/>
                <w:szCs w:val="18"/>
              </w:rPr>
              <w:t>−</w:t>
            </w:r>
            <w:r w:rsidR="00C92456" w:rsidRPr="005378E6">
              <w:rPr>
                <w:rFonts w:ascii="Calibri" w:hAnsi="Calibri"/>
                <w:color w:val="000000"/>
                <w:sz w:val="18"/>
                <w:szCs w:val="18"/>
              </w:rPr>
              <w:t>1.9</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4.2</w:t>
            </w:r>
          </w:p>
        </w:tc>
      </w:tr>
      <w:tr w:rsidR="00C92456" w:rsidRPr="005378E6" w:rsidTr="00FF183A">
        <w:trPr>
          <w:trHeight w:val="315"/>
          <w:jc w:val="center"/>
        </w:trPr>
        <w:tc>
          <w:tcPr>
            <w:tcW w:w="2402" w:type="dxa"/>
            <w:shd w:val="clear" w:color="000000" w:fill="DBE5F1"/>
            <w:vAlign w:val="center"/>
            <w:hideMark/>
          </w:tcPr>
          <w:p w:rsidR="00C92456" w:rsidRPr="005378E6" w:rsidRDefault="00C92456" w:rsidP="00C92456">
            <w:pPr>
              <w:adjustRightInd/>
              <w:spacing w:before="40" w:after="40" w:line="240" w:lineRule="auto"/>
              <w:textAlignment w:val="auto"/>
              <w:rPr>
                <w:rFonts w:ascii="Calibri" w:hAnsi="Calibri"/>
                <w:color w:val="000000"/>
                <w:sz w:val="18"/>
                <w:szCs w:val="18"/>
              </w:rPr>
            </w:pPr>
            <w:r>
              <w:rPr>
                <w:rFonts w:ascii="Calibri" w:eastAsia="Calibri" w:hAnsi="Calibri"/>
                <w:b/>
                <w:bCs/>
                <w:color w:val="000000"/>
                <w:sz w:val="18"/>
                <w:szCs w:val="18"/>
              </w:rPr>
              <w:t xml:space="preserve">2030 </w:t>
            </w:r>
            <w:r w:rsidRPr="005378E6">
              <w:rPr>
                <w:rFonts w:ascii="Calibri" w:eastAsia="Calibri" w:hAnsi="Calibri"/>
                <w:b/>
                <w:bCs/>
                <w:color w:val="000000"/>
                <w:sz w:val="18"/>
                <w:szCs w:val="18"/>
              </w:rPr>
              <w:t>Unconstrained</w:t>
            </w:r>
          </w:p>
        </w:tc>
        <w:tc>
          <w:tcPr>
            <w:tcW w:w="1200" w:type="dxa"/>
            <w:shd w:val="clear" w:color="000000" w:fill="DBE5F1"/>
            <w:vAlign w:val="center"/>
            <w:hideMark/>
          </w:tcPr>
          <w:p w:rsidR="00C92456" w:rsidRPr="005378E6" w:rsidRDefault="00FF183A" w:rsidP="00C92456">
            <w:pPr>
              <w:adjustRightInd/>
              <w:spacing w:before="40" w:after="40" w:line="240" w:lineRule="auto"/>
              <w:ind w:firstLineChars="100" w:firstLine="180"/>
              <w:jc w:val="right"/>
              <w:textAlignment w:val="auto"/>
              <w:rPr>
                <w:rFonts w:ascii="Calibri" w:hAnsi="Calibri"/>
                <w:color w:val="000000"/>
                <w:sz w:val="18"/>
                <w:szCs w:val="18"/>
              </w:rPr>
            </w:pPr>
            <w:r>
              <w:rPr>
                <w:rFonts w:ascii="Calibri" w:hAnsi="Calibri"/>
                <w:color w:val="000000"/>
                <w:sz w:val="18"/>
                <w:szCs w:val="18"/>
              </w:rPr>
              <w:t>−</w:t>
            </w:r>
            <w:r w:rsidR="00C92456" w:rsidRPr="005378E6">
              <w:rPr>
                <w:rFonts w:ascii="Calibri" w:hAnsi="Calibri"/>
                <w:color w:val="000000"/>
                <w:sz w:val="18"/>
                <w:szCs w:val="18"/>
              </w:rPr>
              <w:t>9.5</w:t>
            </w:r>
          </w:p>
        </w:tc>
        <w:tc>
          <w:tcPr>
            <w:tcW w:w="1200" w:type="dxa"/>
            <w:shd w:val="clear" w:color="000000" w:fill="DBE5F1"/>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25.8</w:t>
            </w:r>
          </w:p>
        </w:tc>
        <w:tc>
          <w:tcPr>
            <w:tcW w:w="1200" w:type="dxa"/>
            <w:shd w:val="clear" w:color="000000" w:fill="DBE5F1"/>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61.6</w:t>
            </w:r>
          </w:p>
        </w:tc>
        <w:tc>
          <w:tcPr>
            <w:tcW w:w="1200" w:type="dxa"/>
            <w:shd w:val="clear" w:color="000000" w:fill="DBE5F1"/>
            <w:vAlign w:val="center"/>
            <w:hideMark/>
          </w:tcPr>
          <w:p w:rsidR="00C92456" w:rsidRPr="005378E6" w:rsidRDefault="00FF183A" w:rsidP="00C92456">
            <w:pPr>
              <w:adjustRightInd/>
              <w:spacing w:before="40" w:after="40" w:line="240" w:lineRule="auto"/>
              <w:ind w:firstLineChars="100" w:firstLine="180"/>
              <w:jc w:val="right"/>
              <w:textAlignment w:val="auto"/>
              <w:rPr>
                <w:rFonts w:ascii="Calibri" w:hAnsi="Calibri"/>
                <w:color w:val="000000"/>
                <w:sz w:val="18"/>
                <w:szCs w:val="18"/>
              </w:rPr>
            </w:pPr>
            <w:r>
              <w:rPr>
                <w:rFonts w:ascii="Calibri" w:hAnsi="Calibri"/>
                <w:color w:val="000000"/>
                <w:sz w:val="18"/>
                <w:szCs w:val="18"/>
              </w:rPr>
              <w:t>−</w:t>
            </w:r>
            <w:r w:rsidR="00C92456" w:rsidRPr="005378E6">
              <w:rPr>
                <w:rFonts w:ascii="Calibri" w:hAnsi="Calibri"/>
                <w:color w:val="000000"/>
                <w:sz w:val="18"/>
                <w:szCs w:val="18"/>
              </w:rPr>
              <w:t>3.3</w:t>
            </w:r>
          </w:p>
        </w:tc>
        <w:tc>
          <w:tcPr>
            <w:tcW w:w="1200" w:type="dxa"/>
            <w:shd w:val="clear" w:color="000000" w:fill="DBE5F1"/>
            <w:vAlign w:val="center"/>
            <w:hideMark/>
          </w:tcPr>
          <w:p w:rsidR="00C92456" w:rsidRPr="005378E6" w:rsidRDefault="00FF183A" w:rsidP="00C92456">
            <w:pPr>
              <w:adjustRightInd/>
              <w:spacing w:before="40" w:after="40" w:line="240" w:lineRule="auto"/>
              <w:ind w:firstLineChars="100" w:firstLine="180"/>
              <w:jc w:val="right"/>
              <w:textAlignment w:val="auto"/>
              <w:rPr>
                <w:rFonts w:ascii="Calibri" w:hAnsi="Calibri"/>
                <w:color w:val="000000"/>
                <w:sz w:val="18"/>
                <w:szCs w:val="18"/>
              </w:rPr>
            </w:pPr>
            <w:r>
              <w:rPr>
                <w:rFonts w:ascii="Calibri" w:hAnsi="Calibri"/>
                <w:color w:val="000000"/>
                <w:sz w:val="18"/>
                <w:szCs w:val="18"/>
              </w:rPr>
              <w:t>−</w:t>
            </w:r>
            <w:r w:rsidR="00C92456" w:rsidRPr="005378E6">
              <w:rPr>
                <w:rFonts w:ascii="Calibri" w:hAnsi="Calibri"/>
                <w:color w:val="000000"/>
                <w:sz w:val="18"/>
                <w:szCs w:val="18"/>
              </w:rPr>
              <w:t>9.3</w:t>
            </w:r>
          </w:p>
        </w:tc>
        <w:tc>
          <w:tcPr>
            <w:tcW w:w="1200" w:type="dxa"/>
            <w:shd w:val="clear" w:color="000000" w:fill="DBE5F1"/>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23.9</w:t>
            </w:r>
          </w:p>
        </w:tc>
      </w:tr>
      <w:tr w:rsidR="00C92456" w:rsidRPr="005378E6" w:rsidTr="00FF183A">
        <w:trPr>
          <w:trHeight w:val="315"/>
          <w:jc w:val="center"/>
        </w:trPr>
        <w:tc>
          <w:tcPr>
            <w:tcW w:w="2402" w:type="dxa"/>
            <w:shd w:val="clear" w:color="000000" w:fill="DBE5F1"/>
            <w:vAlign w:val="center"/>
            <w:hideMark/>
          </w:tcPr>
          <w:p w:rsidR="00C92456" w:rsidRPr="005378E6" w:rsidRDefault="00C92456" w:rsidP="00C92456">
            <w:pPr>
              <w:adjustRightInd/>
              <w:spacing w:before="40" w:after="40" w:line="240" w:lineRule="auto"/>
              <w:textAlignment w:val="auto"/>
              <w:rPr>
                <w:rFonts w:ascii="Calibri" w:hAnsi="Calibri"/>
                <w:color w:val="000000"/>
                <w:sz w:val="18"/>
                <w:szCs w:val="18"/>
              </w:rPr>
            </w:pPr>
            <w:r>
              <w:rPr>
                <w:rFonts w:ascii="Calibri" w:eastAsia="Calibri" w:hAnsi="Calibri"/>
                <w:b/>
                <w:bCs/>
                <w:color w:val="000000"/>
                <w:sz w:val="18"/>
                <w:szCs w:val="18"/>
              </w:rPr>
              <w:t xml:space="preserve">2030 </w:t>
            </w:r>
            <w:r w:rsidRPr="005378E6">
              <w:rPr>
                <w:rFonts w:ascii="Calibri" w:eastAsia="Calibri" w:hAnsi="Calibri"/>
                <w:b/>
                <w:bCs/>
                <w:color w:val="000000"/>
                <w:sz w:val="18"/>
                <w:szCs w:val="18"/>
              </w:rPr>
              <w:t>Constrained</w:t>
            </w:r>
          </w:p>
        </w:tc>
        <w:tc>
          <w:tcPr>
            <w:tcW w:w="1200" w:type="dxa"/>
            <w:shd w:val="clear" w:color="000000" w:fill="DBE5F1"/>
            <w:vAlign w:val="center"/>
            <w:hideMark/>
          </w:tcPr>
          <w:p w:rsidR="00C92456" w:rsidRPr="005378E6" w:rsidRDefault="00FF183A" w:rsidP="00C92456">
            <w:pPr>
              <w:adjustRightInd/>
              <w:spacing w:before="40" w:after="40" w:line="240" w:lineRule="auto"/>
              <w:ind w:firstLineChars="100" w:firstLine="180"/>
              <w:jc w:val="right"/>
              <w:textAlignment w:val="auto"/>
              <w:rPr>
                <w:rFonts w:ascii="Calibri" w:hAnsi="Calibri"/>
                <w:color w:val="000000"/>
                <w:sz w:val="18"/>
                <w:szCs w:val="18"/>
              </w:rPr>
            </w:pPr>
            <w:r>
              <w:rPr>
                <w:rFonts w:ascii="Calibri" w:hAnsi="Calibri"/>
                <w:color w:val="000000"/>
                <w:sz w:val="18"/>
                <w:szCs w:val="18"/>
              </w:rPr>
              <w:t>−</w:t>
            </w:r>
            <w:r w:rsidR="00C92456" w:rsidRPr="005378E6">
              <w:rPr>
                <w:rFonts w:ascii="Calibri" w:hAnsi="Calibri"/>
                <w:color w:val="000000"/>
                <w:sz w:val="18"/>
                <w:szCs w:val="18"/>
              </w:rPr>
              <w:t>9.6</w:t>
            </w:r>
          </w:p>
        </w:tc>
        <w:tc>
          <w:tcPr>
            <w:tcW w:w="1200" w:type="dxa"/>
            <w:shd w:val="clear" w:color="000000" w:fill="DBE5F1"/>
            <w:vAlign w:val="center"/>
            <w:hideMark/>
          </w:tcPr>
          <w:p w:rsidR="00C92456" w:rsidRPr="005378E6" w:rsidRDefault="00FF183A" w:rsidP="00C92456">
            <w:pPr>
              <w:adjustRightInd/>
              <w:spacing w:before="40" w:after="40" w:line="240" w:lineRule="auto"/>
              <w:ind w:firstLineChars="100" w:firstLine="180"/>
              <w:jc w:val="right"/>
              <w:textAlignment w:val="auto"/>
              <w:rPr>
                <w:rFonts w:ascii="Calibri" w:hAnsi="Calibri"/>
                <w:color w:val="000000"/>
                <w:sz w:val="18"/>
                <w:szCs w:val="18"/>
              </w:rPr>
            </w:pPr>
            <w:r>
              <w:rPr>
                <w:rFonts w:ascii="Calibri" w:hAnsi="Calibri"/>
                <w:color w:val="000000"/>
                <w:sz w:val="18"/>
                <w:szCs w:val="18"/>
              </w:rPr>
              <w:t>−</w:t>
            </w:r>
            <w:r w:rsidR="00C92456" w:rsidRPr="005378E6">
              <w:rPr>
                <w:rFonts w:ascii="Calibri" w:hAnsi="Calibri"/>
                <w:color w:val="000000"/>
                <w:sz w:val="18"/>
                <w:szCs w:val="18"/>
              </w:rPr>
              <w:t>2.9</w:t>
            </w:r>
          </w:p>
        </w:tc>
        <w:tc>
          <w:tcPr>
            <w:tcW w:w="1200" w:type="dxa"/>
            <w:shd w:val="clear" w:color="000000" w:fill="DBE5F1"/>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56.1</w:t>
            </w:r>
          </w:p>
        </w:tc>
        <w:tc>
          <w:tcPr>
            <w:tcW w:w="1200" w:type="dxa"/>
            <w:shd w:val="clear" w:color="000000" w:fill="DBE5F1"/>
            <w:vAlign w:val="center"/>
            <w:hideMark/>
          </w:tcPr>
          <w:p w:rsidR="00C92456" w:rsidRPr="005378E6" w:rsidRDefault="00FF183A" w:rsidP="00C92456">
            <w:pPr>
              <w:adjustRightInd/>
              <w:spacing w:before="40" w:after="40" w:line="240" w:lineRule="auto"/>
              <w:ind w:firstLineChars="100" w:firstLine="180"/>
              <w:jc w:val="right"/>
              <w:textAlignment w:val="auto"/>
              <w:rPr>
                <w:rFonts w:ascii="Calibri" w:hAnsi="Calibri"/>
                <w:color w:val="000000"/>
                <w:sz w:val="18"/>
                <w:szCs w:val="18"/>
              </w:rPr>
            </w:pPr>
            <w:r>
              <w:rPr>
                <w:rFonts w:ascii="Calibri" w:hAnsi="Calibri"/>
                <w:color w:val="000000"/>
                <w:sz w:val="18"/>
                <w:szCs w:val="18"/>
              </w:rPr>
              <w:t>−</w:t>
            </w:r>
            <w:r w:rsidR="00C92456" w:rsidRPr="005378E6">
              <w:rPr>
                <w:rFonts w:ascii="Calibri" w:hAnsi="Calibri"/>
                <w:color w:val="000000"/>
                <w:sz w:val="18"/>
                <w:szCs w:val="18"/>
              </w:rPr>
              <w:t>3.2</w:t>
            </w:r>
          </w:p>
        </w:tc>
        <w:tc>
          <w:tcPr>
            <w:tcW w:w="1200" w:type="dxa"/>
            <w:shd w:val="clear" w:color="000000" w:fill="DBE5F1"/>
            <w:vAlign w:val="center"/>
            <w:hideMark/>
          </w:tcPr>
          <w:p w:rsidR="00C92456" w:rsidRPr="005378E6" w:rsidRDefault="00FF183A" w:rsidP="00C92456">
            <w:pPr>
              <w:adjustRightInd/>
              <w:spacing w:before="40" w:after="40" w:line="240" w:lineRule="auto"/>
              <w:ind w:firstLineChars="100" w:firstLine="180"/>
              <w:jc w:val="right"/>
              <w:textAlignment w:val="auto"/>
              <w:rPr>
                <w:rFonts w:ascii="Calibri" w:hAnsi="Calibri"/>
                <w:color w:val="000000"/>
                <w:sz w:val="18"/>
                <w:szCs w:val="18"/>
              </w:rPr>
            </w:pPr>
            <w:r>
              <w:rPr>
                <w:rFonts w:ascii="Calibri" w:hAnsi="Calibri"/>
                <w:color w:val="000000"/>
                <w:sz w:val="18"/>
                <w:szCs w:val="18"/>
              </w:rPr>
              <w:t>−</w:t>
            </w:r>
            <w:r w:rsidR="00C92456" w:rsidRPr="005378E6">
              <w:rPr>
                <w:rFonts w:ascii="Calibri" w:hAnsi="Calibri"/>
                <w:color w:val="000000"/>
                <w:sz w:val="18"/>
                <w:szCs w:val="18"/>
              </w:rPr>
              <w:t>8.6</w:t>
            </w:r>
          </w:p>
        </w:tc>
        <w:tc>
          <w:tcPr>
            <w:tcW w:w="1200" w:type="dxa"/>
            <w:shd w:val="clear" w:color="000000" w:fill="DBE5F1"/>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17.1</w:t>
            </w:r>
          </w:p>
        </w:tc>
      </w:tr>
      <w:tr w:rsidR="005378E6" w:rsidRPr="005378E6" w:rsidTr="002F02F1">
        <w:trPr>
          <w:trHeight w:val="315"/>
          <w:jc w:val="center"/>
        </w:trPr>
        <w:tc>
          <w:tcPr>
            <w:tcW w:w="9602" w:type="dxa"/>
            <w:gridSpan w:val="7"/>
            <w:shd w:val="clear" w:color="auto" w:fill="B8CCE4" w:themeFill="accent1" w:themeFillTint="66"/>
            <w:vAlign w:val="center"/>
            <w:hideMark/>
          </w:tcPr>
          <w:p w:rsidR="005378E6" w:rsidRPr="005378E6" w:rsidRDefault="005378E6" w:rsidP="00C92456">
            <w:pPr>
              <w:adjustRightInd/>
              <w:spacing w:before="40" w:after="40" w:line="240" w:lineRule="auto"/>
              <w:jc w:val="center"/>
              <w:textAlignment w:val="auto"/>
              <w:rPr>
                <w:rFonts w:ascii="Calibri" w:hAnsi="Calibri"/>
                <w:b/>
                <w:bCs/>
                <w:color w:val="FFFFFF"/>
                <w:sz w:val="18"/>
                <w:szCs w:val="18"/>
              </w:rPr>
            </w:pPr>
            <w:r w:rsidRPr="002F02F1">
              <w:rPr>
                <w:rFonts w:ascii="Calibri" w:hAnsi="Calibri"/>
                <w:b/>
                <w:bCs/>
                <w:color w:val="000000" w:themeColor="text1"/>
                <w:sz w:val="18"/>
                <w:szCs w:val="18"/>
              </w:rPr>
              <w:t>Energy Storage Capacity (MW)</w:t>
            </w:r>
          </w:p>
        </w:tc>
      </w:tr>
      <w:tr w:rsidR="00C92456" w:rsidRPr="005378E6" w:rsidTr="00FF183A">
        <w:trPr>
          <w:trHeight w:val="315"/>
          <w:jc w:val="center"/>
        </w:trPr>
        <w:tc>
          <w:tcPr>
            <w:tcW w:w="2402" w:type="dxa"/>
            <w:shd w:val="clear" w:color="auto" w:fill="auto"/>
            <w:vAlign w:val="center"/>
            <w:hideMark/>
          </w:tcPr>
          <w:p w:rsidR="00C92456" w:rsidRPr="005378E6" w:rsidRDefault="00C92456" w:rsidP="00C92456">
            <w:pPr>
              <w:adjustRightInd/>
              <w:spacing w:before="40" w:after="40" w:line="240" w:lineRule="auto"/>
              <w:textAlignment w:val="auto"/>
              <w:rPr>
                <w:rFonts w:ascii="Calibri" w:hAnsi="Calibri"/>
                <w:color w:val="000000"/>
                <w:sz w:val="18"/>
                <w:szCs w:val="18"/>
              </w:rPr>
            </w:pPr>
            <w:r>
              <w:rPr>
                <w:rFonts w:ascii="Calibri" w:eastAsia="Calibri" w:hAnsi="Calibri"/>
                <w:b/>
                <w:bCs/>
                <w:color w:val="000000"/>
                <w:sz w:val="18"/>
                <w:szCs w:val="18"/>
              </w:rPr>
              <w:t xml:space="preserve">2025 </w:t>
            </w:r>
            <w:r w:rsidRPr="005378E6">
              <w:rPr>
                <w:rFonts w:ascii="Calibri" w:eastAsia="Calibri" w:hAnsi="Calibri"/>
                <w:b/>
                <w:bCs/>
                <w:color w:val="000000"/>
                <w:sz w:val="18"/>
                <w:szCs w:val="18"/>
              </w:rPr>
              <w:t>Unconstrained</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eastAsia="Calibri" w:hAnsi="Calibri"/>
                <w:color w:val="000000"/>
                <w:sz w:val="18"/>
                <w:szCs w:val="18"/>
              </w:rPr>
              <w:t>1,832</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eastAsia="Calibri" w:hAnsi="Calibri"/>
                <w:color w:val="000000"/>
                <w:sz w:val="18"/>
                <w:szCs w:val="18"/>
              </w:rPr>
              <w:t>1,832</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eastAsia="Calibri" w:hAnsi="Calibri"/>
                <w:color w:val="000000"/>
                <w:sz w:val="18"/>
                <w:szCs w:val="18"/>
              </w:rPr>
              <w:t>3,152</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eastAsia="Calibri" w:hAnsi="Calibri"/>
                <w:color w:val="000000"/>
                <w:sz w:val="18"/>
                <w:szCs w:val="18"/>
              </w:rPr>
              <w:t>1,832</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eastAsia="Calibri" w:hAnsi="Calibri"/>
                <w:color w:val="000000"/>
                <w:sz w:val="18"/>
                <w:szCs w:val="18"/>
              </w:rPr>
              <w:t>1,832</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eastAsia="Calibri" w:hAnsi="Calibri"/>
                <w:color w:val="000000"/>
                <w:sz w:val="18"/>
                <w:szCs w:val="18"/>
              </w:rPr>
              <w:t>1,832</w:t>
            </w:r>
          </w:p>
        </w:tc>
      </w:tr>
      <w:tr w:rsidR="00C92456" w:rsidRPr="005378E6" w:rsidTr="00FF183A">
        <w:trPr>
          <w:trHeight w:val="315"/>
          <w:jc w:val="center"/>
        </w:trPr>
        <w:tc>
          <w:tcPr>
            <w:tcW w:w="2402" w:type="dxa"/>
            <w:shd w:val="clear" w:color="auto" w:fill="auto"/>
            <w:vAlign w:val="center"/>
            <w:hideMark/>
          </w:tcPr>
          <w:p w:rsidR="00C92456" w:rsidRPr="005378E6" w:rsidRDefault="00C92456" w:rsidP="00FF183A">
            <w:pPr>
              <w:adjustRightInd/>
              <w:spacing w:before="40" w:after="40" w:line="240" w:lineRule="auto"/>
              <w:textAlignment w:val="auto"/>
              <w:rPr>
                <w:rFonts w:ascii="Calibri" w:hAnsi="Calibri"/>
                <w:color w:val="000000"/>
                <w:sz w:val="18"/>
                <w:szCs w:val="18"/>
              </w:rPr>
            </w:pPr>
            <w:r>
              <w:rPr>
                <w:rFonts w:ascii="Calibri" w:eastAsia="Calibri" w:hAnsi="Calibri"/>
                <w:b/>
                <w:bCs/>
                <w:color w:val="000000"/>
                <w:sz w:val="18"/>
                <w:szCs w:val="18"/>
              </w:rPr>
              <w:t xml:space="preserve">2025 </w:t>
            </w:r>
            <w:r w:rsidRPr="005378E6">
              <w:rPr>
                <w:rFonts w:ascii="Calibri" w:eastAsia="Calibri" w:hAnsi="Calibri"/>
                <w:b/>
                <w:bCs/>
                <w:color w:val="000000"/>
                <w:sz w:val="18"/>
                <w:szCs w:val="18"/>
              </w:rPr>
              <w:t>Constrained</w:t>
            </w:r>
            <w:r w:rsidRPr="005378E6">
              <w:rPr>
                <w:rFonts w:ascii="Calibri" w:hAnsi="Calibri"/>
                <w:color w:val="000000"/>
                <w:sz w:val="18"/>
                <w:szCs w:val="18"/>
              </w:rPr>
              <w:t> </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1,832</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1,832</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3,152</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1,832</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1,832</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1,832</w:t>
            </w:r>
          </w:p>
        </w:tc>
      </w:tr>
      <w:tr w:rsidR="00C92456" w:rsidRPr="005378E6" w:rsidTr="00FF183A">
        <w:trPr>
          <w:trHeight w:val="315"/>
          <w:jc w:val="center"/>
        </w:trPr>
        <w:tc>
          <w:tcPr>
            <w:tcW w:w="2402" w:type="dxa"/>
            <w:shd w:val="clear" w:color="000000" w:fill="DBE5F1"/>
            <w:vAlign w:val="center"/>
            <w:hideMark/>
          </w:tcPr>
          <w:p w:rsidR="00C92456" w:rsidRPr="005378E6" w:rsidRDefault="00C92456" w:rsidP="00C92456">
            <w:pPr>
              <w:adjustRightInd/>
              <w:spacing w:before="40" w:after="40" w:line="240" w:lineRule="auto"/>
              <w:textAlignment w:val="auto"/>
              <w:rPr>
                <w:rFonts w:ascii="Calibri" w:hAnsi="Calibri"/>
                <w:color w:val="000000"/>
                <w:sz w:val="18"/>
                <w:szCs w:val="18"/>
              </w:rPr>
            </w:pPr>
            <w:r>
              <w:rPr>
                <w:rFonts w:ascii="Calibri" w:eastAsia="Calibri" w:hAnsi="Calibri"/>
                <w:b/>
                <w:bCs/>
                <w:color w:val="000000"/>
                <w:sz w:val="18"/>
                <w:szCs w:val="18"/>
              </w:rPr>
              <w:t xml:space="preserve">2030 </w:t>
            </w:r>
            <w:r w:rsidRPr="005378E6">
              <w:rPr>
                <w:rFonts w:ascii="Calibri" w:eastAsia="Calibri" w:hAnsi="Calibri"/>
                <w:b/>
                <w:bCs/>
                <w:color w:val="000000"/>
                <w:sz w:val="18"/>
                <w:szCs w:val="18"/>
              </w:rPr>
              <w:t>Unconstrained</w:t>
            </w:r>
          </w:p>
        </w:tc>
        <w:tc>
          <w:tcPr>
            <w:tcW w:w="1200" w:type="dxa"/>
            <w:shd w:val="clear" w:color="000000" w:fill="DBE5F1"/>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1,832</w:t>
            </w:r>
          </w:p>
        </w:tc>
        <w:tc>
          <w:tcPr>
            <w:tcW w:w="1200" w:type="dxa"/>
            <w:shd w:val="clear" w:color="000000" w:fill="DBE5F1"/>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1,832</w:t>
            </w:r>
          </w:p>
        </w:tc>
        <w:tc>
          <w:tcPr>
            <w:tcW w:w="1200" w:type="dxa"/>
            <w:shd w:val="clear" w:color="000000" w:fill="DBE5F1"/>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4,582</w:t>
            </w:r>
          </w:p>
        </w:tc>
        <w:tc>
          <w:tcPr>
            <w:tcW w:w="1200" w:type="dxa"/>
            <w:shd w:val="clear" w:color="000000" w:fill="DBE5F1"/>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1,832</w:t>
            </w:r>
          </w:p>
        </w:tc>
        <w:tc>
          <w:tcPr>
            <w:tcW w:w="1200" w:type="dxa"/>
            <w:shd w:val="clear" w:color="000000" w:fill="DBE5F1"/>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1,832</w:t>
            </w:r>
          </w:p>
        </w:tc>
        <w:tc>
          <w:tcPr>
            <w:tcW w:w="1200" w:type="dxa"/>
            <w:shd w:val="clear" w:color="000000" w:fill="DBE5F1"/>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1,832</w:t>
            </w:r>
          </w:p>
        </w:tc>
      </w:tr>
      <w:tr w:rsidR="00C92456" w:rsidRPr="005378E6" w:rsidTr="00FF183A">
        <w:trPr>
          <w:trHeight w:val="315"/>
          <w:jc w:val="center"/>
        </w:trPr>
        <w:tc>
          <w:tcPr>
            <w:tcW w:w="2402" w:type="dxa"/>
            <w:shd w:val="clear" w:color="000000" w:fill="DBE5F1"/>
            <w:vAlign w:val="center"/>
            <w:hideMark/>
          </w:tcPr>
          <w:p w:rsidR="00C92456" w:rsidRPr="005378E6" w:rsidRDefault="00C92456" w:rsidP="00FF183A">
            <w:pPr>
              <w:adjustRightInd/>
              <w:spacing w:before="40" w:after="40" w:line="240" w:lineRule="auto"/>
              <w:textAlignment w:val="auto"/>
              <w:rPr>
                <w:rFonts w:ascii="Calibri" w:hAnsi="Calibri"/>
                <w:color w:val="000000"/>
                <w:sz w:val="18"/>
                <w:szCs w:val="18"/>
              </w:rPr>
            </w:pPr>
            <w:r>
              <w:rPr>
                <w:rFonts w:ascii="Calibri" w:eastAsia="Calibri" w:hAnsi="Calibri"/>
                <w:b/>
                <w:bCs/>
                <w:color w:val="000000"/>
                <w:sz w:val="18"/>
                <w:szCs w:val="18"/>
              </w:rPr>
              <w:t xml:space="preserve">2030 </w:t>
            </w:r>
            <w:r w:rsidRPr="005378E6">
              <w:rPr>
                <w:rFonts w:ascii="Calibri" w:eastAsia="Calibri" w:hAnsi="Calibri"/>
                <w:b/>
                <w:bCs/>
                <w:color w:val="000000"/>
                <w:sz w:val="18"/>
                <w:szCs w:val="18"/>
              </w:rPr>
              <w:t>Constrained</w:t>
            </w:r>
            <w:r w:rsidRPr="005378E6">
              <w:rPr>
                <w:rFonts w:ascii="Calibri" w:hAnsi="Calibri"/>
                <w:color w:val="000000"/>
                <w:sz w:val="18"/>
                <w:szCs w:val="18"/>
              </w:rPr>
              <w:t> </w:t>
            </w:r>
          </w:p>
        </w:tc>
        <w:tc>
          <w:tcPr>
            <w:tcW w:w="1200" w:type="dxa"/>
            <w:shd w:val="clear" w:color="000000" w:fill="DBE5F1"/>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1,832</w:t>
            </w:r>
          </w:p>
        </w:tc>
        <w:tc>
          <w:tcPr>
            <w:tcW w:w="1200" w:type="dxa"/>
            <w:shd w:val="clear" w:color="000000" w:fill="DBE5F1"/>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1,832</w:t>
            </w:r>
          </w:p>
        </w:tc>
        <w:tc>
          <w:tcPr>
            <w:tcW w:w="1200" w:type="dxa"/>
            <w:shd w:val="clear" w:color="000000" w:fill="DBE5F1"/>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4,582</w:t>
            </w:r>
          </w:p>
        </w:tc>
        <w:tc>
          <w:tcPr>
            <w:tcW w:w="1200" w:type="dxa"/>
            <w:shd w:val="clear" w:color="000000" w:fill="DBE5F1"/>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1,832</w:t>
            </w:r>
          </w:p>
        </w:tc>
        <w:tc>
          <w:tcPr>
            <w:tcW w:w="1200" w:type="dxa"/>
            <w:shd w:val="clear" w:color="000000" w:fill="DBE5F1"/>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1,832</w:t>
            </w:r>
          </w:p>
        </w:tc>
        <w:tc>
          <w:tcPr>
            <w:tcW w:w="1200" w:type="dxa"/>
            <w:shd w:val="clear" w:color="000000" w:fill="DBE5F1"/>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1,832</w:t>
            </w:r>
          </w:p>
        </w:tc>
      </w:tr>
      <w:tr w:rsidR="005378E6" w:rsidRPr="005378E6" w:rsidTr="002F02F1">
        <w:trPr>
          <w:trHeight w:val="315"/>
          <w:jc w:val="center"/>
        </w:trPr>
        <w:tc>
          <w:tcPr>
            <w:tcW w:w="9602" w:type="dxa"/>
            <w:gridSpan w:val="7"/>
            <w:shd w:val="clear" w:color="auto" w:fill="B8CCE4" w:themeFill="accent1" w:themeFillTint="66"/>
            <w:vAlign w:val="center"/>
            <w:hideMark/>
          </w:tcPr>
          <w:p w:rsidR="005378E6" w:rsidRPr="005378E6" w:rsidRDefault="005378E6" w:rsidP="00C92456">
            <w:pPr>
              <w:adjustRightInd/>
              <w:spacing w:before="40" w:after="40" w:line="240" w:lineRule="auto"/>
              <w:jc w:val="center"/>
              <w:textAlignment w:val="auto"/>
              <w:rPr>
                <w:rFonts w:ascii="Calibri" w:hAnsi="Calibri"/>
                <w:b/>
                <w:bCs/>
                <w:color w:val="FFFFFF"/>
                <w:sz w:val="18"/>
                <w:szCs w:val="18"/>
              </w:rPr>
            </w:pPr>
            <w:r w:rsidRPr="002F02F1">
              <w:rPr>
                <w:rFonts w:ascii="Calibri" w:hAnsi="Calibri"/>
                <w:b/>
                <w:bCs/>
                <w:color w:val="000000" w:themeColor="text1"/>
                <w:sz w:val="18"/>
                <w:szCs w:val="18"/>
              </w:rPr>
              <w:t>Net Revenue ($/kW-yr)</w:t>
            </w:r>
          </w:p>
        </w:tc>
      </w:tr>
      <w:tr w:rsidR="00C92456" w:rsidRPr="005378E6" w:rsidTr="00FF183A">
        <w:trPr>
          <w:trHeight w:val="315"/>
          <w:jc w:val="center"/>
        </w:trPr>
        <w:tc>
          <w:tcPr>
            <w:tcW w:w="2402" w:type="dxa"/>
            <w:shd w:val="clear" w:color="auto" w:fill="auto"/>
            <w:vAlign w:val="center"/>
            <w:hideMark/>
          </w:tcPr>
          <w:p w:rsidR="00C92456" w:rsidRPr="005378E6" w:rsidRDefault="00C92456" w:rsidP="00C92456">
            <w:pPr>
              <w:adjustRightInd/>
              <w:spacing w:before="40" w:after="40" w:line="240" w:lineRule="auto"/>
              <w:textAlignment w:val="auto"/>
              <w:rPr>
                <w:rFonts w:ascii="Calibri" w:hAnsi="Calibri"/>
                <w:color w:val="000000"/>
                <w:sz w:val="18"/>
                <w:szCs w:val="18"/>
              </w:rPr>
            </w:pPr>
            <w:r>
              <w:rPr>
                <w:rFonts w:ascii="Calibri" w:eastAsia="Calibri" w:hAnsi="Calibri"/>
                <w:b/>
                <w:bCs/>
                <w:color w:val="000000"/>
                <w:sz w:val="18"/>
                <w:szCs w:val="18"/>
              </w:rPr>
              <w:t xml:space="preserve">2025 </w:t>
            </w:r>
            <w:r w:rsidRPr="005378E6">
              <w:rPr>
                <w:rFonts w:ascii="Calibri" w:eastAsia="Calibri" w:hAnsi="Calibri"/>
                <w:b/>
                <w:bCs/>
                <w:color w:val="000000"/>
                <w:sz w:val="18"/>
                <w:szCs w:val="18"/>
              </w:rPr>
              <w:t>Unconstrained</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eastAsia="Calibri" w:hAnsi="Calibri"/>
                <w:color w:val="000000"/>
                <w:sz w:val="18"/>
                <w:szCs w:val="18"/>
              </w:rPr>
              <w:t>1.03</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eastAsia="Calibri" w:hAnsi="Calibri"/>
                <w:color w:val="000000"/>
                <w:sz w:val="18"/>
                <w:szCs w:val="18"/>
              </w:rPr>
              <w:t>6.02</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eastAsia="Calibri" w:hAnsi="Calibri"/>
                <w:color w:val="000000"/>
                <w:sz w:val="18"/>
                <w:szCs w:val="18"/>
              </w:rPr>
              <w:t>3.85</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eastAsia="Calibri" w:hAnsi="Calibri"/>
                <w:color w:val="000000"/>
                <w:sz w:val="18"/>
                <w:szCs w:val="18"/>
              </w:rPr>
              <w:t>0.19</w:t>
            </w:r>
          </w:p>
        </w:tc>
        <w:tc>
          <w:tcPr>
            <w:tcW w:w="1200" w:type="dxa"/>
            <w:shd w:val="clear" w:color="auto" w:fill="auto"/>
            <w:vAlign w:val="center"/>
            <w:hideMark/>
          </w:tcPr>
          <w:p w:rsidR="00C92456" w:rsidRPr="005378E6" w:rsidRDefault="00FF183A" w:rsidP="00C92456">
            <w:pPr>
              <w:adjustRightInd/>
              <w:spacing w:before="40" w:after="40" w:line="240" w:lineRule="auto"/>
              <w:ind w:firstLineChars="100" w:firstLine="180"/>
              <w:jc w:val="right"/>
              <w:textAlignment w:val="auto"/>
              <w:rPr>
                <w:rFonts w:ascii="Calibri" w:hAnsi="Calibri"/>
                <w:color w:val="000000"/>
                <w:sz w:val="18"/>
                <w:szCs w:val="18"/>
              </w:rPr>
            </w:pPr>
            <w:r>
              <w:rPr>
                <w:rFonts w:ascii="Calibri" w:eastAsia="Calibri" w:hAnsi="Calibri"/>
                <w:color w:val="000000"/>
                <w:sz w:val="18"/>
                <w:szCs w:val="18"/>
              </w:rPr>
              <w:t>−</w:t>
            </w:r>
            <w:r w:rsidR="00C92456" w:rsidRPr="005378E6">
              <w:rPr>
                <w:rFonts w:ascii="Calibri" w:eastAsia="Calibri" w:hAnsi="Calibri"/>
                <w:color w:val="000000"/>
                <w:sz w:val="18"/>
                <w:szCs w:val="18"/>
              </w:rPr>
              <w:t>0.83</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eastAsia="Calibri" w:hAnsi="Calibri"/>
                <w:color w:val="000000"/>
                <w:sz w:val="18"/>
                <w:szCs w:val="18"/>
              </w:rPr>
              <w:t>3.69</w:t>
            </w:r>
          </w:p>
        </w:tc>
      </w:tr>
      <w:tr w:rsidR="00C92456" w:rsidRPr="005378E6" w:rsidTr="00FF183A">
        <w:trPr>
          <w:trHeight w:val="315"/>
          <w:jc w:val="center"/>
        </w:trPr>
        <w:tc>
          <w:tcPr>
            <w:tcW w:w="2402" w:type="dxa"/>
            <w:shd w:val="clear" w:color="auto" w:fill="auto"/>
            <w:vAlign w:val="center"/>
            <w:hideMark/>
          </w:tcPr>
          <w:p w:rsidR="00C92456" w:rsidRPr="005378E6" w:rsidRDefault="00C92456" w:rsidP="00C92456">
            <w:pPr>
              <w:adjustRightInd/>
              <w:spacing w:before="40" w:after="40" w:line="240" w:lineRule="auto"/>
              <w:textAlignment w:val="auto"/>
              <w:rPr>
                <w:rFonts w:ascii="Calibri" w:hAnsi="Calibri"/>
                <w:color w:val="000000"/>
                <w:sz w:val="18"/>
                <w:szCs w:val="18"/>
              </w:rPr>
            </w:pPr>
            <w:r>
              <w:rPr>
                <w:rFonts w:ascii="Calibri" w:eastAsia="Calibri" w:hAnsi="Calibri"/>
                <w:b/>
                <w:bCs/>
                <w:color w:val="000000"/>
                <w:sz w:val="18"/>
                <w:szCs w:val="18"/>
              </w:rPr>
              <w:t xml:space="preserve">2025 </w:t>
            </w:r>
            <w:r w:rsidRPr="005378E6">
              <w:rPr>
                <w:rFonts w:ascii="Calibri" w:eastAsia="Calibri" w:hAnsi="Calibri"/>
                <w:b/>
                <w:bCs/>
                <w:color w:val="000000"/>
                <w:sz w:val="18"/>
                <w:szCs w:val="18"/>
              </w:rPr>
              <w:t>Constrained</w:t>
            </w:r>
            <w:r w:rsidRPr="005378E6">
              <w:rPr>
                <w:rFonts w:ascii="Calibri" w:hAnsi="Calibri"/>
                <w:color w:val="000000"/>
                <w:sz w:val="18"/>
                <w:szCs w:val="18"/>
              </w:rPr>
              <w:t> </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0.35</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1.84</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1.12</w:t>
            </w:r>
          </w:p>
        </w:tc>
        <w:tc>
          <w:tcPr>
            <w:tcW w:w="1200" w:type="dxa"/>
            <w:shd w:val="clear" w:color="auto" w:fill="auto"/>
            <w:vAlign w:val="center"/>
            <w:hideMark/>
          </w:tcPr>
          <w:p w:rsidR="00C92456" w:rsidRPr="005378E6" w:rsidRDefault="00FF183A" w:rsidP="00C92456">
            <w:pPr>
              <w:adjustRightInd/>
              <w:spacing w:before="40" w:after="40" w:line="240" w:lineRule="auto"/>
              <w:ind w:firstLineChars="100" w:firstLine="180"/>
              <w:jc w:val="right"/>
              <w:textAlignment w:val="auto"/>
              <w:rPr>
                <w:rFonts w:ascii="Calibri" w:hAnsi="Calibri"/>
                <w:color w:val="000000"/>
                <w:sz w:val="18"/>
                <w:szCs w:val="18"/>
              </w:rPr>
            </w:pPr>
            <w:r>
              <w:rPr>
                <w:rFonts w:ascii="Calibri" w:hAnsi="Calibri"/>
                <w:color w:val="000000"/>
                <w:sz w:val="18"/>
                <w:szCs w:val="18"/>
              </w:rPr>
              <w:t>−</w:t>
            </w:r>
            <w:r w:rsidR="00C92456" w:rsidRPr="005378E6">
              <w:rPr>
                <w:rFonts w:ascii="Calibri" w:hAnsi="Calibri"/>
                <w:color w:val="000000"/>
                <w:sz w:val="18"/>
                <w:szCs w:val="18"/>
              </w:rPr>
              <w:t>0.03</w:t>
            </w:r>
          </w:p>
        </w:tc>
        <w:tc>
          <w:tcPr>
            <w:tcW w:w="1200" w:type="dxa"/>
            <w:shd w:val="clear" w:color="auto" w:fill="auto"/>
            <w:vAlign w:val="center"/>
            <w:hideMark/>
          </w:tcPr>
          <w:p w:rsidR="00C92456" w:rsidRPr="005378E6" w:rsidRDefault="00FF183A" w:rsidP="00C92456">
            <w:pPr>
              <w:adjustRightInd/>
              <w:spacing w:before="40" w:after="40" w:line="240" w:lineRule="auto"/>
              <w:ind w:firstLineChars="100" w:firstLine="180"/>
              <w:jc w:val="right"/>
              <w:textAlignment w:val="auto"/>
              <w:rPr>
                <w:rFonts w:ascii="Calibri" w:hAnsi="Calibri"/>
                <w:color w:val="000000"/>
                <w:sz w:val="18"/>
                <w:szCs w:val="18"/>
              </w:rPr>
            </w:pPr>
            <w:r>
              <w:rPr>
                <w:rFonts w:ascii="Calibri" w:hAnsi="Calibri"/>
                <w:color w:val="000000"/>
                <w:sz w:val="18"/>
                <w:szCs w:val="18"/>
              </w:rPr>
              <w:t>−</w:t>
            </w:r>
            <w:r w:rsidR="00C92456" w:rsidRPr="005378E6">
              <w:rPr>
                <w:rFonts w:ascii="Calibri" w:hAnsi="Calibri"/>
                <w:color w:val="000000"/>
                <w:sz w:val="18"/>
                <w:szCs w:val="18"/>
              </w:rPr>
              <w:t>1.01</w:t>
            </w:r>
          </w:p>
        </w:tc>
        <w:tc>
          <w:tcPr>
            <w:tcW w:w="1200" w:type="dxa"/>
            <w:shd w:val="clear" w:color="auto" w:fill="auto"/>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2.29</w:t>
            </w:r>
          </w:p>
        </w:tc>
      </w:tr>
      <w:tr w:rsidR="00C92456" w:rsidRPr="005378E6" w:rsidTr="00FF183A">
        <w:trPr>
          <w:trHeight w:val="315"/>
          <w:jc w:val="center"/>
        </w:trPr>
        <w:tc>
          <w:tcPr>
            <w:tcW w:w="2402" w:type="dxa"/>
            <w:shd w:val="clear" w:color="000000" w:fill="DBE5F1"/>
            <w:vAlign w:val="center"/>
            <w:hideMark/>
          </w:tcPr>
          <w:p w:rsidR="00C92456" w:rsidRPr="005378E6" w:rsidRDefault="00C92456" w:rsidP="00C92456">
            <w:pPr>
              <w:adjustRightInd/>
              <w:spacing w:before="40" w:after="40" w:line="240" w:lineRule="auto"/>
              <w:textAlignment w:val="auto"/>
              <w:rPr>
                <w:rFonts w:ascii="Calibri" w:hAnsi="Calibri"/>
                <w:color w:val="000000"/>
                <w:sz w:val="18"/>
                <w:szCs w:val="18"/>
              </w:rPr>
            </w:pPr>
            <w:r>
              <w:rPr>
                <w:rFonts w:ascii="Calibri" w:eastAsia="Calibri" w:hAnsi="Calibri"/>
                <w:b/>
                <w:bCs/>
                <w:color w:val="000000"/>
                <w:sz w:val="18"/>
                <w:szCs w:val="18"/>
              </w:rPr>
              <w:t xml:space="preserve">2030 </w:t>
            </w:r>
            <w:r w:rsidRPr="005378E6">
              <w:rPr>
                <w:rFonts w:ascii="Calibri" w:eastAsia="Calibri" w:hAnsi="Calibri"/>
                <w:b/>
                <w:bCs/>
                <w:color w:val="000000"/>
                <w:sz w:val="18"/>
                <w:szCs w:val="18"/>
              </w:rPr>
              <w:t>Unconstrained</w:t>
            </w:r>
          </w:p>
        </w:tc>
        <w:tc>
          <w:tcPr>
            <w:tcW w:w="1200" w:type="dxa"/>
            <w:shd w:val="clear" w:color="000000" w:fill="DBE5F1"/>
            <w:vAlign w:val="center"/>
            <w:hideMark/>
          </w:tcPr>
          <w:p w:rsidR="00C92456" w:rsidRPr="005378E6" w:rsidRDefault="00FF183A" w:rsidP="00C92456">
            <w:pPr>
              <w:adjustRightInd/>
              <w:spacing w:before="40" w:after="40" w:line="240" w:lineRule="auto"/>
              <w:ind w:firstLineChars="100" w:firstLine="180"/>
              <w:jc w:val="right"/>
              <w:textAlignment w:val="auto"/>
              <w:rPr>
                <w:rFonts w:ascii="Calibri" w:hAnsi="Calibri"/>
                <w:color w:val="000000"/>
                <w:sz w:val="18"/>
                <w:szCs w:val="18"/>
              </w:rPr>
            </w:pPr>
            <w:r>
              <w:rPr>
                <w:rFonts w:ascii="Calibri" w:hAnsi="Calibri"/>
                <w:color w:val="000000"/>
                <w:sz w:val="18"/>
                <w:szCs w:val="18"/>
              </w:rPr>
              <w:t>−</w:t>
            </w:r>
            <w:r w:rsidR="00C92456" w:rsidRPr="005378E6">
              <w:rPr>
                <w:rFonts w:ascii="Calibri" w:hAnsi="Calibri"/>
                <w:color w:val="000000"/>
                <w:sz w:val="18"/>
                <w:szCs w:val="18"/>
              </w:rPr>
              <w:t>5.21</w:t>
            </w:r>
          </w:p>
        </w:tc>
        <w:tc>
          <w:tcPr>
            <w:tcW w:w="1200" w:type="dxa"/>
            <w:shd w:val="clear" w:color="000000" w:fill="DBE5F1"/>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14.10</w:t>
            </w:r>
          </w:p>
        </w:tc>
        <w:tc>
          <w:tcPr>
            <w:tcW w:w="1200" w:type="dxa"/>
            <w:shd w:val="clear" w:color="000000" w:fill="DBE5F1"/>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13.45</w:t>
            </w:r>
          </w:p>
        </w:tc>
        <w:tc>
          <w:tcPr>
            <w:tcW w:w="1200" w:type="dxa"/>
            <w:shd w:val="clear" w:color="000000" w:fill="DBE5F1"/>
            <w:vAlign w:val="center"/>
            <w:hideMark/>
          </w:tcPr>
          <w:p w:rsidR="00C92456" w:rsidRPr="005378E6" w:rsidRDefault="00FF183A" w:rsidP="00C92456">
            <w:pPr>
              <w:adjustRightInd/>
              <w:spacing w:before="40" w:after="40" w:line="240" w:lineRule="auto"/>
              <w:ind w:firstLineChars="100" w:firstLine="180"/>
              <w:jc w:val="right"/>
              <w:textAlignment w:val="auto"/>
              <w:rPr>
                <w:rFonts w:ascii="Calibri" w:hAnsi="Calibri"/>
                <w:color w:val="000000"/>
                <w:sz w:val="18"/>
                <w:szCs w:val="18"/>
              </w:rPr>
            </w:pPr>
            <w:r>
              <w:rPr>
                <w:rFonts w:ascii="Calibri" w:hAnsi="Calibri"/>
                <w:color w:val="000000"/>
                <w:sz w:val="18"/>
                <w:szCs w:val="18"/>
              </w:rPr>
              <w:t>−</w:t>
            </w:r>
            <w:r w:rsidR="00C92456" w:rsidRPr="005378E6">
              <w:rPr>
                <w:rFonts w:ascii="Calibri" w:hAnsi="Calibri"/>
                <w:color w:val="000000"/>
                <w:sz w:val="18"/>
                <w:szCs w:val="18"/>
              </w:rPr>
              <w:t>1.78</w:t>
            </w:r>
          </w:p>
        </w:tc>
        <w:tc>
          <w:tcPr>
            <w:tcW w:w="1200" w:type="dxa"/>
            <w:shd w:val="clear" w:color="000000" w:fill="DBE5F1"/>
            <w:vAlign w:val="center"/>
            <w:hideMark/>
          </w:tcPr>
          <w:p w:rsidR="00C92456" w:rsidRPr="005378E6" w:rsidRDefault="00FF183A" w:rsidP="00C92456">
            <w:pPr>
              <w:adjustRightInd/>
              <w:spacing w:before="40" w:after="40" w:line="240" w:lineRule="auto"/>
              <w:ind w:firstLineChars="100" w:firstLine="180"/>
              <w:jc w:val="right"/>
              <w:textAlignment w:val="auto"/>
              <w:rPr>
                <w:rFonts w:ascii="Calibri" w:hAnsi="Calibri"/>
                <w:color w:val="000000"/>
                <w:sz w:val="18"/>
                <w:szCs w:val="18"/>
              </w:rPr>
            </w:pPr>
            <w:r>
              <w:rPr>
                <w:rFonts w:ascii="Calibri" w:hAnsi="Calibri"/>
                <w:color w:val="000000"/>
                <w:sz w:val="18"/>
                <w:szCs w:val="18"/>
              </w:rPr>
              <w:t>−</w:t>
            </w:r>
            <w:r w:rsidR="00C92456" w:rsidRPr="005378E6">
              <w:rPr>
                <w:rFonts w:ascii="Calibri" w:hAnsi="Calibri"/>
                <w:color w:val="000000"/>
                <w:sz w:val="18"/>
                <w:szCs w:val="18"/>
              </w:rPr>
              <w:t>5.08</w:t>
            </w:r>
          </w:p>
        </w:tc>
        <w:tc>
          <w:tcPr>
            <w:tcW w:w="1200" w:type="dxa"/>
            <w:shd w:val="clear" w:color="000000" w:fill="DBE5F1"/>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13.05</w:t>
            </w:r>
          </w:p>
        </w:tc>
      </w:tr>
      <w:tr w:rsidR="00C92456" w:rsidRPr="005378E6" w:rsidTr="00FF183A">
        <w:trPr>
          <w:trHeight w:val="315"/>
          <w:jc w:val="center"/>
        </w:trPr>
        <w:tc>
          <w:tcPr>
            <w:tcW w:w="2402" w:type="dxa"/>
            <w:shd w:val="clear" w:color="000000" w:fill="DBE5F1"/>
            <w:vAlign w:val="center"/>
            <w:hideMark/>
          </w:tcPr>
          <w:p w:rsidR="00C92456" w:rsidRPr="005378E6" w:rsidRDefault="00C92456" w:rsidP="00FF183A">
            <w:pPr>
              <w:adjustRightInd/>
              <w:spacing w:before="40" w:after="40" w:line="240" w:lineRule="auto"/>
              <w:textAlignment w:val="auto"/>
              <w:rPr>
                <w:rFonts w:ascii="Calibri" w:hAnsi="Calibri"/>
                <w:color w:val="000000"/>
                <w:sz w:val="18"/>
                <w:szCs w:val="18"/>
              </w:rPr>
            </w:pPr>
            <w:r>
              <w:rPr>
                <w:rFonts w:ascii="Calibri" w:eastAsia="Calibri" w:hAnsi="Calibri"/>
                <w:b/>
                <w:bCs/>
                <w:color w:val="000000"/>
                <w:sz w:val="18"/>
                <w:szCs w:val="18"/>
              </w:rPr>
              <w:t xml:space="preserve">2030 </w:t>
            </w:r>
            <w:r w:rsidRPr="005378E6">
              <w:rPr>
                <w:rFonts w:ascii="Calibri" w:eastAsia="Calibri" w:hAnsi="Calibri"/>
                <w:b/>
                <w:bCs/>
                <w:color w:val="000000"/>
                <w:sz w:val="18"/>
                <w:szCs w:val="18"/>
              </w:rPr>
              <w:t>Constrained</w:t>
            </w:r>
            <w:r w:rsidRPr="005378E6">
              <w:rPr>
                <w:rFonts w:ascii="Calibri" w:hAnsi="Calibri"/>
                <w:color w:val="000000"/>
                <w:sz w:val="18"/>
                <w:szCs w:val="18"/>
              </w:rPr>
              <w:t> </w:t>
            </w:r>
          </w:p>
        </w:tc>
        <w:tc>
          <w:tcPr>
            <w:tcW w:w="1200" w:type="dxa"/>
            <w:shd w:val="clear" w:color="000000" w:fill="DBE5F1"/>
            <w:vAlign w:val="center"/>
            <w:hideMark/>
          </w:tcPr>
          <w:p w:rsidR="00C92456" w:rsidRPr="005378E6" w:rsidRDefault="00FF183A" w:rsidP="00C92456">
            <w:pPr>
              <w:adjustRightInd/>
              <w:spacing w:before="40" w:after="40" w:line="240" w:lineRule="auto"/>
              <w:ind w:firstLineChars="100" w:firstLine="180"/>
              <w:jc w:val="right"/>
              <w:textAlignment w:val="auto"/>
              <w:rPr>
                <w:rFonts w:ascii="Calibri" w:hAnsi="Calibri"/>
                <w:color w:val="000000"/>
                <w:sz w:val="18"/>
                <w:szCs w:val="18"/>
              </w:rPr>
            </w:pPr>
            <w:r>
              <w:rPr>
                <w:rFonts w:ascii="Calibri" w:hAnsi="Calibri"/>
                <w:color w:val="000000"/>
                <w:sz w:val="18"/>
                <w:szCs w:val="18"/>
              </w:rPr>
              <w:t>−</w:t>
            </w:r>
            <w:r w:rsidR="00C92456" w:rsidRPr="005378E6">
              <w:rPr>
                <w:rFonts w:ascii="Calibri" w:hAnsi="Calibri"/>
                <w:color w:val="000000"/>
                <w:sz w:val="18"/>
                <w:szCs w:val="18"/>
              </w:rPr>
              <w:t>5.24</w:t>
            </w:r>
          </w:p>
        </w:tc>
        <w:tc>
          <w:tcPr>
            <w:tcW w:w="1200" w:type="dxa"/>
            <w:shd w:val="clear" w:color="000000" w:fill="DBE5F1"/>
            <w:vAlign w:val="center"/>
            <w:hideMark/>
          </w:tcPr>
          <w:p w:rsidR="00C92456" w:rsidRPr="005378E6" w:rsidRDefault="00FF183A" w:rsidP="00C92456">
            <w:pPr>
              <w:adjustRightInd/>
              <w:spacing w:before="40" w:after="40" w:line="240" w:lineRule="auto"/>
              <w:ind w:firstLineChars="100" w:firstLine="180"/>
              <w:jc w:val="right"/>
              <w:textAlignment w:val="auto"/>
              <w:rPr>
                <w:rFonts w:ascii="Calibri" w:hAnsi="Calibri"/>
                <w:color w:val="000000"/>
                <w:sz w:val="18"/>
                <w:szCs w:val="18"/>
              </w:rPr>
            </w:pPr>
            <w:r>
              <w:rPr>
                <w:rFonts w:ascii="Calibri" w:hAnsi="Calibri"/>
                <w:color w:val="000000"/>
                <w:sz w:val="18"/>
                <w:szCs w:val="18"/>
              </w:rPr>
              <w:t>−</w:t>
            </w:r>
            <w:r w:rsidR="00C92456" w:rsidRPr="005378E6">
              <w:rPr>
                <w:rFonts w:ascii="Calibri" w:hAnsi="Calibri"/>
                <w:color w:val="000000"/>
                <w:sz w:val="18"/>
                <w:szCs w:val="18"/>
              </w:rPr>
              <w:t>1.59</w:t>
            </w:r>
          </w:p>
        </w:tc>
        <w:tc>
          <w:tcPr>
            <w:tcW w:w="1200" w:type="dxa"/>
            <w:shd w:val="clear" w:color="000000" w:fill="DBE5F1"/>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12.25</w:t>
            </w:r>
          </w:p>
        </w:tc>
        <w:tc>
          <w:tcPr>
            <w:tcW w:w="1200" w:type="dxa"/>
            <w:shd w:val="clear" w:color="000000" w:fill="DBE5F1"/>
            <w:vAlign w:val="center"/>
            <w:hideMark/>
          </w:tcPr>
          <w:p w:rsidR="00C92456" w:rsidRPr="005378E6" w:rsidRDefault="00FF183A" w:rsidP="00C92456">
            <w:pPr>
              <w:adjustRightInd/>
              <w:spacing w:before="40" w:after="40" w:line="240" w:lineRule="auto"/>
              <w:ind w:firstLineChars="100" w:firstLine="180"/>
              <w:jc w:val="right"/>
              <w:textAlignment w:val="auto"/>
              <w:rPr>
                <w:rFonts w:ascii="Calibri" w:hAnsi="Calibri"/>
                <w:color w:val="000000"/>
                <w:sz w:val="18"/>
                <w:szCs w:val="18"/>
              </w:rPr>
            </w:pPr>
            <w:r>
              <w:rPr>
                <w:rFonts w:ascii="Calibri" w:hAnsi="Calibri"/>
                <w:color w:val="000000"/>
                <w:sz w:val="18"/>
                <w:szCs w:val="18"/>
              </w:rPr>
              <w:t>−</w:t>
            </w:r>
            <w:r w:rsidR="00C92456" w:rsidRPr="005378E6">
              <w:rPr>
                <w:rFonts w:ascii="Calibri" w:hAnsi="Calibri"/>
                <w:color w:val="000000"/>
                <w:sz w:val="18"/>
                <w:szCs w:val="18"/>
              </w:rPr>
              <w:t>1.73</w:t>
            </w:r>
          </w:p>
        </w:tc>
        <w:tc>
          <w:tcPr>
            <w:tcW w:w="1200" w:type="dxa"/>
            <w:shd w:val="clear" w:color="000000" w:fill="DBE5F1"/>
            <w:vAlign w:val="center"/>
            <w:hideMark/>
          </w:tcPr>
          <w:p w:rsidR="00C92456" w:rsidRPr="005378E6" w:rsidRDefault="00FF183A" w:rsidP="00C92456">
            <w:pPr>
              <w:adjustRightInd/>
              <w:spacing w:before="40" w:after="40" w:line="240" w:lineRule="auto"/>
              <w:ind w:firstLineChars="100" w:firstLine="180"/>
              <w:jc w:val="right"/>
              <w:textAlignment w:val="auto"/>
              <w:rPr>
                <w:rFonts w:ascii="Calibri" w:hAnsi="Calibri"/>
                <w:color w:val="000000"/>
                <w:sz w:val="18"/>
                <w:szCs w:val="18"/>
              </w:rPr>
            </w:pPr>
            <w:r>
              <w:rPr>
                <w:rFonts w:ascii="Calibri" w:hAnsi="Calibri"/>
                <w:color w:val="000000"/>
                <w:sz w:val="18"/>
                <w:szCs w:val="18"/>
              </w:rPr>
              <w:t>−</w:t>
            </w:r>
            <w:r w:rsidR="00C92456" w:rsidRPr="005378E6">
              <w:rPr>
                <w:rFonts w:ascii="Calibri" w:hAnsi="Calibri"/>
                <w:color w:val="000000"/>
                <w:sz w:val="18"/>
                <w:szCs w:val="18"/>
              </w:rPr>
              <w:t>4.70</w:t>
            </w:r>
          </w:p>
        </w:tc>
        <w:tc>
          <w:tcPr>
            <w:tcW w:w="1200" w:type="dxa"/>
            <w:shd w:val="clear" w:color="000000" w:fill="DBE5F1"/>
            <w:vAlign w:val="center"/>
            <w:hideMark/>
          </w:tcPr>
          <w:p w:rsidR="00C92456" w:rsidRPr="005378E6" w:rsidRDefault="00C92456" w:rsidP="00C92456">
            <w:pPr>
              <w:adjustRightInd/>
              <w:spacing w:before="40" w:after="40" w:line="240" w:lineRule="auto"/>
              <w:ind w:firstLineChars="100" w:firstLine="180"/>
              <w:jc w:val="right"/>
              <w:textAlignment w:val="auto"/>
              <w:rPr>
                <w:rFonts w:ascii="Calibri" w:hAnsi="Calibri"/>
                <w:color w:val="000000"/>
                <w:sz w:val="18"/>
                <w:szCs w:val="18"/>
              </w:rPr>
            </w:pPr>
            <w:r w:rsidRPr="005378E6">
              <w:rPr>
                <w:rFonts w:ascii="Calibri" w:hAnsi="Calibri"/>
                <w:color w:val="000000"/>
                <w:sz w:val="18"/>
                <w:szCs w:val="18"/>
              </w:rPr>
              <w:t>9.31</w:t>
            </w:r>
          </w:p>
        </w:tc>
      </w:tr>
    </w:tbl>
    <w:p w:rsidR="005378E6" w:rsidRDefault="005378E6" w:rsidP="005378E6">
      <w:pPr>
        <w:rPr>
          <w:color w:val="FF0000"/>
        </w:rPr>
      </w:pPr>
    </w:p>
    <w:p w:rsidR="00980441" w:rsidRPr="0072013B" w:rsidRDefault="00980441" w:rsidP="00712F7A">
      <w:pPr>
        <w:pStyle w:val="Heading2"/>
      </w:pPr>
      <w:bookmarkStart w:id="322" w:name="_Toc486406001"/>
      <w:bookmarkStart w:id="323" w:name="_Ref487200524"/>
      <w:r>
        <w:t>Transmission System Challenges for High Levels of Inverter</w:t>
      </w:r>
      <w:r w:rsidR="00F76847">
        <w:t>-</w:t>
      </w:r>
      <w:r>
        <w:t>Based Resources</w:t>
      </w:r>
      <w:bookmarkEnd w:id="322"/>
      <w:bookmarkEnd w:id="323"/>
      <w:r w:rsidR="00B75B9D">
        <w:t xml:space="preserve"> </w:t>
      </w:r>
    </w:p>
    <w:p w:rsidR="00227ADC" w:rsidRDefault="00227ADC" w:rsidP="00201D25">
      <w:r>
        <w:t>The large</w:t>
      </w:r>
      <w:r w:rsidR="002964DE">
        <w:t>-</w:t>
      </w:r>
      <w:r>
        <w:t xml:space="preserve">scale development of PV can </w:t>
      </w:r>
      <w:r w:rsidR="00F76847">
        <w:t>a</w:t>
      </w:r>
      <w:r>
        <w:t xml:space="preserve">ffect the net load shape. An example of the “duck curve” is shown in </w:t>
      </w:r>
      <w:r w:rsidR="002309A3" w:rsidRPr="00FF183A">
        <w:fldChar w:fldCharType="begin"/>
      </w:r>
      <w:r w:rsidR="002309A3" w:rsidRPr="00FF183A">
        <w:instrText xml:space="preserve"> REF _Ref477166881 \h </w:instrText>
      </w:r>
      <w:r w:rsidR="00024994" w:rsidRPr="00FF183A">
        <w:instrText xml:space="preserve"> \* MERGEFORMAT </w:instrText>
      </w:r>
      <w:r w:rsidR="002309A3" w:rsidRPr="00FF183A">
        <w:fldChar w:fldCharType="separate"/>
      </w:r>
      <w:r w:rsidR="00742B49" w:rsidRPr="00FF183A">
        <w:rPr>
          <w:bCs/>
        </w:rPr>
        <w:t xml:space="preserve">Figure </w:t>
      </w:r>
      <w:r w:rsidR="00742B49" w:rsidRPr="00FF183A">
        <w:rPr>
          <w:noProof/>
        </w:rPr>
        <w:t>6</w:t>
      </w:r>
      <w:r w:rsidR="00742B49" w:rsidRPr="00FF183A">
        <w:rPr>
          <w:noProof/>
        </w:rPr>
        <w:noBreakHyphen/>
        <w:t>15</w:t>
      </w:r>
      <w:r w:rsidR="002309A3" w:rsidRPr="00FF183A">
        <w:fldChar w:fldCharType="end"/>
      </w:r>
      <w:r w:rsidRPr="00FF183A">
        <w:t xml:space="preserve"> for the </w:t>
      </w:r>
      <w:r w:rsidR="007F3005" w:rsidRPr="00FF183A">
        <w:t>New England</w:t>
      </w:r>
      <w:r w:rsidRPr="00FF183A">
        <w:t xml:space="preserve"> sy</w:t>
      </w:r>
      <w:r w:rsidR="007F3005" w:rsidRPr="00FF183A">
        <w:t>s</w:t>
      </w:r>
      <w:r w:rsidRPr="00FF183A">
        <w:t>tem</w:t>
      </w:r>
      <w:r w:rsidR="007F3005" w:rsidRPr="00FF183A">
        <w:t xml:space="preserve"> that </w:t>
      </w:r>
      <w:r w:rsidR="0089386C" w:rsidRPr="00FF183A">
        <w:t xml:space="preserve">occurred </w:t>
      </w:r>
      <w:r w:rsidR="007F3005" w:rsidRPr="00FF183A">
        <w:t>on May 23, 2015</w:t>
      </w:r>
      <w:r w:rsidR="009E7B29" w:rsidRPr="00FF183A">
        <w:t>.</w:t>
      </w:r>
      <w:r w:rsidR="009E7B29">
        <w:t xml:space="preserve"> </w:t>
      </w:r>
      <w:r w:rsidR="007F3005">
        <w:t>The net load decreases with daylight</w:t>
      </w:r>
      <w:r w:rsidR="00024994">
        <w:t>,</w:t>
      </w:r>
      <w:r w:rsidR="007F3005">
        <w:t xml:space="preserve"> and the peak occurs after dusk when PV output drops to zero. Systems with “duck curve” characteristics must address a number of technical issues, such as the ability to ramp system resources to follow the net load.</w:t>
      </w:r>
      <w:r w:rsidR="00D05C12">
        <w:rPr>
          <w:rStyle w:val="FootnoteReference"/>
        </w:rPr>
        <w:footnoteReference w:id="67"/>
      </w:r>
      <w:r w:rsidR="007F3005">
        <w:t xml:space="preserve"> </w:t>
      </w:r>
    </w:p>
    <w:p w:rsidR="008A0509" w:rsidRDefault="008A0509" w:rsidP="008A0509">
      <w:pPr>
        <w:keepNext/>
        <w:keepLines/>
        <w:spacing w:after="0" w:line="240" w:lineRule="auto"/>
      </w:pPr>
      <w:r w:rsidRPr="008A0509">
        <w:rPr>
          <w:noProof/>
        </w:rPr>
        <w:lastRenderedPageBreak/>
        <w:drawing>
          <wp:inline distT="0" distB="0" distL="0" distR="0" wp14:anchorId="68FE9638" wp14:editId="09D5D969">
            <wp:extent cx="5809488" cy="3019349"/>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809488" cy="3019349"/>
                    </a:xfrm>
                    <a:prstGeom prst="rect">
                      <a:avLst/>
                    </a:prstGeom>
                    <a:noFill/>
                    <a:ln>
                      <a:noFill/>
                    </a:ln>
                  </pic:spPr>
                </pic:pic>
              </a:graphicData>
            </a:graphic>
          </wp:inline>
        </w:drawing>
      </w:r>
    </w:p>
    <w:p w:rsidR="002309A3" w:rsidRDefault="002309A3" w:rsidP="008A0509">
      <w:pPr>
        <w:pStyle w:val="Caption"/>
        <w:spacing w:before="120" w:after="240"/>
      </w:pPr>
      <w:bookmarkStart w:id="324" w:name="_Ref477166881"/>
      <w:bookmarkStart w:id="325" w:name="_Toc486406085"/>
      <w:r w:rsidRPr="00712F7A">
        <w:t xml:space="preserve">Figure </w:t>
      </w:r>
      <w:fldSimple w:instr=" STYLEREF 1 \s ">
        <w:r w:rsidR="00742B49">
          <w:rPr>
            <w:noProof/>
          </w:rPr>
          <w:t>6</w:t>
        </w:r>
      </w:fldSimple>
      <w:r w:rsidR="00024994">
        <w:noBreakHyphen/>
      </w:r>
      <w:fldSimple w:instr=" SEQ Figure \* ARABIC \s 1 ">
        <w:r w:rsidR="00742B49">
          <w:rPr>
            <w:noProof/>
          </w:rPr>
          <w:t>15</w:t>
        </w:r>
      </w:fldSimple>
      <w:bookmarkEnd w:id="324"/>
      <w:r w:rsidRPr="00712F7A">
        <w:t xml:space="preserve">: </w:t>
      </w:r>
      <w:r w:rsidR="00216DD9" w:rsidRPr="00712F7A">
        <w:t>E</w:t>
      </w:r>
      <w:r w:rsidRPr="00712F7A">
        <w:t xml:space="preserve">xample of a daily system load </w:t>
      </w:r>
      <w:r w:rsidR="00216DD9" w:rsidRPr="00712F7A">
        <w:t xml:space="preserve">in real time </w:t>
      </w:r>
      <w:r w:rsidRPr="00712F7A">
        <w:t xml:space="preserve">with and without solar </w:t>
      </w:r>
      <w:r w:rsidR="00216DD9" w:rsidRPr="00712F7A">
        <w:t>power</w:t>
      </w:r>
      <w:r w:rsidRPr="00712F7A">
        <w:t xml:space="preserve"> </w:t>
      </w:r>
      <w:r w:rsidR="008A0509">
        <w:t xml:space="preserve">(May 23, 2015) </w:t>
      </w:r>
      <w:r w:rsidRPr="00712F7A">
        <w:t>(MW</w:t>
      </w:r>
      <w:r w:rsidR="008A0509">
        <w:t>).</w:t>
      </w:r>
      <w:bookmarkEnd w:id="325"/>
    </w:p>
    <w:p w:rsidR="00E11B6B" w:rsidRDefault="00024994" w:rsidP="00201D25">
      <w:r>
        <w:fldChar w:fldCharType="begin"/>
      </w:r>
      <w:r>
        <w:instrText xml:space="preserve"> REF _Ref480885500 \h </w:instrText>
      </w:r>
      <w:r>
        <w:fldChar w:fldCharType="separate"/>
      </w:r>
      <w:r w:rsidR="00742B49">
        <w:t xml:space="preserve">Figure </w:t>
      </w:r>
      <w:r w:rsidR="00742B49">
        <w:rPr>
          <w:noProof/>
        </w:rPr>
        <w:t>6</w:t>
      </w:r>
      <w:r w:rsidR="00742B49">
        <w:noBreakHyphen/>
      </w:r>
      <w:r w:rsidR="00742B49">
        <w:rPr>
          <w:noProof/>
        </w:rPr>
        <w:t>16</w:t>
      </w:r>
      <w:r>
        <w:fldChar w:fldCharType="end"/>
      </w:r>
      <w:r w:rsidR="00E11B6B">
        <w:t xml:space="preserve"> shows </w:t>
      </w:r>
      <w:r w:rsidR="00F81227">
        <w:t>hours</w:t>
      </w:r>
      <w:r w:rsidR="00E11B6B">
        <w:t xml:space="preserve"> in </w:t>
      </w:r>
      <w:r w:rsidR="00F81227">
        <w:t xml:space="preserve">Scenario 3 where </w:t>
      </w:r>
      <w:r w:rsidR="005A2A65">
        <w:t>the system is operating with only three nuclear units</w:t>
      </w:r>
      <w:r w:rsidR="009E7B29">
        <w:t xml:space="preserve">. </w:t>
      </w:r>
      <w:r w:rsidR="00227ADC">
        <w:t>The net load shape peaks during night hours and ramps down during the morning and up during the evening hours</w:t>
      </w:r>
      <w:r w:rsidR="00D05C12">
        <w:t>,</w:t>
      </w:r>
      <w:r w:rsidR="00227ADC">
        <w:t xml:space="preserve"> primarily as a result of high PV output. </w:t>
      </w:r>
      <w:r w:rsidR="007F3005">
        <w:t xml:space="preserve">The fuel mix shows that storage resources supply the system during evening hours and charge during the daylight for this particular day. </w:t>
      </w:r>
    </w:p>
    <w:p w:rsidR="00E11B6B" w:rsidRDefault="00E11B6B" w:rsidP="000851D0">
      <w:pPr>
        <w:keepNext/>
        <w:keepLines/>
        <w:spacing w:after="0" w:line="240" w:lineRule="auto"/>
        <w:jc w:val="center"/>
      </w:pPr>
    </w:p>
    <w:p w:rsidR="007F0082" w:rsidRDefault="007F0082" w:rsidP="000851D0">
      <w:pPr>
        <w:keepNext/>
        <w:keepLines/>
        <w:spacing w:after="0" w:line="240" w:lineRule="auto"/>
        <w:jc w:val="center"/>
      </w:pPr>
      <w:r w:rsidRPr="007F0082">
        <w:rPr>
          <w:noProof/>
        </w:rPr>
        <w:drawing>
          <wp:inline distT="0" distB="0" distL="0" distR="0" wp14:anchorId="6C02364E" wp14:editId="2BEA5223">
            <wp:extent cx="4341038" cy="2548128"/>
            <wp:effectExtent l="0" t="0" r="2540" b="5080"/>
            <wp:docPr id="7172" name="Picture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342573" cy="2549029"/>
                    </a:xfrm>
                    <a:prstGeom prst="rect">
                      <a:avLst/>
                    </a:prstGeom>
                    <a:noFill/>
                    <a:ln>
                      <a:noFill/>
                    </a:ln>
                  </pic:spPr>
                </pic:pic>
              </a:graphicData>
            </a:graphic>
          </wp:inline>
        </w:drawing>
      </w:r>
    </w:p>
    <w:p w:rsidR="009041E2" w:rsidRDefault="00024994" w:rsidP="002C6BF4">
      <w:pPr>
        <w:pStyle w:val="Caption"/>
        <w:spacing w:before="120" w:after="80"/>
        <w:ind w:left="1267" w:right="1267"/>
      </w:pPr>
      <w:bookmarkStart w:id="326" w:name="_Ref480885500"/>
      <w:bookmarkStart w:id="327" w:name="_Toc486406086"/>
      <w:r>
        <w:t xml:space="preserve">Figure </w:t>
      </w:r>
      <w:fldSimple w:instr=" STYLEREF 1 \s ">
        <w:r w:rsidR="00742B49">
          <w:rPr>
            <w:noProof/>
          </w:rPr>
          <w:t>6</w:t>
        </w:r>
      </w:fldSimple>
      <w:r>
        <w:noBreakHyphen/>
      </w:r>
      <w:fldSimple w:instr=" SEQ Figure \* ARABIC \s 1 ">
        <w:r w:rsidR="00742B49">
          <w:rPr>
            <w:noProof/>
          </w:rPr>
          <w:t>16</w:t>
        </w:r>
      </w:fldSimple>
      <w:bookmarkEnd w:id="326"/>
      <w:r>
        <w:t xml:space="preserve">: </w:t>
      </w:r>
      <w:r w:rsidRPr="005C4068">
        <w:t xml:space="preserve">Energy by </w:t>
      </w:r>
      <w:r w:rsidR="003536FD">
        <w:t>s</w:t>
      </w:r>
      <w:r w:rsidRPr="005C4068">
        <w:t xml:space="preserve">ource for Scenario 3 (Renewables Plus), May 7, 2030, </w:t>
      </w:r>
      <w:r w:rsidR="003536FD">
        <w:t>u</w:t>
      </w:r>
      <w:r w:rsidRPr="005C4068">
        <w:t>nconstrained (MW).</w:t>
      </w:r>
      <w:bookmarkEnd w:id="327"/>
    </w:p>
    <w:p w:rsidR="00024994" w:rsidRPr="00DF1188" w:rsidRDefault="009041E2" w:rsidP="00DF1188">
      <w:pPr>
        <w:pStyle w:val="Caption"/>
        <w:spacing w:after="240"/>
        <w:ind w:left="1267" w:right="1267"/>
        <w:rPr>
          <w:b w:val="0"/>
          <w:sz w:val="16"/>
          <w:szCs w:val="16"/>
        </w:rPr>
      </w:pPr>
      <w:r w:rsidRPr="00FF183A">
        <w:rPr>
          <w:sz w:val="16"/>
          <w:szCs w:val="16"/>
        </w:rPr>
        <w:t>Note:</w:t>
      </w:r>
      <w:r w:rsidR="005C4068" w:rsidRPr="00FF183A">
        <w:rPr>
          <w:sz w:val="16"/>
          <w:szCs w:val="16"/>
        </w:rPr>
        <w:t xml:space="preserve"> </w:t>
      </w:r>
      <w:r w:rsidR="005C4068" w:rsidRPr="00FF183A">
        <w:rPr>
          <w:b w:val="0"/>
          <w:sz w:val="16"/>
          <w:szCs w:val="16"/>
        </w:rPr>
        <w:t>GT – gas turbine</w:t>
      </w:r>
      <w:r w:rsidRPr="00FF183A">
        <w:rPr>
          <w:b w:val="0"/>
          <w:sz w:val="16"/>
          <w:szCs w:val="16"/>
        </w:rPr>
        <w:t xml:space="preserve">; </w:t>
      </w:r>
      <w:r w:rsidR="00725964" w:rsidRPr="00FF183A">
        <w:rPr>
          <w:b w:val="0"/>
          <w:sz w:val="16"/>
          <w:szCs w:val="16"/>
        </w:rPr>
        <w:t xml:space="preserve">IC </w:t>
      </w:r>
      <w:r w:rsidRPr="00FF183A">
        <w:rPr>
          <w:b w:val="0"/>
          <w:sz w:val="16"/>
          <w:szCs w:val="16"/>
        </w:rPr>
        <w:t xml:space="preserve">= </w:t>
      </w:r>
      <w:r w:rsidR="00725964" w:rsidRPr="00FF183A">
        <w:rPr>
          <w:b w:val="0"/>
          <w:sz w:val="16"/>
          <w:szCs w:val="16"/>
        </w:rPr>
        <w:t>internal combustion</w:t>
      </w:r>
      <w:r w:rsidRPr="00FF183A">
        <w:rPr>
          <w:b w:val="0"/>
          <w:sz w:val="16"/>
          <w:szCs w:val="16"/>
        </w:rPr>
        <w:t>; CC = combined cycle.</w:t>
      </w:r>
      <w:r w:rsidR="00DF1188">
        <w:rPr>
          <w:b w:val="0"/>
          <w:sz w:val="16"/>
          <w:szCs w:val="16"/>
        </w:rPr>
        <w:t xml:space="preserve"> </w:t>
      </w:r>
      <w:r w:rsidR="00DF1188" w:rsidRPr="00DF1188">
        <w:rPr>
          <w:b w:val="0"/>
          <w:sz w:val="16"/>
          <w:szCs w:val="16"/>
        </w:rPr>
        <w:t>The net demand shown = gross demand + PHEV + storage charge – EE – PV.</w:t>
      </w:r>
    </w:p>
    <w:p w:rsidR="00D940A9" w:rsidRPr="00FF183A" w:rsidRDefault="000E39E2" w:rsidP="00550E4D">
      <w:r w:rsidRPr="00201D25">
        <w:t>The large</w:t>
      </w:r>
      <w:r w:rsidR="00EC54DE">
        <w:t>-</w:t>
      </w:r>
      <w:r w:rsidRPr="00201D25">
        <w:t>scale addition of asynchronous resources (EE, PV, wind, and HVDC imports) poses physical challenges</w:t>
      </w:r>
      <w:r w:rsidR="00EC54DE">
        <w:t xml:space="preserve"> for the system</w:t>
      </w:r>
      <w:r>
        <w:t xml:space="preserve">. </w:t>
      </w:r>
      <w:r w:rsidR="00EC54DE" w:rsidRPr="00EC54DE">
        <w:t xml:space="preserve">Loads, net of wind, PV, EE, hydro, and nuclear, may be exceedingly low, which </w:t>
      </w:r>
      <w:r w:rsidR="00EC54DE" w:rsidRPr="00EC54DE">
        <w:lastRenderedPageBreak/>
        <w:t xml:space="preserve">presents voltage and stability issues. </w:t>
      </w:r>
      <w:r w:rsidRPr="00201D25">
        <w:t>Special control systems may be required, especially to stabilize the system</w:t>
      </w:r>
      <w:r w:rsidR="00216DD9">
        <w:t xml:space="preserve"> and</w:t>
      </w:r>
      <w:r w:rsidRPr="00201D25">
        <w:t xml:space="preserve"> provide frequency control, ramping, and reserves</w:t>
      </w:r>
      <w:r>
        <w:t xml:space="preserve">. </w:t>
      </w:r>
      <w:r w:rsidRPr="00201D25">
        <w:t>Protection</w:t>
      </w:r>
      <w:r w:rsidR="00216DD9">
        <w:t>-</w:t>
      </w:r>
      <w:r w:rsidRPr="00201D25">
        <w:t xml:space="preserve">system issues </w:t>
      </w:r>
      <w:r w:rsidR="00216DD9">
        <w:t xml:space="preserve">that </w:t>
      </w:r>
      <w:r>
        <w:t>arise</w:t>
      </w:r>
      <w:r w:rsidR="00216DD9">
        <w:t>,</w:t>
      </w:r>
      <w:r>
        <w:t xml:space="preserve"> </w:t>
      </w:r>
      <w:r w:rsidRPr="00201D25">
        <w:t>resulting from</w:t>
      </w:r>
      <w:r>
        <w:t xml:space="preserve"> the </w:t>
      </w:r>
      <w:r w:rsidRPr="00201D25">
        <w:t>lack of short</w:t>
      </w:r>
      <w:r w:rsidR="00216DD9">
        <w:t>-</w:t>
      </w:r>
      <w:r w:rsidRPr="00201D25">
        <w:t>circuit availability</w:t>
      </w:r>
      <w:r w:rsidR="00216DD9">
        <w:t>,</w:t>
      </w:r>
      <w:r w:rsidRPr="00201D25">
        <w:t xml:space="preserve"> could require major capital</w:t>
      </w:r>
      <w:r>
        <w:t xml:space="preserve"> </w:t>
      </w:r>
      <w:r w:rsidRPr="00201D25">
        <w:t>investment</w:t>
      </w:r>
      <w:r>
        <w:t xml:space="preserve">. </w:t>
      </w:r>
      <w:r w:rsidRPr="00201D25">
        <w:t xml:space="preserve">Many other </w:t>
      </w:r>
      <w:r>
        <w:t xml:space="preserve">technical </w:t>
      </w:r>
      <w:r w:rsidRPr="00201D25">
        <w:t>issues</w:t>
      </w:r>
      <w:r>
        <w:t xml:space="preserve"> must be addressed to ensure proper </w:t>
      </w:r>
      <w:r w:rsidRPr="00201D25">
        <w:t>power quality</w:t>
      </w:r>
      <w:r>
        <w:t xml:space="preserve"> and voltage regulation. </w:t>
      </w:r>
      <w:r w:rsidR="00216DD9">
        <w:t xml:space="preserve">Because of the limited scope of this part of the analysis, </w:t>
      </w:r>
      <w:r w:rsidR="00DC27DA">
        <w:t xml:space="preserve"> the development of the high</w:t>
      </w:r>
      <w:r w:rsidR="00543810">
        <w:t>-</w:t>
      </w:r>
      <w:r w:rsidR="00DC27DA">
        <w:t>order</w:t>
      </w:r>
      <w:r w:rsidR="00216DD9">
        <w:t>-</w:t>
      </w:r>
      <w:r w:rsidR="00DC27DA">
        <w:t xml:space="preserve">of magnitude cost estimates </w:t>
      </w:r>
      <w:r w:rsidR="00216DD9">
        <w:t xml:space="preserve">(see </w:t>
      </w:r>
      <w:r w:rsidR="007F5623">
        <w:t xml:space="preserve">Section </w:t>
      </w:r>
      <w:r w:rsidR="00DF1188">
        <w:fldChar w:fldCharType="begin"/>
      </w:r>
      <w:r w:rsidR="00DF1188">
        <w:instrText xml:space="preserve"> REF _Ref480453132 \r \h </w:instrText>
      </w:r>
      <w:r w:rsidR="00DF1188">
        <w:fldChar w:fldCharType="separate"/>
      </w:r>
      <w:r w:rsidR="00DF1188">
        <w:t>6.3</w:t>
      </w:r>
      <w:r w:rsidR="00DF1188">
        <w:fldChar w:fldCharType="end"/>
      </w:r>
      <w:r w:rsidR="00216DD9">
        <w:t>)</w:t>
      </w:r>
      <w:r w:rsidR="005C7469">
        <w:t xml:space="preserve"> only partially reflected</w:t>
      </w:r>
      <w:r w:rsidR="00216DD9">
        <w:t xml:space="preserve"> </w:t>
      </w:r>
      <w:r w:rsidR="00DC27DA">
        <w:t xml:space="preserve">the costs of special equipment, such as </w:t>
      </w:r>
      <w:r w:rsidR="00D940A9">
        <w:t xml:space="preserve">synchronous condensers and </w:t>
      </w:r>
      <w:r w:rsidR="00216DD9">
        <w:t>f</w:t>
      </w:r>
      <w:r w:rsidR="00D940A9">
        <w:t xml:space="preserve">lexible </w:t>
      </w:r>
      <w:r w:rsidR="00216DD9">
        <w:t>a</w:t>
      </w:r>
      <w:r w:rsidR="00D940A9">
        <w:t>lternating</w:t>
      </w:r>
      <w:r w:rsidR="00216DD9">
        <w:t>-</w:t>
      </w:r>
      <w:r w:rsidR="00216DD9" w:rsidRPr="00FF183A">
        <w:t>c</w:t>
      </w:r>
      <w:r w:rsidR="00D940A9" w:rsidRPr="00FF183A">
        <w:t xml:space="preserve">urrent </w:t>
      </w:r>
      <w:r w:rsidR="00216DD9" w:rsidRPr="00FF183A">
        <w:t>t</w:t>
      </w:r>
      <w:r w:rsidR="00D940A9" w:rsidRPr="00FF183A">
        <w:t xml:space="preserve">ransmission </w:t>
      </w:r>
      <w:r w:rsidR="00216DD9" w:rsidRPr="00FF183A">
        <w:t>s</w:t>
      </w:r>
      <w:r w:rsidR="00D940A9" w:rsidRPr="00FF183A">
        <w:t>ystems</w:t>
      </w:r>
      <w:r w:rsidR="00216DD9" w:rsidRPr="00FF183A">
        <w:t xml:space="preserve"> (FACTSs) needed to address these technical issues</w:t>
      </w:r>
      <w:r w:rsidR="00D940A9" w:rsidRPr="00FF183A">
        <w:t>.</w:t>
      </w:r>
    </w:p>
    <w:p w:rsidR="002309A3" w:rsidRPr="00E6590E" w:rsidRDefault="00B67BFD" w:rsidP="002309A3">
      <w:pPr>
        <w:pStyle w:val="Heading2"/>
      </w:pPr>
      <w:bookmarkStart w:id="328" w:name="_Ref480453132"/>
      <w:bookmarkStart w:id="329" w:name="_Toc486406002"/>
      <w:r w:rsidRPr="00E6590E">
        <w:t xml:space="preserve">Maine Interface Flow Statistics, </w:t>
      </w:r>
      <w:r w:rsidR="002309A3" w:rsidRPr="00E6590E">
        <w:t>High</w:t>
      </w:r>
      <w:r w:rsidR="00543810" w:rsidRPr="00E6590E">
        <w:t>-</w:t>
      </w:r>
      <w:r w:rsidR="002309A3" w:rsidRPr="00E6590E">
        <w:t xml:space="preserve">Order-of-Magnitude </w:t>
      </w:r>
      <w:r w:rsidR="00207EA9" w:rsidRPr="00E6590E">
        <w:t xml:space="preserve">Cost </w:t>
      </w:r>
      <w:r w:rsidR="008B12A6" w:rsidRPr="00E6590E">
        <w:t xml:space="preserve">Estimates for </w:t>
      </w:r>
      <w:r w:rsidR="002309A3" w:rsidRPr="00E6590E">
        <w:t xml:space="preserve">Transmission </w:t>
      </w:r>
      <w:r w:rsidR="00207EA9" w:rsidRPr="00E6590E">
        <w:t>Development</w:t>
      </w:r>
      <w:bookmarkEnd w:id="328"/>
      <w:bookmarkEnd w:id="329"/>
      <w:r w:rsidRPr="00E6590E">
        <w:t>, and Implied Capital Investment</w:t>
      </w:r>
    </w:p>
    <w:p w:rsidR="002309A3" w:rsidRDefault="00037105" w:rsidP="002309A3">
      <w:r w:rsidRPr="007F5623">
        <w:fldChar w:fldCharType="begin"/>
      </w:r>
      <w:r w:rsidRPr="007F5623">
        <w:instrText xml:space="preserve"> REF _Ref480888069 \h </w:instrText>
      </w:r>
      <w:r w:rsidR="00F46156" w:rsidRPr="007F5623">
        <w:instrText xml:space="preserve"> \* MERGEFORMAT </w:instrText>
      </w:r>
      <w:r w:rsidRPr="007F5623">
        <w:fldChar w:fldCharType="separate"/>
      </w:r>
      <w:r w:rsidR="00E976C7" w:rsidRPr="007F5623">
        <w:t xml:space="preserve">Table </w:t>
      </w:r>
      <w:r w:rsidR="00E976C7" w:rsidRPr="007F5623">
        <w:rPr>
          <w:noProof/>
        </w:rPr>
        <w:t>6</w:t>
      </w:r>
      <w:r w:rsidR="00E976C7" w:rsidRPr="007F5623">
        <w:rPr>
          <w:noProof/>
        </w:rPr>
        <w:noBreakHyphen/>
        <w:t>14</w:t>
      </w:r>
      <w:r w:rsidRPr="007F5623">
        <w:fldChar w:fldCharType="end"/>
      </w:r>
      <w:r w:rsidR="00E976C7" w:rsidRPr="007F5623">
        <w:t xml:space="preserve"> and </w:t>
      </w:r>
      <w:r w:rsidR="00E976C7" w:rsidRPr="007F5623">
        <w:fldChar w:fldCharType="begin"/>
      </w:r>
      <w:r w:rsidR="00E976C7" w:rsidRPr="007F5623">
        <w:instrText xml:space="preserve"> REF _Ref485807972 \h  \* MERGEFORMAT </w:instrText>
      </w:r>
      <w:r w:rsidR="00E976C7" w:rsidRPr="007F5623">
        <w:fldChar w:fldCharType="separate"/>
      </w:r>
      <w:r w:rsidR="00E976C7" w:rsidRPr="007F5623">
        <w:t xml:space="preserve">Table </w:t>
      </w:r>
      <w:r w:rsidR="00E976C7" w:rsidRPr="007F5623">
        <w:rPr>
          <w:noProof/>
        </w:rPr>
        <w:t>6</w:t>
      </w:r>
      <w:r w:rsidR="00E976C7" w:rsidRPr="007F5623">
        <w:noBreakHyphen/>
      </w:r>
      <w:r w:rsidR="00E976C7" w:rsidRPr="007F5623">
        <w:rPr>
          <w:noProof/>
        </w:rPr>
        <w:t>15</w:t>
      </w:r>
      <w:r w:rsidR="00E976C7" w:rsidRPr="007F5623">
        <w:fldChar w:fldCharType="end"/>
      </w:r>
      <w:r w:rsidR="00E976C7" w:rsidRPr="007F5623">
        <w:t xml:space="preserve"> </w:t>
      </w:r>
      <w:r w:rsidR="002309A3" w:rsidRPr="007F5623">
        <w:t>show</w:t>
      </w:r>
      <w:r w:rsidR="00E976C7" w:rsidRPr="007F5623">
        <w:t xml:space="preserve"> (for 2025 and 2030)</w:t>
      </w:r>
      <w:r w:rsidR="002309A3" w:rsidRPr="00E976C7">
        <w:t xml:space="preserve"> the Maine interfaces, their maximum</w:t>
      </w:r>
      <w:r w:rsidR="002309A3" w:rsidRPr="00550E4D">
        <w:t xml:space="preserve"> transfer capability, the maximum megawatt flows over</w:t>
      </w:r>
      <w:r w:rsidR="002309A3">
        <w:t xml:space="preserve"> the interfaces for the unconstrained cases, and the percentage of time the interfaces exceed their capability</w:t>
      </w:r>
      <w:r w:rsidR="00520A1D">
        <w:t xml:space="preserve"> for the unconstrained cases</w:t>
      </w:r>
      <w:r w:rsidR="002309A3">
        <w:t xml:space="preserve">. These metrics supplement the </w:t>
      </w:r>
      <w:r w:rsidR="002309A3" w:rsidRPr="001D53F4">
        <w:t>congested interface locations and dollar amounts (see Section</w:t>
      </w:r>
      <w:r w:rsidR="001D53F4" w:rsidRPr="001D53F4">
        <w:t>s</w:t>
      </w:r>
      <w:r w:rsidR="001D53F4">
        <w:t xml:space="preserve"> </w:t>
      </w:r>
      <w:r w:rsidR="001D53F4" w:rsidRPr="001D53F4">
        <w:fldChar w:fldCharType="begin"/>
      </w:r>
      <w:r w:rsidR="001D53F4" w:rsidRPr="001D53F4">
        <w:instrText xml:space="preserve"> REF _Ref487203787 \r \h </w:instrText>
      </w:r>
      <w:r w:rsidR="001D53F4">
        <w:instrText xml:space="preserve"> \* MERGEFORMAT </w:instrText>
      </w:r>
      <w:r w:rsidR="001D53F4" w:rsidRPr="001D53F4">
        <w:fldChar w:fldCharType="separate"/>
      </w:r>
      <w:r w:rsidR="001D53F4" w:rsidRPr="001D53F4">
        <w:t>5.3.8</w:t>
      </w:r>
      <w:r w:rsidR="001D53F4" w:rsidRPr="001D53F4">
        <w:fldChar w:fldCharType="end"/>
      </w:r>
      <w:r w:rsidR="001D53F4" w:rsidRPr="001D53F4">
        <w:t xml:space="preserve"> and </w:t>
      </w:r>
      <w:r w:rsidR="001D53F4" w:rsidRPr="001D53F4">
        <w:fldChar w:fldCharType="begin"/>
      </w:r>
      <w:r w:rsidR="001D53F4" w:rsidRPr="001D53F4">
        <w:instrText xml:space="preserve"> REF _Ref483919087 \r \h </w:instrText>
      </w:r>
      <w:r w:rsidR="001D53F4">
        <w:instrText xml:space="preserve"> \* MERGEFORMAT </w:instrText>
      </w:r>
      <w:r w:rsidR="001D53F4" w:rsidRPr="001D53F4">
        <w:fldChar w:fldCharType="separate"/>
      </w:r>
      <w:r w:rsidR="001D53F4" w:rsidRPr="001D53F4">
        <w:t>5.5</w:t>
      </w:r>
      <w:r w:rsidR="001D53F4" w:rsidRPr="001D53F4">
        <w:fldChar w:fldCharType="end"/>
      </w:r>
      <w:r w:rsidR="002309A3" w:rsidRPr="001D53F4">
        <w:t>) as inputs to</w:t>
      </w:r>
      <w:r w:rsidR="002309A3">
        <w:t xml:space="preserve"> developing the congestion-relief transmission system, which is designed to relieve 100% of the congestion</w:t>
      </w:r>
      <w:r w:rsidR="00520A1D">
        <w:t xml:space="preserve"> during the summer and winter peak hours</w:t>
      </w:r>
      <w:r w:rsidR="002309A3">
        <w:t>.</w:t>
      </w:r>
      <w:r w:rsidR="002309A3">
        <w:rPr>
          <w:rStyle w:val="FootnoteReference"/>
        </w:rPr>
        <w:footnoteReference w:id="68"/>
      </w:r>
      <w:r w:rsidR="002309A3">
        <w:t xml:space="preserve"> </w:t>
      </w:r>
    </w:p>
    <w:p w:rsidR="00BE7F0B" w:rsidRDefault="00550E4D" w:rsidP="00C8724B">
      <w:pPr>
        <w:pStyle w:val="Caption"/>
        <w:jc w:val="center"/>
      </w:pPr>
      <w:bookmarkStart w:id="330" w:name="_Ref480888069"/>
      <w:bookmarkStart w:id="331" w:name="_Toc486406049"/>
      <w:r>
        <w:lastRenderedPageBreak/>
        <w:t xml:space="preserve">Table </w:t>
      </w:r>
      <w:fldSimple w:instr=" STYLEREF 1 \s ">
        <w:r w:rsidR="004248FE">
          <w:rPr>
            <w:noProof/>
          </w:rPr>
          <w:t>6</w:t>
        </w:r>
      </w:fldSimple>
      <w:r w:rsidR="004248FE">
        <w:noBreakHyphen/>
      </w:r>
      <w:fldSimple w:instr=" SEQ Table \* ARABIC \s 1 ">
        <w:r w:rsidR="004248FE">
          <w:rPr>
            <w:noProof/>
          </w:rPr>
          <w:t>14</w:t>
        </w:r>
      </w:fldSimple>
      <w:bookmarkEnd w:id="330"/>
      <w:r w:rsidR="00BE7F0B">
        <w:rPr>
          <w:noProof/>
        </w:rPr>
        <w:br/>
        <w:t>Interface Flow Statistics for 2025</w:t>
      </w:r>
      <w:bookmarkEnd w:id="331"/>
    </w:p>
    <w:tbl>
      <w:tblPr>
        <w:tblStyle w:val="TableGrid"/>
        <w:tblW w:w="11262" w:type="dxa"/>
        <w:jc w:val="center"/>
        <w:tblLook w:val="04A0" w:firstRow="1" w:lastRow="0" w:firstColumn="1" w:lastColumn="0" w:noHBand="0" w:noVBand="1"/>
      </w:tblPr>
      <w:tblGrid>
        <w:gridCol w:w="1326"/>
        <w:gridCol w:w="979"/>
        <w:gridCol w:w="1370"/>
        <w:gridCol w:w="963"/>
        <w:gridCol w:w="979"/>
        <w:gridCol w:w="1370"/>
        <w:gridCol w:w="963"/>
        <w:gridCol w:w="979"/>
        <w:gridCol w:w="1370"/>
        <w:gridCol w:w="963"/>
      </w:tblGrid>
      <w:tr w:rsidR="009D20B2" w:rsidRPr="009D20B2" w:rsidTr="009D20B2">
        <w:trPr>
          <w:jc w:val="center"/>
        </w:trPr>
        <w:tc>
          <w:tcPr>
            <w:tcW w:w="1326" w:type="dxa"/>
            <w:vMerge w:val="restart"/>
            <w:shd w:val="clear" w:color="auto" w:fill="4F81BD" w:themeFill="accent1"/>
            <w:vAlign w:val="center"/>
          </w:tcPr>
          <w:p w:rsidR="009D20B2" w:rsidRPr="009D20B2" w:rsidRDefault="009D20B2" w:rsidP="009D20B2">
            <w:pPr>
              <w:pStyle w:val="Caption"/>
              <w:spacing w:before="40" w:after="40"/>
              <w:jc w:val="center"/>
              <w:rPr>
                <w:rFonts w:asciiTheme="minorHAnsi" w:hAnsiTheme="minorHAnsi"/>
                <w:color w:val="FFFFFF" w:themeColor="background1"/>
                <w:sz w:val="18"/>
                <w:szCs w:val="18"/>
              </w:rPr>
            </w:pPr>
            <w:r w:rsidRPr="009D20B2">
              <w:rPr>
                <w:rFonts w:asciiTheme="minorHAnsi" w:hAnsiTheme="minorHAnsi"/>
                <w:color w:val="FFFFFF" w:themeColor="background1"/>
                <w:sz w:val="18"/>
                <w:szCs w:val="18"/>
              </w:rPr>
              <w:t>Scenarios</w:t>
            </w:r>
          </w:p>
        </w:tc>
        <w:tc>
          <w:tcPr>
            <w:tcW w:w="979" w:type="dxa"/>
            <w:shd w:val="clear" w:color="auto" w:fill="4F81BD" w:themeFill="accent1"/>
            <w:vAlign w:val="center"/>
          </w:tcPr>
          <w:p w:rsidR="009D20B2" w:rsidRPr="009D20B2" w:rsidRDefault="009D20B2" w:rsidP="009D20B2">
            <w:pPr>
              <w:pStyle w:val="Caption"/>
              <w:spacing w:before="40" w:after="40"/>
              <w:jc w:val="center"/>
              <w:rPr>
                <w:rFonts w:asciiTheme="minorHAnsi" w:hAnsiTheme="minorHAnsi"/>
                <w:color w:val="FFFFFF" w:themeColor="background1"/>
                <w:sz w:val="18"/>
                <w:szCs w:val="18"/>
              </w:rPr>
            </w:pPr>
            <w:r w:rsidRPr="009D20B2">
              <w:rPr>
                <w:rFonts w:asciiTheme="minorHAnsi" w:hAnsiTheme="minorHAnsi"/>
                <w:color w:val="FFFFFF" w:themeColor="background1"/>
                <w:sz w:val="18"/>
                <w:szCs w:val="18"/>
              </w:rPr>
              <w:t>Maximum Transfer Capability</w:t>
            </w:r>
          </w:p>
        </w:tc>
        <w:tc>
          <w:tcPr>
            <w:tcW w:w="1370" w:type="dxa"/>
            <w:shd w:val="clear" w:color="auto" w:fill="4F81BD" w:themeFill="accent1"/>
            <w:vAlign w:val="center"/>
          </w:tcPr>
          <w:p w:rsidR="009D20B2" w:rsidRPr="009D20B2" w:rsidRDefault="009D20B2" w:rsidP="009D20B2">
            <w:pPr>
              <w:pStyle w:val="Caption"/>
              <w:spacing w:before="40" w:after="40"/>
              <w:jc w:val="center"/>
              <w:rPr>
                <w:rFonts w:asciiTheme="minorHAnsi" w:hAnsiTheme="minorHAnsi"/>
                <w:color w:val="FFFFFF" w:themeColor="background1"/>
                <w:sz w:val="18"/>
                <w:szCs w:val="18"/>
              </w:rPr>
            </w:pPr>
            <w:r w:rsidRPr="009D20B2">
              <w:rPr>
                <w:rFonts w:asciiTheme="minorHAnsi" w:hAnsiTheme="minorHAnsi"/>
                <w:color w:val="FFFFFF" w:themeColor="background1"/>
                <w:sz w:val="18"/>
                <w:szCs w:val="18"/>
              </w:rPr>
              <w:t>Maximum MW Flow (Unconstrained Case)</w:t>
            </w:r>
          </w:p>
        </w:tc>
        <w:tc>
          <w:tcPr>
            <w:tcW w:w="963" w:type="dxa"/>
            <w:shd w:val="clear" w:color="auto" w:fill="4F81BD" w:themeFill="accent1"/>
            <w:vAlign w:val="center"/>
          </w:tcPr>
          <w:p w:rsidR="009D20B2" w:rsidRPr="009D20B2" w:rsidRDefault="009D20B2" w:rsidP="009D20B2">
            <w:pPr>
              <w:pStyle w:val="Caption"/>
              <w:spacing w:before="40" w:after="40"/>
              <w:jc w:val="center"/>
              <w:rPr>
                <w:rFonts w:asciiTheme="minorHAnsi" w:hAnsiTheme="minorHAnsi"/>
                <w:color w:val="FFFFFF" w:themeColor="background1"/>
                <w:sz w:val="18"/>
                <w:szCs w:val="18"/>
              </w:rPr>
            </w:pPr>
            <w:r w:rsidRPr="009D20B2">
              <w:rPr>
                <w:rFonts w:asciiTheme="minorHAnsi" w:hAnsiTheme="minorHAnsi"/>
                <w:color w:val="FFFFFF" w:themeColor="background1"/>
                <w:sz w:val="18"/>
                <w:szCs w:val="18"/>
              </w:rPr>
              <w:t>% of Time Interface Exceeds Its Capability</w:t>
            </w:r>
          </w:p>
        </w:tc>
        <w:tc>
          <w:tcPr>
            <w:tcW w:w="979" w:type="dxa"/>
            <w:shd w:val="clear" w:color="auto" w:fill="4F81BD" w:themeFill="accent1"/>
            <w:vAlign w:val="center"/>
          </w:tcPr>
          <w:p w:rsidR="009D20B2" w:rsidRPr="009D20B2" w:rsidRDefault="009D20B2" w:rsidP="009D20B2">
            <w:pPr>
              <w:pStyle w:val="Caption"/>
              <w:spacing w:before="40" w:after="40"/>
              <w:jc w:val="center"/>
              <w:rPr>
                <w:rFonts w:asciiTheme="minorHAnsi" w:hAnsiTheme="minorHAnsi"/>
                <w:color w:val="FFFFFF" w:themeColor="background1"/>
                <w:sz w:val="18"/>
                <w:szCs w:val="18"/>
              </w:rPr>
            </w:pPr>
            <w:r w:rsidRPr="009D20B2">
              <w:rPr>
                <w:rFonts w:asciiTheme="minorHAnsi" w:hAnsiTheme="minorHAnsi"/>
                <w:color w:val="FFFFFF" w:themeColor="background1"/>
                <w:sz w:val="18"/>
                <w:szCs w:val="18"/>
              </w:rPr>
              <w:t>Maximum Transfer Capability</w:t>
            </w:r>
          </w:p>
        </w:tc>
        <w:tc>
          <w:tcPr>
            <w:tcW w:w="1370" w:type="dxa"/>
            <w:shd w:val="clear" w:color="auto" w:fill="4F81BD" w:themeFill="accent1"/>
            <w:vAlign w:val="center"/>
          </w:tcPr>
          <w:p w:rsidR="009D20B2" w:rsidRPr="009D20B2" w:rsidRDefault="009D20B2" w:rsidP="009D20B2">
            <w:pPr>
              <w:pStyle w:val="Caption"/>
              <w:spacing w:before="40" w:after="40"/>
              <w:jc w:val="center"/>
              <w:rPr>
                <w:rFonts w:asciiTheme="minorHAnsi" w:hAnsiTheme="minorHAnsi"/>
                <w:color w:val="FFFFFF" w:themeColor="background1"/>
                <w:sz w:val="18"/>
                <w:szCs w:val="18"/>
              </w:rPr>
            </w:pPr>
            <w:r w:rsidRPr="009D20B2">
              <w:rPr>
                <w:rFonts w:asciiTheme="minorHAnsi" w:hAnsiTheme="minorHAnsi"/>
                <w:color w:val="FFFFFF" w:themeColor="background1"/>
                <w:sz w:val="18"/>
                <w:szCs w:val="18"/>
              </w:rPr>
              <w:t>Maximum MW Flow (Unconstrained Case)</w:t>
            </w:r>
          </w:p>
        </w:tc>
        <w:tc>
          <w:tcPr>
            <w:tcW w:w="963" w:type="dxa"/>
            <w:shd w:val="clear" w:color="auto" w:fill="4F81BD" w:themeFill="accent1"/>
            <w:vAlign w:val="center"/>
          </w:tcPr>
          <w:p w:rsidR="009D20B2" w:rsidRPr="009D20B2" w:rsidRDefault="009D20B2" w:rsidP="009D20B2">
            <w:pPr>
              <w:pStyle w:val="Caption"/>
              <w:spacing w:before="40" w:after="40"/>
              <w:jc w:val="center"/>
              <w:rPr>
                <w:rFonts w:asciiTheme="minorHAnsi" w:hAnsiTheme="minorHAnsi"/>
                <w:color w:val="FFFFFF" w:themeColor="background1"/>
                <w:sz w:val="18"/>
                <w:szCs w:val="18"/>
              </w:rPr>
            </w:pPr>
            <w:r w:rsidRPr="009D20B2">
              <w:rPr>
                <w:rFonts w:asciiTheme="minorHAnsi" w:hAnsiTheme="minorHAnsi"/>
                <w:color w:val="FFFFFF" w:themeColor="background1"/>
                <w:sz w:val="18"/>
                <w:szCs w:val="18"/>
              </w:rPr>
              <w:t>% of Time Interface Exceeds Its Capability</w:t>
            </w:r>
          </w:p>
        </w:tc>
        <w:tc>
          <w:tcPr>
            <w:tcW w:w="979" w:type="dxa"/>
            <w:shd w:val="clear" w:color="auto" w:fill="4F81BD" w:themeFill="accent1"/>
            <w:vAlign w:val="center"/>
          </w:tcPr>
          <w:p w:rsidR="009D20B2" w:rsidRPr="009D20B2" w:rsidRDefault="009D20B2" w:rsidP="009D20B2">
            <w:pPr>
              <w:pStyle w:val="Caption"/>
              <w:spacing w:before="40" w:after="40"/>
              <w:jc w:val="center"/>
              <w:rPr>
                <w:rFonts w:asciiTheme="minorHAnsi" w:hAnsiTheme="minorHAnsi"/>
                <w:color w:val="FFFFFF" w:themeColor="background1"/>
                <w:sz w:val="18"/>
                <w:szCs w:val="18"/>
              </w:rPr>
            </w:pPr>
            <w:r w:rsidRPr="009D20B2">
              <w:rPr>
                <w:rFonts w:asciiTheme="minorHAnsi" w:hAnsiTheme="minorHAnsi"/>
                <w:color w:val="FFFFFF" w:themeColor="background1"/>
                <w:sz w:val="18"/>
                <w:szCs w:val="18"/>
              </w:rPr>
              <w:t>Maximum Transfer Capability</w:t>
            </w:r>
          </w:p>
        </w:tc>
        <w:tc>
          <w:tcPr>
            <w:tcW w:w="1370" w:type="dxa"/>
            <w:shd w:val="clear" w:color="auto" w:fill="4F81BD" w:themeFill="accent1"/>
            <w:vAlign w:val="center"/>
          </w:tcPr>
          <w:p w:rsidR="009D20B2" w:rsidRPr="009D20B2" w:rsidRDefault="009D20B2" w:rsidP="009D20B2">
            <w:pPr>
              <w:pStyle w:val="Caption"/>
              <w:spacing w:before="40" w:after="40"/>
              <w:jc w:val="center"/>
              <w:rPr>
                <w:rFonts w:asciiTheme="minorHAnsi" w:hAnsiTheme="minorHAnsi"/>
                <w:color w:val="FFFFFF" w:themeColor="background1"/>
                <w:sz w:val="18"/>
                <w:szCs w:val="18"/>
              </w:rPr>
            </w:pPr>
            <w:r w:rsidRPr="009D20B2">
              <w:rPr>
                <w:rFonts w:asciiTheme="minorHAnsi" w:hAnsiTheme="minorHAnsi"/>
                <w:color w:val="FFFFFF" w:themeColor="background1"/>
                <w:sz w:val="18"/>
                <w:szCs w:val="18"/>
              </w:rPr>
              <w:t>Maximum MW Flow (Unconstrained Case)</w:t>
            </w:r>
          </w:p>
        </w:tc>
        <w:tc>
          <w:tcPr>
            <w:tcW w:w="963" w:type="dxa"/>
            <w:shd w:val="clear" w:color="auto" w:fill="4F81BD" w:themeFill="accent1"/>
            <w:vAlign w:val="center"/>
          </w:tcPr>
          <w:p w:rsidR="009D20B2" w:rsidRPr="009D20B2" w:rsidRDefault="009D20B2" w:rsidP="009D20B2">
            <w:pPr>
              <w:pStyle w:val="Caption"/>
              <w:spacing w:before="40" w:after="40"/>
              <w:jc w:val="center"/>
              <w:rPr>
                <w:rFonts w:asciiTheme="minorHAnsi" w:hAnsiTheme="minorHAnsi"/>
                <w:color w:val="FFFFFF" w:themeColor="background1"/>
                <w:sz w:val="18"/>
                <w:szCs w:val="18"/>
              </w:rPr>
            </w:pPr>
            <w:r w:rsidRPr="009D20B2">
              <w:rPr>
                <w:rFonts w:asciiTheme="minorHAnsi" w:hAnsiTheme="minorHAnsi"/>
                <w:color w:val="FFFFFF" w:themeColor="background1"/>
                <w:sz w:val="18"/>
                <w:szCs w:val="18"/>
              </w:rPr>
              <w:t>% of Time Interface Exceeds Its Capability</w:t>
            </w:r>
          </w:p>
        </w:tc>
      </w:tr>
      <w:tr w:rsidR="009D20B2" w:rsidRPr="009D20B2" w:rsidTr="009D20B2">
        <w:trPr>
          <w:jc w:val="center"/>
        </w:trPr>
        <w:tc>
          <w:tcPr>
            <w:tcW w:w="1326" w:type="dxa"/>
            <w:vMerge/>
            <w:vAlign w:val="center"/>
          </w:tcPr>
          <w:p w:rsidR="009D20B2" w:rsidRPr="009D20B2" w:rsidRDefault="009D20B2" w:rsidP="009D20B2">
            <w:pPr>
              <w:pStyle w:val="Caption"/>
              <w:spacing w:before="40" w:after="40"/>
              <w:jc w:val="center"/>
              <w:rPr>
                <w:rFonts w:asciiTheme="minorHAnsi" w:hAnsiTheme="minorHAnsi"/>
                <w:b w:val="0"/>
                <w:sz w:val="18"/>
                <w:szCs w:val="18"/>
              </w:rPr>
            </w:pPr>
          </w:p>
        </w:tc>
        <w:tc>
          <w:tcPr>
            <w:tcW w:w="3312" w:type="dxa"/>
            <w:gridSpan w:val="3"/>
            <w:shd w:val="clear" w:color="auto" w:fill="4F81BD" w:themeFill="accent1"/>
            <w:vAlign w:val="center"/>
          </w:tcPr>
          <w:p w:rsidR="009D20B2" w:rsidRPr="009D20B2" w:rsidRDefault="009D20B2" w:rsidP="009D20B2">
            <w:pPr>
              <w:pStyle w:val="Caption"/>
              <w:spacing w:before="40" w:after="40"/>
              <w:jc w:val="center"/>
              <w:rPr>
                <w:rFonts w:asciiTheme="minorHAnsi" w:hAnsiTheme="minorHAnsi"/>
                <w:color w:val="FFFFFF" w:themeColor="background1"/>
                <w:sz w:val="18"/>
                <w:szCs w:val="18"/>
              </w:rPr>
            </w:pPr>
            <w:r w:rsidRPr="009D20B2">
              <w:rPr>
                <w:rFonts w:asciiTheme="minorHAnsi" w:hAnsiTheme="minorHAnsi"/>
                <w:color w:val="FFFFFF" w:themeColor="background1"/>
                <w:sz w:val="18"/>
                <w:szCs w:val="18"/>
              </w:rPr>
              <w:t>Orrington-South Interface</w:t>
            </w:r>
          </w:p>
        </w:tc>
        <w:tc>
          <w:tcPr>
            <w:tcW w:w="3312" w:type="dxa"/>
            <w:gridSpan w:val="3"/>
            <w:shd w:val="clear" w:color="auto" w:fill="4F81BD" w:themeFill="accent1"/>
            <w:vAlign w:val="center"/>
          </w:tcPr>
          <w:p w:rsidR="009D20B2" w:rsidRPr="009D20B2" w:rsidRDefault="009D20B2" w:rsidP="009D20B2">
            <w:pPr>
              <w:pStyle w:val="Caption"/>
              <w:spacing w:before="40" w:after="40"/>
              <w:jc w:val="center"/>
              <w:rPr>
                <w:rFonts w:asciiTheme="minorHAnsi" w:hAnsiTheme="minorHAnsi"/>
                <w:color w:val="FFFFFF" w:themeColor="background1"/>
                <w:sz w:val="18"/>
                <w:szCs w:val="18"/>
              </w:rPr>
            </w:pPr>
            <w:r w:rsidRPr="009D20B2">
              <w:rPr>
                <w:rFonts w:asciiTheme="minorHAnsi" w:hAnsiTheme="minorHAnsi"/>
                <w:color w:val="FFFFFF" w:themeColor="background1"/>
                <w:sz w:val="18"/>
                <w:szCs w:val="18"/>
              </w:rPr>
              <w:t>Surowiec-South Interface</w:t>
            </w:r>
          </w:p>
        </w:tc>
        <w:tc>
          <w:tcPr>
            <w:tcW w:w="3312" w:type="dxa"/>
            <w:gridSpan w:val="3"/>
            <w:shd w:val="clear" w:color="auto" w:fill="4F81BD" w:themeFill="accent1"/>
            <w:vAlign w:val="center"/>
          </w:tcPr>
          <w:p w:rsidR="009D20B2" w:rsidRPr="009D20B2" w:rsidRDefault="009D20B2" w:rsidP="009D20B2">
            <w:pPr>
              <w:pStyle w:val="Caption"/>
              <w:spacing w:before="40" w:after="40"/>
              <w:jc w:val="center"/>
              <w:rPr>
                <w:rFonts w:asciiTheme="minorHAnsi" w:hAnsiTheme="minorHAnsi"/>
                <w:color w:val="FFFFFF" w:themeColor="background1"/>
                <w:sz w:val="18"/>
                <w:szCs w:val="18"/>
              </w:rPr>
            </w:pPr>
            <w:r w:rsidRPr="009D20B2">
              <w:rPr>
                <w:rFonts w:asciiTheme="minorHAnsi" w:hAnsiTheme="minorHAnsi"/>
                <w:color w:val="FFFFFF" w:themeColor="background1"/>
                <w:sz w:val="18"/>
                <w:szCs w:val="18"/>
              </w:rPr>
              <w:t>Maine-New Hampshire Interface</w:t>
            </w:r>
          </w:p>
        </w:tc>
      </w:tr>
      <w:tr w:rsidR="009D20B2" w:rsidRPr="009D20B2" w:rsidTr="0006098B">
        <w:trPr>
          <w:jc w:val="center"/>
        </w:trPr>
        <w:tc>
          <w:tcPr>
            <w:tcW w:w="1326" w:type="dxa"/>
            <w:tcMar>
              <w:left w:w="115" w:type="dxa"/>
              <w:right w:w="29" w:type="dxa"/>
            </w:tcMar>
            <w:vAlign w:val="center"/>
          </w:tcPr>
          <w:p w:rsidR="00BE7F0B" w:rsidRPr="009D20B2" w:rsidRDefault="00BE7F0B" w:rsidP="0006098B">
            <w:pPr>
              <w:pStyle w:val="Caption"/>
              <w:spacing w:before="40" w:after="40"/>
              <w:rPr>
                <w:rFonts w:asciiTheme="minorHAnsi" w:hAnsiTheme="minorHAnsi"/>
                <w:sz w:val="18"/>
                <w:szCs w:val="18"/>
              </w:rPr>
            </w:pPr>
            <w:r w:rsidRPr="009D20B2">
              <w:rPr>
                <w:rFonts w:asciiTheme="minorHAnsi" w:hAnsiTheme="minorHAnsi"/>
                <w:sz w:val="18"/>
                <w:szCs w:val="18"/>
              </w:rPr>
              <w:t>RPSs + Gas</w:t>
            </w:r>
          </w:p>
        </w:tc>
        <w:tc>
          <w:tcPr>
            <w:tcW w:w="979"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1,325</w:t>
            </w:r>
          </w:p>
        </w:tc>
        <w:tc>
          <w:tcPr>
            <w:tcW w:w="1370"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3,197</w:t>
            </w:r>
          </w:p>
        </w:tc>
        <w:tc>
          <w:tcPr>
            <w:tcW w:w="963"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49.7%</w:t>
            </w:r>
          </w:p>
        </w:tc>
        <w:tc>
          <w:tcPr>
            <w:tcW w:w="979"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1,500</w:t>
            </w:r>
          </w:p>
        </w:tc>
        <w:tc>
          <w:tcPr>
            <w:tcW w:w="1370"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3,461</w:t>
            </w:r>
          </w:p>
        </w:tc>
        <w:tc>
          <w:tcPr>
            <w:tcW w:w="963"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38.8%</w:t>
            </w:r>
          </w:p>
        </w:tc>
        <w:tc>
          <w:tcPr>
            <w:tcW w:w="979"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1,900</w:t>
            </w:r>
          </w:p>
        </w:tc>
        <w:tc>
          <w:tcPr>
            <w:tcW w:w="1370"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3,537</w:t>
            </w:r>
          </w:p>
        </w:tc>
        <w:tc>
          <w:tcPr>
            <w:tcW w:w="963"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25.2%</w:t>
            </w:r>
          </w:p>
        </w:tc>
      </w:tr>
      <w:tr w:rsidR="009D20B2" w:rsidRPr="009D20B2" w:rsidTr="0006098B">
        <w:trPr>
          <w:jc w:val="center"/>
        </w:trPr>
        <w:tc>
          <w:tcPr>
            <w:tcW w:w="1326" w:type="dxa"/>
            <w:shd w:val="clear" w:color="auto" w:fill="DBE5F1" w:themeFill="accent1" w:themeFillTint="33"/>
            <w:tcMar>
              <w:left w:w="115" w:type="dxa"/>
              <w:right w:w="29" w:type="dxa"/>
            </w:tcMar>
            <w:vAlign w:val="center"/>
          </w:tcPr>
          <w:p w:rsidR="00BE7F0B" w:rsidRPr="009D20B2" w:rsidRDefault="00BE7F0B" w:rsidP="0006098B">
            <w:pPr>
              <w:pStyle w:val="Caption"/>
              <w:spacing w:before="40" w:after="40"/>
              <w:rPr>
                <w:rFonts w:asciiTheme="minorHAnsi" w:hAnsiTheme="minorHAnsi"/>
                <w:sz w:val="18"/>
                <w:szCs w:val="18"/>
              </w:rPr>
            </w:pPr>
            <w:r w:rsidRPr="009D20B2">
              <w:rPr>
                <w:rFonts w:asciiTheme="minorHAnsi" w:hAnsiTheme="minorHAnsi"/>
                <w:sz w:val="18"/>
                <w:szCs w:val="18"/>
              </w:rPr>
              <w:t>ISO Queue</w:t>
            </w:r>
          </w:p>
        </w:tc>
        <w:tc>
          <w:tcPr>
            <w:tcW w:w="979"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1,325</w:t>
            </w:r>
          </w:p>
        </w:tc>
        <w:tc>
          <w:tcPr>
            <w:tcW w:w="1370"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3,911</w:t>
            </w:r>
          </w:p>
        </w:tc>
        <w:tc>
          <w:tcPr>
            <w:tcW w:w="963"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61.9%</w:t>
            </w:r>
          </w:p>
        </w:tc>
        <w:tc>
          <w:tcPr>
            <w:tcW w:w="979"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1,500</w:t>
            </w:r>
          </w:p>
        </w:tc>
        <w:tc>
          <w:tcPr>
            <w:tcW w:w="1370"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4,693</w:t>
            </w:r>
          </w:p>
        </w:tc>
        <w:tc>
          <w:tcPr>
            <w:tcW w:w="963"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59.3%</w:t>
            </w:r>
          </w:p>
        </w:tc>
        <w:tc>
          <w:tcPr>
            <w:tcW w:w="979"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1,900</w:t>
            </w:r>
          </w:p>
        </w:tc>
        <w:tc>
          <w:tcPr>
            <w:tcW w:w="1370"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4,740</w:t>
            </w:r>
          </w:p>
        </w:tc>
        <w:tc>
          <w:tcPr>
            <w:tcW w:w="963"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45.2%</w:t>
            </w:r>
          </w:p>
        </w:tc>
      </w:tr>
      <w:tr w:rsidR="009D20B2" w:rsidRPr="009D20B2" w:rsidTr="0006098B">
        <w:trPr>
          <w:jc w:val="center"/>
        </w:trPr>
        <w:tc>
          <w:tcPr>
            <w:tcW w:w="1326" w:type="dxa"/>
            <w:tcMar>
              <w:left w:w="115" w:type="dxa"/>
              <w:right w:w="29" w:type="dxa"/>
            </w:tcMar>
            <w:vAlign w:val="center"/>
          </w:tcPr>
          <w:p w:rsidR="00BE7F0B" w:rsidRPr="009D20B2" w:rsidRDefault="00BE7F0B" w:rsidP="0006098B">
            <w:pPr>
              <w:pStyle w:val="Caption"/>
              <w:spacing w:before="40" w:after="40"/>
              <w:rPr>
                <w:rFonts w:asciiTheme="minorHAnsi" w:hAnsiTheme="minorHAnsi"/>
                <w:sz w:val="18"/>
                <w:szCs w:val="18"/>
              </w:rPr>
            </w:pPr>
            <w:r w:rsidRPr="009D20B2">
              <w:rPr>
                <w:rFonts w:asciiTheme="minorHAnsi" w:hAnsiTheme="minorHAnsi"/>
                <w:sz w:val="18"/>
                <w:szCs w:val="18"/>
              </w:rPr>
              <w:t>Renewables Plus</w:t>
            </w:r>
          </w:p>
        </w:tc>
        <w:tc>
          <w:tcPr>
            <w:tcW w:w="979"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1,325</w:t>
            </w:r>
          </w:p>
        </w:tc>
        <w:tc>
          <w:tcPr>
            <w:tcW w:w="1370"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3,383</w:t>
            </w:r>
          </w:p>
        </w:tc>
        <w:tc>
          <w:tcPr>
            <w:tcW w:w="963"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53.1%</w:t>
            </w:r>
          </w:p>
        </w:tc>
        <w:tc>
          <w:tcPr>
            <w:tcW w:w="979"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1,500</w:t>
            </w:r>
          </w:p>
        </w:tc>
        <w:tc>
          <w:tcPr>
            <w:tcW w:w="1370"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3,635</w:t>
            </w:r>
          </w:p>
        </w:tc>
        <w:tc>
          <w:tcPr>
            <w:tcW w:w="963"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42.3%</w:t>
            </w:r>
          </w:p>
        </w:tc>
        <w:tc>
          <w:tcPr>
            <w:tcW w:w="979"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1,900</w:t>
            </w:r>
          </w:p>
        </w:tc>
        <w:tc>
          <w:tcPr>
            <w:tcW w:w="1370"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3,689</w:t>
            </w:r>
          </w:p>
        </w:tc>
        <w:tc>
          <w:tcPr>
            <w:tcW w:w="963"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24.4%</w:t>
            </w:r>
          </w:p>
        </w:tc>
      </w:tr>
      <w:tr w:rsidR="009D20B2" w:rsidRPr="009D20B2" w:rsidTr="0006098B">
        <w:trPr>
          <w:jc w:val="center"/>
        </w:trPr>
        <w:tc>
          <w:tcPr>
            <w:tcW w:w="1326" w:type="dxa"/>
            <w:shd w:val="clear" w:color="auto" w:fill="DBE5F1" w:themeFill="accent1" w:themeFillTint="33"/>
            <w:tcMar>
              <w:left w:w="115" w:type="dxa"/>
              <w:right w:w="29" w:type="dxa"/>
            </w:tcMar>
            <w:vAlign w:val="center"/>
          </w:tcPr>
          <w:p w:rsidR="00BE7F0B" w:rsidRPr="009D20B2" w:rsidRDefault="00BE7F0B" w:rsidP="0006098B">
            <w:pPr>
              <w:pStyle w:val="Caption"/>
              <w:spacing w:before="40" w:after="40"/>
              <w:rPr>
                <w:rFonts w:asciiTheme="minorHAnsi" w:hAnsiTheme="minorHAnsi"/>
                <w:sz w:val="18"/>
                <w:szCs w:val="18"/>
              </w:rPr>
            </w:pPr>
            <w:r w:rsidRPr="009D20B2">
              <w:rPr>
                <w:rFonts w:asciiTheme="minorHAnsi" w:hAnsiTheme="minorHAnsi"/>
                <w:sz w:val="18"/>
                <w:szCs w:val="18"/>
              </w:rPr>
              <w:t>No Retirements beyond FCA #10</w:t>
            </w:r>
          </w:p>
        </w:tc>
        <w:tc>
          <w:tcPr>
            <w:tcW w:w="979"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1,325</w:t>
            </w:r>
          </w:p>
        </w:tc>
        <w:tc>
          <w:tcPr>
            <w:tcW w:w="1370"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1,569</w:t>
            </w:r>
          </w:p>
        </w:tc>
        <w:tc>
          <w:tcPr>
            <w:tcW w:w="963"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2.6%</w:t>
            </w:r>
          </w:p>
        </w:tc>
        <w:tc>
          <w:tcPr>
            <w:tcW w:w="979"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1,500</w:t>
            </w:r>
          </w:p>
        </w:tc>
        <w:tc>
          <w:tcPr>
            <w:tcW w:w="1370"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1,818</w:t>
            </w:r>
          </w:p>
        </w:tc>
        <w:tc>
          <w:tcPr>
            <w:tcW w:w="963"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2.1%</w:t>
            </w:r>
          </w:p>
        </w:tc>
        <w:tc>
          <w:tcPr>
            <w:tcW w:w="979"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1,900</w:t>
            </w:r>
          </w:p>
        </w:tc>
        <w:tc>
          <w:tcPr>
            <w:tcW w:w="1370"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1,974</w:t>
            </w:r>
          </w:p>
        </w:tc>
        <w:tc>
          <w:tcPr>
            <w:tcW w:w="963"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0.1%</w:t>
            </w:r>
          </w:p>
        </w:tc>
      </w:tr>
      <w:tr w:rsidR="009D20B2" w:rsidRPr="009D20B2" w:rsidTr="0006098B">
        <w:trPr>
          <w:jc w:val="center"/>
        </w:trPr>
        <w:tc>
          <w:tcPr>
            <w:tcW w:w="1326" w:type="dxa"/>
            <w:tcMar>
              <w:left w:w="115" w:type="dxa"/>
              <w:right w:w="29" w:type="dxa"/>
            </w:tcMar>
            <w:vAlign w:val="center"/>
          </w:tcPr>
          <w:p w:rsidR="00BE7F0B" w:rsidRPr="009D20B2" w:rsidRDefault="00BE7F0B" w:rsidP="0006098B">
            <w:pPr>
              <w:pStyle w:val="Caption"/>
              <w:spacing w:before="40" w:after="40"/>
              <w:rPr>
                <w:rFonts w:asciiTheme="minorHAnsi" w:hAnsiTheme="minorHAnsi"/>
                <w:sz w:val="18"/>
                <w:szCs w:val="18"/>
              </w:rPr>
            </w:pPr>
            <w:r w:rsidRPr="009D20B2">
              <w:rPr>
                <w:rFonts w:asciiTheme="minorHAnsi" w:hAnsiTheme="minorHAnsi"/>
                <w:sz w:val="18"/>
                <w:szCs w:val="18"/>
              </w:rPr>
              <w:t>ACPs + Gas</w:t>
            </w:r>
          </w:p>
        </w:tc>
        <w:tc>
          <w:tcPr>
            <w:tcW w:w="979"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1,325</w:t>
            </w:r>
          </w:p>
        </w:tc>
        <w:tc>
          <w:tcPr>
            <w:tcW w:w="1370"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1,569</w:t>
            </w:r>
          </w:p>
        </w:tc>
        <w:tc>
          <w:tcPr>
            <w:tcW w:w="963"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2.7%</w:t>
            </w:r>
          </w:p>
        </w:tc>
        <w:tc>
          <w:tcPr>
            <w:tcW w:w="979"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1,500</w:t>
            </w:r>
          </w:p>
        </w:tc>
        <w:tc>
          <w:tcPr>
            <w:tcW w:w="1370"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1,878</w:t>
            </w:r>
          </w:p>
        </w:tc>
        <w:tc>
          <w:tcPr>
            <w:tcW w:w="963"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2.8%</w:t>
            </w:r>
          </w:p>
        </w:tc>
        <w:tc>
          <w:tcPr>
            <w:tcW w:w="979"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1,900</w:t>
            </w:r>
          </w:p>
        </w:tc>
        <w:tc>
          <w:tcPr>
            <w:tcW w:w="1370"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2,035</w:t>
            </w:r>
          </w:p>
        </w:tc>
        <w:tc>
          <w:tcPr>
            <w:tcW w:w="963" w:type="dxa"/>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0.1%</w:t>
            </w:r>
          </w:p>
        </w:tc>
      </w:tr>
      <w:tr w:rsidR="009D20B2" w:rsidRPr="009D20B2" w:rsidTr="0006098B">
        <w:trPr>
          <w:jc w:val="center"/>
        </w:trPr>
        <w:tc>
          <w:tcPr>
            <w:tcW w:w="1326" w:type="dxa"/>
            <w:shd w:val="clear" w:color="auto" w:fill="DBE5F1" w:themeFill="accent1" w:themeFillTint="33"/>
            <w:tcMar>
              <w:left w:w="115" w:type="dxa"/>
              <w:right w:w="29" w:type="dxa"/>
            </w:tcMar>
            <w:vAlign w:val="center"/>
          </w:tcPr>
          <w:p w:rsidR="00BE7F0B" w:rsidRPr="009D20B2" w:rsidRDefault="00BE7F0B" w:rsidP="0006098B">
            <w:pPr>
              <w:pStyle w:val="Caption"/>
              <w:spacing w:before="40" w:after="40"/>
              <w:rPr>
                <w:rFonts w:asciiTheme="minorHAnsi" w:hAnsiTheme="minorHAnsi"/>
                <w:sz w:val="18"/>
                <w:szCs w:val="18"/>
              </w:rPr>
            </w:pPr>
            <w:r w:rsidRPr="009D20B2">
              <w:rPr>
                <w:rFonts w:asciiTheme="minorHAnsi" w:hAnsiTheme="minorHAnsi"/>
                <w:sz w:val="18"/>
                <w:szCs w:val="18"/>
              </w:rPr>
              <w:t>RPSs + Geodiverse Renewables</w:t>
            </w:r>
          </w:p>
        </w:tc>
        <w:tc>
          <w:tcPr>
            <w:tcW w:w="979"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1,325</w:t>
            </w:r>
          </w:p>
        </w:tc>
        <w:tc>
          <w:tcPr>
            <w:tcW w:w="1370"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2,815</w:t>
            </w:r>
          </w:p>
        </w:tc>
        <w:tc>
          <w:tcPr>
            <w:tcW w:w="963"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39.9%</w:t>
            </w:r>
          </w:p>
        </w:tc>
        <w:tc>
          <w:tcPr>
            <w:tcW w:w="979"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1,500</w:t>
            </w:r>
          </w:p>
        </w:tc>
        <w:tc>
          <w:tcPr>
            <w:tcW w:w="1370"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3,050</w:t>
            </w:r>
          </w:p>
        </w:tc>
        <w:tc>
          <w:tcPr>
            <w:tcW w:w="963"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30.1%</w:t>
            </w:r>
          </w:p>
        </w:tc>
        <w:tc>
          <w:tcPr>
            <w:tcW w:w="979"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1,900</w:t>
            </w:r>
          </w:p>
        </w:tc>
        <w:tc>
          <w:tcPr>
            <w:tcW w:w="1370"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3,139</w:t>
            </w:r>
          </w:p>
        </w:tc>
        <w:tc>
          <w:tcPr>
            <w:tcW w:w="963" w:type="dxa"/>
            <w:shd w:val="clear" w:color="auto" w:fill="DBE5F1" w:themeFill="accent1" w:themeFillTint="33"/>
            <w:vAlign w:val="center"/>
          </w:tcPr>
          <w:p w:rsidR="00BE7F0B" w:rsidRPr="009D20B2" w:rsidRDefault="00BE7F0B" w:rsidP="009D20B2">
            <w:pPr>
              <w:pStyle w:val="Caption"/>
              <w:spacing w:before="40" w:after="40"/>
              <w:jc w:val="center"/>
              <w:rPr>
                <w:rFonts w:asciiTheme="minorHAnsi" w:hAnsiTheme="minorHAnsi"/>
                <w:b w:val="0"/>
                <w:sz w:val="18"/>
                <w:szCs w:val="18"/>
              </w:rPr>
            </w:pPr>
            <w:r w:rsidRPr="009D20B2">
              <w:rPr>
                <w:rFonts w:asciiTheme="minorHAnsi" w:hAnsiTheme="minorHAnsi"/>
                <w:b w:val="0"/>
                <w:sz w:val="18"/>
                <w:szCs w:val="18"/>
              </w:rPr>
              <w:t>14.7%</w:t>
            </w:r>
          </w:p>
        </w:tc>
      </w:tr>
    </w:tbl>
    <w:p w:rsidR="00550E4D" w:rsidRDefault="00550E4D" w:rsidP="009D20B2">
      <w:pPr>
        <w:pStyle w:val="Caption"/>
      </w:pPr>
    </w:p>
    <w:p w:rsidR="00BE7F0B" w:rsidRDefault="00BE7F0B" w:rsidP="00BE7F0B">
      <w:pPr>
        <w:pStyle w:val="Caption"/>
        <w:jc w:val="center"/>
        <w:rPr>
          <w:noProof/>
        </w:rPr>
      </w:pPr>
      <w:bookmarkStart w:id="332" w:name="_Ref485807972"/>
      <w:bookmarkStart w:id="333" w:name="_Toc486406050"/>
      <w:r>
        <w:t xml:space="preserve">Table </w:t>
      </w:r>
      <w:fldSimple w:instr=" STYLEREF 1 \s ">
        <w:r w:rsidR="004248FE">
          <w:rPr>
            <w:noProof/>
          </w:rPr>
          <w:t>6</w:t>
        </w:r>
      </w:fldSimple>
      <w:r w:rsidR="004248FE">
        <w:noBreakHyphen/>
      </w:r>
      <w:fldSimple w:instr=" SEQ Table \* ARABIC \s 1 ">
        <w:r w:rsidR="004248FE">
          <w:rPr>
            <w:noProof/>
          </w:rPr>
          <w:t>15</w:t>
        </w:r>
      </w:fldSimple>
      <w:bookmarkEnd w:id="332"/>
      <w:r>
        <w:rPr>
          <w:noProof/>
        </w:rPr>
        <w:br/>
        <w:t>Interface Flow Statistics for 2030</w:t>
      </w:r>
      <w:bookmarkEnd w:id="333"/>
    </w:p>
    <w:tbl>
      <w:tblPr>
        <w:tblStyle w:val="TableGrid"/>
        <w:tblW w:w="11262" w:type="dxa"/>
        <w:jc w:val="center"/>
        <w:tblLook w:val="04A0" w:firstRow="1" w:lastRow="0" w:firstColumn="1" w:lastColumn="0" w:noHBand="0" w:noVBand="1"/>
      </w:tblPr>
      <w:tblGrid>
        <w:gridCol w:w="1326"/>
        <w:gridCol w:w="979"/>
        <w:gridCol w:w="1370"/>
        <w:gridCol w:w="963"/>
        <w:gridCol w:w="979"/>
        <w:gridCol w:w="1370"/>
        <w:gridCol w:w="963"/>
        <w:gridCol w:w="979"/>
        <w:gridCol w:w="1370"/>
        <w:gridCol w:w="963"/>
      </w:tblGrid>
      <w:tr w:rsidR="009D20B2" w:rsidRPr="002F02F1" w:rsidTr="002F02F1">
        <w:trPr>
          <w:jc w:val="center"/>
        </w:trPr>
        <w:tc>
          <w:tcPr>
            <w:tcW w:w="1326" w:type="dxa"/>
            <w:vMerge w:val="restart"/>
            <w:shd w:val="clear" w:color="auto" w:fill="4F81BD" w:themeFill="accent1"/>
            <w:vAlign w:val="center"/>
          </w:tcPr>
          <w:p w:rsidR="009D20B2" w:rsidRPr="002F02F1" w:rsidRDefault="009D20B2" w:rsidP="00EF41C5">
            <w:pPr>
              <w:pStyle w:val="Caption"/>
              <w:spacing w:before="40" w:after="40"/>
              <w:jc w:val="center"/>
              <w:rPr>
                <w:rFonts w:asciiTheme="minorHAnsi" w:hAnsiTheme="minorHAnsi" w:cstheme="minorHAnsi"/>
                <w:color w:val="FFFFFF" w:themeColor="background1"/>
                <w:sz w:val="18"/>
                <w:szCs w:val="18"/>
              </w:rPr>
            </w:pPr>
            <w:r w:rsidRPr="002F02F1">
              <w:rPr>
                <w:rFonts w:asciiTheme="minorHAnsi" w:hAnsiTheme="minorHAnsi" w:cstheme="minorHAnsi"/>
                <w:color w:val="FFFFFF" w:themeColor="background1"/>
                <w:sz w:val="18"/>
                <w:szCs w:val="18"/>
              </w:rPr>
              <w:t>Scenarios</w:t>
            </w:r>
          </w:p>
        </w:tc>
        <w:tc>
          <w:tcPr>
            <w:tcW w:w="979" w:type="dxa"/>
            <w:shd w:val="clear" w:color="auto" w:fill="4F81BD" w:themeFill="accent1"/>
            <w:vAlign w:val="center"/>
          </w:tcPr>
          <w:p w:rsidR="009D20B2" w:rsidRPr="002F02F1" w:rsidRDefault="009D20B2" w:rsidP="00EF41C5">
            <w:pPr>
              <w:pStyle w:val="Caption"/>
              <w:spacing w:before="40" w:after="40"/>
              <w:jc w:val="center"/>
              <w:rPr>
                <w:rFonts w:asciiTheme="minorHAnsi" w:hAnsiTheme="minorHAnsi" w:cstheme="minorHAnsi"/>
                <w:color w:val="FFFFFF" w:themeColor="background1"/>
                <w:sz w:val="18"/>
                <w:szCs w:val="18"/>
              </w:rPr>
            </w:pPr>
            <w:r w:rsidRPr="002F02F1">
              <w:rPr>
                <w:rFonts w:asciiTheme="minorHAnsi" w:hAnsiTheme="minorHAnsi" w:cstheme="minorHAnsi"/>
                <w:color w:val="FFFFFF" w:themeColor="background1"/>
                <w:sz w:val="18"/>
                <w:szCs w:val="18"/>
              </w:rPr>
              <w:t>Maximum Transfer Capability</w:t>
            </w:r>
          </w:p>
        </w:tc>
        <w:tc>
          <w:tcPr>
            <w:tcW w:w="1370" w:type="dxa"/>
            <w:shd w:val="clear" w:color="auto" w:fill="4F81BD" w:themeFill="accent1"/>
            <w:vAlign w:val="center"/>
          </w:tcPr>
          <w:p w:rsidR="009D20B2" w:rsidRPr="002F02F1" w:rsidRDefault="009D20B2" w:rsidP="00EF41C5">
            <w:pPr>
              <w:pStyle w:val="Caption"/>
              <w:spacing w:before="40" w:after="40"/>
              <w:jc w:val="center"/>
              <w:rPr>
                <w:rFonts w:asciiTheme="minorHAnsi" w:hAnsiTheme="minorHAnsi" w:cstheme="minorHAnsi"/>
                <w:color w:val="FFFFFF" w:themeColor="background1"/>
                <w:sz w:val="18"/>
                <w:szCs w:val="18"/>
              </w:rPr>
            </w:pPr>
            <w:r w:rsidRPr="002F02F1">
              <w:rPr>
                <w:rFonts w:asciiTheme="minorHAnsi" w:hAnsiTheme="minorHAnsi" w:cstheme="minorHAnsi"/>
                <w:color w:val="FFFFFF" w:themeColor="background1"/>
                <w:sz w:val="18"/>
                <w:szCs w:val="18"/>
              </w:rPr>
              <w:t>Maximum MW Flow (Unconstrained Case)</w:t>
            </w:r>
          </w:p>
        </w:tc>
        <w:tc>
          <w:tcPr>
            <w:tcW w:w="963" w:type="dxa"/>
            <w:shd w:val="clear" w:color="auto" w:fill="4F81BD" w:themeFill="accent1"/>
            <w:vAlign w:val="center"/>
          </w:tcPr>
          <w:p w:rsidR="009D20B2" w:rsidRPr="002F02F1" w:rsidRDefault="009D20B2" w:rsidP="00EF41C5">
            <w:pPr>
              <w:pStyle w:val="Caption"/>
              <w:spacing w:before="40" w:after="40"/>
              <w:jc w:val="center"/>
              <w:rPr>
                <w:rFonts w:asciiTheme="minorHAnsi" w:hAnsiTheme="minorHAnsi" w:cstheme="minorHAnsi"/>
                <w:color w:val="FFFFFF" w:themeColor="background1"/>
                <w:sz w:val="18"/>
                <w:szCs w:val="18"/>
              </w:rPr>
            </w:pPr>
            <w:r w:rsidRPr="002F02F1">
              <w:rPr>
                <w:rFonts w:asciiTheme="minorHAnsi" w:hAnsiTheme="minorHAnsi" w:cstheme="minorHAnsi"/>
                <w:color w:val="FFFFFF" w:themeColor="background1"/>
                <w:sz w:val="18"/>
                <w:szCs w:val="18"/>
              </w:rPr>
              <w:t>% of Time Interface Exceeds Its Capability</w:t>
            </w:r>
          </w:p>
        </w:tc>
        <w:tc>
          <w:tcPr>
            <w:tcW w:w="979" w:type="dxa"/>
            <w:shd w:val="clear" w:color="auto" w:fill="4F81BD" w:themeFill="accent1"/>
            <w:vAlign w:val="center"/>
          </w:tcPr>
          <w:p w:rsidR="009D20B2" w:rsidRPr="002F02F1" w:rsidRDefault="009D20B2" w:rsidP="00EF41C5">
            <w:pPr>
              <w:pStyle w:val="Caption"/>
              <w:spacing w:before="40" w:after="40"/>
              <w:jc w:val="center"/>
              <w:rPr>
                <w:rFonts w:asciiTheme="minorHAnsi" w:hAnsiTheme="minorHAnsi" w:cstheme="minorHAnsi"/>
                <w:color w:val="FFFFFF" w:themeColor="background1"/>
                <w:sz w:val="18"/>
                <w:szCs w:val="18"/>
              </w:rPr>
            </w:pPr>
            <w:r w:rsidRPr="002F02F1">
              <w:rPr>
                <w:rFonts w:asciiTheme="minorHAnsi" w:hAnsiTheme="minorHAnsi" w:cstheme="minorHAnsi"/>
                <w:color w:val="FFFFFF" w:themeColor="background1"/>
                <w:sz w:val="18"/>
                <w:szCs w:val="18"/>
              </w:rPr>
              <w:t>Maximum Transfer Capability</w:t>
            </w:r>
          </w:p>
        </w:tc>
        <w:tc>
          <w:tcPr>
            <w:tcW w:w="1370" w:type="dxa"/>
            <w:shd w:val="clear" w:color="auto" w:fill="4F81BD" w:themeFill="accent1"/>
            <w:vAlign w:val="center"/>
          </w:tcPr>
          <w:p w:rsidR="009D20B2" w:rsidRPr="002F02F1" w:rsidRDefault="009D20B2" w:rsidP="00EF41C5">
            <w:pPr>
              <w:pStyle w:val="Caption"/>
              <w:spacing w:before="40" w:after="40"/>
              <w:jc w:val="center"/>
              <w:rPr>
                <w:rFonts w:asciiTheme="minorHAnsi" w:hAnsiTheme="minorHAnsi" w:cstheme="minorHAnsi"/>
                <w:color w:val="FFFFFF" w:themeColor="background1"/>
                <w:sz w:val="18"/>
                <w:szCs w:val="18"/>
              </w:rPr>
            </w:pPr>
            <w:r w:rsidRPr="002F02F1">
              <w:rPr>
                <w:rFonts w:asciiTheme="minorHAnsi" w:hAnsiTheme="minorHAnsi" w:cstheme="minorHAnsi"/>
                <w:color w:val="FFFFFF" w:themeColor="background1"/>
                <w:sz w:val="18"/>
                <w:szCs w:val="18"/>
              </w:rPr>
              <w:t>Maximum MW Flow (Unconstrained Case)</w:t>
            </w:r>
          </w:p>
        </w:tc>
        <w:tc>
          <w:tcPr>
            <w:tcW w:w="963" w:type="dxa"/>
            <w:shd w:val="clear" w:color="auto" w:fill="4F81BD" w:themeFill="accent1"/>
            <w:vAlign w:val="center"/>
          </w:tcPr>
          <w:p w:rsidR="009D20B2" w:rsidRPr="002F02F1" w:rsidRDefault="009D20B2" w:rsidP="00EF41C5">
            <w:pPr>
              <w:pStyle w:val="Caption"/>
              <w:spacing w:before="40" w:after="40"/>
              <w:jc w:val="center"/>
              <w:rPr>
                <w:rFonts w:asciiTheme="minorHAnsi" w:hAnsiTheme="minorHAnsi" w:cstheme="minorHAnsi"/>
                <w:color w:val="FFFFFF" w:themeColor="background1"/>
                <w:sz w:val="18"/>
                <w:szCs w:val="18"/>
              </w:rPr>
            </w:pPr>
            <w:r w:rsidRPr="002F02F1">
              <w:rPr>
                <w:rFonts w:asciiTheme="minorHAnsi" w:hAnsiTheme="minorHAnsi" w:cstheme="minorHAnsi"/>
                <w:color w:val="FFFFFF" w:themeColor="background1"/>
                <w:sz w:val="18"/>
                <w:szCs w:val="18"/>
              </w:rPr>
              <w:t>% of Time Interface Exceeds Its Capability</w:t>
            </w:r>
          </w:p>
        </w:tc>
        <w:tc>
          <w:tcPr>
            <w:tcW w:w="979" w:type="dxa"/>
            <w:shd w:val="clear" w:color="auto" w:fill="4F81BD" w:themeFill="accent1"/>
            <w:vAlign w:val="center"/>
          </w:tcPr>
          <w:p w:rsidR="009D20B2" w:rsidRPr="002F02F1" w:rsidRDefault="009D20B2" w:rsidP="00EF41C5">
            <w:pPr>
              <w:pStyle w:val="Caption"/>
              <w:spacing w:before="40" w:after="40"/>
              <w:jc w:val="center"/>
              <w:rPr>
                <w:rFonts w:asciiTheme="minorHAnsi" w:hAnsiTheme="minorHAnsi" w:cstheme="minorHAnsi"/>
                <w:color w:val="FFFFFF" w:themeColor="background1"/>
                <w:sz w:val="18"/>
                <w:szCs w:val="18"/>
              </w:rPr>
            </w:pPr>
            <w:r w:rsidRPr="002F02F1">
              <w:rPr>
                <w:rFonts w:asciiTheme="minorHAnsi" w:hAnsiTheme="minorHAnsi" w:cstheme="minorHAnsi"/>
                <w:color w:val="FFFFFF" w:themeColor="background1"/>
                <w:sz w:val="18"/>
                <w:szCs w:val="18"/>
              </w:rPr>
              <w:t>Maximum Transfer Capability</w:t>
            </w:r>
          </w:p>
        </w:tc>
        <w:tc>
          <w:tcPr>
            <w:tcW w:w="1370" w:type="dxa"/>
            <w:shd w:val="clear" w:color="auto" w:fill="4F81BD" w:themeFill="accent1"/>
            <w:vAlign w:val="center"/>
          </w:tcPr>
          <w:p w:rsidR="009D20B2" w:rsidRPr="002F02F1" w:rsidRDefault="009D20B2" w:rsidP="00EF41C5">
            <w:pPr>
              <w:pStyle w:val="Caption"/>
              <w:spacing w:before="40" w:after="40"/>
              <w:jc w:val="center"/>
              <w:rPr>
                <w:rFonts w:asciiTheme="minorHAnsi" w:hAnsiTheme="minorHAnsi" w:cstheme="minorHAnsi"/>
                <w:color w:val="FFFFFF" w:themeColor="background1"/>
                <w:sz w:val="18"/>
                <w:szCs w:val="18"/>
              </w:rPr>
            </w:pPr>
            <w:r w:rsidRPr="002F02F1">
              <w:rPr>
                <w:rFonts w:asciiTheme="minorHAnsi" w:hAnsiTheme="minorHAnsi" w:cstheme="minorHAnsi"/>
                <w:color w:val="FFFFFF" w:themeColor="background1"/>
                <w:sz w:val="18"/>
                <w:szCs w:val="18"/>
              </w:rPr>
              <w:t>Maximum MW Flow (Unconstrained Case)</w:t>
            </w:r>
          </w:p>
        </w:tc>
        <w:tc>
          <w:tcPr>
            <w:tcW w:w="963" w:type="dxa"/>
            <w:shd w:val="clear" w:color="auto" w:fill="4F81BD" w:themeFill="accent1"/>
            <w:vAlign w:val="center"/>
          </w:tcPr>
          <w:p w:rsidR="009D20B2" w:rsidRPr="002F02F1" w:rsidRDefault="009D20B2" w:rsidP="00EF41C5">
            <w:pPr>
              <w:pStyle w:val="Caption"/>
              <w:spacing w:before="40" w:after="40"/>
              <w:jc w:val="center"/>
              <w:rPr>
                <w:rFonts w:asciiTheme="minorHAnsi" w:hAnsiTheme="minorHAnsi" w:cstheme="minorHAnsi"/>
                <w:color w:val="FFFFFF" w:themeColor="background1"/>
                <w:sz w:val="18"/>
                <w:szCs w:val="18"/>
              </w:rPr>
            </w:pPr>
            <w:r w:rsidRPr="002F02F1">
              <w:rPr>
                <w:rFonts w:asciiTheme="minorHAnsi" w:hAnsiTheme="minorHAnsi" w:cstheme="minorHAnsi"/>
                <w:color w:val="FFFFFF" w:themeColor="background1"/>
                <w:sz w:val="18"/>
                <w:szCs w:val="18"/>
              </w:rPr>
              <w:t>% of Time Interface Exceeds Its Capability</w:t>
            </w:r>
          </w:p>
        </w:tc>
      </w:tr>
      <w:tr w:rsidR="009D20B2" w:rsidRPr="002F02F1" w:rsidTr="002F02F1">
        <w:trPr>
          <w:jc w:val="center"/>
        </w:trPr>
        <w:tc>
          <w:tcPr>
            <w:tcW w:w="1326" w:type="dxa"/>
            <w:vMerge/>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p>
        </w:tc>
        <w:tc>
          <w:tcPr>
            <w:tcW w:w="3312" w:type="dxa"/>
            <w:gridSpan w:val="3"/>
            <w:shd w:val="clear" w:color="auto" w:fill="4F81BD" w:themeFill="accent1"/>
            <w:vAlign w:val="center"/>
          </w:tcPr>
          <w:p w:rsidR="009D20B2" w:rsidRPr="002F02F1" w:rsidRDefault="009D20B2" w:rsidP="00EF41C5">
            <w:pPr>
              <w:pStyle w:val="Caption"/>
              <w:spacing w:before="40" w:after="40"/>
              <w:jc w:val="center"/>
              <w:rPr>
                <w:rFonts w:asciiTheme="minorHAnsi" w:hAnsiTheme="minorHAnsi" w:cstheme="minorHAnsi"/>
                <w:color w:val="FFFFFF" w:themeColor="background1"/>
                <w:sz w:val="18"/>
                <w:szCs w:val="18"/>
              </w:rPr>
            </w:pPr>
            <w:r w:rsidRPr="002F02F1">
              <w:rPr>
                <w:rFonts w:asciiTheme="minorHAnsi" w:hAnsiTheme="minorHAnsi" w:cstheme="minorHAnsi"/>
                <w:color w:val="FFFFFF" w:themeColor="background1"/>
                <w:sz w:val="18"/>
                <w:szCs w:val="18"/>
              </w:rPr>
              <w:t>Orrington-South Interface</w:t>
            </w:r>
          </w:p>
        </w:tc>
        <w:tc>
          <w:tcPr>
            <w:tcW w:w="3312" w:type="dxa"/>
            <w:gridSpan w:val="3"/>
            <w:shd w:val="clear" w:color="auto" w:fill="4F81BD" w:themeFill="accent1"/>
            <w:vAlign w:val="center"/>
          </w:tcPr>
          <w:p w:rsidR="009D20B2" w:rsidRPr="002F02F1" w:rsidRDefault="009D20B2" w:rsidP="00EF41C5">
            <w:pPr>
              <w:pStyle w:val="Caption"/>
              <w:spacing w:before="40" w:after="40"/>
              <w:jc w:val="center"/>
              <w:rPr>
                <w:rFonts w:asciiTheme="minorHAnsi" w:hAnsiTheme="minorHAnsi" w:cstheme="minorHAnsi"/>
                <w:color w:val="FFFFFF" w:themeColor="background1"/>
                <w:sz w:val="18"/>
                <w:szCs w:val="18"/>
              </w:rPr>
            </w:pPr>
            <w:r w:rsidRPr="002F02F1">
              <w:rPr>
                <w:rFonts w:asciiTheme="minorHAnsi" w:hAnsiTheme="minorHAnsi" w:cstheme="minorHAnsi"/>
                <w:color w:val="FFFFFF" w:themeColor="background1"/>
                <w:sz w:val="18"/>
                <w:szCs w:val="18"/>
              </w:rPr>
              <w:t>Surowiec-South Interface</w:t>
            </w:r>
          </w:p>
        </w:tc>
        <w:tc>
          <w:tcPr>
            <w:tcW w:w="3312" w:type="dxa"/>
            <w:gridSpan w:val="3"/>
            <w:shd w:val="clear" w:color="auto" w:fill="4F81BD" w:themeFill="accent1"/>
            <w:vAlign w:val="center"/>
          </w:tcPr>
          <w:p w:rsidR="009D20B2" w:rsidRPr="002F02F1" w:rsidRDefault="009D20B2" w:rsidP="00EF41C5">
            <w:pPr>
              <w:pStyle w:val="Caption"/>
              <w:spacing w:before="40" w:after="40"/>
              <w:jc w:val="center"/>
              <w:rPr>
                <w:rFonts w:asciiTheme="minorHAnsi" w:hAnsiTheme="minorHAnsi" w:cstheme="minorHAnsi"/>
                <w:color w:val="FFFFFF" w:themeColor="background1"/>
                <w:sz w:val="18"/>
                <w:szCs w:val="18"/>
              </w:rPr>
            </w:pPr>
            <w:r w:rsidRPr="002F02F1">
              <w:rPr>
                <w:rFonts w:asciiTheme="minorHAnsi" w:hAnsiTheme="minorHAnsi" w:cstheme="minorHAnsi"/>
                <w:color w:val="FFFFFF" w:themeColor="background1"/>
                <w:sz w:val="18"/>
                <w:szCs w:val="18"/>
              </w:rPr>
              <w:t>Maine-New Hampshire Interface</w:t>
            </w:r>
          </w:p>
        </w:tc>
      </w:tr>
      <w:tr w:rsidR="009D20B2" w:rsidRPr="002F02F1" w:rsidTr="002F02F1">
        <w:trPr>
          <w:jc w:val="center"/>
        </w:trPr>
        <w:tc>
          <w:tcPr>
            <w:tcW w:w="1326" w:type="dxa"/>
            <w:tcMar>
              <w:left w:w="58" w:type="dxa"/>
              <w:right w:w="29" w:type="dxa"/>
            </w:tcMar>
            <w:vAlign w:val="center"/>
          </w:tcPr>
          <w:p w:rsidR="009D20B2" w:rsidRPr="002F02F1" w:rsidRDefault="009D20B2" w:rsidP="0006098B">
            <w:pPr>
              <w:pStyle w:val="Caption"/>
              <w:spacing w:before="40" w:after="40"/>
              <w:rPr>
                <w:rFonts w:asciiTheme="minorHAnsi" w:hAnsiTheme="minorHAnsi" w:cstheme="minorHAnsi"/>
                <w:sz w:val="18"/>
                <w:szCs w:val="18"/>
              </w:rPr>
            </w:pPr>
            <w:r w:rsidRPr="002F02F1">
              <w:rPr>
                <w:rFonts w:asciiTheme="minorHAnsi" w:hAnsiTheme="minorHAnsi" w:cstheme="minorHAnsi"/>
                <w:sz w:val="18"/>
                <w:szCs w:val="18"/>
              </w:rPr>
              <w:t>RPSs + Gas</w:t>
            </w:r>
          </w:p>
        </w:tc>
        <w:tc>
          <w:tcPr>
            <w:tcW w:w="979"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1,325</w:t>
            </w:r>
          </w:p>
        </w:tc>
        <w:tc>
          <w:tcPr>
            <w:tcW w:w="1370"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3,626</w:t>
            </w:r>
          </w:p>
        </w:tc>
        <w:tc>
          <w:tcPr>
            <w:tcW w:w="963"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56.3%</w:t>
            </w:r>
          </w:p>
        </w:tc>
        <w:tc>
          <w:tcPr>
            <w:tcW w:w="979"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1,500</w:t>
            </w:r>
          </w:p>
        </w:tc>
        <w:tc>
          <w:tcPr>
            <w:tcW w:w="1370"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3,928</w:t>
            </w:r>
          </w:p>
        </w:tc>
        <w:tc>
          <w:tcPr>
            <w:tcW w:w="963"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43.4%</w:t>
            </w:r>
          </w:p>
        </w:tc>
        <w:tc>
          <w:tcPr>
            <w:tcW w:w="979"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1,900</w:t>
            </w:r>
          </w:p>
        </w:tc>
        <w:tc>
          <w:tcPr>
            <w:tcW w:w="1370"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4,268</w:t>
            </w:r>
          </w:p>
        </w:tc>
        <w:tc>
          <w:tcPr>
            <w:tcW w:w="963"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42.6%</w:t>
            </w:r>
          </w:p>
        </w:tc>
      </w:tr>
      <w:tr w:rsidR="009D20B2" w:rsidRPr="002F02F1" w:rsidTr="002F02F1">
        <w:trPr>
          <w:jc w:val="center"/>
        </w:trPr>
        <w:tc>
          <w:tcPr>
            <w:tcW w:w="1326" w:type="dxa"/>
            <w:shd w:val="clear" w:color="auto" w:fill="DBE5F1" w:themeFill="accent1" w:themeFillTint="33"/>
            <w:tcMar>
              <w:left w:w="58" w:type="dxa"/>
              <w:right w:w="29" w:type="dxa"/>
            </w:tcMar>
            <w:vAlign w:val="center"/>
          </w:tcPr>
          <w:p w:rsidR="009D20B2" w:rsidRPr="002F02F1" w:rsidRDefault="009D20B2" w:rsidP="0006098B">
            <w:pPr>
              <w:pStyle w:val="Caption"/>
              <w:spacing w:before="40" w:after="40"/>
              <w:rPr>
                <w:rFonts w:asciiTheme="minorHAnsi" w:hAnsiTheme="minorHAnsi" w:cstheme="minorHAnsi"/>
                <w:sz w:val="18"/>
                <w:szCs w:val="18"/>
              </w:rPr>
            </w:pPr>
            <w:r w:rsidRPr="002F02F1">
              <w:rPr>
                <w:rFonts w:asciiTheme="minorHAnsi" w:hAnsiTheme="minorHAnsi" w:cstheme="minorHAnsi"/>
                <w:sz w:val="18"/>
                <w:szCs w:val="18"/>
              </w:rPr>
              <w:t>ISO Queue</w:t>
            </w:r>
          </w:p>
        </w:tc>
        <w:tc>
          <w:tcPr>
            <w:tcW w:w="979"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1,325</w:t>
            </w:r>
          </w:p>
        </w:tc>
        <w:tc>
          <w:tcPr>
            <w:tcW w:w="1370"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8,995</w:t>
            </w:r>
          </w:p>
        </w:tc>
        <w:tc>
          <w:tcPr>
            <w:tcW w:w="963"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86.2%</w:t>
            </w:r>
          </w:p>
        </w:tc>
        <w:tc>
          <w:tcPr>
            <w:tcW w:w="979"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1,500</w:t>
            </w:r>
          </w:p>
        </w:tc>
        <w:tc>
          <w:tcPr>
            <w:tcW w:w="1370"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11,510</w:t>
            </w:r>
          </w:p>
        </w:tc>
        <w:tc>
          <w:tcPr>
            <w:tcW w:w="963"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88.8%</w:t>
            </w:r>
          </w:p>
        </w:tc>
        <w:tc>
          <w:tcPr>
            <w:tcW w:w="979"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1,900</w:t>
            </w:r>
          </w:p>
        </w:tc>
        <w:tc>
          <w:tcPr>
            <w:tcW w:w="1370"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10,958</w:t>
            </w:r>
          </w:p>
        </w:tc>
        <w:tc>
          <w:tcPr>
            <w:tcW w:w="963"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81.1%</w:t>
            </w:r>
          </w:p>
        </w:tc>
      </w:tr>
      <w:tr w:rsidR="009D20B2" w:rsidRPr="002F02F1" w:rsidTr="002F02F1">
        <w:trPr>
          <w:jc w:val="center"/>
        </w:trPr>
        <w:tc>
          <w:tcPr>
            <w:tcW w:w="1326" w:type="dxa"/>
            <w:tcMar>
              <w:left w:w="58" w:type="dxa"/>
              <w:right w:w="29" w:type="dxa"/>
            </w:tcMar>
            <w:vAlign w:val="center"/>
          </w:tcPr>
          <w:p w:rsidR="009D20B2" w:rsidRPr="002F02F1" w:rsidRDefault="009D20B2" w:rsidP="0006098B">
            <w:pPr>
              <w:pStyle w:val="Caption"/>
              <w:spacing w:before="40" w:after="40"/>
              <w:rPr>
                <w:rFonts w:asciiTheme="minorHAnsi" w:hAnsiTheme="minorHAnsi" w:cstheme="minorHAnsi"/>
                <w:sz w:val="18"/>
                <w:szCs w:val="18"/>
              </w:rPr>
            </w:pPr>
            <w:r w:rsidRPr="002F02F1">
              <w:rPr>
                <w:rFonts w:asciiTheme="minorHAnsi" w:hAnsiTheme="minorHAnsi" w:cstheme="minorHAnsi"/>
                <w:sz w:val="18"/>
                <w:szCs w:val="18"/>
              </w:rPr>
              <w:t>Renewables Plus</w:t>
            </w:r>
          </w:p>
        </w:tc>
        <w:tc>
          <w:tcPr>
            <w:tcW w:w="979"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1,325</w:t>
            </w:r>
          </w:p>
        </w:tc>
        <w:tc>
          <w:tcPr>
            <w:tcW w:w="1370"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3,366</w:t>
            </w:r>
          </w:p>
        </w:tc>
        <w:tc>
          <w:tcPr>
            <w:tcW w:w="963"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48.3%</w:t>
            </w:r>
          </w:p>
        </w:tc>
        <w:tc>
          <w:tcPr>
            <w:tcW w:w="979"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1,500</w:t>
            </w:r>
          </w:p>
        </w:tc>
        <w:tc>
          <w:tcPr>
            <w:tcW w:w="1370"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4,114</w:t>
            </w:r>
          </w:p>
        </w:tc>
        <w:tc>
          <w:tcPr>
            <w:tcW w:w="963"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45.1%</w:t>
            </w:r>
          </w:p>
        </w:tc>
        <w:tc>
          <w:tcPr>
            <w:tcW w:w="979"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1,900</w:t>
            </w:r>
          </w:p>
        </w:tc>
        <w:tc>
          <w:tcPr>
            <w:tcW w:w="1370"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4,108</w:t>
            </w:r>
          </w:p>
        </w:tc>
        <w:tc>
          <w:tcPr>
            <w:tcW w:w="963"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25.0%</w:t>
            </w:r>
          </w:p>
        </w:tc>
      </w:tr>
      <w:tr w:rsidR="009D20B2" w:rsidRPr="002F02F1" w:rsidTr="002F02F1">
        <w:trPr>
          <w:jc w:val="center"/>
        </w:trPr>
        <w:tc>
          <w:tcPr>
            <w:tcW w:w="1326" w:type="dxa"/>
            <w:shd w:val="clear" w:color="auto" w:fill="DBE5F1" w:themeFill="accent1" w:themeFillTint="33"/>
            <w:tcMar>
              <w:left w:w="58" w:type="dxa"/>
              <w:right w:w="29" w:type="dxa"/>
            </w:tcMar>
            <w:vAlign w:val="center"/>
          </w:tcPr>
          <w:p w:rsidR="009D20B2" w:rsidRPr="002F02F1" w:rsidRDefault="009D20B2" w:rsidP="0006098B">
            <w:pPr>
              <w:pStyle w:val="Caption"/>
              <w:spacing w:before="40" w:after="40"/>
              <w:rPr>
                <w:rFonts w:asciiTheme="minorHAnsi" w:hAnsiTheme="minorHAnsi" w:cstheme="minorHAnsi"/>
                <w:sz w:val="18"/>
                <w:szCs w:val="18"/>
              </w:rPr>
            </w:pPr>
            <w:r w:rsidRPr="002F02F1">
              <w:rPr>
                <w:rFonts w:asciiTheme="minorHAnsi" w:hAnsiTheme="minorHAnsi" w:cstheme="minorHAnsi"/>
                <w:sz w:val="18"/>
                <w:szCs w:val="18"/>
              </w:rPr>
              <w:t>No Retirements beyond FCA #10</w:t>
            </w:r>
          </w:p>
        </w:tc>
        <w:tc>
          <w:tcPr>
            <w:tcW w:w="979"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1,325</w:t>
            </w:r>
          </w:p>
        </w:tc>
        <w:tc>
          <w:tcPr>
            <w:tcW w:w="1370"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1,588</w:t>
            </w:r>
          </w:p>
        </w:tc>
        <w:tc>
          <w:tcPr>
            <w:tcW w:w="963"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5.8%</w:t>
            </w:r>
          </w:p>
        </w:tc>
        <w:tc>
          <w:tcPr>
            <w:tcW w:w="979"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1,500</w:t>
            </w:r>
          </w:p>
        </w:tc>
        <w:tc>
          <w:tcPr>
            <w:tcW w:w="1370"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1,910</w:t>
            </w:r>
          </w:p>
        </w:tc>
        <w:tc>
          <w:tcPr>
            <w:tcW w:w="963"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3.8%</w:t>
            </w:r>
          </w:p>
        </w:tc>
        <w:tc>
          <w:tcPr>
            <w:tcW w:w="979"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1,900</w:t>
            </w:r>
          </w:p>
        </w:tc>
        <w:tc>
          <w:tcPr>
            <w:tcW w:w="1370"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2,092</w:t>
            </w:r>
          </w:p>
        </w:tc>
        <w:tc>
          <w:tcPr>
            <w:tcW w:w="963"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0.2%</w:t>
            </w:r>
          </w:p>
        </w:tc>
      </w:tr>
      <w:tr w:rsidR="009D20B2" w:rsidRPr="002F02F1" w:rsidTr="002F02F1">
        <w:trPr>
          <w:jc w:val="center"/>
        </w:trPr>
        <w:tc>
          <w:tcPr>
            <w:tcW w:w="1326" w:type="dxa"/>
            <w:tcMar>
              <w:left w:w="58" w:type="dxa"/>
              <w:right w:w="29" w:type="dxa"/>
            </w:tcMar>
            <w:vAlign w:val="center"/>
          </w:tcPr>
          <w:p w:rsidR="009D20B2" w:rsidRPr="002F02F1" w:rsidRDefault="009D20B2" w:rsidP="0006098B">
            <w:pPr>
              <w:pStyle w:val="Caption"/>
              <w:spacing w:before="40" w:after="40"/>
              <w:rPr>
                <w:rFonts w:asciiTheme="minorHAnsi" w:hAnsiTheme="minorHAnsi" w:cstheme="minorHAnsi"/>
                <w:sz w:val="18"/>
                <w:szCs w:val="18"/>
              </w:rPr>
            </w:pPr>
            <w:r w:rsidRPr="002F02F1">
              <w:rPr>
                <w:rFonts w:asciiTheme="minorHAnsi" w:hAnsiTheme="minorHAnsi" w:cstheme="minorHAnsi"/>
                <w:sz w:val="18"/>
                <w:szCs w:val="18"/>
              </w:rPr>
              <w:t>ACPs + Gas</w:t>
            </w:r>
          </w:p>
        </w:tc>
        <w:tc>
          <w:tcPr>
            <w:tcW w:w="979"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1,325</w:t>
            </w:r>
          </w:p>
        </w:tc>
        <w:tc>
          <w:tcPr>
            <w:tcW w:w="1370"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1,452</w:t>
            </w:r>
          </w:p>
        </w:tc>
        <w:tc>
          <w:tcPr>
            <w:tcW w:w="963"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1.0%</w:t>
            </w:r>
          </w:p>
        </w:tc>
        <w:tc>
          <w:tcPr>
            <w:tcW w:w="979"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1,500</w:t>
            </w:r>
          </w:p>
        </w:tc>
        <w:tc>
          <w:tcPr>
            <w:tcW w:w="1370"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1,606</w:t>
            </w:r>
          </w:p>
        </w:tc>
        <w:tc>
          <w:tcPr>
            <w:tcW w:w="963"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0.3%</w:t>
            </w:r>
          </w:p>
        </w:tc>
        <w:tc>
          <w:tcPr>
            <w:tcW w:w="979"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1,900</w:t>
            </w:r>
          </w:p>
        </w:tc>
        <w:tc>
          <w:tcPr>
            <w:tcW w:w="1370"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2,286</w:t>
            </w:r>
          </w:p>
        </w:tc>
        <w:tc>
          <w:tcPr>
            <w:tcW w:w="963" w:type="dxa"/>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1.6%</w:t>
            </w:r>
          </w:p>
        </w:tc>
      </w:tr>
      <w:tr w:rsidR="009D20B2" w:rsidRPr="002F02F1" w:rsidTr="002F02F1">
        <w:trPr>
          <w:jc w:val="center"/>
        </w:trPr>
        <w:tc>
          <w:tcPr>
            <w:tcW w:w="1326" w:type="dxa"/>
            <w:shd w:val="clear" w:color="auto" w:fill="DBE5F1" w:themeFill="accent1" w:themeFillTint="33"/>
            <w:tcMar>
              <w:left w:w="58" w:type="dxa"/>
              <w:right w:w="29" w:type="dxa"/>
            </w:tcMar>
            <w:vAlign w:val="center"/>
          </w:tcPr>
          <w:p w:rsidR="009D20B2" w:rsidRPr="002F02F1" w:rsidRDefault="009D20B2" w:rsidP="0006098B">
            <w:pPr>
              <w:pStyle w:val="Caption"/>
              <w:spacing w:before="40" w:after="40"/>
              <w:rPr>
                <w:rFonts w:asciiTheme="minorHAnsi" w:hAnsiTheme="minorHAnsi" w:cstheme="minorHAnsi"/>
                <w:sz w:val="18"/>
                <w:szCs w:val="18"/>
              </w:rPr>
            </w:pPr>
            <w:r w:rsidRPr="002F02F1">
              <w:rPr>
                <w:rFonts w:asciiTheme="minorHAnsi" w:hAnsiTheme="minorHAnsi" w:cstheme="minorHAnsi"/>
                <w:sz w:val="18"/>
                <w:szCs w:val="18"/>
              </w:rPr>
              <w:t>RPSs + Geodiverse Renewables</w:t>
            </w:r>
          </w:p>
        </w:tc>
        <w:tc>
          <w:tcPr>
            <w:tcW w:w="979"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1,325</w:t>
            </w:r>
          </w:p>
        </w:tc>
        <w:tc>
          <w:tcPr>
            <w:tcW w:w="1370"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4,853</w:t>
            </w:r>
          </w:p>
        </w:tc>
        <w:tc>
          <w:tcPr>
            <w:tcW w:w="963"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64.4%</w:t>
            </w:r>
          </w:p>
        </w:tc>
        <w:tc>
          <w:tcPr>
            <w:tcW w:w="979"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1,500</w:t>
            </w:r>
          </w:p>
        </w:tc>
        <w:tc>
          <w:tcPr>
            <w:tcW w:w="1370"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5,903</w:t>
            </w:r>
          </w:p>
        </w:tc>
        <w:tc>
          <w:tcPr>
            <w:tcW w:w="963"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65.8%</w:t>
            </w:r>
          </w:p>
        </w:tc>
        <w:tc>
          <w:tcPr>
            <w:tcW w:w="979"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1,900</w:t>
            </w:r>
          </w:p>
        </w:tc>
        <w:tc>
          <w:tcPr>
            <w:tcW w:w="1370"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5,504</w:t>
            </w:r>
          </w:p>
        </w:tc>
        <w:tc>
          <w:tcPr>
            <w:tcW w:w="963" w:type="dxa"/>
            <w:shd w:val="clear" w:color="auto" w:fill="DBE5F1" w:themeFill="accent1" w:themeFillTint="33"/>
            <w:vAlign w:val="center"/>
          </w:tcPr>
          <w:p w:rsidR="009D20B2" w:rsidRPr="002F02F1" w:rsidRDefault="009D20B2" w:rsidP="00EF41C5">
            <w:pPr>
              <w:pStyle w:val="Caption"/>
              <w:spacing w:before="40" w:after="40"/>
              <w:jc w:val="center"/>
              <w:rPr>
                <w:rFonts w:asciiTheme="minorHAnsi" w:hAnsiTheme="minorHAnsi" w:cstheme="minorHAnsi"/>
                <w:b w:val="0"/>
                <w:sz w:val="18"/>
                <w:szCs w:val="18"/>
              </w:rPr>
            </w:pPr>
            <w:r w:rsidRPr="002F02F1">
              <w:rPr>
                <w:rFonts w:asciiTheme="minorHAnsi" w:hAnsiTheme="minorHAnsi" w:cstheme="minorHAnsi"/>
                <w:b w:val="0"/>
                <w:sz w:val="18"/>
                <w:szCs w:val="18"/>
              </w:rPr>
              <w:t>48.3%</w:t>
            </w:r>
          </w:p>
        </w:tc>
      </w:tr>
    </w:tbl>
    <w:p w:rsidR="009D20B2" w:rsidRDefault="009D20B2" w:rsidP="009D20B2"/>
    <w:p w:rsidR="002309A3" w:rsidRDefault="002309A3" w:rsidP="002309A3">
      <w:r>
        <w:t>An</w:t>
      </w:r>
      <w:r w:rsidR="00221CCC">
        <w:t xml:space="preserve"> an</w:t>
      </w:r>
      <w:r>
        <w:t>alysis of selected days simulated with GridView also informed the development of the congestion-relief transmission system for Scenarios 2, 3, and 6. More detailed examination of flows during net peak demand days helped form engineering judgment on the extent of costs required to relieve the transmission system constraints. In general, the only major New England interfaces that experienced transmission system constraints were in Maine. The assumptions of renewable development and production profiles in</w:t>
      </w:r>
      <w:r w:rsidRPr="001F51A3">
        <w:t xml:space="preserve"> Scenarios 1,</w:t>
      </w:r>
      <w:r>
        <w:t xml:space="preserve"> </w:t>
      </w:r>
      <w:r w:rsidRPr="001F51A3">
        <w:t>2,</w:t>
      </w:r>
      <w:r>
        <w:t xml:space="preserve"> </w:t>
      </w:r>
      <w:r w:rsidRPr="001F51A3">
        <w:t>3, and 6</w:t>
      </w:r>
      <w:r>
        <w:t xml:space="preserve"> caused this congestion. </w:t>
      </w:r>
    </w:p>
    <w:p w:rsidR="00C40DFD" w:rsidRPr="00C40DFD" w:rsidRDefault="00AA69A1" w:rsidP="00201D25">
      <w:pPr>
        <w:tabs>
          <w:tab w:val="left" w:pos="560"/>
        </w:tabs>
        <w:kinsoku w:val="0"/>
        <w:overflowPunct w:val="0"/>
        <w:adjustRightInd/>
        <w:spacing w:after="0" w:line="240" w:lineRule="auto"/>
        <w:contextualSpacing/>
      </w:pPr>
      <w:r>
        <w:lastRenderedPageBreak/>
        <w:t>Table 6-16</w:t>
      </w:r>
      <w:r w:rsidR="007F5623">
        <w:t xml:space="preserve"> </w:t>
      </w:r>
      <w:r w:rsidR="00C40DFD">
        <w:t>summarizes the total high</w:t>
      </w:r>
      <w:r w:rsidR="00543810">
        <w:t>-</w:t>
      </w:r>
      <w:r w:rsidR="00C40DFD">
        <w:t>order</w:t>
      </w:r>
      <w:r w:rsidR="00221CCC">
        <w:t>-</w:t>
      </w:r>
      <w:r w:rsidR="00C40DFD">
        <w:t>of</w:t>
      </w:r>
      <w:r w:rsidR="00221CCC">
        <w:t>-</w:t>
      </w:r>
      <w:r w:rsidR="00C40DFD">
        <w:t>magnitude transmission cost e</w:t>
      </w:r>
      <w:r w:rsidR="00C40DFD" w:rsidRPr="00C40DFD">
        <w:t>stimates</w:t>
      </w:r>
      <w:r w:rsidR="009E7B29">
        <w:t xml:space="preserve">. </w:t>
      </w:r>
      <w:r w:rsidR="00C40DFD">
        <w:t xml:space="preserve">The dollars are </w:t>
      </w:r>
      <w:r w:rsidR="00C40DFD" w:rsidRPr="00ED57D7">
        <w:t xml:space="preserve">not </w:t>
      </w:r>
      <w:r w:rsidR="00C40DFD">
        <w:t>associated with specific plans but rather form an equitable basis of comparison am</w:t>
      </w:r>
      <w:r w:rsidR="00EC54DE">
        <w:t>ong the s</w:t>
      </w:r>
      <w:r w:rsidR="00C40DFD">
        <w:t>cenarios</w:t>
      </w:r>
      <w:r w:rsidR="009E7B29">
        <w:t xml:space="preserve">. </w:t>
      </w:r>
      <w:r w:rsidR="009E756A">
        <w:t xml:space="preserve">However, </w:t>
      </w:r>
      <w:r w:rsidR="00EC54DE" w:rsidRPr="00EC54DE">
        <w:t xml:space="preserve">the </w:t>
      </w:r>
      <w:r w:rsidR="00EC54DE" w:rsidRPr="00ED57D7">
        <w:rPr>
          <w:i/>
        </w:rPr>
        <w:t>2016 Maine Resource Integration Study</w:t>
      </w:r>
      <w:r w:rsidR="00EC54DE" w:rsidRPr="00EC54DE">
        <w:t xml:space="preserve"> </w:t>
      </w:r>
      <w:r w:rsidR="00EC54DE">
        <w:t>helped inform the development of the cost estimates</w:t>
      </w:r>
      <w:r w:rsidR="00EC54DE" w:rsidRPr="00EC54DE">
        <w:t>.</w:t>
      </w:r>
      <w:r w:rsidR="00650639">
        <w:rPr>
          <w:rStyle w:val="FootnoteReference"/>
        </w:rPr>
        <w:footnoteReference w:id="69"/>
      </w:r>
    </w:p>
    <w:p w:rsidR="007B79C9" w:rsidRDefault="00DC27DA" w:rsidP="00201D25">
      <w:pPr>
        <w:tabs>
          <w:tab w:val="left" w:pos="560"/>
        </w:tabs>
        <w:kinsoku w:val="0"/>
        <w:overflowPunct w:val="0"/>
        <w:adjustRightInd/>
        <w:spacing w:after="0" w:line="240" w:lineRule="auto"/>
        <w:contextualSpacing/>
      </w:pPr>
      <w:r>
        <w:t xml:space="preserve"> </w:t>
      </w:r>
    </w:p>
    <w:p w:rsidR="00C8724B" w:rsidRPr="009D20B2" w:rsidRDefault="00C8724B" w:rsidP="00C8724B">
      <w:pPr>
        <w:pStyle w:val="Caption"/>
        <w:jc w:val="center"/>
        <w:rPr>
          <w:color w:val="000000" w:themeColor="text1"/>
        </w:rPr>
      </w:pPr>
      <w:bookmarkStart w:id="334" w:name="_Ref480889015"/>
      <w:bookmarkStart w:id="335" w:name="_Toc486406051"/>
      <w:r w:rsidRPr="009D20B2">
        <w:rPr>
          <w:color w:val="000000" w:themeColor="text1"/>
        </w:rPr>
        <w:t xml:space="preserve">Table </w:t>
      </w:r>
      <w:r w:rsidR="004248FE">
        <w:rPr>
          <w:color w:val="000000" w:themeColor="text1"/>
        </w:rPr>
        <w:fldChar w:fldCharType="begin"/>
      </w:r>
      <w:r w:rsidR="004248FE">
        <w:rPr>
          <w:color w:val="000000" w:themeColor="text1"/>
        </w:rPr>
        <w:instrText xml:space="preserve"> STYLEREF 1 \s </w:instrText>
      </w:r>
      <w:r w:rsidR="004248FE">
        <w:rPr>
          <w:color w:val="000000" w:themeColor="text1"/>
        </w:rPr>
        <w:fldChar w:fldCharType="separate"/>
      </w:r>
      <w:r w:rsidR="004248FE">
        <w:rPr>
          <w:noProof/>
          <w:color w:val="000000" w:themeColor="text1"/>
        </w:rPr>
        <w:t>6</w:t>
      </w:r>
      <w:r w:rsidR="004248FE">
        <w:rPr>
          <w:color w:val="000000" w:themeColor="text1"/>
        </w:rPr>
        <w:fldChar w:fldCharType="end"/>
      </w:r>
      <w:r w:rsidR="004248FE">
        <w:rPr>
          <w:color w:val="000000" w:themeColor="text1"/>
        </w:rPr>
        <w:noBreakHyphen/>
      </w:r>
      <w:r w:rsidR="004248FE">
        <w:rPr>
          <w:color w:val="000000" w:themeColor="text1"/>
        </w:rPr>
        <w:fldChar w:fldCharType="begin"/>
      </w:r>
      <w:r w:rsidR="004248FE">
        <w:rPr>
          <w:color w:val="000000" w:themeColor="text1"/>
        </w:rPr>
        <w:instrText xml:space="preserve"> SEQ Table \* ARABIC \s 1 </w:instrText>
      </w:r>
      <w:r w:rsidR="004248FE">
        <w:rPr>
          <w:color w:val="000000" w:themeColor="text1"/>
        </w:rPr>
        <w:fldChar w:fldCharType="separate"/>
      </w:r>
      <w:r w:rsidR="004248FE">
        <w:rPr>
          <w:noProof/>
          <w:color w:val="000000" w:themeColor="text1"/>
        </w:rPr>
        <w:t>16</w:t>
      </w:r>
      <w:r w:rsidR="004248FE">
        <w:rPr>
          <w:color w:val="000000" w:themeColor="text1"/>
        </w:rPr>
        <w:fldChar w:fldCharType="end"/>
      </w:r>
      <w:bookmarkEnd w:id="334"/>
      <w:r w:rsidRPr="009D20B2">
        <w:rPr>
          <w:color w:val="000000" w:themeColor="text1"/>
        </w:rPr>
        <w:br/>
        <w:t>Summary of Total High</w:t>
      </w:r>
      <w:r w:rsidR="00543810" w:rsidRPr="009D20B2">
        <w:rPr>
          <w:color w:val="000000" w:themeColor="text1"/>
        </w:rPr>
        <w:t>-</w:t>
      </w:r>
      <w:r w:rsidRPr="009D20B2">
        <w:rPr>
          <w:color w:val="000000" w:themeColor="text1"/>
        </w:rPr>
        <w:t>Order-of-Magnitude Transmission System Costs ($B)</w:t>
      </w:r>
      <w:r w:rsidR="009D20B2" w:rsidRPr="00E41122">
        <w:rPr>
          <w:color w:val="000000" w:themeColor="text1"/>
          <w:vertAlign w:val="superscript"/>
        </w:rPr>
        <w:t>(a)</w:t>
      </w:r>
      <w:bookmarkEnd w:id="335"/>
    </w:p>
    <w:tbl>
      <w:tblPr>
        <w:tblStyle w:val="TableGrid"/>
        <w:tblW w:w="0" w:type="auto"/>
        <w:jc w:val="center"/>
        <w:tblLook w:val="04A0" w:firstRow="1" w:lastRow="0" w:firstColumn="1" w:lastColumn="0" w:noHBand="0" w:noVBand="1"/>
      </w:tblPr>
      <w:tblGrid>
        <w:gridCol w:w="1368"/>
        <w:gridCol w:w="1368"/>
        <w:gridCol w:w="1368"/>
        <w:gridCol w:w="1368"/>
        <w:gridCol w:w="1476"/>
        <w:gridCol w:w="1260"/>
        <w:gridCol w:w="1368"/>
      </w:tblGrid>
      <w:tr w:rsidR="005B6E59" w:rsidRPr="00C40214" w:rsidTr="00F46156">
        <w:trPr>
          <w:jc w:val="center"/>
        </w:trPr>
        <w:tc>
          <w:tcPr>
            <w:tcW w:w="1368" w:type="dxa"/>
            <w:shd w:val="clear" w:color="auto" w:fill="4F81BD" w:themeFill="accent1"/>
            <w:vAlign w:val="center"/>
          </w:tcPr>
          <w:p w:rsidR="005B6E59" w:rsidRPr="007B20CA" w:rsidRDefault="005B6E59" w:rsidP="00702EDC">
            <w:pPr>
              <w:spacing w:before="20" w:after="20" w:line="240" w:lineRule="auto"/>
              <w:jc w:val="center"/>
              <w:rPr>
                <w:rFonts w:asciiTheme="minorHAnsi" w:hAnsiTheme="minorHAnsi"/>
                <w:b/>
                <w:color w:val="FFFFFF" w:themeColor="background1"/>
                <w:sz w:val="18"/>
                <w:szCs w:val="18"/>
              </w:rPr>
            </w:pPr>
          </w:p>
        </w:tc>
        <w:tc>
          <w:tcPr>
            <w:tcW w:w="1368" w:type="dxa"/>
            <w:shd w:val="clear" w:color="auto" w:fill="4F81BD" w:themeFill="accent1"/>
            <w:vAlign w:val="center"/>
          </w:tcPr>
          <w:p w:rsidR="005B6E59" w:rsidRPr="007B20CA" w:rsidRDefault="005B6E59" w:rsidP="00702EDC">
            <w:pPr>
              <w:spacing w:before="20" w:after="20" w:line="240" w:lineRule="auto"/>
              <w:jc w:val="center"/>
              <w:rPr>
                <w:rFonts w:asciiTheme="minorHAnsi" w:hAnsiTheme="minorHAnsi"/>
                <w:b/>
                <w:color w:val="FFFFFF" w:themeColor="background1"/>
                <w:sz w:val="18"/>
                <w:szCs w:val="18"/>
              </w:rPr>
            </w:pPr>
            <w:r w:rsidRPr="007B20CA">
              <w:rPr>
                <w:rFonts w:asciiTheme="minorHAnsi" w:hAnsiTheme="minorHAnsi"/>
                <w:b/>
                <w:color w:val="FFFFFF" w:themeColor="background1"/>
                <w:sz w:val="18"/>
                <w:szCs w:val="18"/>
              </w:rPr>
              <w:t xml:space="preserve"> Scenario 1</w:t>
            </w:r>
            <w:r w:rsidRPr="007B20CA">
              <w:rPr>
                <w:rFonts w:asciiTheme="minorHAnsi" w:hAnsiTheme="minorHAnsi"/>
                <w:b/>
                <w:color w:val="FFFFFF" w:themeColor="background1"/>
                <w:sz w:val="18"/>
                <w:szCs w:val="18"/>
              </w:rPr>
              <w:br/>
              <w:t>RPSs + Gas</w:t>
            </w:r>
          </w:p>
        </w:tc>
        <w:tc>
          <w:tcPr>
            <w:tcW w:w="1368" w:type="dxa"/>
            <w:shd w:val="clear" w:color="auto" w:fill="4F81BD" w:themeFill="accent1"/>
            <w:vAlign w:val="center"/>
          </w:tcPr>
          <w:p w:rsidR="005B6E59" w:rsidRPr="007B20CA" w:rsidRDefault="005B6E59" w:rsidP="00702EDC">
            <w:pPr>
              <w:spacing w:before="20" w:after="20" w:line="240" w:lineRule="auto"/>
              <w:jc w:val="center"/>
              <w:rPr>
                <w:rFonts w:asciiTheme="minorHAnsi" w:hAnsiTheme="minorHAnsi"/>
                <w:b/>
                <w:color w:val="FFFFFF" w:themeColor="background1"/>
                <w:sz w:val="18"/>
                <w:szCs w:val="18"/>
              </w:rPr>
            </w:pPr>
            <w:r w:rsidRPr="007B20CA">
              <w:rPr>
                <w:rFonts w:asciiTheme="minorHAnsi" w:hAnsiTheme="minorHAnsi"/>
                <w:b/>
                <w:color w:val="FFFFFF" w:themeColor="background1"/>
                <w:sz w:val="18"/>
                <w:szCs w:val="18"/>
              </w:rPr>
              <w:t>Scenario 2</w:t>
            </w:r>
            <w:r w:rsidRPr="007B20CA">
              <w:rPr>
                <w:rFonts w:asciiTheme="minorHAnsi" w:hAnsiTheme="minorHAnsi"/>
                <w:b/>
                <w:color w:val="FFFFFF" w:themeColor="background1"/>
                <w:sz w:val="18"/>
                <w:szCs w:val="18"/>
              </w:rPr>
              <w:br/>
              <w:t>ISO Queue</w:t>
            </w:r>
          </w:p>
        </w:tc>
        <w:tc>
          <w:tcPr>
            <w:tcW w:w="1368" w:type="dxa"/>
            <w:shd w:val="clear" w:color="auto" w:fill="4F81BD" w:themeFill="accent1"/>
            <w:vAlign w:val="center"/>
          </w:tcPr>
          <w:p w:rsidR="005B6E59" w:rsidRPr="007B20CA" w:rsidRDefault="005B6E59" w:rsidP="00702EDC">
            <w:pPr>
              <w:spacing w:before="20" w:after="20" w:line="240" w:lineRule="auto"/>
              <w:jc w:val="center"/>
              <w:rPr>
                <w:rFonts w:asciiTheme="minorHAnsi" w:hAnsiTheme="minorHAnsi"/>
                <w:b/>
                <w:color w:val="FFFFFF" w:themeColor="background1"/>
                <w:sz w:val="18"/>
                <w:szCs w:val="18"/>
              </w:rPr>
            </w:pPr>
            <w:r w:rsidRPr="007B20CA">
              <w:rPr>
                <w:rFonts w:asciiTheme="minorHAnsi" w:hAnsiTheme="minorHAnsi"/>
                <w:b/>
                <w:color w:val="FFFFFF" w:themeColor="background1"/>
                <w:sz w:val="18"/>
                <w:szCs w:val="18"/>
              </w:rPr>
              <w:t>Scenario 3</w:t>
            </w:r>
            <w:r w:rsidRPr="007B20CA">
              <w:rPr>
                <w:rFonts w:asciiTheme="minorHAnsi" w:hAnsiTheme="minorHAnsi"/>
                <w:b/>
                <w:color w:val="FFFFFF" w:themeColor="background1"/>
                <w:sz w:val="18"/>
                <w:szCs w:val="18"/>
              </w:rPr>
              <w:br/>
              <w:t>Renewables Plus</w:t>
            </w:r>
          </w:p>
        </w:tc>
        <w:tc>
          <w:tcPr>
            <w:tcW w:w="1476" w:type="dxa"/>
            <w:shd w:val="clear" w:color="auto" w:fill="4F81BD" w:themeFill="accent1"/>
            <w:vAlign w:val="center"/>
          </w:tcPr>
          <w:p w:rsidR="005B6E59" w:rsidRPr="007B20CA" w:rsidRDefault="005B6E59" w:rsidP="000F0286">
            <w:pPr>
              <w:spacing w:before="20" w:after="20" w:line="240" w:lineRule="auto"/>
              <w:jc w:val="center"/>
              <w:rPr>
                <w:rFonts w:asciiTheme="minorHAnsi" w:hAnsiTheme="minorHAnsi"/>
                <w:b/>
                <w:color w:val="FFFFFF" w:themeColor="background1"/>
                <w:sz w:val="18"/>
                <w:szCs w:val="18"/>
              </w:rPr>
            </w:pPr>
            <w:r w:rsidRPr="007B20CA">
              <w:rPr>
                <w:rFonts w:asciiTheme="minorHAnsi" w:hAnsiTheme="minorHAnsi"/>
                <w:b/>
                <w:color w:val="FFFFFF" w:themeColor="background1"/>
                <w:sz w:val="18"/>
                <w:szCs w:val="18"/>
              </w:rPr>
              <w:t>Scenario 4</w:t>
            </w:r>
            <w:r w:rsidRPr="007B20CA">
              <w:rPr>
                <w:rFonts w:asciiTheme="minorHAnsi" w:hAnsiTheme="minorHAnsi"/>
                <w:b/>
                <w:color w:val="FFFFFF" w:themeColor="background1"/>
                <w:sz w:val="18"/>
                <w:szCs w:val="18"/>
              </w:rPr>
              <w:br/>
              <w:t>No Retirements beyond FCA #10</w:t>
            </w:r>
          </w:p>
        </w:tc>
        <w:tc>
          <w:tcPr>
            <w:tcW w:w="1260" w:type="dxa"/>
            <w:shd w:val="clear" w:color="auto" w:fill="4F81BD" w:themeFill="accent1"/>
            <w:vAlign w:val="center"/>
          </w:tcPr>
          <w:p w:rsidR="005B6E59" w:rsidRPr="007B20CA" w:rsidRDefault="005B6E59" w:rsidP="00702EDC">
            <w:pPr>
              <w:spacing w:before="20" w:after="20" w:line="240" w:lineRule="auto"/>
              <w:jc w:val="center"/>
              <w:rPr>
                <w:rFonts w:asciiTheme="minorHAnsi" w:hAnsiTheme="minorHAnsi"/>
                <w:b/>
                <w:color w:val="FFFFFF" w:themeColor="background1"/>
                <w:sz w:val="18"/>
                <w:szCs w:val="18"/>
              </w:rPr>
            </w:pPr>
            <w:r w:rsidRPr="007B20CA">
              <w:rPr>
                <w:rFonts w:asciiTheme="minorHAnsi" w:hAnsiTheme="minorHAnsi"/>
                <w:b/>
                <w:color w:val="FFFFFF" w:themeColor="background1"/>
                <w:sz w:val="18"/>
                <w:szCs w:val="18"/>
              </w:rPr>
              <w:t>Scenario 5</w:t>
            </w:r>
            <w:r w:rsidRPr="007B20CA">
              <w:rPr>
                <w:rFonts w:asciiTheme="minorHAnsi" w:hAnsiTheme="minorHAnsi"/>
                <w:b/>
                <w:color w:val="FFFFFF" w:themeColor="background1"/>
                <w:sz w:val="18"/>
                <w:szCs w:val="18"/>
              </w:rPr>
              <w:br/>
              <w:t>ACPs + Gas</w:t>
            </w:r>
          </w:p>
        </w:tc>
        <w:tc>
          <w:tcPr>
            <w:tcW w:w="1368" w:type="dxa"/>
            <w:shd w:val="clear" w:color="auto" w:fill="4F81BD" w:themeFill="accent1"/>
            <w:vAlign w:val="center"/>
          </w:tcPr>
          <w:p w:rsidR="005B6E59" w:rsidRPr="007B20CA" w:rsidRDefault="005B6E59" w:rsidP="00702EDC">
            <w:pPr>
              <w:spacing w:before="20" w:after="20" w:line="240" w:lineRule="auto"/>
              <w:jc w:val="center"/>
              <w:rPr>
                <w:rFonts w:asciiTheme="minorHAnsi" w:hAnsiTheme="minorHAnsi"/>
                <w:b/>
                <w:color w:val="FFFFFF" w:themeColor="background1"/>
                <w:sz w:val="18"/>
                <w:szCs w:val="18"/>
              </w:rPr>
            </w:pPr>
            <w:r w:rsidRPr="007B20CA">
              <w:rPr>
                <w:rFonts w:asciiTheme="minorHAnsi" w:hAnsiTheme="minorHAnsi"/>
                <w:b/>
                <w:color w:val="FFFFFF" w:themeColor="background1"/>
                <w:sz w:val="18"/>
                <w:szCs w:val="18"/>
              </w:rPr>
              <w:t>Scenario 6</w:t>
            </w:r>
            <w:r w:rsidRPr="007B20CA">
              <w:rPr>
                <w:rFonts w:asciiTheme="minorHAnsi" w:hAnsiTheme="minorHAnsi"/>
                <w:b/>
                <w:color w:val="FFFFFF" w:themeColor="background1"/>
                <w:sz w:val="18"/>
                <w:szCs w:val="18"/>
              </w:rPr>
              <w:br/>
              <w:t>RPSs + Geodiverse Renewables</w:t>
            </w:r>
          </w:p>
        </w:tc>
      </w:tr>
      <w:tr w:rsidR="00C40214" w:rsidRPr="00C40214" w:rsidTr="009D20B2">
        <w:trPr>
          <w:jc w:val="center"/>
        </w:trPr>
        <w:tc>
          <w:tcPr>
            <w:tcW w:w="1368" w:type="dxa"/>
            <w:vAlign w:val="center"/>
          </w:tcPr>
          <w:p w:rsidR="00C40214" w:rsidRPr="00C40214" w:rsidRDefault="00C40214" w:rsidP="00826D3F">
            <w:pPr>
              <w:spacing w:before="20" w:after="20" w:line="240" w:lineRule="auto"/>
              <w:rPr>
                <w:rFonts w:asciiTheme="minorHAnsi" w:hAnsiTheme="minorHAnsi"/>
                <w:b/>
                <w:sz w:val="18"/>
                <w:szCs w:val="18"/>
              </w:rPr>
            </w:pPr>
            <w:r w:rsidRPr="00C40214">
              <w:rPr>
                <w:rFonts w:asciiTheme="minorHAnsi" w:hAnsiTheme="minorHAnsi"/>
                <w:b/>
                <w:sz w:val="18"/>
                <w:szCs w:val="18"/>
              </w:rPr>
              <w:t xml:space="preserve">Integrator </w:t>
            </w:r>
          </w:p>
        </w:tc>
        <w:tc>
          <w:tcPr>
            <w:tcW w:w="1368" w:type="dxa"/>
            <w:tcMar>
              <w:left w:w="0" w:type="dxa"/>
              <w:right w:w="360" w:type="dxa"/>
            </w:tcMar>
          </w:tcPr>
          <w:p w:rsidR="00C40214" w:rsidRPr="0018309B" w:rsidRDefault="00C40214" w:rsidP="00826D3F">
            <w:pPr>
              <w:spacing w:before="20" w:after="20" w:line="240" w:lineRule="auto"/>
              <w:jc w:val="right"/>
              <w:rPr>
                <w:rFonts w:asciiTheme="minorHAnsi" w:hAnsiTheme="minorHAnsi"/>
                <w:sz w:val="18"/>
                <w:szCs w:val="18"/>
              </w:rPr>
            </w:pPr>
            <w:r w:rsidRPr="0018309B">
              <w:rPr>
                <w:rFonts w:asciiTheme="minorHAnsi" w:hAnsiTheme="minorHAnsi"/>
                <w:sz w:val="18"/>
                <w:szCs w:val="18"/>
              </w:rPr>
              <w:t>2.25</w:t>
            </w:r>
          </w:p>
        </w:tc>
        <w:tc>
          <w:tcPr>
            <w:tcW w:w="1368" w:type="dxa"/>
            <w:tcMar>
              <w:left w:w="0" w:type="dxa"/>
              <w:right w:w="360" w:type="dxa"/>
            </w:tcMar>
          </w:tcPr>
          <w:p w:rsidR="00C40214" w:rsidRPr="004F11DC" w:rsidRDefault="00C40214" w:rsidP="00826D3F">
            <w:pPr>
              <w:spacing w:before="20" w:after="20" w:line="240" w:lineRule="auto"/>
              <w:jc w:val="right"/>
              <w:rPr>
                <w:rFonts w:asciiTheme="minorHAnsi" w:hAnsiTheme="minorHAnsi"/>
                <w:sz w:val="18"/>
                <w:szCs w:val="18"/>
              </w:rPr>
            </w:pPr>
          </w:p>
        </w:tc>
        <w:tc>
          <w:tcPr>
            <w:tcW w:w="1368" w:type="dxa"/>
            <w:tcMar>
              <w:left w:w="0" w:type="dxa"/>
              <w:right w:w="360" w:type="dxa"/>
            </w:tcMar>
          </w:tcPr>
          <w:p w:rsidR="00C40214" w:rsidRPr="0097243A" w:rsidRDefault="00C40214" w:rsidP="00826D3F">
            <w:pPr>
              <w:spacing w:before="20" w:after="20" w:line="240" w:lineRule="auto"/>
              <w:jc w:val="right"/>
              <w:rPr>
                <w:rFonts w:asciiTheme="minorHAnsi" w:hAnsiTheme="minorHAnsi"/>
                <w:sz w:val="18"/>
                <w:szCs w:val="18"/>
              </w:rPr>
            </w:pPr>
            <w:r w:rsidRPr="004F11DC">
              <w:rPr>
                <w:rFonts w:asciiTheme="minorHAnsi" w:hAnsiTheme="minorHAnsi"/>
                <w:sz w:val="18"/>
                <w:szCs w:val="18"/>
              </w:rPr>
              <w:t>4.50</w:t>
            </w:r>
          </w:p>
        </w:tc>
        <w:tc>
          <w:tcPr>
            <w:tcW w:w="1476" w:type="dxa"/>
            <w:tcMar>
              <w:left w:w="0" w:type="dxa"/>
              <w:right w:w="360" w:type="dxa"/>
            </w:tcMar>
          </w:tcPr>
          <w:p w:rsidR="00C40214" w:rsidRPr="005C0ECA" w:rsidRDefault="00C40214" w:rsidP="00826D3F">
            <w:pPr>
              <w:spacing w:before="20" w:after="20" w:line="240" w:lineRule="auto"/>
              <w:jc w:val="right"/>
              <w:rPr>
                <w:rFonts w:asciiTheme="minorHAnsi" w:hAnsiTheme="minorHAnsi"/>
                <w:sz w:val="18"/>
                <w:szCs w:val="18"/>
              </w:rPr>
            </w:pPr>
          </w:p>
        </w:tc>
        <w:tc>
          <w:tcPr>
            <w:tcW w:w="1260" w:type="dxa"/>
            <w:tcMar>
              <w:left w:w="0" w:type="dxa"/>
              <w:right w:w="360" w:type="dxa"/>
            </w:tcMar>
          </w:tcPr>
          <w:p w:rsidR="00C40214" w:rsidRPr="007B20CA" w:rsidRDefault="00C40214" w:rsidP="00826D3F">
            <w:pPr>
              <w:spacing w:before="20" w:after="20" w:line="240" w:lineRule="auto"/>
              <w:jc w:val="right"/>
              <w:rPr>
                <w:rFonts w:asciiTheme="minorHAnsi" w:hAnsiTheme="minorHAnsi"/>
                <w:sz w:val="18"/>
                <w:szCs w:val="18"/>
              </w:rPr>
            </w:pPr>
          </w:p>
        </w:tc>
        <w:tc>
          <w:tcPr>
            <w:tcW w:w="1368" w:type="dxa"/>
            <w:tcMar>
              <w:left w:w="0" w:type="dxa"/>
              <w:right w:w="360" w:type="dxa"/>
            </w:tcMar>
          </w:tcPr>
          <w:p w:rsidR="00C40214" w:rsidRPr="007B20CA" w:rsidRDefault="00C40214" w:rsidP="00826D3F">
            <w:pPr>
              <w:spacing w:before="20" w:after="20" w:line="240" w:lineRule="auto"/>
              <w:jc w:val="right"/>
              <w:rPr>
                <w:rFonts w:asciiTheme="minorHAnsi" w:hAnsiTheme="minorHAnsi"/>
                <w:sz w:val="18"/>
                <w:szCs w:val="18"/>
              </w:rPr>
            </w:pPr>
          </w:p>
        </w:tc>
      </w:tr>
      <w:tr w:rsidR="00C40214" w:rsidRPr="00C40214" w:rsidTr="009D20B2">
        <w:trPr>
          <w:jc w:val="center"/>
        </w:trPr>
        <w:tc>
          <w:tcPr>
            <w:tcW w:w="1368" w:type="dxa"/>
            <w:shd w:val="clear" w:color="auto" w:fill="DBE5F1" w:themeFill="accent1" w:themeFillTint="33"/>
            <w:vAlign w:val="center"/>
          </w:tcPr>
          <w:p w:rsidR="00C40214" w:rsidRPr="00C40214" w:rsidRDefault="00C40214" w:rsidP="00826D3F">
            <w:pPr>
              <w:spacing w:before="20" w:after="20" w:line="240" w:lineRule="auto"/>
              <w:rPr>
                <w:rFonts w:asciiTheme="minorHAnsi" w:hAnsiTheme="minorHAnsi"/>
                <w:b/>
                <w:sz w:val="18"/>
                <w:szCs w:val="18"/>
              </w:rPr>
            </w:pPr>
            <w:r w:rsidRPr="00C40214">
              <w:rPr>
                <w:rFonts w:asciiTheme="minorHAnsi" w:hAnsiTheme="minorHAnsi"/>
                <w:b/>
                <w:sz w:val="18"/>
                <w:szCs w:val="18"/>
              </w:rPr>
              <w:t xml:space="preserve">Congestion System </w:t>
            </w:r>
          </w:p>
        </w:tc>
        <w:tc>
          <w:tcPr>
            <w:tcW w:w="1368" w:type="dxa"/>
            <w:shd w:val="clear" w:color="auto" w:fill="DBE5F1" w:themeFill="accent1" w:themeFillTint="33"/>
            <w:tcMar>
              <w:left w:w="0" w:type="dxa"/>
              <w:right w:w="360" w:type="dxa"/>
            </w:tcMar>
          </w:tcPr>
          <w:p w:rsidR="00C40214" w:rsidRPr="0018309B" w:rsidRDefault="00C40214" w:rsidP="00826D3F">
            <w:pPr>
              <w:spacing w:before="20" w:after="20" w:line="240" w:lineRule="auto"/>
              <w:jc w:val="right"/>
              <w:rPr>
                <w:rFonts w:asciiTheme="minorHAnsi" w:hAnsiTheme="minorHAnsi"/>
                <w:sz w:val="18"/>
                <w:szCs w:val="18"/>
              </w:rPr>
            </w:pPr>
            <w:r w:rsidRPr="0018309B">
              <w:rPr>
                <w:rFonts w:asciiTheme="minorHAnsi" w:hAnsiTheme="minorHAnsi"/>
                <w:sz w:val="18"/>
                <w:szCs w:val="18"/>
              </w:rPr>
              <w:t>5.57</w:t>
            </w:r>
          </w:p>
        </w:tc>
        <w:tc>
          <w:tcPr>
            <w:tcW w:w="1368" w:type="dxa"/>
            <w:shd w:val="clear" w:color="auto" w:fill="DBE5F1" w:themeFill="accent1" w:themeFillTint="33"/>
            <w:tcMar>
              <w:left w:w="0" w:type="dxa"/>
              <w:right w:w="360" w:type="dxa"/>
            </w:tcMar>
          </w:tcPr>
          <w:p w:rsidR="00C40214" w:rsidRPr="004E0FE3" w:rsidRDefault="00C40214" w:rsidP="00826D3F">
            <w:pPr>
              <w:spacing w:before="20" w:after="20" w:line="240" w:lineRule="auto"/>
              <w:jc w:val="right"/>
              <w:rPr>
                <w:rFonts w:asciiTheme="minorHAnsi" w:hAnsiTheme="minorHAnsi"/>
                <w:sz w:val="18"/>
                <w:szCs w:val="18"/>
              </w:rPr>
            </w:pPr>
            <w:r w:rsidRPr="004F11DC">
              <w:rPr>
                <w:rFonts w:asciiTheme="minorHAnsi" w:hAnsiTheme="minorHAnsi"/>
                <w:sz w:val="18"/>
                <w:szCs w:val="18"/>
              </w:rPr>
              <w:t>30.05</w:t>
            </w:r>
          </w:p>
        </w:tc>
        <w:tc>
          <w:tcPr>
            <w:tcW w:w="1368" w:type="dxa"/>
            <w:shd w:val="clear" w:color="auto" w:fill="DBE5F1" w:themeFill="accent1" w:themeFillTint="33"/>
            <w:tcMar>
              <w:left w:w="0" w:type="dxa"/>
              <w:right w:w="360" w:type="dxa"/>
            </w:tcMar>
          </w:tcPr>
          <w:p w:rsidR="00C40214" w:rsidRPr="007B20CA" w:rsidRDefault="00C40214" w:rsidP="00826D3F">
            <w:pPr>
              <w:spacing w:before="20" w:after="20" w:line="240" w:lineRule="auto"/>
              <w:jc w:val="right"/>
              <w:rPr>
                <w:rFonts w:asciiTheme="minorHAnsi" w:hAnsiTheme="minorHAnsi"/>
                <w:sz w:val="18"/>
                <w:szCs w:val="18"/>
              </w:rPr>
            </w:pPr>
            <w:r w:rsidRPr="0097243A">
              <w:rPr>
                <w:rFonts w:asciiTheme="minorHAnsi" w:hAnsiTheme="minorHAnsi"/>
                <w:sz w:val="18"/>
                <w:szCs w:val="18"/>
              </w:rPr>
              <w:t>5.60</w:t>
            </w:r>
          </w:p>
        </w:tc>
        <w:tc>
          <w:tcPr>
            <w:tcW w:w="1476" w:type="dxa"/>
            <w:shd w:val="clear" w:color="auto" w:fill="DBE5F1" w:themeFill="accent1" w:themeFillTint="33"/>
            <w:tcMar>
              <w:left w:w="0" w:type="dxa"/>
              <w:right w:w="360" w:type="dxa"/>
            </w:tcMar>
          </w:tcPr>
          <w:p w:rsidR="00C40214" w:rsidRPr="007B20CA" w:rsidRDefault="00C40214" w:rsidP="00826D3F">
            <w:pPr>
              <w:spacing w:before="20" w:after="20" w:line="240" w:lineRule="auto"/>
              <w:jc w:val="right"/>
              <w:rPr>
                <w:rFonts w:asciiTheme="minorHAnsi" w:hAnsiTheme="minorHAnsi"/>
                <w:sz w:val="18"/>
                <w:szCs w:val="18"/>
              </w:rPr>
            </w:pPr>
          </w:p>
        </w:tc>
        <w:tc>
          <w:tcPr>
            <w:tcW w:w="1260" w:type="dxa"/>
            <w:shd w:val="clear" w:color="auto" w:fill="DBE5F1" w:themeFill="accent1" w:themeFillTint="33"/>
            <w:tcMar>
              <w:left w:w="0" w:type="dxa"/>
              <w:right w:w="360" w:type="dxa"/>
            </w:tcMar>
          </w:tcPr>
          <w:p w:rsidR="00C40214" w:rsidRPr="007B20CA" w:rsidRDefault="00C40214" w:rsidP="00826D3F">
            <w:pPr>
              <w:spacing w:before="20" w:after="20" w:line="240" w:lineRule="auto"/>
              <w:jc w:val="right"/>
              <w:rPr>
                <w:rFonts w:asciiTheme="minorHAnsi" w:hAnsiTheme="minorHAnsi"/>
                <w:sz w:val="18"/>
                <w:szCs w:val="18"/>
              </w:rPr>
            </w:pPr>
          </w:p>
        </w:tc>
        <w:tc>
          <w:tcPr>
            <w:tcW w:w="1368" w:type="dxa"/>
            <w:shd w:val="clear" w:color="auto" w:fill="DBE5F1" w:themeFill="accent1" w:themeFillTint="33"/>
            <w:tcMar>
              <w:left w:w="0" w:type="dxa"/>
              <w:right w:w="360" w:type="dxa"/>
            </w:tcMar>
          </w:tcPr>
          <w:p w:rsidR="00C40214" w:rsidRPr="007B20CA" w:rsidRDefault="00C40214" w:rsidP="00826D3F">
            <w:pPr>
              <w:spacing w:before="20" w:after="20" w:line="240" w:lineRule="auto"/>
              <w:jc w:val="right"/>
              <w:rPr>
                <w:rFonts w:asciiTheme="minorHAnsi" w:hAnsiTheme="minorHAnsi"/>
                <w:sz w:val="18"/>
                <w:szCs w:val="18"/>
              </w:rPr>
            </w:pPr>
            <w:r w:rsidRPr="007B20CA">
              <w:rPr>
                <w:rFonts w:asciiTheme="minorHAnsi" w:hAnsiTheme="minorHAnsi"/>
                <w:sz w:val="18"/>
                <w:szCs w:val="18"/>
              </w:rPr>
              <w:t>12.05</w:t>
            </w:r>
          </w:p>
        </w:tc>
      </w:tr>
      <w:tr w:rsidR="00C40214" w:rsidRPr="00C40214" w:rsidTr="00737F69">
        <w:trPr>
          <w:jc w:val="center"/>
        </w:trPr>
        <w:tc>
          <w:tcPr>
            <w:tcW w:w="1368" w:type="dxa"/>
            <w:shd w:val="clear" w:color="auto" w:fill="B8CCE4" w:themeFill="accent1" w:themeFillTint="66"/>
            <w:vAlign w:val="center"/>
          </w:tcPr>
          <w:p w:rsidR="00C40214" w:rsidRPr="00C40214" w:rsidRDefault="00C40214" w:rsidP="00826D3F">
            <w:pPr>
              <w:spacing w:before="20" w:after="20" w:line="240" w:lineRule="auto"/>
              <w:rPr>
                <w:rFonts w:asciiTheme="minorHAnsi" w:hAnsiTheme="minorHAnsi"/>
                <w:b/>
                <w:sz w:val="18"/>
                <w:szCs w:val="18"/>
              </w:rPr>
            </w:pPr>
            <w:r w:rsidRPr="00C40214">
              <w:rPr>
                <w:rFonts w:asciiTheme="minorHAnsi" w:hAnsiTheme="minorHAnsi"/>
                <w:b/>
                <w:sz w:val="18"/>
                <w:szCs w:val="18"/>
              </w:rPr>
              <w:t>Total</w:t>
            </w:r>
          </w:p>
        </w:tc>
        <w:tc>
          <w:tcPr>
            <w:tcW w:w="1368" w:type="dxa"/>
            <w:shd w:val="clear" w:color="auto" w:fill="B8CCE4" w:themeFill="accent1" w:themeFillTint="66"/>
            <w:tcMar>
              <w:left w:w="0" w:type="dxa"/>
              <w:right w:w="360" w:type="dxa"/>
            </w:tcMar>
          </w:tcPr>
          <w:p w:rsidR="00C40214" w:rsidRPr="00AD76C4" w:rsidRDefault="00C40214" w:rsidP="00826D3F">
            <w:pPr>
              <w:spacing w:before="20" w:after="20" w:line="240" w:lineRule="auto"/>
              <w:jc w:val="right"/>
              <w:rPr>
                <w:rFonts w:asciiTheme="minorHAnsi" w:hAnsiTheme="minorHAnsi"/>
                <w:b/>
                <w:sz w:val="18"/>
                <w:szCs w:val="18"/>
              </w:rPr>
            </w:pPr>
            <w:r w:rsidRPr="00AD76C4">
              <w:rPr>
                <w:rFonts w:asciiTheme="minorHAnsi" w:hAnsiTheme="minorHAnsi"/>
                <w:b/>
                <w:sz w:val="18"/>
                <w:szCs w:val="18"/>
              </w:rPr>
              <w:t>7.82</w:t>
            </w:r>
          </w:p>
        </w:tc>
        <w:tc>
          <w:tcPr>
            <w:tcW w:w="1368" w:type="dxa"/>
            <w:shd w:val="clear" w:color="auto" w:fill="B8CCE4" w:themeFill="accent1" w:themeFillTint="66"/>
            <w:tcMar>
              <w:left w:w="0" w:type="dxa"/>
              <w:right w:w="360" w:type="dxa"/>
            </w:tcMar>
          </w:tcPr>
          <w:p w:rsidR="00C40214" w:rsidRPr="00AD76C4" w:rsidRDefault="00C40214" w:rsidP="00826D3F">
            <w:pPr>
              <w:spacing w:before="20" w:after="20" w:line="240" w:lineRule="auto"/>
              <w:jc w:val="right"/>
              <w:rPr>
                <w:rFonts w:asciiTheme="minorHAnsi" w:hAnsiTheme="minorHAnsi"/>
                <w:b/>
                <w:sz w:val="18"/>
                <w:szCs w:val="18"/>
              </w:rPr>
            </w:pPr>
            <w:r w:rsidRPr="00AD76C4">
              <w:rPr>
                <w:rFonts w:asciiTheme="minorHAnsi" w:hAnsiTheme="minorHAnsi"/>
                <w:b/>
                <w:sz w:val="18"/>
                <w:szCs w:val="18"/>
              </w:rPr>
              <w:t>30.05</w:t>
            </w:r>
          </w:p>
        </w:tc>
        <w:tc>
          <w:tcPr>
            <w:tcW w:w="1368" w:type="dxa"/>
            <w:shd w:val="clear" w:color="auto" w:fill="B8CCE4" w:themeFill="accent1" w:themeFillTint="66"/>
            <w:tcMar>
              <w:left w:w="0" w:type="dxa"/>
              <w:right w:w="360" w:type="dxa"/>
            </w:tcMar>
          </w:tcPr>
          <w:p w:rsidR="00C40214" w:rsidRPr="00AD76C4" w:rsidRDefault="00C40214" w:rsidP="00826D3F">
            <w:pPr>
              <w:spacing w:before="20" w:after="20" w:line="240" w:lineRule="auto"/>
              <w:jc w:val="right"/>
              <w:rPr>
                <w:rFonts w:asciiTheme="minorHAnsi" w:hAnsiTheme="minorHAnsi"/>
                <w:b/>
                <w:sz w:val="18"/>
                <w:szCs w:val="18"/>
              </w:rPr>
            </w:pPr>
            <w:r w:rsidRPr="00AD76C4">
              <w:rPr>
                <w:rFonts w:asciiTheme="minorHAnsi" w:hAnsiTheme="minorHAnsi"/>
                <w:b/>
                <w:sz w:val="18"/>
                <w:szCs w:val="18"/>
              </w:rPr>
              <w:t>10.10</w:t>
            </w:r>
          </w:p>
        </w:tc>
        <w:tc>
          <w:tcPr>
            <w:tcW w:w="1476" w:type="dxa"/>
            <w:shd w:val="clear" w:color="auto" w:fill="B8CCE4" w:themeFill="accent1" w:themeFillTint="66"/>
            <w:tcMar>
              <w:left w:w="0" w:type="dxa"/>
              <w:right w:w="360" w:type="dxa"/>
            </w:tcMar>
          </w:tcPr>
          <w:p w:rsidR="00C40214" w:rsidRPr="00AD76C4" w:rsidRDefault="00C40214" w:rsidP="00826D3F">
            <w:pPr>
              <w:spacing w:before="20" w:after="20" w:line="240" w:lineRule="auto"/>
              <w:jc w:val="right"/>
              <w:rPr>
                <w:rFonts w:asciiTheme="minorHAnsi" w:hAnsiTheme="minorHAnsi"/>
                <w:b/>
                <w:sz w:val="18"/>
                <w:szCs w:val="18"/>
              </w:rPr>
            </w:pPr>
            <w:r w:rsidRPr="00AD76C4">
              <w:rPr>
                <w:rFonts w:asciiTheme="minorHAnsi" w:hAnsiTheme="minorHAnsi"/>
                <w:b/>
                <w:sz w:val="18"/>
                <w:szCs w:val="18"/>
              </w:rPr>
              <w:t>0</w:t>
            </w:r>
          </w:p>
        </w:tc>
        <w:tc>
          <w:tcPr>
            <w:tcW w:w="1260" w:type="dxa"/>
            <w:shd w:val="clear" w:color="auto" w:fill="B8CCE4" w:themeFill="accent1" w:themeFillTint="66"/>
            <w:tcMar>
              <w:left w:w="0" w:type="dxa"/>
              <w:right w:w="360" w:type="dxa"/>
            </w:tcMar>
          </w:tcPr>
          <w:p w:rsidR="00C40214" w:rsidRPr="00AD76C4" w:rsidRDefault="00C40214" w:rsidP="00826D3F">
            <w:pPr>
              <w:spacing w:before="20" w:after="20" w:line="240" w:lineRule="auto"/>
              <w:jc w:val="right"/>
              <w:rPr>
                <w:rFonts w:asciiTheme="minorHAnsi" w:hAnsiTheme="minorHAnsi"/>
                <w:b/>
                <w:sz w:val="18"/>
                <w:szCs w:val="18"/>
              </w:rPr>
            </w:pPr>
            <w:r w:rsidRPr="00AD76C4">
              <w:rPr>
                <w:rFonts w:asciiTheme="minorHAnsi" w:hAnsiTheme="minorHAnsi"/>
                <w:b/>
                <w:sz w:val="18"/>
                <w:szCs w:val="18"/>
              </w:rPr>
              <w:t>0</w:t>
            </w:r>
          </w:p>
        </w:tc>
        <w:tc>
          <w:tcPr>
            <w:tcW w:w="1368" w:type="dxa"/>
            <w:shd w:val="clear" w:color="auto" w:fill="B8CCE4" w:themeFill="accent1" w:themeFillTint="66"/>
            <w:tcMar>
              <w:left w:w="0" w:type="dxa"/>
              <w:right w:w="360" w:type="dxa"/>
            </w:tcMar>
          </w:tcPr>
          <w:p w:rsidR="00C40214" w:rsidRPr="00AD76C4" w:rsidRDefault="00C40214" w:rsidP="00826D3F">
            <w:pPr>
              <w:spacing w:before="20" w:after="20" w:line="240" w:lineRule="auto"/>
              <w:jc w:val="right"/>
              <w:rPr>
                <w:rFonts w:asciiTheme="minorHAnsi" w:hAnsiTheme="minorHAnsi"/>
                <w:b/>
                <w:sz w:val="18"/>
                <w:szCs w:val="18"/>
              </w:rPr>
            </w:pPr>
            <w:r w:rsidRPr="00AD76C4">
              <w:rPr>
                <w:rFonts w:asciiTheme="minorHAnsi" w:hAnsiTheme="minorHAnsi"/>
                <w:b/>
                <w:sz w:val="18"/>
                <w:szCs w:val="18"/>
              </w:rPr>
              <w:t>12.05</w:t>
            </w:r>
          </w:p>
        </w:tc>
      </w:tr>
    </w:tbl>
    <w:p w:rsidR="00C8724B" w:rsidRDefault="009D20B2" w:rsidP="00CE5CA4">
      <w:pPr>
        <w:spacing w:before="120" w:line="240" w:lineRule="auto"/>
        <w:ind w:left="90" w:hanging="180"/>
        <w:rPr>
          <w:rFonts w:asciiTheme="minorHAnsi" w:hAnsiTheme="minorHAnsi"/>
          <w:sz w:val="16"/>
          <w:szCs w:val="16"/>
        </w:rPr>
      </w:pPr>
      <w:r>
        <w:rPr>
          <w:rFonts w:asciiTheme="minorHAnsi" w:hAnsiTheme="minorHAnsi"/>
          <w:sz w:val="16"/>
          <w:szCs w:val="16"/>
        </w:rPr>
        <w:t xml:space="preserve">(a) </w:t>
      </w:r>
      <w:r w:rsidRPr="00CE5CA4">
        <w:rPr>
          <w:rFonts w:asciiTheme="minorHAnsi" w:hAnsiTheme="minorHAnsi"/>
          <w:color w:val="000000" w:themeColor="text1"/>
          <w:sz w:val="16"/>
          <w:szCs w:val="16"/>
        </w:rPr>
        <w:t xml:space="preserve">All numbers have 50% margin. </w:t>
      </w:r>
      <w:r w:rsidR="00C8724B" w:rsidRPr="00CE5CA4">
        <w:rPr>
          <w:rFonts w:asciiTheme="minorHAnsi" w:hAnsiTheme="minorHAnsi"/>
          <w:color w:val="000000" w:themeColor="text1"/>
          <w:sz w:val="16"/>
          <w:szCs w:val="16"/>
        </w:rPr>
        <w:t>The integrator cost for Scenario 1 could be as high as $4.5 billion, and the integrator cost for Scenario 3 could be as low as $2.25 billion.</w:t>
      </w:r>
      <w:r w:rsidR="00C40214" w:rsidRPr="00CE5CA4">
        <w:rPr>
          <w:rFonts w:asciiTheme="minorHAnsi" w:hAnsiTheme="minorHAnsi"/>
          <w:color w:val="000000" w:themeColor="text1"/>
          <w:sz w:val="16"/>
          <w:szCs w:val="16"/>
        </w:rPr>
        <w:t xml:space="preserve"> </w:t>
      </w:r>
    </w:p>
    <w:p w:rsidR="00B75B9D" w:rsidRDefault="00B75B9D" w:rsidP="00B75B9D">
      <w:r>
        <w:t>The difference between the production cost results for the constrained case minus the unconstrained case is the production cost savings</w:t>
      </w:r>
      <w:r w:rsidR="00C16A35">
        <w:t xml:space="preserve"> </w:t>
      </w:r>
      <w:r>
        <w:t xml:space="preserve">associated with transmission upgrades that would relieve congestion. </w:t>
      </w:r>
      <w:r w:rsidRPr="00DC27DA">
        <w:t xml:space="preserve">The total </w:t>
      </w:r>
      <w:r>
        <w:t xml:space="preserve">capital cost of </w:t>
      </w:r>
      <w:r w:rsidRPr="00DC27DA">
        <w:t xml:space="preserve">transmission investment </w:t>
      </w:r>
      <w:r>
        <w:t xml:space="preserve">that can be justified for decreasing economic dispatch costs </w:t>
      </w:r>
      <w:r w:rsidRPr="00DC27DA">
        <w:t xml:space="preserve">can be estimated by dividing the </w:t>
      </w:r>
      <w:r>
        <w:t>production cost savings</w:t>
      </w:r>
      <w:r w:rsidRPr="00DC27DA">
        <w:t xml:space="preserve"> by the annual carrying c</w:t>
      </w:r>
      <w:r w:rsidR="00CE777A">
        <w:t>harge</w:t>
      </w:r>
      <w:r w:rsidRPr="00DC27DA">
        <w:t xml:space="preserve"> </w:t>
      </w:r>
      <w:r>
        <w:t xml:space="preserve">rate for </w:t>
      </w:r>
      <w:r w:rsidRPr="00DC27DA">
        <w:t>transmission investment</w:t>
      </w:r>
      <w:r>
        <w:t>, which was assumed at 15%</w:t>
      </w:r>
      <w:r w:rsidRPr="00DC27DA">
        <w:t>.</w:t>
      </w:r>
      <w:r>
        <w:t xml:space="preserve"> This calculation, however, does not account for the need for capacity deliverability, which is beyond the scope of this study. </w:t>
      </w:r>
    </w:p>
    <w:p w:rsidR="00B75B9D" w:rsidRDefault="00962DD3" w:rsidP="00B75B9D">
      <w:r>
        <w:t>Table 6-17</w:t>
      </w:r>
      <w:r w:rsidR="00682180">
        <w:t xml:space="preserve"> </w:t>
      </w:r>
      <w:r w:rsidR="00B75B9D">
        <w:t xml:space="preserve">compares the capital cost of economically justified transmission with the ISO’s estimate of the congestion relief system. Consistent with the </w:t>
      </w:r>
      <w:r w:rsidR="00682180">
        <w:t>h</w:t>
      </w:r>
      <w:r w:rsidR="00B75B9D" w:rsidRPr="009659F3">
        <w:t>igh-</w:t>
      </w:r>
      <w:r w:rsidR="00682180">
        <w:t>o</w:t>
      </w:r>
      <w:r w:rsidR="00B75B9D" w:rsidRPr="009659F3">
        <w:t>rder-of-</w:t>
      </w:r>
      <w:r w:rsidR="00682180">
        <w:t>m</w:t>
      </w:r>
      <w:r w:rsidR="00B75B9D" w:rsidRPr="009659F3">
        <w:t xml:space="preserve">agnitude </w:t>
      </w:r>
      <w:r w:rsidR="00682180">
        <w:t>t</w:t>
      </w:r>
      <w:r w:rsidR="00B75B9D">
        <w:t xml:space="preserve">ransmission </w:t>
      </w:r>
      <w:r w:rsidR="00682180">
        <w:t>c</w:t>
      </w:r>
      <w:r w:rsidR="00B75B9D" w:rsidRPr="009659F3">
        <w:t xml:space="preserve">osts to </w:t>
      </w:r>
      <w:r w:rsidR="00682180">
        <w:t>i</w:t>
      </w:r>
      <w:r w:rsidR="00B75B9D" w:rsidRPr="009659F3">
        <w:t xml:space="preserve">ntegrate </w:t>
      </w:r>
      <w:r w:rsidR="00682180">
        <w:t>r</w:t>
      </w:r>
      <w:r w:rsidR="00B75B9D" w:rsidRPr="009659F3">
        <w:t xml:space="preserve">enewable </w:t>
      </w:r>
      <w:r w:rsidR="00682180">
        <w:t>r</w:t>
      </w:r>
      <w:r w:rsidR="00B75B9D" w:rsidRPr="009659F3">
        <w:t>esources</w:t>
      </w:r>
      <w:r w:rsidR="00B75B9D">
        <w:t xml:space="preserve">, the initial congestion relief system dollars appearing in </w:t>
      </w:r>
      <w:r w:rsidR="00AA69A1">
        <w:t>Table 6-16</w:t>
      </w:r>
      <w:r w:rsidR="00C72C28">
        <w:t xml:space="preserve"> </w:t>
      </w:r>
      <w:r w:rsidR="00B75B9D">
        <w:t xml:space="preserve">have been increased by a margin of 50%. The results show that the congestion relief systems may not be justified based on the production cost savings. </w:t>
      </w:r>
    </w:p>
    <w:p w:rsidR="0018309B" w:rsidRDefault="00682180" w:rsidP="00682180">
      <w:pPr>
        <w:pStyle w:val="Caption"/>
        <w:jc w:val="center"/>
      </w:pPr>
      <w:bookmarkStart w:id="336" w:name="_Ref485903621"/>
      <w:bookmarkStart w:id="337" w:name="_Toc486406052"/>
      <w:r>
        <w:lastRenderedPageBreak/>
        <w:t xml:space="preserve">Table </w:t>
      </w:r>
      <w:fldSimple w:instr=" STYLEREF 1 \s ">
        <w:r w:rsidR="004248FE">
          <w:rPr>
            <w:noProof/>
          </w:rPr>
          <w:t>6</w:t>
        </w:r>
      </w:fldSimple>
      <w:r w:rsidR="004248FE">
        <w:noBreakHyphen/>
      </w:r>
      <w:fldSimple w:instr=" SEQ Table \* ARABIC \s 1 ">
        <w:r w:rsidR="004248FE">
          <w:rPr>
            <w:noProof/>
          </w:rPr>
          <w:t>17</w:t>
        </w:r>
      </w:fldSimple>
      <w:bookmarkEnd w:id="336"/>
      <w:r>
        <w:br/>
      </w:r>
      <w:r w:rsidR="006D1C6F">
        <w:t>Net Economic Benefits of Congestion System</w:t>
      </w:r>
      <w:bookmarkEnd w:id="337"/>
    </w:p>
    <w:tbl>
      <w:tblPr>
        <w:tblW w:w="101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462"/>
        <w:gridCol w:w="1744"/>
        <w:gridCol w:w="1744"/>
        <w:gridCol w:w="1744"/>
        <w:gridCol w:w="1744"/>
        <w:gridCol w:w="1744"/>
      </w:tblGrid>
      <w:tr w:rsidR="00682180" w:rsidRPr="00682180" w:rsidTr="00682180">
        <w:trPr>
          <w:jc w:val="center"/>
        </w:trPr>
        <w:tc>
          <w:tcPr>
            <w:tcW w:w="1462" w:type="dxa"/>
            <w:shd w:val="clear" w:color="auto" w:fill="0070C0"/>
            <w:tcMar>
              <w:top w:w="29" w:type="dxa"/>
              <w:left w:w="29" w:type="dxa"/>
              <w:bottom w:w="29" w:type="dxa"/>
              <w:right w:w="29" w:type="dxa"/>
            </w:tcMar>
            <w:vAlign w:val="center"/>
          </w:tcPr>
          <w:p w:rsidR="00432C2B" w:rsidRPr="00682180" w:rsidRDefault="00432C2B" w:rsidP="00682180">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682180">
              <w:rPr>
                <w:rFonts w:asciiTheme="minorHAnsi" w:eastAsia="Calibri" w:hAnsiTheme="minorHAnsi"/>
                <w:b/>
                <w:color w:val="FFFFFF" w:themeColor="background1"/>
                <w:sz w:val="18"/>
                <w:szCs w:val="18"/>
              </w:rPr>
              <w:t>Year</w:t>
            </w:r>
          </w:p>
        </w:tc>
        <w:tc>
          <w:tcPr>
            <w:tcW w:w="1744" w:type="dxa"/>
            <w:shd w:val="clear" w:color="auto" w:fill="0070C0"/>
            <w:tcMar>
              <w:top w:w="29" w:type="dxa"/>
              <w:left w:w="29" w:type="dxa"/>
              <w:bottom w:w="29" w:type="dxa"/>
              <w:right w:w="29" w:type="dxa"/>
            </w:tcMar>
            <w:vAlign w:val="center"/>
          </w:tcPr>
          <w:p w:rsidR="00432C2B" w:rsidRPr="00682180" w:rsidRDefault="00432C2B" w:rsidP="00682180">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682180">
              <w:rPr>
                <w:rFonts w:asciiTheme="minorHAnsi" w:eastAsia="Calibri" w:hAnsiTheme="minorHAnsi"/>
                <w:b/>
                <w:color w:val="FFFFFF" w:themeColor="background1"/>
                <w:sz w:val="18"/>
                <w:szCs w:val="18"/>
              </w:rPr>
              <w:t>Scenario</w:t>
            </w:r>
          </w:p>
        </w:tc>
        <w:tc>
          <w:tcPr>
            <w:tcW w:w="1744" w:type="dxa"/>
            <w:shd w:val="clear" w:color="auto" w:fill="0070C0"/>
            <w:tcMar>
              <w:top w:w="29" w:type="dxa"/>
              <w:left w:w="29" w:type="dxa"/>
              <w:bottom w:w="29" w:type="dxa"/>
              <w:right w:w="29" w:type="dxa"/>
            </w:tcMar>
            <w:vAlign w:val="center"/>
          </w:tcPr>
          <w:p w:rsidR="00432C2B" w:rsidRPr="00682180" w:rsidRDefault="00432C2B" w:rsidP="00682180">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682180">
              <w:rPr>
                <w:rFonts w:asciiTheme="minorHAnsi" w:hAnsiTheme="minorHAnsi"/>
                <w:b/>
                <w:color w:val="FFFFFF" w:themeColor="background1"/>
                <w:sz w:val="18"/>
                <w:szCs w:val="18"/>
              </w:rPr>
              <w:t>Annual Production Cost Savings ($B)</w:t>
            </w:r>
          </w:p>
        </w:tc>
        <w:tc>
          <w:tcPr>
            <w:tcW w:w="1744" w:type="dxa"/>
            <w:shd w:val="clear" w:color="auto" w:fill="0070C0"/>
            <w:tcMar>
              <w:top w:w="29" w:type="dxa"/>
              <w:left w:w="29" w:type="dxa"/>
              <w:bottom w:w="29" w:type="dxa"/>
              <w:right w:w="29" w:type="dxa"/>
            </w:tcMar>
            <w:vAlign w:val="center"/>
          </w:tcPr>
          <w:p w:rsidR="00432C2B" w:rsidRPr="00682180" w:rsidRDefault="00432C2B" w:rsidP="00682180">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682180">
              <w:rPr>
                <w:rFonts w:asciiTheme="minorHAnsi" w:hAnsiTheme="minorHAnsi"/>
                <w:b/>
                <w:color w:val="FFFFFF" w:themeColor="background1"/>
                <w:sz w:val="18"/>
                <w:szCs w:val="18"/>
              </w:rPr>
              <w:t>Transmission Justified by Production Cost Savings ($B)</w:t>
            </w:r>
          </w:p>
        </w:tc>
        <w:tc>
          <w:tcPr>
            <w:tcW w:w="1744" w:type="dxa"/>
            <w:shd w:val="clear" w:color="auto" w:fill="0070C0"/>
            <w:tcMar>
              <w:top w:w="29" w:type="dxa"/>
              <w:left w:w="29" w:type="dxa"/>
              <w:bottom w:w="29" w:type="dxa"/>
              <w:right w:w="29" w:type="dxa"/>
            </w:tcMar>
            <w:vAlign w:val="center"/>
          </w:tcPr>
          <w:p w:rsidR="00432C2B" w:rsidRPr="00682180" w:rsidRDefault="00432C2B" w:rsidP="00682180">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682180">
              <w:rPr>
                <w:rFonts w:asciiTheme="minorHAnsi" w:hAnsiTheme="minorHAnsi"/>
                <w:b/>
                <w:color w:val="FFFFFF" w:themeColor="background1"/>
                <w:sz w:val="18"/>
                <w:szCs w:val="18"/>
              </w:rPr>
              <w:t>Congestion Relief System ($B)</w:t>
            </w:r>
            <w:r w:rsidRPr="00682180">
              <w:rPr>
                <w:rFonts w:asciiTheme="minorHAnsi" w:hAnsiTheme="minorHAnsi"/>
                <w:b/>
                <w:color w:val="FFFFFF" w:themeColor="background1"/>
                <w:sz w:val="18"/>
                <w:szCs w:val="18"/>
                <w:vertAlign w:val="superscript"/>
              </w:rPr>
              <w:t>(</w:t>
            </w:r>
            <w:r w:rsidR="00682180" w:rsidRPr="00682180">
              <w:rPr>
                <w:rFonts w:asciiTheme="minorHAnsi" w:hAnsiTheme="minorHAnsi"/>
                <w:b/>
                <w:color w:val="FFFFFF" w:themeColor="background1"/>
                <w:sz w:val="18"/>
                <w:szCs w:val="18"/>
                <w:vertAlign w:val="superscript"/>
              </w:rPr>
              <w:t>a</w:t>
            </w:r>
            <w:r w:rsidRPr="00682180">
              <w:rPr>
                <w:rFonts w:asciiTheme="minorHAnsi" w:hAnsiTheme="minorHAnsi"/>
                <w:b/>
                <w:color w:val="FFFFFF" w:themeColor="background1"/>
                <w:sz w:val="18"/>
                <w:szCs w:val="18"/>
                <w:vertAlign w:val="superscript"/>
              </w:rPr>
              <w:t>)</w:t>
            </w:r>
          </w:p>
        </w:tc>
        <w:tc>
          <w:tcPr>
            <w:tcW w:w="1744" w:type="dxa"/>
            <w:shd w:val="clear" w:color="auto" w:fill="0070C0"/>
            <w:tcMar>
              <w:top w:w="29" w:type="dxa"/>
              <w:left w:w="29" w:type="dxa"/>
              <w:bottom w:w="29" w:type="dxa"/>
              <w:right w:w="29" w:type="dxa"/>
            </w:tcMar>
            <w:vAlign w:val="center"/>
          </w:tcPr>
          <w:p w:rsidR="00432C2B" w:rsidRPr="00682180" w:rsidRDefault="00432C2B" w:rsidP="00682180">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682180">
              <w:rPr>
                <w:rFonts w:asciiTheme="minorHAnsi" w:hAnsiTheme="minorHAnsi"/>
                <w:b/>
                <w:color w:val="FFFFFF" w:themeColor="background1"/>
                <w:sz w:val="18"/>
                <w:szCs w:val="18"/>
              </w:rPr>
              <w:t>Net Benefits of Congestion Relief System ($B)</w:t>
            </w:r>
            <w:r w:rsidRPr="00682180">
              <w:rPr>
                <w:rFonts w:asciiTheme="minorHAnsi" w:hAnsiTheme="minorHAnsi"/>
                <w:b/>
                <w:color w:val="FFFFFF" w:themeColor="background1"/>
                <w:sz w:val="18"/>
                <w:szCs w:val="18"/>
                <w:vertAlign w:val="superscript"/>
              </w:rPr>
              <w:t>(</w:t>
            </w:r>
            <w:r w:rsidR="00682180" w:rsidRPr="00682180">
              <w:rPr>
                <w:rFonts w:asciiTheme="minorHAnsi" w:hAnsiTheme="minorHAnsi"/>
                <w:b/>
                <w:color w:val="FFFFFF" w:themeColor="background1"/>
                <w:sz w:val="18"/>
                <w:szCs w:val="18"/>
                <w:vertAlign w:val="superscript"/>
              </w:rPr>
              <w:t>b</w:t>
            </w:r>
            <w:r w:rsidRPr="00682180">
              <w:rPr>
                <w:rFonts w:asciiTheme="minorHAnsi" w:hAnsiTheme="minorHAnsi"/>
                <w:b/>
                <w:color w:val="FFFFFF" w:themeColor="background1"/>
                <w:sz w:val="18"/>
                <w:szCs w:val="18"/>
                <w:vertAlign w:val="superscript"/>
              </w:rPr>
              <w:t>)</w:t>
            </w:r>
          </w:p>
        </w:tc>
      </w:tr>
      <w:tr w:rsidR="00432C2B" w:rsidRPr="00682180" w:rsidTr="00682180">
        <w:trPr>
          <w:jc w:val="center"/>
        </w:trPr>
        <w:tc>
          <w:tcPr>
            <w:tcW w:w="1462" w:type="dxa"/>
            <w:vMerge w:val="restart"/>
            <w:shd w:val="clear" w:color="auto" w:fill="auto"/>
            <w:tcMar>
              <w:top w:w="29" w:type="dxa"/>
              <w:left w:w="29" w:type="dxa"/>
              <w:bottom w:w="29" w:type="dxa"/>
              <w:right w:w="29" w:type="dxa"/>
            </w:tcMar>
            <w:vAlign w:val="center"/>
          </w:tcPr>
          <w:p w:rsidR="00432C2B" w:rsidRPr="00682180" w:rsidRDefault="00432C2B" w:rsidP="00682180">
            <w:pPr>
              <w:keepNext/>
              <w:keepLines/>
              <w:adjustRightInd/>
              <w:spacing w:before="40" w:after="40" w:line="240" w:lineRule="auto"/>
              <w:jc w:val="center"/>
              <w:textAlignment w:val="auto"/>
              <w:rPr>
                <w:rFonts w:asciiTheme="minorHAnsi" w:eastAsia="Calibri" w:hAnsiTheme="minorHAnsi"/>
                <w:sz w:val="18"/>
                <w:szCs w:val="18"/>
              </w:rPr>
            </w:pPr>
            <w:r w:rsidRPr="00682180">
              <w:rPr>
                <w:rFonts w:asciiTheme="minorHAnsi" w:eastAsia="Calibri" w:hAnsiTheme="minorHAnsi"/>
                <w:sz w:val="18"/>
                <w:szCs w:val="18"/>
              </w:rPr>
              <w:t>2025</w:t>
            </w:r>
          </w:p>
          <w:p w:rsidR="00432C2B" w:rsidRPr="00682180" w:rsidRDefault="00432C2B" w:rsidP="00682180">
            <w:pPr>
              <w:keepNext/>
              <w:keepLines/>
              <w:spacing w:before="40" w:after="40" w:line="240" w:lineRule="auto"/>
              <w:jc w:val="center"/>
              <w:rPr>
                <w:rFonts w:asciiTheme="minorHAnsi" w:eastAsia="Calibri" w:hAnsiTheme="minorHAnsi"/>
                <w:sz w:val="18"/>
                <w:szCs w:val="18"/>
              </w:rPr>
            </w:pPr>
          </w:p>
        </w:tc>
        <w:tc>
          <w:tcPr>
            <w:tcW w:w="1744" w:type="dxa"/>
            <w:shd w:val="clear" w:color="auto" w:fill="auto"/>
            <w:tcMar>
              <w:top w:w="29" w:type="dxa"/>
              <w:left w:w="115" w:type="dxa"/>
              <w:bottom w:w="29" w:type="dxa"/>
              <w:right w:w="0" w:type="dxa"/>
            </w:tcMar>
            <w:vAlign w:val="center"/>
          </w:tcPr>
          <w:p w:rsidR="00432C2B" w:rsidRPr="00682180" w:rsidRDefault="00432C2B" w:rsidP="00682180">
            <w:pPr>
              <w:keepNext/>
              <w:keepLines/>
              <w:adjustRightInd/>
              <w:spacing w:before="40" w:after="40" w:line="240" w:lineRule="auto"/>
              <w:textAlignment w:val="auto"/>
              <w:rPr>
                <w:rFonts w:asciiTheme="minorHAnsi" w:eastAsia="Calibri" w:hAnsiTheme="minorHAnsi"/>
                <w:sz w:val="18"/>
                <w:szCs w:val="18"/>
              </w:rPr>
            </w:pPr>
            <w:r w:rsidRPr="00682180">
              <w:rPr>
                <w:rFonts w:asciiTheme="minorHAnsi" w:eastAsia="Calibri" w:hAnsiTheme="minorHAnsi"/>
                <w:sz w:val="18"/>
                <w:szCs w:val="18"/>
              </w:rPr>
              <w:t>RPS + Gas</w:t>
            </w:r>
          </w:p>
        </w:tc>
        <w:tc>
          <w:tcPr>
            <w:tcW w:w="1744" w:type="dxa"/>
            <w:shd w:val="clear" w:color="auto" w:fill="auto"/>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0.080</w:t>
            </w:r>
          </w:p>
        </w:tc>
        <w:tc>
          <w:tcPr>
            <w:tcW w:w="1744" w:type="dxa"/>
            <w:shd w:val="clear" w:color="auto" w:fill="auto"/>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0.533</w:t>
            </w:r>
          </w:p>
        </w:tc>
        <w:tc>
          <w:tcPr>
            <w:tcW w:w="1744" w:type="dxa"/>
            <w:shd w:val="clear" w:color="auto" w:fill="auto"/>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5.570</w:t>
            </w:r>
          </w:p>
        </w:tc>
        <w:tc>
          <w:tcPr>
            <w:tcW w:w="1744" w:type="dxa"/>
            <w:shd w:val="clear" w:color="auto" w:fill="auto"/>
            <w:tcMar>
              <w:top w:w="29" w:type="dxa"/>
              <w:left w:w="58" w:type="dxa"/>
              <w:bottom w:w="29" w:type="dxa"/>
              <w:right w:w="288" w:type="dxa"/>
            </w:tcMar>
            <w:vAlign w:val="center"/>
          </w:tcPr>
          <w:p w:rsidR="00432C2B" w:rsidRPr="00682180" w:rsidRDefault="00682180" w:rsidP="00682180">
            <w:pPr>
              <w:keepNext/>
              <w:keepLines/>
              <w:adjustRightInd/>
              <w:spacing w:before="40" w:after="40" w:line="240" w:lineRule="auto"/>
              <w:jc w:val="right"/>
              <w:textAlignment w:val="auto"/>
              <w:rPr>
                <w:rFonts w:asciiTheme="minorHAnsi" w:eastAsia="Calibri" w:hAnsiTheme="minorHAnsi"/>
                <w:sz w:val="18"/>
                <w:szCs w:val="18"/>
              </w:rPr>
            </w:pPr>
            <w:r>
              <w:rPr>
                <w:rFonts w:asciiTheme="minorHAnsi" w:hAnsiTheme="minorHAnsi"/>
                <w:sz w:val="18"/>
                <w:szCs w:val="18"/>
              </w:rPr>
              <w:t>−</w:t>
            </w:r>
            <w:r w:rsidR="00432C2B" w:rsidRPr="00682180">
              <w:rPr>
                <w:rFonts w:asciiTheme="minorHAnsi" w:hAnsiTheme="minorHAnsi"/>
                <w:sz w:val="18"/>
                <w:szCs w:val="18"/>
              </w:rPr>
              <w:t>5.037</w:t>
            </w:r>
          </w:p>
        </w:tc>
      </w:tr>
      <w:tr w:rsidR="00432C2B" w:rsidRPr="00682180" w:rsidTr="00682180">
        <w:trPr>
          <w:jc w:val="center"/>
        </w:trPr>
        <w:tc>
          <w:tcPr>
            <w:tcW w:w="1462" w:type="dxa"/>
            <w:vMerge/>
            <w:shd w:val="clear" w:color="auto" w:fill="auto"/>
            <w:tcMar>
              <w:top w:w="29" w:type="dxa"/>
              <w:left w:w="29" w:type="dxa"/>
              <w:bottom w:w="29" w:type="dxa"/>
              <w:right w:w="29" w:type="dxa"/>
            </w:tcMar>
            <w:vAlign w:val="center"/>
          </w:tcPr>
          <w:p w:rsidR="00432C2B" w:rsidRPr="00682180" w:rsidRDefault="00432C2B" w:rsidP="00682180">
            <w:pPr>
              <w:keepNext/>
              <w:keepLines/>
              <w:spacing w:before="40" w:after="40" w:line="240" w:lineRule="auto"/>
              <w:jc w:val="center"/>
              <w:rPr>
                <w:rFonts w:asciiTheme="minorHAnsi" w:eastAsia="Calibri" w:hAnsiTheme="minorHAnsi"/>
                <w:sz w:val="18"/>
                <w:szCs w:val="18"/>
              </w:rPr>
            </w:pPr>
          </w:p>
        </w:tc>
        <w:tc>
          <w:tcPr>
            <w:tcW w:w="1744" w:type="dxa"/>
            <w:shd w:val="clear" w:color="auto" w:fill="auto"/>
            <w:tcMar>
              <w:top w:w="29" w:type="dxa"/>
              <w:left w:w="115" w:type="dxa"/>
              <w:bottom w:w="29" w:type="dxa"/>
              <w:right w:w="0" w:type="dxa"/>
            </w:tcMar>
            <w:vAlign w:val="center"/>
          </w:tcPr>
          <w:p w:rsidR="00432C2B" w:rsidRPr="00682180" w:rsidRDefault="00432C2B" w:rsidP="00682180">
            <w:pPr>
              <w:keepNext/>
              <w:keepLines/>
              <w:adjustRightInd/>
              <w:spacing w:before="40" w:after="40" w:line="240" w:lineRule="auto"/>
              <w:textAlignment w:val="auto"/>
              <w:rPr>
                <w:rFonts w:asciiTheme="minorHAnsi" w:eastAsia="Calibri" w:hAnsiTheme="minorHAnsi"/>
                <w:sz w:val="18"/>
                <w:szCs w:val="18"/>
              </w:rPr>
            </w:pPr>
            <w:r w:rsidRPr="00682180">
              <w:rPr>
                <w:rFonts w:asciiTheme="minorHAnsi" w:eastAsia="Calibri" w:hAnsiTheme="minorHAnsi"/>
                <w:sz w:val="18"/>
                <w:szCs w:val="18"/>
              </w:rPr>
              <w:t>ISO Queue</w:t>
            </w:r>
          </w:p>
        </w:tc>
        <w:tc>
          <w:tcPr>
            <w:tcW w:w="1744" w:type="dxa"/>
            <w:shd w:val="clear" w:color="auto" w:fill="auto"/>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0.199</w:t>
            </w:r>
          </w:p>
        </w:tc>
        <w:tc>
          <w:tcPr>
            <w:tcW w:w="1744" w:type="dxa"/>
            <w:shd w:val="clear" w:color="auto" w:fill="auto"/>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1.327</w:t>
            </w:r>
          </w:p>
        </w:tc>
        <w:tc>
          <w:tcPr>
            <w:tcW w:w="1744" w:type="dxa"/>
            <w:shd w:val="clear" w:color="auto" w:fill="auto"/>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30.050</w:t>
            </w:r>
          </w:p>
        </w:tc>
        <w:tc>
          <w:tcPr>
            <w:tcW w:w="1744" w:type="dxa"/>
            <w:shd w:val="clear" w:color="auto" w:fill="auto"/>
            <w:tcMar>
              <w:top w:w="29" w:type="dxa"/>
              <w:left w:w="58" w:type="dxa"/>
              <w:bottom w:w="29" w:type="dxa"/>
              <w:right w:w="288" w:type="dxa"/>
            </w:tcMar>
            <w:vAlign w:val="center"/>
          </w:tcPr>
          <w:p w:rsidR="00432C2B" w:rsidRPr="00682180" w:rsidRDefault="00682180" w:rsidP="00682180">
            <w:pPr>
              <w:keepNext/>
              <w:keepLines/>
              <w:adjustRightInd/>
              <w:spacing w:before="40" w:after="40" w:line="240" w:lineRule="auto"/>
              <w:jc w:val="right"/>
              <w:textAlignment w:val="auto"/>
              <w:rPr>
                <w:rFonts w:asciiTheme="minorHAnsi" w:eastAsia="Calibri" w:hAnsiTheme="minorHAnsi"/>
                <w:sz w:val="18"/>
                <w:szCs w:val="18"/>
              </w:rPr>
            </w:pPr>
            <w:r>
              <w:rPr>
                <w:rFonts w:asciiTheme="minorHAnsi" w:hAnsiTheme="minorHAnsi"/>
                <w:sz w:val="18"/>
                <w:szCs w:val="18"/>
              </w:rPr>
              <w:t>−</w:t>
            </w:r>
            <w:r w:rsidR="00432C2B" w:rsidRPr="00682180">
              <w:rPr>
                <w:rFonts w:asciiTheme="minorHAnsi" w:hAnsiTheme="minorHAnsi"/>
                <w:sz w:val="18"/>
                <w:szCs w:val="18"/>
              </w:rPr>
              <w:t>28.723</w:t>
            </w:r>
          </w:p>
        </w:tc>
      </w:tr>
      <w:tr w:rsidR="00432C2B" w:rsidRPr="00682180" w:rsidTr="00682180">
        <w:trPr>
          <w:jc w:val="center"/>
        </w:trPr>
        <w:tc>
          <w:tcPr>
            <w:tcW w:w="1462" w:type="dxa"/>
            <w:vMerge/>
            <w:shd w:val="clear" w:color="auto" w:fill="auto"/>
            <w:tcMar>
              <w:top w:w="29" w:type="dxa"/>
              <w:left w:w="29" w:type="dxa"/>
              <w:bottom w:w="29" w:type="dxa"/>
              <w:right w:w="29" w:type="dxa"/>
            </w:tcMar>
            <w:vAlign w:val="center"/>
          </w:tcPr>
          <w:p w:rsidR="00432C2B" w:rsidRPr="00682180" w:rsidRDefault="00432C2B" w:rsidP="00682180">
            <w:pPr>
              <w:keepNext/>
              <w:keepLines/>
              <w:spacing w:before="40" w:after="40" w:line="240" w:lineRule="auto"/>
              <w:jc w:val="center"/>
              <w:rPr>
                <w:rFonts w:asciiTheme="minorHAnsi" w:eastAsia="Calibri" w:hAnsiTheme="minorHAnsi"/>
                <w:sz w:val="18"/>
                <w:szCs w:val="18"/>
              </w:rPr>
            </w:pPr>
          </w:p>
        </w:tc>
        <w:tc>
          <w:tcPr>
            <w:tcW w:w="1744" w:type="dxa"/>
            <w:shd w:val="clear" w:color="auto" w:fill="auto"/>
            <w:tcMar>
              <w:top w:w="29" w:type="dxa"/>
              <w:left w:w="115" w:type="dxa"/>
              <w:bottom w:w="29" w:type="dxa"/>
              <w:right w:w="0" w:type="dxa"/>
            </w:tcMar>
            <w:vAlign w:val="center"/>
          </w:tcPr>
          <w:p w:rsidR="00432C2B" w:rsidRPr="00682180" w:rsidRDefault="00432C2B" w:rsidP="00682180">
            <w:pPr>
              <w:keepNext/>
              <w:keepLines/>
              <w:adjustRightInd/>
              <w:spacing w:before="40" w:after="40" w:line="240" w:lineRule="auto"/>
              <w:textAlignment w:val="auto"/>
              <w:rPr>
                <w:rFonts w:asciiTheme="minorHAnsi" w:eastAsia="Calibri" w:hAnsiTheme="minorHAnsi"/>
                <w:sz w:val="18"/>
                <w:szCs w:val="18"/>
              </w:rPr>
            </w:pPr>
            <w:r w:rsidRPr="00682180">
              <w:rPr>
                <w:rFonts w:asciiTheme="minorHAnsi" w:eastAsia="Calibri" w:hAnsiTheme="minorHAnsi"/>
                <w:sz w:val="18"/>
                <w:szCs w:val="18"/>
              </w:rPr>
              <w:t>Renew Plus</w:t>
            </w:r>
          </w:p>
        </w:tc>
        <w:tc>
          <w:tcPr>
            <w:tcW w:w="1744" w:type="dxa"/>
            <w:shd w:val="clear" w:color="auto" w:fill="auto"/>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0.144</w:t>
            </w:r>
          </w:p>
        </w:tc>
        <w:tc>
          <w:tcPr>
            <w:tcW w:w="1744" w:type="dxa"/>
            <w:shd w:val="clear" w:color="auto" w:fill="auto"/>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0.960</w:t>
            </w:r>
          </w:p>
        </w:tc>
        <w:tc>
          <w:tcPr>
            <w:tcW w:w="1744" w:type="dxa"/>
            <w:shd w:val="clear" w:color="auto" w:fill="auto"/>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5.600</w:t>
            </w:r>
          </w:p>
        </w:tc>
        <w:tc>
          <w:tcPr>
            <w:tcW w:w="1744" w:type="dxa"/>
            <w:shd w:val="clear" w:color="auto" w:fill="auto"/>
            <w:tcMar>
              <w:top w:w="29" w:type="dxa"/>
              <w:left w:w="58" w:type="dxa"/>
              <w:bottom w:w="29" w:type="dxa"/>
              <w:right w:w="288" w:type="dxa"/>
            </w:tcMar>
            <w:vAlign w:val="center"/>
          </w:tcPr>
          <w:p w:rsidR="00432C2B" w:rsidRPr="00682180" w:rsidRDefault="00682180" w:rsidP="00682180">
            <w:pPr>
              <w:keepNext/>
              <w:keepLines/>
              <w:adjustRightInd/>
              <w:spacing w:before="40" w:after="40" w:line="240" w:lineRule="auto"/>
              <w:jc w:val="right"/>
              <w:textAlignment w:val="auto"/>
              <w:rPr>
                <w:rFonts w:asciiTheme="minorHAnsi" w:eastAsia="Calibri" w:hAnsiTheme="minorHAnsi"/>
                <w:sz w:val="18"/>
                <w:szCs w:val="18"/>
              </w:rPr>
            </w:pPr>
            <w:r>
              <w:rPr>
                <w:rFonts w:asciiTheme="minorHAnsi" w:hAnsiTheme="minorHAnsi"/>
                <w:sz w:val="18"/>
                <w:szCs w:val="18"/>
              </w:rPr>
              <w:t>−</w:t>
            </w:r>
            <w:r w:rsidR="00432C2B" w:rsidRPr="00682180">
              <w:rPr>
                <w:rFonts w:asciiTheme="minorHAnsi" w:hAnsiTheme="minorHAnsi"/>
                <w:sz w:val="18"/>
                <w:szCs w:val="18"/>
              </w:rPr>
              <w:t>4.640</w:t>
            </w:r>
          </w:p>
        </w:tc>
      </w:tr>
      <w:tr w:rsidR="00432C2B" w:rsidRPr="00682180" w:rsidTr="00682180">
        <w:trPr>
          <w:jc w:val="center"/>
        </w:trPr>
        <w:tc>
          <w:tcPr>
            <w:tcW w:w="1462" w:type="dxa"/>
            <w:vMerge/>
            <w:shd w:val="clear" w:color="auto" w:fill="auto"/>
            <w:tcMar>
              <w:top w:w="29" w:type="dxa"/>
              <w:left w:w="29" w:type="dxa"/>
              <w:bottom w:w="29" w:type="dxa"/>
              <w:right w:w="29" w:type="dxa"/>
            </w:tcMar>
            <w:vAlign w:val="center"/>
          </w:tcPr>
          <w:p w:rsidR="00432C2B" w:rsidRPr="00682180" w:rsidRDefault="00432C2B" w:rsidP="00682180">
            <w:pPr>
              <w:keepNext/>
              <w:keepLines/>
              <w:spacing w:before="40" w:after="40" w:line="240" w:lineRule="auto"/>
              <w:jc w:val="center"/>
              <w:rPr>
                <w:rFonts w:asciiTheme="minorHAnsi" w:eastAsia="Calibri" w:hAnsiTheme="minorHAnsi"/>
                <w:sz w:val="18"/>
                <w:szCs w:val="18"/>
              </w:rPr>
            </w:pPr>
          </w:p>
        </w:tc>
        <w:tc>
          <w:tcPr>
            <w:tcW w:w="1744" w:type="dxa"/>
            <w:shd w:val="clear" w:color="auto" w:fill="auto"/>
            <w:tcMar>
              <w:top w:w="29" w:type="dxa"/>
              <w:left w:w="115" w:type="dxa"/>
              <w:bottom w:w="29" w:type="dxa"/>
              <w:right w:w="0" w:type="dxa"/>
            </w:tcMar>
            <w:vAlign w:val="center"/>
          </w:tcPr>
          <w:p w:rsidR="00432C2B" w:rsidRPr="00682180" w:rsidRDefault="00432C2B" w:rsidP="00682180">
            <w:pPr>
              <w:keepNext/>
              <w:keepLines/>
              <w:adjustRightInd/>
              <w:spacing w:before="40" w:after="40" w:line="240" w:lineRule="auto"/>
              <w:textAlignment w:val="auto"/>
              <w:rPr>
                <w:rFonts w:asciiTheme="minorHAnsi" w:eastAsia="Calibri" w:hAnsiTheme="minorHAnsi"/>
                <w:sz w:val="18"/>
                <w:szCs w:val="18"/>
              </w:rPr>
            </w:pPr>
            <w:r w:rsidRPr="00682180">
              <w:rPr>
                <w:rFonts w:asciiTheme="minorHAnsi" w:eastAsia="Calibri" w:hAnsiTheme="minorHAnsi"/>
                <w:sz w:val="18"/>
                <w:szCs w:val="18"/>
              </w:rPr>
              <w:t>No Retire</w:t>
            </w:r>
          </w:p>
        </w:tc>
        <w:tc>
          <w:tcPr>
            <w:tcW w:w="1744" w:type="dxa"/>
            <w:shd w:val="clear" w:color="auto" w:fill="auto"/>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0.000</w:t>
            </w:r>
          </w:p>
        </w:tc>
        <w:tc>
          <w:tcPr>
            <w:tcW w:w="1744" w:type="dxa"/>
            <w:shd w:val="clear" w:color="auto" w:fill="auto"/>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0.000</w:t>
            </w:r>
          </w:p>
        </w:tc>
        <w:tc>
          <w:tcPr>
            <w:tcW w:w="1744" w:type="dxa"/>
            <w:shd w:val="clear" w:color="auto" w:fill="auto"/>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0.000</w:t>
            </w:r>
          </w:p>
        </w:tc>
        <w:tc>
          <w:tcPr>
            <w:tcW w:w="1744" w:type="dxa"/>
            <w:shd w:val="clear" w:color="auto" w:fill="auto"/>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0.000</w:t>
            </w:r>
          </w:p>
        </w:tc>
      </w:tr>
      <w:tr w:rsidR="00432C2B" w:rsidRPr="00682180" w:rsidTr="00682180">
        <w:trPr>
          <w:jc w:val="center"/>
        </w:trPr>
        <w:tc>
          <w:tcPr>
            <w:tcW w:w="1462" w:type="dxa"/>
            <w:vMerge/>
            <w:shd w:val="clear" w:color="auto" w:fill="auto"/>
            <w:tcMar>
              <w:top w:w="29" w:type="dxa"/>
              <w:left w:w="29" w:type="dxa"/>
              <w:bottom w:w="29" w:type="dxa"/>
              <w:right w:w="29" w:type="dxa"/>
            </w:tcMar>
            <w:vAlign w:val="center"/>
          </w:tcPr>
          <w:p w:rsidR="00432C2B" w:rsidRPr="00682180" w:rsidRDefault="00432C2B" w:rsidP="00682180">
            <w:pPr>
              <w:keepNext/>
              <w:keepLines/>
              <w:spacing w:before="40" w:after="40" w:line="240" w:lineRule="auto"/>
              <w:jc w:val="center"/>
              <w:rPr>
                <w:rFonts w:asciiTheme="minorHAnsi" w:eastAsia="Calibri" w:hAnsiTheme="minorHAnsi"/>
                <w:sz w:val="18"/>
                <w:szCs w:val="18"/>
              </w:rPr>
            </w:pPr>
          </w:p>
        </w:tc>
        <w:tc>
          <w:tcPr>
            <w:tcW w:w="1744" w:type="dxa"/>
            <w:shd w:val="clear" w:color="auto" w:fill="auto"/>
            <w:tcMar>
              <w:top w:w="29" w:type="dxa"/>
              <w:left w:w="115" w:type="dxa"/>
              <w:bottom w:w="29" w:type="dxa"/>
              <w:right w:w="0" w:type="dxa"/>
            </w:tcMar>
            <w:vAlign w:val="center"/>
          </w:tcPr>
          <w:p w:rsidR="00432C2B" w:rsidRPr="00682180" w:rsidRDefault="00432C2B" w:rsidP="00682180">
            <w:pPr>
              <w:keepNext/>
              <w:keepLines/>
              <w:adjustRightInd/>
              <w:spacing w:before="40" w:after="40" w:line="240" w:lineRule="auto"/>
              <w:textAlignment w:val="auto"/>
              <w:rPr>
                <w:rFonts w:asciiTheme="minorHAnsi" w:eastAsia="Calibri" w:hAnsiTheme="minorHAnsi"/>
                <w:sz w:val="18"/>
                <w:szCs w:val="18"/>
              </w:rPr>
            </w:pPr>
            <w:r w:rsidRPr="00682180">
              <w:rPr>
                <w:rFonts w:asciiTheme="minorHAnsi" w:eastAsia="Calibri" w:hAnsiTheme="minorHAnsi"/>
                <w:sz w:val="18"/>
                <w:szCs w:val="18"/>
              </w:rPr>
              <w:t>ACP + Gas</w:t>
            </w:r>
          </w:p>
        </w:tc>
        <w:tc>
          <w:tcPr>
            <w:tcW w:w="1744" w:type="dxa"/>
            <w:shd w:val="clear" w:color="auto" w:fill="auto"/>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0.003</w:t>
            </w:r>
          </w:p>
        </w:tc>
        <w:tc>
          <w:tcPr>
            <w:tcW w:w="1744" w:type="dxa"/>
            <w:shd w:val="clear" w:color="auto" w:fill="auto"/>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0.020</w:t>
            </w:r>
          </w:p>
        </w:tc>
        <w:tc>
          <w:tcPr>
            <w:tcW w:w="1744" w:type="dxa"/>
            <w:shd w:val="clear" w:color="auto" w:fill="auto"/>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0.000</w:t>
            </w:r>
          </w:p>
        </w:tc>
        <w:tc>
          <w:tcPr>
            <w:tcW w:w="1744" w:type="dxa"/>
            <w:shd w:val="clear" w:color="auto" w:fill="auto"/>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0.020</w:t>
            </w:r>
          </w:p>
        </w:tc>
      </w:tr>
      <w:tr w:rsidR="00432C2B" w:rsidRPr="00682180" w:rsidTr="00682180">
        <w:trPr>
          <w:jc w:val="center"/>
        </w:trPr>
        <w:tc>
          <w:tcPr>
            <w:tcW w:w="1462" w:type="dxa"/>
            <w:vMerge/>
            <w:shd w:val="clear" w:color="auto" w:fill="auto"/>
            <w:tcMar>
              <w:top w:w="29" w:type="dxa"/>
              <w:left w:w="29" w:type="dxa"/>
              <w:bottom w:w="29" w:type="dxa"/>
              <w:right w:w="29" w:type="dxa"/>
            </w:tcMar>
            <w:vAlign w:val="center"/>
          </w:tcPr>
          <w:p w:rsidR="00432C2B" w:rsidRPr="00682180" w:rsidRDefault="00432C2B" w:rsidP="00682180">
            <w:pPr>
              <w:keepNext/>
              <w:keepLines/>
              <w:adjustRightInd/>
              <w:spacing w:before="40" w:after="40" w:line="240" w:lineRule="auto"/>
              <w:jc w:val="center"/>
              <w:textAlignment w:val="auto"/>
              <w:rPr>
                <w:rFonts w:asciiTheme="minorHAnsi" w:eastAsia="Calibri" w:hAnsiTheme="minorHAnsi"/>
                <w:sz w:val="18"/>
                <w:szCs w:val="18"/>
              </w:rPr>
            </w:pPr>
          </w:p>
        </w:tc>
        <w:tc>
          <w:tcPr>
            <w:tcW w:w="1744" w:type="dxa"/>
            <w:shd w:val="clear" w:color="auto" w:fill="auto"/>
            <w:tcMar>
              <w:top w:w="29" w:type="dxa"/>
              <w:left w:w="115" w:type="dxa"/>
              <w:bottom w:w="29" w:type="dxa"/>
              <w:right w:w="0" w:type="dxa"/>
            </w:tcMar>
            <w:vAlign w:val="center"/>
          </w:tcPr>
          <w:p w:rsidR="00432C2B" w:rsidRPr="00682180" w:rsidRDefault="00432C2B" w:rsidP="00682180">
            <w:pPr>
              <w:keepNext/>
              <w:keepLines/>
              <w:adjustRightInd/>
              <w:spacing w:before="40" w:after="40" w:line="240" w:lineRule="auto"/>
              <w:textAlignment w:val="auto"/>
              <w:rPr>
                <w:rFonts w:asciiTheme="minorHAnsi" w:eastAsia="Calibri" w:hAnsiTheme="minorHAnsi"/>
                <w:sz w:val="18"/>
                <w:szCs w:val="18"/>
              </w:rPr>
            </w:pPr>
            <w:r w:rsidRPr="00682180">
              <w:rPr>
                <w:rFonts w:asciiTheme="minorHAnsi" w:eastAsia="Calibri" w:hAnsiTheme="minorHAnsi"/>
                <w:sz w:val="18"/>
                <w:szCs w:val="18"/>
              </w:rPr>
              <w:t>RPS + Geo Renew</w:t>
            </w:r>
          </w:p>
        </w:tc>
        <w:tc>
          <w:tcPr>
            <w:tcW w:w="1744" w:type="dxa"/>
            <w:shd w:val="clear" w:color="auto" w:fill="auto"/>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0.039</w:t>
            </w:r>
          </w:p>
        </w:tc>
        <w:tc>
          <w:tcPr>
            <w:tcW w:w="1744" w:type="dxa"/>
            <w:shd w:val="clear" w:color="auto" w:fill="auto"/>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0.260</w:t>
            </w:r>
          </w:p>
        </w:tc>
        <w:tc>
          <w:tcPr>
            <w:tcW w:w="1744" w:type="dxa"/>
            <w:shd w:val="clear" w:color="auto" w:fill="auto"/>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12.050</w:t>
            </w:r>
          </w:p>
        </w:tc>
        <w:tc>
          <w:tcPr>
            <w:tcW w:w="1744" w:type="dxa"/>
            <w:shd w:val="clear" w:color="auto" w:fill="auto"/>
            <w:tcMar>
              <w:top w:w="29" w:type="dxa"/>
              <w:left w:w="58" w:type="dxa"/>
              <w:bottom w:w="29" w:type="dxa"/>
              <w:right w:w="288" w:type="dxa"/>
            </w:tcMar>
            <w:vAlign w:val="center"/>
          </w:tcPr>
          <w:p w:rsidR="00432C2B" w:rsidRPr="00682180" w:rsidRDefault="00682180" w:rsidP="00682180">
            <w:pPr>
              <w:keepNext/>
              <w:keepLines/>
              <w:adjustRightInd/>
              <w:spacing w:before="40" w:after="40" w:line="240" w:lineRule="auto"/>
              <w:jc w:val="right"/>
              <w:textAlignment w:val="auto"/>
              <w:rPr>
                <w:rFonts w:asciiTheme="minorHAnsi" w:eastAsia="Calibri" w:hAnsiTheme="minorHAnsi"/>
                <w:sz w:val="18"/>
                <w:szCs w:val="18"/>
              </w:rPr>
            </w:pPr>
            <w:r>
              <w:rPr>
                <w:rFonts w:asciiTheme="minorHAnsi" w:hAnsiTheme="minorHAnsi"/>
                <w:sz w:val="18"/>
                <w:szCs w:val="18"/>
              </w:rPr>
              <w:t>−</w:t>
            </w:r>
            <w:r w:rsidR="00432C2B" w:rsidRPr="00682180">
              <w:rPr>
                <w:rFonts w:asciiTheme="minorHAnsi" w:hAnsiTheme="minorHAnsi"/>
                <w:sz w:val="18"/>
                <w:szCs w:val="18"/>
              </w:rPr>
              <w:t>11.790</w:t>
            </w:r>
          </w:p>
        </w:tc>
      </w:tr>
      <w:tr w:rsidR="00432C2B" w:rsidRPr="00682180" w:rsidTr="00682180">
        <w:trPr>
          <w:jc w:val="center"/>
        </w:trPr>
        <w:tc>
          <w:tcPr>
            <w:tcW w:w="1462" w:type="dxa"/>
            <w:vMerge w:val="restart"/>
            <w:shd w:val="clear" w:color="auto" w:fill="DBE5F1" w:themeFill="accent1" w:themeFillTint="33"/>
            <w:tcMar>
              <w:top w:w="29" w:type="dxa"/>
              <w:left w:w="29" w:type="dxa"/>
              <w:bottom w:w="29" w:type="dxa"/>
              <w:right w:w="29" w:type="dxa"/>
            </w:tcMar>
            <w:vAlign w:val="center"/>
          </w:tcPr>
          <w:p w:rsidR="00432C2B" w:rsidRPr="00682180" w:rsidRDefault="00432C2B" w:rsidP="00682180">
            <w:pPr>
              <w:keepNext/>
              <w:keepLines/>
              <w:adjustRightInd/>
              <w:spacing w:before="40" w:after="40" w:line="240" w:lineRule="auto"/>
              <w:jc w:val="center"/>
              <w:textAlignment w:val="auto"/>
              <w:rPr>
                <w:rFonts w:asciiTheme="minorHAnsi" w:eastAsia="Calibri" w:hAnsiTheme="minorHAnsi"/>
                <w:sz w:val="18"/>
                <w:szCs w:val="18"/>
              </w:rPr>
            </w:pPr>
            <w:r w:rsidRPr="00682180">
              <w:rPr>
                <w:rFonts w:asciiTheme="minorHAnsi" w:eastAsia="Calibri" w:hAnsiTheme="minorHAnsi"/>
                <w:sz w:val="18"/>
                <w:szCs w:val="18"/>
              </w:rPr>
              <w:t>2030</w:t>
            </w:r>
          </w:p>
          <w:p w:rsidR="00432C2B" w:rsidRPr="00682180" w:rsidRDefault="00432C2B" w:rsidP="00682180">
            <w:pPr>
              <w:keepNext/>
              <w:keepLines/>
              <w:spacing w:before="40" w:after="40" w:line="240" w:lineRule="auto"/>
              <w:jc w:val="center"/>
              <w:rPr>
                <w:rFonts w:asciiTheme="minorHAnsi" w:eastAsia="Calibri" w:hAnsiTheme="minorHAnsi"/>
                <w:sz w:val="18"/>
                <w:szCs w:val="18"/>
              </w:rPr>
            </w:pPr>
          </w:p>
        </w:tc>
        <w:tc>
          <w:tcPr>
            <w:tcW w:w="1744" w:type="dxa"/>
            <w:shd w:val="clear" w:color="auto" w:fill="DBE5F1" w:themeFill="accent1" w:themeFillTint="33"/>
            <w:tcMar>
              <w:top w:w="29" w:type="dxa"/>
              <w:left w:w="115" w:type="dxa"/>
              <w:bottom w:w="29" w:type="dxa"/>
              <w:right w:w="0" w:type="dxa"/>
            </w:tcMar>
            <w:vAlign w:val="center"/>
          </w:tcPr>
          <w:p w:rsidR="00432C2B" w:rsidRPr="00682180" w:rsidRDefault="00432C2B" w:rsidP="00682180">
            <w:pPr>
              <w:keepNext/>
              <w:keepLines/>
              <w:adjustRightInd/>
              <w:spacing w:before="40" w:after="40" w:line="240" w:lineRule="auto"/>
              <w:textAlignment w:val="auto"/>
              <w:rPr>
                <w:rFonts w:asciiTheme="minorHAnsi" w:eastAsia="Calibri" w:hAnsiTheme="minorHAnsi"/>
                <w:sz w:val="18"/>
                <w:szCs w:val="18"/>
              </w:rPr>
            </w:pPr>
            <w:r w:rsidRPr="00682180">
              <w:rPr>
                <w:rFonts w:asciiTheme="minorHAnsi" w:eastAsia="Calibri" w:hAnsiTheme="minorHAnsi"/>
                <w:sz w:val="18"/>
                <w:szCs w:val="18"/>
              </w:rPr>
              <w:t>RPS + Gas</w:t>
            </w:r>
          </w:p>
        </w:tc>
        <w:tc>
          <w:tcPr>
            <w:tcW w:w="1744" w:type="dxa"/>
            <w:shd w:val="clear" w:color="auto" w:fill="DBE5F1" w:themeFill="accent1" w:themeFillTint="33"/>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0.178</w:t>
            </w:r>
          </w:p>
        </w:tc>
        <w:tc>
          <w:tcPr>
            <w:tcW w:w="1744" w:type="dxa"/>
            <w:shd w:val="clear" w:color="auto" w:fill="DBE5F1" w:themeFill="accent1" w:themeFillTint="33"/>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1.187</w:t>
            </w:r>
          </w:p>
        </w:tc>
        <w:tc>
          <w:tcPr>
            <w:tcW w:w="1744" w:type="dxa"/>
            <w:shd w:val="clear" w:color="auto" w:fill="DBE5F1" w:themeFill="accent1" w:themeFillTint="33"/>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5.570</w:t>
            </w:r>
          </w:p>
        </w:tc>
        <w:tc>
          <w:tcPr>
            <w:tcW w:w="1744" w:type="dxa"/>
            <w:shd w:val="clear" w:color="auto" w:fill="DBE5F1" w:themeFill="accent1" w:themeFillTint="33"/>
            <w:tcMar>
              <w:top w:w="29" w:type="dxa"/>
              <w:left w:w="58" w:type="dxa"/>
              <w:bottom w:w="29" w:type="dxa"/>
              <w:right w:w="288" w:type="dxa"/>
            </w:tcMar>
            <w:vAlign w:val="center"/>
          </w:tcPr>
          <w:p w:rsidR="00432C2B" w:rsidRPr="00682180" w:rsidRDefault="00682180" w:rsidP="00682180">
            <w:pPr>
              <w:keepNext/>
              <w:keepLines/>
              <w:adjustRightInd/>
              <w:spacing w:before="40" w:after="40" w:line="240" w:lineRule="auto"/>
              <w:jc w:val="right"/>
              <w:textAlignment w:val="auto"/>
              <w:rPr>
                <w:rFonts w:asciiTheme="minorHAnsi" w:eastAsia="Calibri" w:hAnsiTheme="minorHAnsi"/>
                <w:sz w:val="18"/>
                <w:szCs w:val="18"/>
              </w:rPr>
            </w:pPr>
            <w:r>
              <w:rPr>
                <w:rFonts w:asciiTheme="minorHAnsi" w:hAnsiTheme="minorHAnsi"/>
                <w:sz w:val="18"/>
                <w:szCs w:val="18"/>
              </w:rPr>
              <w:t>−</w:t>
            </w:r>
            <w:r w:rsidR="00432C2B" w:rsidRPr="00682180">
              <w:rPr>
                <w:rFonts w:asciiTheme="minorHAnsi" w:hAnsiTheme="minorHAnsi"/>
                <w:sz w:val="18"/>
                <w:szCs w:val="18"/>
              </w:rPr>
              <w:t>4.383</w:t>
            </w:r>
          </w:p>
        </w:tc>
      </w:tr>
      <w:tr w:rsidR="00432C2B" w:rsidRPr="00682180" w:rsidTr="00682180">
        <w:trPr>
          <w:jc w:val="center"/>
        </w:trPr>
        <w:tc>
          <w:tcPr>
            <w:tcW w:w="1462" w:type="dxa"/>
            <w:vMerge/>
            <w:shd w:val="clear" w:color="auto" w:fill="DBE5F1" w:themeFill="accent1" w:themeFillTint="33"/>
            <w:tcMar>
              <w:top w:w="29" w:type="dxa"/>
              <w:left w:w="29" w:type="dxa"/>
              <w:bottom w:w="29" w:type="dxa"/>
              <w:right w:w="29" w:type="dxa"/>
            </w:tcMar>
            <w:vAlign w:val="center"/>
          </w:tcPr>
          <w:p w:rsidR="00432C2B" w:rsidRPr="00682180" w:rsidRDefault="00432C2B" w:rsidP="00682180">
            <w:pPr>
              <w:keepNext/>
              <w:keepLines/>
              <w:spacing w:before="40" w:after="40" w:line="240" w:lineRule="auto"/>
              <w:jc w:val="center"/>
              <w:rPr>
                <w:rFonts w:asciiTheme="minorHAnsi" w:eastAsia="Calibri" w:hAnsiTheme="minorHAnsi"/>
                <w:sz w:val="18"/>
                <w:szCs w:val="18"/>
              </w:rPr>
            </w:pPr>
          </w:p>
        </w:tc>
        <w:tc>
          <w:tcPr>
            <w:tcW w:w="1744" w:type="dxa"/>
            <w:shd w:val="clear" w:color="auto" w:fill="DBE5F1" w:themeFill="accent1" w:themeFillTint="33"/>
            <w:tcMar>
              <w:top w:w="29" w:type="dxa"/>
              <w:left w:w="115" w:type="dxa"/>
              <w:bottom w:w="29" w:type="dxa"/>
              <w:right w:w="0" w:type="dxa"/>
            </w:tcMar>
            <w:vAlign w:val="center"/>
          </w:tcPr>
          <w:p w:rsidR="00432C2B" w:rsidRPr="00682180" w:rsidRDefault="00432C2B" w:rsidP="00682180">
            <w:pPr>
              <w:keepNext/>
              <w:keepLines/>
              <w:adjustRightInd/>
              <w:spacing w:before="40" w:after="40" w:line="240" w:lineRule="auto"/>
              <w:textAlignment w:val="auto"/>
              <w:rPr>
                <w:rFonts w:asciiTheme="minorHAnsi" w:eastAsia="Calibri" w:hAnsiTheme="minorHAnsi"/>
                <w:sz w:val="18"/>
                <w:szCs w:val="18"/>
              </w:rPr>
            </w:pPr>
            <w:r w:rsidRPr="00682180">
              <w:rPr>
                <w:rFonts w:asciiTheme="minorHAnsi" w:eastAsia="Calibri" w:hAnsiTheme="minorHAnsi"/>
                <w:sz w:val="18"/>
                <w:szCs w:val="18"/>
              </w:rPr>
              <w:t>ISO Queue</w:t>
            </w:r>
          </w:p>
        </w:tc>
        <w:tc>
          <w:tcPr>
            <w:tcW w:w="1744" w:type="dxa"/>
            <w:shd w:val="clear" w:color="auto" w:fill="DBE5F1" w:themeFill="accent1" w:themeFillTint="33"/>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1.114</w:t>
            </w:r>
          </w:p>
        </w:tc>
        <w:tc>
          <w:tcPr>
            <w:tcW w:w="1744" w:type="dxa"/>
            <w:shd w:val="clear" w:color="auto" w:fill="DBE5F1" w:themeFill="accent1" w:themeFillTint="33"/>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7.427</w:t>
            </w:r>
          </w:p>
        </w:tc>
        <w:tc>
          <w:tcPr>
            <w:tcW w:w="1744" w:type="dxa"/>
            <w:shd w:val="clear" w:color="auto" w:fill="DBE5F1" w:themeFill="accent1" w:themeFillTint="33"/>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30.050</w:t>
            </w:r>
          </w:p>
        </w:tc>
        <w:tc>
          <w:tcPr>
            <w:tcW w:w="1744" w:type="dxa"/>
            <w:shd w:val="clear" w:color="auto" w:fill="DBE5F1" w:themeFill="accent1" w:themeFillTint="33"/>
            <w:tcMar>
              <w:top w:w="29" w:type="dxa"/>
              <w:left w:w="58" w:type="dxa"/>
              <w:bottom w:w="29" w:type="dxa"/>
              <w:right w:w="288" w:type="dxa"/>
            </w:tcMar>
            <w:vAlign w:val="center"/>
          </w:tcPr>
          <w:p w:rsidR="00432C2B" w:rsidRPr="00682180" w:rsidRDefault="00682180" w:rsidP="00682180">
            <w:pPr>
              <w:keepNext/>
              <w:keepLines/>
              <w:adjustRightInd/>
              <w:spacing w:before="40" w:after="40" w:line="240" w:lineRule="auto"/>
              <w:jc w:val="right"/>
              <w:textAlignment w:val="auto"/>
              <w:rPr>
                <w:rFonts w:asciiTheme="minorHAnsi" w:eastAsia="Calibri" w:hAnsiTheme="minorHAnsi"/>
                <w:sz w:val="18"/>
                <w:szCs w:val="18"/>
              </w:rPr>
            </w:pPr>
            <w:r>
              <w:rPr>
                <w:rFonts w:asciiTheme="minorHAnsi" w:hAnsiTheme="minorHAnsi"/>
                <w:sz w:val="18"/>
                <w:szCs w:val="18"/>
              </w:rPr>
              <w:t>−</w:t>
            </w:r>
            <w:r w:rsidR="00432C2B" w:rsidRPr="00682180">
              <w:rPr>
                <w:rFonts w:asciiTheme="minorHAnsi" w:hAnsiTheme="minorHAnsi"/>
                <w:sz w:val="18"/>
                <w:szCs w:val="18"/>
              </w:rPr>
              <w:t>22.623</w:t>
            </w:r>
          </w:p>
        </w:tc>
      </w:tr>
      <w:tr w:rsidR="00432C2B" w:rsidRPr="00682180" w:rsidTr="00682180">
        <w:trPr>
          <w:jc w:val="center"/>
        </w:trPr>
        <w:tc>
          <w:tcPr>
            <w:tcW w:w="1462" w:type="dxa"/>
            <w:vMerge/>
            <w:shd w:val="clear" w:color="auto" w:fill="DBE5F1" w:themeFill="accent1" w:themeFillTint="33"/>
            <w:tcMar>
              <w:top w:w="29" w:type="dxa"/>
              <w:left w:w="29" w:type="dxa"/>
              <w:bottom w:w="29" w:type="dxa"/>
              <w:right w:w="29" w:type="dxa"/>
            </w:tcMar>
            <w:vAlign w:val="center"/>
          </w:tcPr>
          <w:p w:rsidR="00432C2B" w:rsidRPr="00682180" w:rsidRDefault="00432C2B" w:rsidP="00682180">
            <w:pPr>
              <w:keepNext/>
              <w:keepLines/>
              <w:spacing w:before="40" w:after="40" w:line="240" w:lineRule="auto"/>
              <w:jc w:val="center"/>
              <w:rPr>
                <w:rFonts w:asciiTheme="minorHAnsi" w:eastAsia="Calibri" w:hAnsiTheme="minorHAnsi"/>
                <w:sz w:val="18"/>
                <w:szCs w:val="18"/>
              </w:rPr>
            </w:pPr>
          </w:p>
        </w:tc>
        <w:tc>
          <w:tcPr>
            <w:tcW w:w="1744" w:type="dxa"/>
            <w:shd w:val="clear" w:color="auto" w:fill="DBE5F1" w:themeFill="accent1" w:themeFillTint="33"/>
            <w:tcMar>
              <w:top w:w="29" w:type="dxa"/>
              <w:left w:w="115" w:type="dxa"/>
              <w:bottom w:w="29" w:type="dxa"/>
              <w:right w:w="0" w:type="dxa"/>
            </w:tcMar>
            <w:vAlign w:val="center"/>
          </w:tcPr>
          <w:p w:rsidR="00432C2B" w:rsidRPr="00682180" w:rsidRDefault="00432C2B" w:rsidP="00682180">
            <w:pPr>
              <w:keepNext/>
              <w:keepLines/>
              <w:adjustRightInd/>
              <w:spacing w:before="40" w:after="40" w:line="240" w:lineRule="auto"/>
              <w:textAlignment w:val="auto"/>
              <w:rPr>
                <w:rFonts w:asciiTheme="minorHAnsi" w:eastAsia="Calibri" w:hAnsiTheme="minorHAnsi"/>
                <w:sz w:val="18"/>
                <w:szCs w:val="18"/>
              </w:rPr>
            </w:pPr>
            <w:r w:rsidRPr="00682180">
              <w:rPr>
                <w:rFonts w:asciiTheme="minorHAnsi" w:eastAsia="Calibri" w:hAnsiTheme="minorHAnsi"/>
                <w:sz w:val="18"/>
                <w:szCs w:val="18"/>
              </w:rPr>
              <w:t>Renew Plus</w:t>
            </w:r>
          </w:p>
        </w:tc>
        <w:tc>
          <w:tcPr>
            <w:tcW w:w="1744" w:type="dxa"/>
            <w:shd w:val="clear" w:color="auto" w:fill="DBE5F1" w:themeFill="accent1" w:themeFillTint="33"/>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0.167</w:t>
            </w:r>
          </w:p>
        </w:tc>
        <w:tc>
          <w:tcPr>
            <w:tcW w:w="1744" w:type="dxa"/>
            <w:shd w:val="clear" w:color="auto" w:fill="DBE5F1" w:themeFill="accent1" w:themeFillTint="33"/>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1.113</w:t>
            </w:r>
          </w:p>
        </w:tc>
        <w:tc>
          <w:tcPr>
            <w:tcW w:w="1744" w:type="dxa"/>
            <w:shd w:val="clear" w:color="auto" w:fill="DBE5F1" w:themeFill="accent1" w:themeFillTint="33"/>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5.600</w:t>
            </w:r>
          </w:p>
        </w:tc>
        <w:tc>
          <w:tcPr>
            <w:tcW w:w="1744" w:type="dxa"/>
            <w:shd w:val="clear" w:color="auto" w:fill="DBE5F1" w:themeFill="accent1" w:themeFillTint="33"/>
            <w:tcMar>
              <w:top w:w="29" w:type="dxa"/>
              <w:left w:w="58" w:type="dxa"/>
              <w:bottom w:w="29" w:type="dxa"/>
              <w:right w:w="288" w:type="dxa"/>
            </w:tcMar>
            <w:vAlign w:val="center"/>
          </w:tcPr>
          <w:p w:rsidR="00432C2B" w:rsidRPr="00682180" w:rsidRDefault="00682180" w:rsidP="00682180">
            <w:pPr>
              <w:keepNext/>
              <w:keepLines/>
              <w:adjustRightInd/>
              <w:spacing w:before="40" w:after="40" w:line="240" w:lineRule="auto"/>
              <w:jc w:val="right"/>
              <w:textAlignment w:val="auto"/>
              <w:rPr>
                <w:rFonts w:asciiTheme="minorHAnsi" w:eastAsia="Calibri" w:hAnsiTheme="minorHAnsi"/>
                <w:sz w:val="18"/>
                <w:szCs w:val="18"/>
              </w:rPr>
            </w:pPr>
            <w:r>
              <w:rPr>
                <w:rFonts w:asciiTheme="minorHAnsi" w:hAnsiTheme="minorHAnsi"/>
                <w:sz w:val="18"/>
                <w:szCs w:val="18"/>
              </w:rPr>
              <w:t>−</w:t>
            </w:r>
            <w:r w:rsidR="00432C2B" w:rsidRPr="00682180">
              <w:rPr>
                <w:rFonts w:asciiTheme="minorHAnsi" w:hAnsiTheme="minorHAnsi"/>
                <w:sz w:val="18"/>
                <w:szCs w:val="18"/>
              </w:rPr>
              <w:t>4.487</w:t>
            </w:r>
          </w:p>
        </w:tc>
      </w:tr>
      <w:tr w:rsidR="00432C2B" w:rsidRPr="00682180" w:rsidTr="00682180">
        <w:trPr>
          <w:jc w:val="center"/>
        </w:trPr>
        <w:tc>
          <w:tcPr>
            <w:tcW w:w="1462" w:type="dxa"/>
            <w:vMerge/>
            <w:shd w:val="clear" w:color="auto" w:fill="DBE5F1" w:themeFill="accent1" w:themeFillTint="33"/>
            <w:tcMar>
              <w:top w:w="29" w:type="dxa"/>
              <w:left w:w="29" w:type="dxa"/>
              <w:bottom w:w="29" w:type="dxa"/>
              <w:right w:w="29" w:type="dxa"/>
            </w:tcMar>
            <w:vAlign w:val="center"/>
          </w:tcPr>
          <w:p w:rsidR="00432C2B" w:rsidRPr="00682180" w:rsidRDefault="00432C2B" w:rsidP="00682180">
            <w:pPr>
              <w:keepNext/>
              <w:keepLines/>
              <w:spacing w:before="40" w:after="40" w:line="240" w:lineRule="auto"/>
              <w:jc w:val="center"/>
              <w:rPr>
                <w:rFonts w:asciiTheme="minorHAnsi" w:eastAsia="Calibri" w:hAnsiTheme="minorHAnsi"/>
                <w:sz w:val="18"/>
                <w:szCs w:val="18"/>
              </w:rPr>
            </w:pPr>
          </w:p>
        </w:tc>
        <w:tc>
          <w:tcPr>
            <w:tcW w:w="1744" w:type="dxa"/>
            <w:shd w:val="clear" w:color="auto" w:fill="DBE5F1" w:themeFill="accent1" w:themeFillTint="33"/>
            <w:tcMar>
              <w:top w:w="29" w:type="dxa"/>
              <w:left w:w="115" w:type="dxa"/>
              <w:bottom w:w="29" w:type="dxa"/>
              <w:right w:w="0" w:type="dxa"/>
            </w:tcMar>
            <w:vAlign w:val="center"/>
          </w:tcPr>
          <w:p w:rsidR="00432C2B" w:rsidRPr="00682180" w:rsidRDefault="00432C2B" w:rsidP="00682180">
            <w:pPr>
              <w:keepNext/>
              <w:keepLines/>
              <w:adjustRightInd/>
              <w:spacing w:before="40" w:after="40" w:line="240" w:lineRule="auto"/>
              <w:textAlignment w:val="auto"/>
              <w:rPr>
                <w:rFonts w:asciiTheme="minorHAnsi" w:eastAsia="Calibri" w:hAnsiTheme="minorHAnsi"/>
                <w:sz w:val="18"/>
                <w:szCs w:val="18"/>
              </w:rPr>
            </w:pPr>
            <w:r w:rsidRPr="00682180">
              <w:rPr>
                <w:rFonts w:asciiTheme="minorHAnsi" w:eastAsia="Calibri" w:hAnsiTheme="minorHAnsi"/>
                <w:sz w:val="18"/>
                <w:szCs w:val="18"/>
              </w:rPr>
              <w:t>No Retire</w:t>
            </w:r>
          </w:p>
        </w:tc>
        <w:tc>
          <w:tcPr>
            <w:tcW w:w="1744" w:type="dxa"/>
            <w:shd w:val="clear" w:color="auto" w:fill="DBE5F1" w:themeFill="accent1" w:themeFillTint="33"/>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0.003</w:t>
            </w:r>
          </w:p>
        </w:tc>
        <w:tc>
          <w:tcPr>
            <w:tcW w:w="1744" w:type="dxa"/>
            <w:shd w:val="clear" w:color="auto" w:fill="DBE5F1" w:themeFill="accent1" w:themeFillTint="33"/>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0.020</w:t>
            </w:r>
          </w:p>
        </w:tc>
        <w:tc>
          <w:tcPr>
            <w:tcW w:w="1744" w:type="dxa"/>
            <w:shd w:val="clear" w:color="auto" w:fill="DBE5F1" w:themeFill="accent1" w:themeFillTint="33"/>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0.000</w:t>
            </w:r>
          </w:p>
        </w:tc>
        <w:tc>
          <w:tcPr>
            <w:tcW w:w="1744" w:type="dxa"/>
            <w:shd w:val="clear" w:color="auto" w:fill="DBE5F1" w:themeFill="accent1" w:themeFillTint="33"/>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0.020</w:t>
            </w:r>
          </w:p>
        </w:tc>
      </w:tr>
      <w:tr w:rsidR="00432C2B" w:rsidRPr="00682180" w:rsidTr="00682180">
        <w:trPr>
          <w:jc w:val="center"/>
        </w:trPr>
        <w:tc>
          <w:tcPr>
            <w:tcW w:w="1462" w:type="dxa"/>
            <w:vMerge/>
            <w:shd w:val="clear" w:color="auto" w:fill="DBE5F1" w:themeFill="accent1" w:themeFillTint="33"/>
            <w:tcMar>
              <w:top w:w="29" w:type="dxa"/>
              <w:left w:w="29" w:type="dxa"/>
              <w:bottom w:w="29" w:type="dxa"/>
              <w:right w:w="29" w:type="dxa"/>
            </w:tcMar>
            <w:vAlign w:val="center"/>
          </w:tcPr>
          <w:p w:rsidR="00432C2B" w:rsidRPr="00682180" w:rsidRDefault="00432C2B" w:rsidP="00682180">
            <w:pPr>
              <w:keepNext/>
              <w:keepLines/>
              <w:spacing w:before="40" w:after="40" w:line="240" w:lineRule="auto"/>
              <w:jc w:val="center"/>
              <w:rPr>
                <w:rFonts w:asciiTheme="minorHAnsi" w:eastAsia="Calibri" w:hAnsiTheme="minorHAnsi"/>
                <w:sz w:val="18"/>
                <w:szCs w:val="18"/>
              </w:rPr>
            </w:pPr>
          </w:p>
        </w:tc>
        <w:tc>
          <w:tcPr>
            <w:tcW w:w="1744" w:type="dxa"/>
            <w:shd w:val="clear" w:color="auto" w:fill="DBE5F1" w:themeFill="accent1" w:themeFillTint="33"/>
            <w:tcMar>
              <w:top w:w="29" w:type="dxa"/>
              <w:left w:w="115" w:type="dxa"/>
              <w:bottom w:w="29" w:type="dxa"/>
              <w:right w:w="0" w:type="dxa"/>
            </w:tcMar>
            <w:vAlign w:val="center"/>
          </w:tcPr>
          <w:p w:rsidR="00432C2B" w:rsidRPr="00682180" w:rsidRDefault="00432C2B" w:rsidP="00682180">
            <w:pPr>
              <w:keepNext/>
              <w:keepLines/>
              <w:adjustRightInd/>
              <w:spacing w:before="40" w:after="40" w:line="240" w:lineRule="auto"/>
              <w:textAlignment w:val="auto"/>
              <w:rPr>
                <w:rFonts w:asciiTheme="minorHAnsi" w:eastAsia="Calibri" w:hAnsiTheme="minorHAnsi"/>
                <w:sz w:val="18"/>
                <w:szCs w:val="18"/>
              </w:rPr>
            </w:pPr>
            <w:r w:rsidRPr="00682180">
              <w:rPr>
                <w:rFonts w:asciiTheme="minorHAnsi" w:eastAsia="Calibri" w:hAnsiTheme="minorHAnsi"/>
                <w:sz w:val="18"/>
                <w:szCs w:val="18"/>
              </w:rPr>
              <w:t>ACP + Gas</w:t>
            </w:r>
          </w:p>
        </w:tc>
        <w:tc>
          <w:tcPr>
            <w:tcW w:w="1744" w:type="dxa"/>
            <w:shd w:val="clear" w:color="auto" w:fill="DBE5F1" w:themeFill="accent1" w:themeFillTint="33"/>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0.002</w:t>
            </w:r>
          </w:p>
        </w:tc>
        <w:tc>
          <w:tcPr>
            <w:tcW w:w="1744" w:type="dxa"/>
            <w:shd w:val="clear" w:color="auto" w:fill="DBE5F1" w:themeFill="accent1" w:themeFillTint="33"/>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0.013</w:t>
            </w:r>
          </w:p>
        </w:tc>
        <w:tc>
          <w:tcPr>
            <w:tcW w:w="1744" w:type="dxa"/>
            <w:shd w:val="clear" w:color="auto" w:fill="DBE5F1" w:themeFill="accent1" w:themeFillTint="33"/>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0.000</w:t>
            </w:r>
          </w:p>
        </w:tc>
        <w:tc>
          <w:tcPr>
            <w:tcW w:w="1744" w:type="dxa"/>
            <w:shd w:val="clear" w:color="auto" w:fill="DBE5F1" w:themeFill="accent1" w:themeFillTint="33"/>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0.013</w:t>
            </w:r>
          </w:p>
        </w:tc>
      </w:tr>
      <w:tr w:rsidR="00432C2B" w:rsidRPr="00682180" w:rsidTr="00682180">
        <w:trPr>
          <w:jc w:val="center"/>
        </w:trPr>
        <w:tc>
          <w:tcPr>
            <w:tcW w:w="1462" w:type="dxa"/>
            <w:vMerge/>
            <w:shd w:val="clear" w:color="auto" w:fill="DBE5F1" w:themeFill="accent1" w:themeFillTint="33"/>
            <w:tcMar>
              <w:top w:w="29" w:type="dxa"/>
              <w:left w:w="29" w:type="dxa"/>
              <w:bottom w:w="29" w:type="dxa"/>
              <w:right w:w="29" w:type="dxa"/>
            </w:tcMar>
            <w:vAlign w:val="center"/>
          </w:tcPr>
          <w:p w:rsidR="00432C2B" w:rsidRPr="00682180" w:rsidRDefault="00432C2B" w:rsidP="00682180">
            <w:pPr>
              <w:keepNext/>
              <w:keepLines/>
              <w:adjustRightInd/>
              <w:spacing w:before="40" w:after="40" w:line="240" w:lineRule="auto"/>
              <w:jc w:val="center"/>
              <w:textAlignment w:val="auto"/>
              <w:rPr>
                <w:rFonts w:asciiTheme="minorHAnsi" w:eastAsia="Calibri" w:hAnsiTheme="minorHAnsi"/>
                <w:sz w:val="18"/>
                <w:szCs w:val="18"/>
              </w:rPr>
            </w:pPr>
          </w:p>
        </w:tc>
        <w:tc>
          <w:tcPr>
            <w:tcW w:w="1744" w:type="dxa"/>
            <w:shd w:val="clear" w:color="auto" w:fill="DBE5F1" w:themeFill="accent1" w:themeFillTint="33"/>
            <w:tcMar>
              <w:top w:w="29" w:type="dxa"/>
              <w:left w:w="115" w:type="dxa"/>
              <w:bottom w:w="29" w:type="dxa"/>
              <w:right w:w="0" w:type="dxa"/>
            </w:tcMar>
            <w:vAlign w:val="center"/>
          </w:tcPr>
          <w:p w:rsidR="00432C2B" w:rsidRPr="00682180" w:rsidRDefault="00432C2B" w:rsidP="00682180">
            <w:pPr>
              <w:keepNext/>
              <w:keepLines/>
              <w:adjustRightInd/>
              <w:spacing w:before="40" w:after="40" w:line="240" w:lineRule="auto"/>
              <w:textAlignment w:val="auto"/>
              <w:rPr>
                <w:rFonts w:asciiTheme="minorHAnsi" w:eastAsia="Calibri" w:hAnsiTheme="minorHAnsi"/>
                <w:sz w:val="18"/>
                <w:szCs w:val="18"/>
              </w:rPr>
            </w:pPr>
            <w:r w:rsidRPr="00682180">
              <w:rPr>
                <w:rFonts w:asciiTheme="minorHAnsi" w:eastAsia="Calibri" w:hAnsiTheme="minorHAnsi"/>
                <w:sz w:val="18"/>
                <w:szCs w:val="18"/>
              </w:rPr>
              <w:t>RPS + Geo Renew</w:t>
            </w:r>
          </w:p>
        </w:tc>
        <w:tc>
          <w:tcPr>
            <w:tcW w:w="1744" w:type="dxa"/>
            <w:shd w:val="clear" w:color="auto" w:fill="DBE5F1" w:themeFill="accent1" w:themeFillTint="33"/>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0.281</w:t>
            </w:r>
          </w:p>
        </w:tc>
        <w:tc>
          <w:tcPr>
            <w:tcW w:w="1744" w:type="dxa"/>
            <w:shd w:val="clear" w:color="auto" w:fill="DBE5F1" w:themeFill="accent1" w:themeFillTint="33"/>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1.873</w:t>
            </w:r>
          </w:p>
        </w:tc>
        <w:tc>
          <w:tcPr>
            <w:tcW w:w="1744" w:type="dxa"/>
            <w:shd w:val="clear" w:color="auto" w:fill="DBE5F1" w:themeFill="accent1" w:themeFillTint="33"/>
            <w:tcMar>
              <w:top w:w="29" w:type="dxa"/>
              <w:left w:w="58" w:type="dxa"/>
              <w:bottom w:w="29" w:type="dxa"/>
              <w:right w:w="288" w:type="dxa"/>
            </w:tcMar>
            <w:vAlign w:val="center"/>
          </w:tcPr>
          <w:p w:rsidR="00432C2B" w:rsidRPr="00682180" w:rsidRDefault="00432C2B" w:rsidP="00682180">
            <w:pPr>
              <w:keepNext/>
              <w:keepLines/>
              <w:adjustRightInd/>
              <w:spacing w:before="40" w:after="40" w:line="240" w:lineRule="auto"/>
              <w:jc w:val="right"/>
              <w:textAlignment w:val="auto"/>
              <w:rPr>
                <w:rFonts w:asciiTheme="minorHAnsi" w:eastAsia="Calibri" w:hAnsiTheme="minorHAnsi"/>
                <w:sz w:val="18"/>
                <w:szCs w:val="18"/>
              </w:rPr>
            </w:pPr>
            <w:r w:rsidRPr="00682180">
              <w:rPr>
                <w:rFonts w:asciiTheme="minorHAnsi" w:hAnsiTheme="minorHAnsi"/>
                <w:sz w:val="18"/>
                <w:szCs w:val="18"/>
              </w:rPr>
              <w:t>12.050</w:t>
            </w:r>
          </w:p>
        </w:tc>
        <w:tc>
          <w:tcPr>
            <w:tcW w:w="1744" w:type="dxa"/>
            <w:shd w:val="clear" w:color="auto" w:fill="DBE5F1" w:themeFill="accent1" w:themeFillTint="33"/>
            <w:tcMar>
              <w:top w:w="29" w:type="dxa"/>
              <w:left w:w="58" w:type="dxa"/>
              <w:bottom w:w="29" w:type="dxa"/>
              <w:right w:w="288" w:type="dxa"/>
            </w:tcMar>
            <w:vAlign w:val="center"/>
          </w:tcPr>
          <w:p w:rsidR="00432C2B" w:rsidRPr="00682180" w:rsidRDefault="00682180" w:rsidP="00682180">
            <w:pPr>
              <w:keepNext/>
              <w:keepLines/>
              <w:adjustRightInd/>
              <w:spacing w:before="40" w:after="40" w:line="240" w:lineRule="auto"/>
              <w:jc w:val="right"/>
              <w:textAlignment w:val="auto"/>
              <w:rPr>
                <w:rFonts w:asciiTheme="minorHAnsi" w:eastAsia="Calibri" w:hAnsiTheme="minorHAnsi"/>
                <w:sz w:val="18"/>
                <w:szCs w:val="18"/>
              </w:rPr>
            </w:pPr>
            <w:r>
              <w:rPr>
                <w:rFonts w:asciiTheme="minorHAnsi" w:hAnsiTheme="minorHAnsi"/>
                <w:sz w:val="18"/>
                <w:szCs w:val="18"/>
              </w:rPr>
              <w:t>−</w:t>
            </w:r>
            <w:r w:rsidR="00432C2B" w:rsidRPr="00682180">
              <w:rPr>
                <w:rFonts w:asciiTheme="minorHAnsi" w:hAnsiTheme="minorHAnsi"/>
                <w:sz w:val="18"/>
                <w:szCs w:val="18"/>
              </w:rPr>
              <w:t>10.177</w:t>
            </w:r>
          </w:p>
        </w:tc>
      </w:tr>
    </w:tbl>
    <w:p w:rsidR="00B75B9D" w:rsidRPr="00682180" w:rsidRDefault="00682180" w:rsidP="00682180">
      <w:pPr>
        <w:keepNext/>
        <w:keepLines/>
        <w:spacing w:before="120" w:after="80" w:line="240" w:lineRule="auto"/>
        <w:ind w:hanging="360"/>
        <w:rPr>
          <w:rFonts w:asciiTheme="minorHAnsi" w:hAnsiTheme="minorHAnsi"/>
          <w:sz w:val="16"/>
          <w:szCs w:val="16"/>
        </w:rPr>
      </w:pPr>
      <w:r>
        <w:rPr>
          <w:rFonts w:asciiTheme="minorHAnsi" w:hAnsiTheme="minorHAnsi"/>
          <w:sz w:val="16"/>
          <w:szCs w:val="16"/>
        </w:rPr>
        <w:t>(a)</w:t>
      </w:r>
      <w:r>
        <w:rPr>
          <w:rFonts w:asciiTheme="minorHAnsi" w:hAnsiTheme="minorHAnsi"/>
          <w:sz w:val="16"/>
          <w:szCs w:val="16"/>
        </w:rPr>
        <w:tab/>
      </w:r>
      <w:r w:rsidR="00B75B9D" w:rsidRPr="00682180">
        <w:rPr>
          <w:rFonts w:asciiTheme="minorHAnsi" w:hAnsiTheme="minorHAnsi"/>
          <w:sz w:val="16"/>
          <w:szCs w:val="16"/>
        </w:rPr>
        <w:t xml:space="preserve">Consistent with </w:t>
      </w:r>
      <w:r w:rsidR="0000515C" w:rsidRPr="00682180">
        <w:rPr>
          <w:rFonts w:asciiTheme="minorHAnsi" w:hAnsiTheme="minorHAnsi"/>
          <w:sz w:val="16"/>
          <w:szCs w:val="16"/>
        </w:rPr>
        <w:fldChar w:fldCharType="begin"/>
      </w:r>
      <w:r w:rsidR="0000515C" w:rsidRPr="00682180">
        <w:rPr>
          <w:rFonts w:asciiTheme="minorHAnsi" w:hAnsiTheme="minorHAnsi"/>
          <w:sz w:val="16"/>
          <w:szCs w:val="16"/>
        </w:rPr>
        <w:instrText xml:space="preserve"> REF _Ref483496696 \h </w:instrText>
      </w:r>
      <w:r w:rsidRPr="00682180">
        <w:rPr>
          <w:rFonts w:asciiTheme="minorHAnsi" w:hAnsiTheme="minorHAnsi"/>
          <w:sz w:val="16"/>
          <w:szCs w:val="16"/>
        </w:rPr>
        <w:instrText xml:space="preserve"> \* MERGEFORMAT </w:instrText>
      </w:r>
      <w:r w:rsidR="0000515C" w:rsidRPr="00682180">
        <w:rPr>
          <w:rFonts w:asciiTheme="minorHAnsi" w:hAnsiTheme="minorHAnsi"/>
          <w:sz w:val="16"/>
          <w:szCs w:val="16"/>
        </w:rPr>
      </w:r>
      <w:r w:rsidR="0000515C" w:rsidRPr="00682180">
        <w:rPr>
          <w:rFonts w:asciiTheme="minorHAnsi" w:hAnsiTheme="minorHAnsi"/>
          <w:sz w:val="16"/>
          <w:szCs w:val="16"/>
        </w:rPr>
        <w:fldChar w:fldCharType="separate"/>
      </w:r>
      <w:r w:rsidR="00742B49" w:rsidRPr="00682180">
        <w:rPr>
          <w:rFonts w:asciiTheme="minorHAnsi" w:hAnsiTheme="minorHAnsi"/>
          <w:sz w:val="16"/>
          <w:szCs w:val="16"/>
        </w:rPr>
        <w:t xml:space="preserve">Table </w:t>
      </w:r>
      <w:r w:rsidR="00742B49" w:rsidRPr="00682180">
        <w:rPr>
          <w:rFonts w:asciiTheme="minorHAnsi" w:hAnsiTheme="minorHAnsi"/>
          <w:noProof/>
          <w:sz w:val="16"/>
          <w:szCs w:val="16"/>
        </w:rPr>
        <w:t>5</w:t>
      </w:r>
      <w:r w:rsidR="00742B49" w:rsidRPr="00682180">
        <w:rPr>
          <w:rFonts w:asciiTheme="minorHAnsi" w:hAnsiTheme="minorHAnsi"/>
          <w:sz w:val="16"/>
          <w:szCs w:val="16"/>
        </w:rPr>
        <w:noBreakHyphen/>
      </w:r>
      <w:r w:rsidR="00742B49" w:rsidRPr="00682180">
        <w:rPr>
          <w:rFonts w:asciiTheme="minorHAnsi" w:hAnsiTheme="minorHAnsi"/>
          <w:noProof/>
          <w:sz w:val="16"/>
          <w:szCs w:val="16"/>
        </w:rPr>
        <w:t>21</w:t>
      </w:r>
      <w:r w:rsidR="0000515C" w:rsidRPr="00682180">
        <w:rPr>
          <w:rFonts w:asciiTheme="minorHAnsi" w:hAnsiTheme="minorHAnsi"/>
          <w:sz w:val="16"/>
          <w:szCs w:val="16"/>
        </w:rPr>
        <w:fldChar w:fldCharType="end"/>
      </w:r>
      <w:r>
        <w:rPr>
          <w:rFonts w:asciiTheme="minorHAnsi" w:hAnsiTheme="minorHAnsi"/>
          <w:sz w:val="16"/>
          <w:szCs w:val="16"/>
        </w:rPr>
        <w:t>,</w:t>
      </w:r>
      <w:r w:rsidR="00962DD3" w:rsidRPr="00682180">
        <w:rPr>
          <w:rFonts w:asciiTheme="minorHAnsi" w:hAnsiTheme="minorHAnsi"/>
          <w:sz w:val="16"/>
          <w:szCs w:val="16"/>
        </w:rPr>
        <w:t xml:space="preserve"> </w:t>
      </w:r>
      <w:r w:rsidR="00B75B9D" w:rsidRPr="00682180">
        <w:rPr>
          <w:rFonts w:asciiTheme="minorHAnsi" w:hAnsiTheme="minorHAnsi"/>
          <w:sz w:val="16"/>
          <w:szCs w:val="16"/>
        </w:rPr>
        <w:t>the congestion</w:t>
      </w:r>
      <w:r>
        <w:rPr>
          <w:rFonts w:asciiTheme="minorHAnsi" w:hAnsiTheme="minorHAnsi"/>
          <w:sz w:val="16"/>
          <w:szCs w:val="16"/>
        </w:rPr>
        <w:t>-</w:t>
      </w:r>
      <w:r w:rsidR="00B75B9D" w:rsidRPr="00682180">
        <w:rPr>
          <w:rFonts w:asciiTheme="minorHAnsi" w:hAnsiTheme="minorHAnsi"/>
          <w:sz w:val="16"/>
          <w:szCs w:val="16"/>
        </w:rPr>
        <w:t xml:space="preserve">relief system costs reflect a margin of 50%. </w:t>
      </w:r>
    </w:p>
    <w:p w:rsidR="00B75B9D" w:rsidRPr="00D377F9" w:rsidRDefault="00682180" w:rsidP="00682180">
      <w:pPr>
        <w:keepNext/>
        <w:keepLines/>
        <w:spacing w:line="240" w:lineRule="auto"/>
        <w:ind w:hanging="360"/>
        <w:rPr>
          <w:rFonts w:asciiTheme="minorHAnsi" w:hAnsiTheme="minorHAnsi"/>
          <w:sz w:val="16"/>
          <w:szCs w:val="16"/>
        </w:rPr>
      </w:pPr>
      <w:r>
        <w:rPr>
          <w:rFonts w:asciiTheme="minorHAnsi" w:hAnsiTheme="minorHAnsi"/>
          <w:sz w:val="16"/>
          <w:szCs w:val="16"/>
        </w:rPr>
        <w:t xml:space="preserve">(b) </w:t>
      </w:r>
      <w:r>
        <w:rPr>
          <w:rFonts w:asciiTheme="minorHAnsi" w:hAnsiTheme="minorHAnsi"/>
          <w:sz w:val="16"/>
          <w:szCs w:val="16"/>
        </w:rPr>
        <w:tab/>
      </w:r>
      <w:r w:rsidR="00B75B9D" w:rsidRPr="00682180">
        <w:rPr>
          <w:rFonts w:asciiTheme="minorHAnsi" w:hAnsiTheme="minorHAnsi"/>
          <w:sz w:val="16"/>
          <w:szCs w:val="16"/>
        </w:rPr>
        <w:t xml:space="preserve">The </w:t>
      </w:r>
      <w:r>
        <w:rPr>
          <w:rFonts w:asciiTheme="minorHAnsi" w:hAnsiTheme="minorHAnsi"/>
          <w:sz w:val="16"/>
          <w:szCs w:val="16"/>
        </w:rPr>
        <w:t>n</w:t>
      </w:r>
      <w:r w:rsidR="00B75B9D" w:rsidRPr="00682180">
        <w:rPr>
          <w:rFonts w:asciiTheme="minorHAnsi" w:hAnsiTheme="minorHAnsi"/>
          <w:sz w:val="16"/>
          <w:szCs w:val="16"/>
        </w:rPr>
        <w:t xml:space="preserve">et </w:t>
      </w:r>
      <w:r>
        <w:rPr>
          <w:rFonts w:asciiTheme="minorHAnsi" w:hAnsiTheme="minorHAnsi"/>
          <w:sz w:val="16"/>
          <w:szCs w:val="16"/>
        </w:rPr>
        <w:t>b</w:t>
      </w:r>
      <w:r w:rsidR="00B75B9D" w:rsidRPr="00682180">
        <w:rPr>
          <w:rFonts w:asciiTheme="minorHAnsi" w:hAnsiTheme="minorHAnsi"/>
          <w:sz w:val="16"/>
          <w:szCs w:val="16"/>
        </w:rPr>
        <w:t xml:space="preserve">enefits of the </w:t>
      </w:r>
      <w:r>
        <w:rPr>
          <w:rFonts w:asciiTheme="minorHAnsi" w:hAnsiTheme="minorHAnsi"/>
          <w:sz w:val="16"/>
          <w:szCs w:val="16"/>
        </w:rPr>
        <w:t>c</w:t>
      </w:r>
      <w:r w:rsidR="00B75B9D" w:rsidRPr="00682180">
        <w:rPr>
          <w:rFonts w:asciiTheme="minorHAnsi" w:hAnsiTheme="minorHAnsi"/>
          <w:sz w:val="16"/>
          <w:szCs w:val="16"/>
        </w:rPr>
        <w:t>ongestion</w:t>
      </w:r>
      <w:r>
        <w:rPr>
          <w:rFonts w:asciiTheme="minorHAnsi" w:hAnsiTheme="minorHAnsi"/>
          <w:sz w:val="16"/>
          <w:szCs w:val="16"/>
        </w:rPr>
        <w:t>-r</w:t>
      </w:r>
      <w:r w:rsidR="00B75B9D" w:rsidRPr="00682180">
        <w:rPr>
          <w:rFonts w:asciiTheme="minorHAnsi" w:hAnsiTheme="minorHAnsi"/>
          <w:sz w:val="16"/>
          <w:szCs w:val="16"/>
        </w:rPr>
        <w:t xml:space="preserve">elief </w:t>
      </w:r>
      <w:r>
        <w:rPr>
          <w:rFonts w:asciiTheme="minorHAnsi" w:hAnsiTheme="minorHAnsi"/>
          <w:sz w:val="16"/>
          <w:szCs w:val="16"/>
        </w:rPr>
        <w:t>s</w:t>
      </w:r>
      <w:r w:rsidR="00B75B9D" w:rsidRPr="00682180">
        <w:rPr>
          <w:rFonts w:asciiTheme="minorHAnsi" w:hAnsiTheme="minorHAnsi"/>
          <w:sz w:val="16"/>
          <w:szCs w:val="16"/>
        </w:rPr>
        <w:t xml:space="preserve">ystem equals the </w:t>
      </w:r>
      <w:r>
        <w:rPr>
          <w:rFonts w:asciiTheme="minorHAnsi" w:hAnsiTheme="minorHAnsi"/>
          <w:sz w:val="16"/>
          <w:szCs w:val="16"/>
        </w:rPr>
        <w:t>j</w:t>
      </w:r>
      <w:r w:rsidR="00B75B9D" w:rsidRPr="00682180">
        <w:rPr>
          <w:rFonts w:asciiTheme="minorHAnsi" w:hAnsiTheme="minorHAnsi"/>
          <w:sz w:val="16"/>
          <w:szCs w:val="16"/>
        </w:rPr>
        <w:t xml:space="preserve">ustified </w:t>
      </w:r>
      <w:r>
        <w:rPr>
          <w:rFonts w:asciiTheme="minorHAnsi" w:hAnsiTheme="minorHAnsi"/>
          <w:sz w:val="16"/>
          <w:szCs w:val="16"/>
        </w:rPr>
        <w:t>t</w:t>
      </w:r>
      <w:r w:rsidR="00B75B9D" w:rsidRPr="00682180">
        <w:rPr>
          <w:rFonts w:asciiTheme="minorHAnsi" w:hAnsiTheme="minorHAnsi"/>
          <w:sz w:val="16"/>
          <w:szCs w:val="16"/>
        </w:rPr>
        <w:t xml:space="preserve">ransmission </w:t>
      </w:r>
      <w:r>
        <w:rPr>
          <w:rFonts w:asciiTheme="minorHAnsi" w:hAnsiTheme="minorHAnsi"/>
          <w:sz w:val="16"/>
          <w:szCs w:val="16"/>
        </w:rPr>
        <w:t>c</w:t>
      </w:r>
      <w:r w:rsidR="00B75B9D" w:rsidRPr="00682180">
        <w:rPr>
          <w:rFonts w:asciiTheme="minorHAnsi" w:hAnsiTheme="minorHAnsi"/>
          <w:sz w:val="16"/>
          <w:szCs w:val="16"/>
        </w:rPr>
        <w:t xml:space="preserve">ost minus </w:t>
      </w:r>
      <w:r>
        <w:rPr>
          <w:rFonts w:asciiTheme="minorHAnsi" w:hAnsiTheme="minorHAnsi"/>
          <w:sz w:val="16"/>
          <w:szCs w:val="16"/>
        </w:rPr>
        <w:t>c</w:t>
      </w:r>
      <w:r w:rsidR="00B75B9D" w:rsidRPr="00682180">
        <w:rPr>
          <w:rFonts w:asciiTheme="minorHAnsi" w:hAnsiTheme="minorHAnsi"/>
          <w:sz w:val="16"/>
          <w:szCs w:val="16"/>
        </w:rPr>
        <w:t>ongestion</w:t>
      </w:r>
      <w:r>
        <w:rPr>
          <w:rFonts w:asciiTheme="minorHAnsi" w:hAnsiTheme="minorHAnsi"/>
          <w:sz w:val="16"/>
          <w:szCs w:val="16"/>
        </w:rPr>
        <w:t>-r</w:t>
      </w:r>
      <w:r w:rsidR="00B75B9D" w:rsidRPr="00682180">
        <w:rPr>
          <w:rFonts w:asciiTheme="minorHAnsi" w:hAnsiTheme="minorHAnsi"/>
          <w:sz w:val="16"/>
          <w:szCs w:val="16"/>
        </w:rPr>
        <w:t xml:space="preserve">elief </w:t>
      </w:r>
      <w:r>
        <w:rPr>
          <w:rFonts w:asciiTheme="minorHAnsi" w:hAnsiTheme="minorHAnsi"/>
          <w:sz w:val="16"/>
          <w:szCs w:val="16"/>
        </w:rPr>
        <w:t>s</w:t>
      </w:r>
      <w:r w:rsidR="00B75B9D" w:rsidRPr="00682180">
        <w:rPr>
          <w:rFonts w:asciiTheme="minorHAnsi" w:hAnsiTheme="minorHAnsi"/>
          <w:sz w:val="16"/>
          <w:szCs w:val="16"/>
        </w:rPr>
        <w:t xml:space="preserve">ystem </w:t>
      </w:r>
      <w:r>
        <w:rPr>
          <w:rFonts w:asciiTheme="minorHAnsi" w:hAnsiTheme="minorHAnsi"/>
          <w:sz w:val="16"/>
          <w:szCs w:val="16"/>
        </w:rPr>
        <w:t>c</w:t>
      </w:r>
      <w:r w:rsidR="00B75B9D" w:rsidRPr="00682180">
        <w:rPr>
          <w:rFonts w:asciiTheme="minorHAnsi" w:hAnsiTheme="minorHAnsi"/>
          <w:sz w:val="16"/>
          <w:szCs w:val="16"/>
        </w:rPr>
        <w:t xml:space="preserve">ost. A negative number suggests the price of the </w:t>
      </w:r>
      <w:r>
        <w:rPr>
          <w:rFonts w:asciiTheme="minorHAnsi" w:hAnsiTheme="minorHAnsi"/>
          <w:sz w:val="16"/>
          <w:szCs w:val="16"/>
        </w:rPr>
        <w:t>c</w:t>
      </w:r>
      <w:r w:rsidR="00B75B9D" w:rsidRPr="00682180">
        <w:rPr>
          <w:rFonts w:asciiTheme="minorHAnsi" w:hAnsiTheme="minorHAnsi"/>
          <w:sz w:val="16"/>
          <w:szCs w:val="16"/>
        </w:rPr>
        <w:t>ongestion</w:t>
      </w:r>
      <w:r>
        <w:rPr>
          <w:rFonts w:asciiTheme="minorHAnsi" w:hAnsiTheme="minorHAnsi"/>
          <w:sz w:val="16"/>
          <w:szCs w:val="16"/>
        </w:rPr>
        <w:t>-r</w:t>
      </w:r>
      <w:r w:rsidR="00B75B9D" w:rsidRPr="00682180">
        <w:rPr>
          <w:rFonts w:asciiTheme="minorHAnsi" w:hAnsiTheme="minorHAnsi"/>
          <w:sz w:val="16"/>
          <w:szCs w:val="16"/>
        </w:rPr>
        <w:t xml:space="preserve">elief </w:t>
      </w:r>
      <w:r>
        <w:rPr>
          <w:rFonts w:asciiTheme="minorHAnsi" w:hAnsiTheme="minorHAnsi"/>
          <w:sz w:val="16"/>
          <w:szCs w:val="16"/>
        </w:rPr>
        <w:t>s</w:t>
      </w:r>
      <w:r w:rsidR="00B75B9D" w:rsidRPr="00682180">
        <w:rPr>
          <w:rFonts w:asciiTheme="minorHAnsi" w:hAnsiTheme="minorHAnsi"/>
          <w:sz w:val="16"/>
          <w:szCs w:val="16"/>
        </w:rPr>
        <w:t>ystem is higher than would be justified</w:t>
      </w:r>
      <w:r w:rsidR="00B75B9D">
        <w:t xml:space="preserve">.  </w:t>
      </w:r>
    </w:p>
    <w:p w:rsidR="004E55C6" w:rsidRPr="00F46156" w:rsidRDefault="004E55C6" w:rsidP="00826D3F">
      <w:pPr>
        <w:pStyle w:val="Heading2"/>
      </w:pPr>
      <w:bookmarkStart w:id="338" w:name="_Ref480453086"/>
      <w:bookmarkStart w:id="339" w:name="_Toc486406004"/>
      <w:r w:rsidRPr="00F46156">
        <w:t>Relative Annual Resource Costs</w:t>
      </w:r>
      <w:bookmarkEnd w:id="338"/>
      <w:bookmarkEnd w:id="339"/>
      <w:r w:rsidR="00B875A8" w:rsidRPr="00F46156">
        <w:t xml:space="preserve"> </w:t>
      </w:r>
    </w:p>
    <w:p w:rsidR="003365D0" w:rsidRDefault="004E55C6" w:rsidP="004E55C6">
      <w:r w:rsidRPr="008C50BF">
        <w:t xml:space="preserve">The </w:t>
      </w:r>
      <w:r>
        <w:t>r</w:t>
      </w:r>
      <w:r w:rsidRPr="005C7DD1">
        <w:t xml:space="preserve">elative </w:t>
      </w:r>
      <w:r>
        <w:t>a</w:t>
      </w:r>
      <w:r w:rsidRPr="005C7DD1">
        <w:t xml:space="preserve">nnual </w:t>
      </w:r>
      <w:r>
        <w:t>r</w:t>
      </w:r>
      <w:r w:rsidRPr="005C7DD1">
        <w:t xml:space="preserve">esource </w:t>
      </w:r>
      <w:r>
        <w:t>c</w:t>
      </w:r>
      <w:r w:rsidRPr="005C7DD1">
        <w:t>ost (RARC)</w:t>
      </w:r>
      <w:r w:rsidRPr="008C50BF">
        <w:t xml:space="preserve"> </w:t>
      </w:r>
      <w:r>
        <w:t>metric compar</w:t>
      </w:r>
      <w:r w:rsidR="00826D3F">
        <w:t>es</w:t>
      </w:r>
      <w:r>
        <w:t xml:space="preserve"> the total costs of all six scenarios</w:t>
      </w:r>
      <w:r w:rsidR="00826D3F">
        <w:t xml:space="preserve"> </w:t>
      </w:r>
      <w:r w:rsidRPr="008C50BF">
        <w:t>account</w:t>
      </w:r>
      <w:r w:rsidR="00826D3F">
        <w:t>ing</w:t>
      </w:r>
      <w:r w:rsidRPr="008C50BF">
        <w:t xml:space="preserve"> for the annual systemwide production costs, which can be </w:t>
      </w:r>
      <w:r w:rsidR="00826D3F">
        <w:t xml:space="preserve">considered </w:t>
      </w:r>
      <w:r w:rsidRPr="008C50BF">
        <w:t>operating costs</w:t>
      </w:r>
      <w:r>
        <w:t>. I</w:t>
      </w:r>
      <w:r w:rsidRPr="005C7DD1">
        <w:t xml:space="preserve">t </w:t>
      </w:r>
      <w:r>
        <w:t xml:space="preserve">also captures the annual costs of capital additions by including the annualized carrying costs for new resources and </w:t>
      </w:r>
      <w:r w:rsidR="003A5E06" w:rsidRPr="003A5E06">
        <w:t>high</w:t>
      </w:r>
      <w:r w:rsidR="00543810">
        <w:t>-</w:t>
      </w:r>
      <w:r w:rsidR="003A5E06" w:rsidRPr="003A5E06">
        <w:t>order</w:t>
      </w:r>
      <w:r w:rsidR="00435329">
        <w:t>-</w:t>
      </w:r>
      <w:r w:rsidR="003A5E06" w:rsidRPr="003A5E06">
        <w:t>of</w:t>
      </w:r>
      <w:r w:rsidR="00435329">
        <w:t>-</w:t>
      </w:r>
      <w:r w:rsidR="003A5E06" w:rsidRPr="003A5E06">
        <w:t xml:space="preserve">magnitude </w:t>
      </w:r>
      <w:r w:rsidRPr="008C50BF">
        <w:t>t</w:t>
      </w:r>
      <w:r>
        <w:t xml:space="preserve">ransmission-development costs. </w:t>
      </w:r>
      <w:r w:rsidR="008112DE">
        <w:t xml:space="preserve">Scenarios with lower RARCs are considered more economical because the total annualized </w:t>
      </w:r>
      <w:r w:rsidR="003A5E06">
        <w:t xml:space="preserve">operating plus fixed </w:t>
      </w:r>
      <w:r w:rsidR="008112DE">
        <w:t xml:space="preserve">costs are lower. </w:t>
      </w:r>
    </w:p>
    <w:p w:rsidR="00F42439" w:rsidRDefault="003365D0" w:rsidP="004E55C6">
      <w:r>
        <w:t>The addition of price-taking resources (simulated at $0/MWh) reduces the production cost in the simulations</w:t>
      </w:r>
      <w:r w:rsidR="0005329B">
        <w:t xml:space="preserve">. </w:t>
      </w:r>
      <w:r w:rsidR="00B106B6">
        <w:t>For example, t</w:t>
      </w:r>
      <w:r w:rsidR="003A2597">
        <w:t xml:space="preserve">he larger amounts of </w:t>
      </w:r>
      <w:r>
        <w:t xml:space="preserve">renewable resources </w:t>
      </w:r>
      <w:r w:rsidR="003A2597">
        <w:t xml:space="preserve">and imports in </w:t>
      </w:r>
      <w:r w:rsidR="00363F4B">
        <w:t>S</w:t>
      </w:r>
      <w:r w:rsidR="003A2597">
        <w:t xml:space="preserve">cenarios 2, 3, and 6 </w:t>
      </w:r>
      <w:r w:rsidR="003A2597" w:rsidRPr="007F5623">
        <w:t xml:space="preserve">result in lower production costs than </w:t>
      </w:r>
      <w:r w:rsidR="00363F4B" w:rsidRPr="007F5623">
        <w:t>S</w:t>
      </w:r>
      <w:r w:rsidR="003A2597" w:rsidRPr="007F5623">
        <w:t xml:space="preserve">cenarios 1, 4, and 5 </w:t>
      </w:r>
      <w:r w:rsidR="00B106B6" w:rsidRPr="007F5623">
        <w:t>(</w:t>
      </w:r>
      <w:r w:rsidR="007F5623" w:rsidRPr="007F5623">
        <w:t>s</w:t>
      </w:r>
      <w:r w:rsidR="00B106B6" w:rsidRPr="007F5623">
        <w:t xml:space="preserve">ee Section </w:t>
      </w:r>
      <w:r w:rsidR="007F5623" w:rsidRPr="007F5623">
        <w:fldChar w:fldCharType="begin"/>
      </w:r>
      <w:r w:rsidR="007F5623" w:rsidRPr="007F5623">
        <w:instrText xml:space="preserve"> REF _Ref487194148 \r \h </w:instrText>
      </w:r>
      <w:r w:rsidR="007F5623">
        <w:instrText xml:space="preserve"> \* MERGEFORMAT </w:instrText>
      </w:r>
      <w:r w:rsidR="007F5623" w:rsidRPr="007F5623">
        <w:fldChar w:fldCharType="separate"/>
      </w:r>
      <w:r w:rsidR="007F5623" w:rsidRPr="007F5623">
        <w:t>6.1.2</w:t>
      </w:r>
      <w:r w:rsidR="007F5623" w:rsidRPr="007F5623">
        <w:fldChar w:fldCharType="end"/>
      </w:r>
      <w:r w:rsidR="00B106B6" w:rsidRPr="007F5623">
        <w:t>)</w:t>
      </w:r>
      <w:r w:rsidR="007F5623" w:rsidRPr="007F5623">
        <w:t>.</w:t>
      </w:r>
      <w:r w:rsidR="00B106B6" w:rsidRPr="007F5623">
        <w:t xml:space="preserve"> </w:t>
      </w:r>
      <w:r w:rsidR="003A2597" w:rsidRPr="007F5623">
        <w:t>However, resource</w:t>
      </w:r>
      <w:r w:rsidR="003A2597">
        <w:t xml:space="preserve"> additions </w:t>
      </w:r>
      <w:r w:rsidR="00363F4B" w:rsidRPr="00EF41C5">
        <w:t>increase</w:t>
      </w:r>
      <w:r w:rsidR="003A2597" w:rsidRPr="00EF41C5">
        <w:t xml:space="preserve"> capital costs to the scenarios, which can be very substantial for the large-scale addition of price-</w:t>
      </w:r>
      <w:r w:rsidR="003A2597">
        <w:t>taking resources</w:t>
      </w:r>
      <w:r w:rsidR="00B106B6">
        <w:t>. Similarly, r</w:t>
      </w:r>
      <w:r w:rsidR="003A5E06">
        <w:t>elieving congestion by releasing</w:t>
      </w:r>
      <w:r w:rsidR="00B106B6" w:rsidRPr="00B106B6">
        <w:t xml:space="preserve"> </w:t>
      </w:r>
      <w:r w:rsidR="00B106B6" w:rsidRPr="00363F4B">
        <w:t>bottled generation</w:t>
      </w:r>
      <w:r w:rsidR="00B106B6">
        <w:t xml:space="preserve"> </w:t>
      </w:r>
      <w:r w:rsidR="00B106B6" w:rsidRPr="00B106B6">
        <w:t>reduce</w:t>
      </w:r>
      <w:r w:rsidR="00F42439">
        <w:t>s</w:t>
      </w:r>
      <w:r w:rsidR="00B106B6" w:rsidRPr="00B106B6">
        <w:t xml:space="preserve"> production costs</w:t>
      </w:r>
      <w:r w:rsidR="00B106B6">
        <w:t xml:space="preserve"> but add</w:t>
      </w:r>
      <w:r w:rsidR="00F42439">
        <w:t>s</w:t>
      </w:r>
      <w:r w:rsidR="00B106B6">
        <w:t xml:space="preserve"> </w:t>
      </w:r>
      <w:r w:rsidR="00423FAA">
        <w:t>transmission costs.</w:t>
      </w:r>
    </w:p>
    <w:p w:rsidR="008112DE" w:rsidRDefault="00D47725" w:rsidP="004E55C6">
      <w:r>
        <w:t>The</w:t>
      </w:r>
      <w:r w:rsidR="0005329B">
        <w:t xml:space="preserve"> </w:t>
      </w:r>
      <w:r>
        <w:t>demand forecast, BTM</w:t>
      </w:r>
      <w:r w:rsidR="00051BFC">
        <w:t xml:space="preserve"> </w:t>
      </w:r>
      <w:r>
        <w:t xml:space="preserve">PV, EE, and </w:t>
      </w:r>
      <w:r w:rsidR="0005329B">
        <w:t xml:space="preserve">resource additions </w:t>
      </w:r>
      <w:r w:rsidR="008112DE">
        <w:t xml:space="preserve">and retirements assumed </w:t>
      </w:r>
      <w:r w:rsidR="0005329B">
        <w:t>in S</w:t>
      </w:r>
      <w:r w:rsidR="003A2597">
        <w:t xml:space="preserve">cenario 4 </w:t>
      </w:r>
      <w:r>
        <w:t xml:space="preserve">are considered base quantities that can be compared </w:t>
      </w:r>
      <w:r w:rsidR="00051BFC">
        <w:t>with</w:t>
      </w:r>
      <w:r>
        <w:t xml:space="preserve"> other scenarios that may change the amounts of the demand and resource mix.</w:t>
      </w:r>
      <w:r w:rsidR="0088772E">
        <w:t xml:space="preserve"> </w:t>
      </w:r>
      <w:r>
        <w:t>The results show th</w:t>
      </w:r>
      <w:r w:rsidR="00051BFC">
        <w:t>at the</w:t>
      </w:r>
      <w:r>
        <w:t xml:space="preserve"> </w:t>
      </w:r>
      <w:r w:rsidR="00051BFC">
        <w:t>S</w:t>
      </w:r>
      <w:r w:rsidR="00423FAA">
        <w:t xml:space="preserve">cenario </w:t>
      </w:r>
      <w:r w:rsidR="00EF38BD">
        <w:t>4</w:t>
      </w:r>
      <w:r w:rsidR="008112DE">
        <w:t xml:space="preserve"> </w:t>
      </w:r>
      <w:r w:rsidR="00EF38BD">
        <w:t xml:space="preserve">constrained case has the highest production costs but the lowest </w:t>
      </w:r>
      <w:r w:rsidR="001320BC">
        <w:t>annual fixed</w:t>
      </w:r>
      <w:r w:rsidR="00EF38BD">
        <w:t xml:space="preserve"> costs across all cases</w:t>
      </w:r>
      <w:r w:rsidR="008112DE">
        <w:t>.</w:t>
      </w:r>
      <w:r>
        <w:t xml:space="preserve"> </w:t>
      </w:r>
      <w:r w:rsidR="008112DE">
        <w:t xml:space="preserve">   </w:t>
      </w:r>
    </w:p>
    <w:p w:rsidR="004E55C6" w:rsidRDefault="004E55C6" w:rsidP="004E55C6">
      <w:r w:rsidRPr="00D75C33">
        <w:t xml:space="preserve">The RARC summaries in </w:t>
      </w:r>
      <w:r w:rsidR="00826D3F" w:rsidRPr="00D75C33">
        <w:fldChar w:fldCharType="begin"/>
      </w:r>
      <w:r w:rsidR="00826D3F" w:rsidRPr="00D75C33">
        <w:instrText xml:space="preserve"> REF _Ref480892055 \h </w:instrText>
      </w:r>
      <w:r w:rsidR="00051BFC" w:rsidRPr="00D75C33">
        <w:instrText xml:space="preserve"> \* MERGEFORMAT </w:instrText>
      </w:r>
      <w:r w:rsidR="00826D3F" w:rsidRPr="00D75C33">
        <w:fldChar w:fldCharType="separate"/>
      </w:r>
      <w:r w:rsidR="00742B49" w:rsidRPr="00D75C33">
        <w:t xml:space="preserve">Figure </w:t>
      </w:r>
      <w:r w:rsidR="00742B49" w:rsidRPr="00D75C33">
        <w:rPr>
          <w:noProof/>
        </w:rPr>
        <w:t>6</w:t>
      </w:r>
      <w:r w:rsidR="00742B49" w:rsidRPr="00D75C33">
        <w:rPr>
          <w:noProof/>
        </w:rPr>
        <w:noBreakHyphen/>
        <w:t>17</w:t>
      </w:r>
      <w:r w:rsidR="00826D3F" w:rsidRPr="00D75C33">
        <w:fldChar w:fldCharType="end"/>
      </w:r>
      <w:r w:rsidRPr="00D75C33">
        <w:t xml:space="preserve"> to </w:t>
      </w:r>
      <w:r w:rsidR="00826D3F" w:rsidRPr="00D75C33">
        <w:fldChar w:fldCharType="begin"/>
      </w:r>
      <w:r w:rsidR="00826D3F" w:rsidRPr="00D75C33">
        <w:instrText xml:space="preserve"> REF _Ref480892096 \h </w:instrText>
      </w:r>
      <w:r w:rsidR="00051BFC" w:rsidRPr="00D75C33">
        <w:instrText xml:space="preserve"> \* MERGEFORMAT </w:instrText>
      </w:r>
      <w:r w:rsidR="00826D3F" w:rsidRPr="00D75C33">
        <w:fldChar w:fldCharType="separate"/>
      </w:r>
      <w:r w:rsidR="00742B49" w:rsidRPr="00D75C33">
        <w:t xml:space="preserve">Figure </w:t>
      </w:r>
      <w:r w:rsidR="00742B49" w:rsidRPr="00D75C33">
        <w:rPr>
          <w:noProof/>
        </w:rPr>
        <w:t>6</w:t>
      </w:r>
      <w:r w:rsidR="00742B49" w:rsidRPr="00D75C33">
        <w:rPr>
          <w:noProof/>
        </w:rPr>
        <w:noBreakHyphen/>
        <w:t>20</w:t>
      </w:r>
      <w:r w:rsidR="00826D3F" w:rsidRPr="00D75C33">
        <w:fldChar w:fldCharType="end"/>
      </w:r>
      <w:r w:rsidRPr="00D75C33">
        <w:t xml:space="preserve"> </w:t>
      </w:r>
      <w:r w:rsidR="000758E1" w:rsidRPr="00D75C33">
        <w:t xml:space="preserve">(and </w:t>
      </w:r>
      <w:r w:rsidR="00D75C33" w:rsidRPr="00D75C33">
        <w:fldChar w:fldCharType="begin"/>
      </w:r>
      <w:r w:rsidR="00D75C33" w:rsidRPr="00D75C33">
        <w:instrText xml:space="preserve"> REF _Ref486351116 \h </w:instrText>
      </w:r>
      <w:r w:rsidR="00D75C33">
        <w:instrText xml:space="preserve"> \* MERGEFORMAT </w:instrText>
      </w:r>
      <w:r w:rsidR="00D75C33" w:rsidRPr="00D75C33">
        <w:fldChar w:fldCharType="separate"/>
      </w:r>
      <w:r w:rsidR="00D75C33" w:rsidRPr="00D75C33">
        <w:t xml:space="preserve">Table </w:t>
      </w:r>
      <w:r w:rsidR="00D75C33" w:rsidRPr="00D75C33">
        <w:rPr>
          <w:noProof/>
        </w:rPr>
        <w:t>6</w:t>
      </w:r>
      <w:r w:rsidR="00D75C33" w:rsidRPr="00D75C33">
        <w:noBreakHyphen/>
      </w:r>
      <w:r w:rsidR="00D75C33" w:rsidRPr="00D75C33">
        <w:rPr>
          <w:noProof/>
        </w:rPr>
        <w:t>18</w:t>
      </w:r>
      <w:r w:rsidR="00D75C33" w:rsidRPr="00D75C33">
        <w:fldChar w:fldCharType="end"/>
      </w:r>
      <w:r w:rsidR="00051BFC" w:rsidRPr="00D75C33">
        <w:t xml:space="preserve"> and </w:t>
      </w:r>
      <w:r w:rsidR="00D75C33" w:rsidRPr="00D75C33">
        <w:fldChar w:fldCharType="begin"/>
      </w:r>
      <w:r w:rsidR="00D75C33" w:rsidRPr="00D75C33">
        <w:instrText xml:space="preserve"> REF _Ref486351122 \h </w:instrText>
      </w:r>
      <w:r w:rsidR="00D75C33">
        <w:instrText xml:space="preserve"> \* MERGEFORMAT </w:instrText>
      </w:r>
      <w:r w:rsidR="00D75C33" w:rsidRPr="00D75C33">
        <w:fldChar w:fldCharType="separate"/>
      </w:r>
      <w:r w:rsidR="00D75C33" w:rsidRPr="00D75C33">
        <w:t xml:space="preserve">Table </w:t>
      </w:r>
      <w:r w:rsidR="00D75C33" w:rsidRPr="00D75C33">
        <w:rPr>
          <w:noProof/>
        </w:rPr>
        <w:t>6</w:t>
      </w:r>
      <w:r w:rsidR="00D75C33" w:rsidRPr="00D75C33">
        <w:noBreakHyphen/>
      </w:r>
      <w:r w:rsidR="00D75C33" w:rsidRPr="00D75C33">
        <w:rPr>
          <w:noProof/>
        </w:rPr>
        <w:t>19</w:t>
      </w:r>
      <w:r w:rsidR="00D75C33" w:rsidRPr="00D75C33">
        <w:fldChar w:fldCharType="end"/>
      </w:r>
      <w:r w:rsidR="000758E1" w:rsidRPr="00D75C33">
        <w:t xml:space="preserve">) </w:t>
      </w:r>
      <w:r w:rsidRPr="00D75C33">
        <w:t>compare the annual costs of all cases with the constrained case for Scenario 4. The negative values of production costs for Scenarios 1,2, 3, and 6 show that operating</w:t>
      </w:r>
      <w:r w:rsidRPr="005C7DD1">
        <w:t xml:space="preserve"> costs are lower for these scenarios, which reduces their total RARC.</w:t>
      </w:r>
      <w:r w:rsidRPr="005F1766">
        <w:t xml:space="preserve"> </w:t>
      </w:r>
      <w:r w:rsidR="00DD4B4F">
        <w:t xml:space="preserve">The addition </w:t>
      </w:r>
      <w:r w:rsidR="00DD18C0">
        <w:t>o</w:t>
      </w:r>
      <w:r w:rsidR="00DD4B4F">
        <w:t>f r</w:t>
      </w:r>
      <w:r w:rsidR="00DD18C0">
        <w:t>esources in th</w:t>
      </w:r>
      <w:r w:rsidR="00051BFC">
        <w:t>e</w:t>
      </w:r>
      <w:r w:rsidR="00DD18C0">
        <w:t>se scenarios increases</w:t>
      </w:r>
      <w:r w:rsidR="00DD4B4F">
        <w:t xml:space="preserve"> annual fixed costs compared </w:t>
      </w:r>
      <w:r w:rsidR="00051BFC">
        <w:t>with</w:t>
      </w:r>
      <w:r w:rsidR="00DD4B4F">
        <w:t xml:space="preserve"> Scenario 4, </w:t>
      </w:r>
      <w:r w:rsidR="00DD4B4F">
        <w:lastRenderedPageBreak/>
        <w:t xml:space="preserve">which increases their total </w:t>
      </w:r>
      <w:r w:rsidR="00DD4B4F" w:rsidRPr="007F5623">
        <w:t xml:space="preserve">RARC. </w:t>
      </w:r>
      <w:r w:rsidRPr="007F5623">
        <w:t xml:space="preserve">The RARC metrics are expressed in billions of dollars and as cents per kWh. </w:t>
      </w:r>
      <w:r w:rsidR="00826D3F" w:rsidRPr="007F5623">
        <w:fldChar w:fldCharType="begin"/>
      </w:r>
      <w:r w:rsidR="00826D3F" w:rsidRPr="007F5623">
        <w:instrText xml:space="preserve"> REF _Ref480892055 \h </w:instrText>
      </w:r>
      <w:r w:rsidR="007F5623">
        <w:instrText xml:space="preserve"> \* MERGEFORMAT </w:instrText>
      </w:r>
      <w:r w:rsidR="00826D3F" w:rsidRPr="007F5623">
        <w:fldChar w:fldCharType="separate"/>
      </w:r>
      <w:r w:rsidR="00742B49" w:rsidRPr="007F5623">
        <w:t xml:space="preserve">Figure </w:t>
      </w:r>
      <w:r w:rsidR="00742B49" w:rsidRPr="007F5623">
        <w:rPr>
          <w:noProof/>
        </w:rPr>
        <w:t>6</w:t>
      </w:r>
      <w:r w:rsidR="00742B49" w:rsidRPr="007F5623">
        <w:noBreakHyphen/>
      </w:r>
      <w:r w:rsidR="00742B49" w:rsidRPr="007F5623">
        <w:rPr>
          <w:noProof/>
        </w:rPr>
        <w:t>17</w:t>
      </w:r>
      <w:r w:rsidR="00826D3F" w:rsidRPr="007F5623">
        <w:fldChar w:fldCharType="end"/>
      </w:r>
      <w:r w:rsidR="00826D3F" w:rsidRPr="007F5623">
        <w:t xml:space="preserve"> to </w:t>
      </w:r>
      <w:r w:rsidR="00826D3F" w:rsidRPr="007F5623">
        <w:fldChar w:fldCharType="begin"/>
      </w:r>
      <w:r w:rsidR="00826D3F" w:rsidRPr="007F5623">
        <w:instrText xml:space="preserve"> REF _Ref480892096 \h </w:instrText>
      </w:r>
      <w:r w:rsidR="007F5623">
        <w:instrText xml:space="preserve"> \* MERGEFORMAT </w:instrText>
      </w:r>
      <w:r w:rsidR="00826D3F" w:rsidRPr="007F5623">
        <w:fldChar w:fldCharType="separate"/>
      </w:r>
      <w:r w:rsidR="00742B49" w:rsidRPr="007F5623">
        <w:t xml:space="preserve">Figure </w:t>
      </w:r>
      <w:r w:rsidR="00742B49" w:rsidRPr="007F5623">
        <w:rPr>
          <w:noProof/>
        </w:rPr>
        <w:t>6</w:t>
      </w:r>
      <w:r w:rsidR="00742B49" w:rsidRPr="007F5623">
        <w:noBreakHyphen/>
      </w:r>
      <w:r w:rsidR="00742B49" w:rsidRPr="007F5623">
        <w:rPr>
          <w:noProof/>
        </w:rPr>
        <w:t>20</w:t>
      </w:r>
      <w:r w:rsidR="00826D3F" w:rsidRPr="007F5623">
        <w:fldChar w:fldCharType="end"/>
      </w:r>
      <w:r w:rsidRPr="007F5623">
        <w:t xml:space="preserve"> support the previous observations</w:t>
      </w:r>
      <w:r>
        <w:t xml:space="preserve"> and illustrate the larger differences among the scenarios for 2030. Additional results for 2030 are as follows:</w:t>
      </w:r>
    </w:p>
    <w:p w:rsidR="004E55C6" w:rsidRDefault="004E55C6" w:rsidP="004E55C6">
      <w:pPr>
        <w:numPr>
          <w:ilvl w:val="0"/>
          <w:numId w:val="36"/>
        </w:numPr>
        <w:spacing w:after="120"/>
      </w:pPr>
      <w:r>
        <w:t xml:space="preserve">Scenarios 4 and 5, which require the lowest investment in new resources and transmission development, have the lowest total RARC. Although their production costs are higher than scenarios with large penetrations of renewable resources, the figures show significantly higher total RARC for Scenarios 1, 2, 3, and 6 as a result of their higher </w:t>
      </w:r>
      <w:r w:rsidR="00456037">
        <w:t>annual carrying charges</w:t>
      </w:r>
      <w:r>
        <w:t xml:space="preserve"> for new resources and transmission development. </w:t>
      </w:r>
    </w:p>
    <w:p w:rsidR="004E55C6" w:rsidRPr="006812B3" w:rsidRDefault="004E55C6" w:rsidP="004E55C6">
      <w:pPr>
        <w:numPr>
          <w:ilvl w:val="0"/>
          <w:numId w:val="36"/>
        </w:numPr>
        <w:spacing w:after="120"/>
      </w:pPr>
      <w:r>
        <w:t xml:space="preserve">Although the production costs for Scenario 1 are higher, its total RARC is lower than for Scenarios 2, 3, and 6. This is because Scenario 1 has a lower quantity of renewable resources that require less capital investment in resources and transmission development than the </w:t>
      </w:r>
      <w:r w:rsidRPr="00826D3F">
        <w:t xml:space="preserve">other </w:t>
      </w:r>
      <w:r w:rsidRPr="006812B3">
        <w:t>scenarios with large</w:t>
      </w:r>
      <w:r w:rsidR="00DD18C0">
        <w:t>r</w:t>
      </w:r>
      <w:r w:rsidRPr="006812B3">
        <w:t xml:space="preserve"> amounts of renewable resources. </w:t>
      </w:r>
    </w:p>
    <w:p w:rsidR="004E55C6" w:rsidRDefault="004E55C6" w:rsidP="004E55C6">
      <w:pPr>
        <w:numPr>
          <w:ilvl w:val="0"/>
          <w:numId w:val="36"/>
        </w:numPr>
      </w:pPr>
      <w:r>
        <w:t xml:space="preserve">Scenario 3 has the lowest production costs. This scenario requires less transmission development than Scenarios 2 and 6 because its renewable resource development occurs closer to load centers in southern New England.    </w:t>
      </w:r>
    </w:p>
    <w:p w:rsidR="004E55C6" w:rsidRDefault="004E55C6" w:rsidP="006812B3">
      <w:pPr>
        <w:keepNext/>
        <w:keepLines/>
        <w:spacing w:after="0" w:line="240" w:lineRule="auto"/>
        <w:jc w:val="center"/>
      </w:pPr>
    </w:p>
    <w:p w:rsidR="00661778" w:rsidRDefault="00661778" w:rsidP="006812B3">
      <w:pPr>
        <w:keepNext/>
        <w:keepLines/>
        <w:spacing w:after="0" w:line="240" w:lineRule="auto"/>
        <w:jc w:val="center"/>
      </w:pPr>
      <w:r w:rsidRPr="002A2DAF">
        <w:rPr>
          <w:noProof/>
        </w:rPr>
        <w:drawing>
          <wp:inline distT="0" distB="0" distL="0" distR="0" wp14:anchorId="60462B58" wp14:editId="7EF9B864">
            <wp:extent cx="5943600" cy="4304030"/>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4304030"/>
                    </a:xfrm>
                    <a:prstGeom prst="rect">
                      <a:avLst/>
                    </a:prstGeom>
                    <a:noFill/>
                    <a:ln w="3175">
                      <a:solidFill>
                        <a:sysClr val="windowText" lastClr="000000"/>
                      </a:solidFill>
                    </a:ln>
                  </pic:spPr>
                </pic:pic>
              </a:graphicData>
            </a:graphic>
          </wp:inline>
        </w:drawing>
      </w:r>
    </w:p>
    <w:p w:rsidR="004E55C6" w:rsidRPr="00F200DC" w:rsidRDefault="004E55C6" w:rsidP="00826D3F">
      <w:pPr>
        <w:pStyle w:val="Caption"/>
        <w:spacing w:before="120" w:after="80"/>
        <w:rPr>
          <w:highlight w:val="yellow"/>
        </w:rPr>
      </w:pPr>
      <w:bookmarkStart w:id="340" w:name="_Ref480892055"/>
      <w:bookmarkStart w:id="341" w:name="_Toc486406087"/>
      <w:r>
        <w:t xml:space="preserve">Figure </w:t>
      </w:r>
      <w:fldSimple w:instr=" STYLEREF 1 \s ">
        <w:r w:rsidR="00742B49">
          <w:rPr>
            <w:noProof/>
          </w:rPr>
          <w:t>6</w:t>
        </w:r>
      </w:fldSimple>
      <w:r w:rsidR="00024994">
        <w:noBreakHyphen/>
      </w:r>
      <w:fldSimple w:instr=" SEQ Figure \* ARABIC \s 1 ">
        <w:r w:rsidR="00742B49">
          <w:rPr>
            <w:noProof/>
          </w:rPr>
          <w:t>17</w:t>
        </w:r>
      </w:fldSimple>
      <w:bookmarkEnd w:id="340"/>
      <w:r w:rsidRPr="00051BFC">
        <w:t xml:space="preserve">: </w:t>
      </w:r>
      <w:r w:rsidR="00DD18C0" w:rsidRPr="00051BFC">
        <w:t>R</w:t>
      </w:r>
      <w:r w:rsidRPr="00051BFC">
        <w:t>elative annual</w:t>
      </w:r>
      <w:r w:rsidRPr="00751E7F">
        <w:t xml:space="preserve"> resource costs, 2025, compared with 2025 Scenario 4</w:t>
      </w:r>
      <w:r w:rsidR="00051BFC">
        <w:t xml:space="preserve"> (</w:t>
      </w:r>
      <w:r>
        <w:t>c</w:t>
      </w:r>
      <w:r w:rsidRPr="00751E7F">
        <w:t>onstrained</w:t>
      </w:r>
      <w:r w:rsidR="00051BFC">
        <w:t>)</w:t>
      </w:r>
      <w:r>
        <w:t xml:space="preserve"> ($ billions)</w:t>
      </w:r>
      <w:r w:rsidR="00051BFC">
        <w:t>.</w:t>
      </w:r>
      <w:bookmarkEnd w:id="341"/>
    </w:p>
    <w:p w:rsidR="004E55C6" w:rsidRPr="008411DA" w:rsidRDefault="004E55C6" w:rsidP="00FA2BC0">
      <w:pPr>
        <w:spacing w:after="0" w:line="240" w:lineRule="auto"/>
        <w:rPr>
          <w:sz w:val="16"/>
          <w:szCs w:val="16"/>
        </w:rPr>
      </w:pPr>
      <w:r w:rsidRPr="008411DA">
        <w:rPr>
          <w:rFonts w:asciiTheme="minorHAnsi" w:hAnsiTheme="minorHAnsi"/>
          <w:b/>
          <w:sz w:val="16"/>
          <w:szCs w:val="16"/>
        </w:rPr>
        <w:t>Notes:</w:t>
      </w:r>
      <w:r w:rsidRPr="008411DA">
        <w:rPr>
          <w:rFonts w:asciiTheme="minorHAnsi" w:hAnsiTheme="minorHAnsi"/>
          <w:sz w:val="16"/>
          <w:szCs w:val="16"/>
        </w:rPr>
        <w:t xml:space="preserve">  Energy efficiency and solar include costs resulting from individual customer investments that do not reflect benefits </w:t>
      </w:r>
      <w:r w:rsidR="00100364">
        <w:rPr>
          <w:rFonts w:asciiTheme="minorHAnsi" w:hAnsiTheme="minorHAnsi"/>
          <w:sz w:val="16"/>
          <w:szCs w:val="16"/>
        </w:rPr>
        <w:t>the owners</w:t>
      </w:r>
      <w:r w:rsidR="00D75C33">
        <w:rPr>
          <w:rFonts w:asciiTheme="minorHAnsi" w:hAnsiTheme="minorHAnsi"/>
          <w:sz w:val="16"/>
          <w:szCs w:val="16"/>
        </w:rPr>
        <w:t xml:space="preserve"> would </w:t>
      </w:r>
      <w:r w:rsidRPr="008411DA">
        <w:rPr>
          <w:rFonts w:asciiTheme="minorHAnsi" w:hAnsiTheme="minorHAnsi"/>
          <w:sz w:val="16"/>
          <w:szCs w:val="16"/>
        </w:rPr>
        <w:t>receive. Production costs reflect the price of carbon emissions at $</w:t>
      </w:r>
      <w:r w:rsidR="00100364">
        <w:rPr>
          <w:rFonts w:asciiTheme="minorHAnsi" w:hAnsiTheme="minorHAnsi"/>
          <w:sz w:val="16"/>
          <w:szCs w:val="16"/>
        </w:rPr>
        <w:t>19</w:t>
      </w:r>
      <w:r w:rsidRPr="008411DA">
        <w:rPr>
          <w:rFonts w:asciiTheme="minorHAnsi" w:hAnsiTheme="minorHAnsi"/>
          <w:sz w:val="16"/>
          <w:szCs w:val="16"/>
        </w:rPr>
        <w:t>/ton.</w:t>
      </w:r>
    </w:p>
    <w:p w:rsidR="00661778" w:rsidRDefault="00661778" w:rsidP="004E55C6">
      <w:pPr>
        <w:spacing w:after="0" w:line="240" w:lineRule="auto"/>
        <w:jc w:val="center"/>
      </w:pPr>
      <w:r w:rsidRPr="002A2DAF">
        <w:rPr>
          <w:noProof/>
        </w:rPr>
        <w:lastRenderedPageBreak/>
        <w:drawing>
          <wp:inline distT="0" distB="0" distL="0" distR="0" wp14:anchorId="4D23C3F9" wp14:editId="7021F3A8">
            <wp:extent cx="5943600" cy="4304030"/>
            <wp:effectExtent l="19050" t="19050" r="19050" b="203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304030"/>
                    </a:xfrm>
                    <a:prstGeom prst="rect">
                      <a:avLst/>
                    </a:prstGeom>
                    <a:noFill/>
                    <a:ln w="3175">
                      <a:solidFill>
                        <a:sysClr val="windowText" lastClr="000000"/>
                      </a:solidFill>
                    </a:ln>
                  </pic:spPr>
                </pic:pic>
              </a:graphicData>
            </a:graphic>
          </wp:inline>
        </w:drawing>
      </w:r>
    </w:p>
    <w:p w:rsidR="004E55C6" w:rsidRPr="00751E7F" w:rsidRDefault="004E55C6" w:rsidP="004E55C6">
      <w:pPr>
        <w:pStyle w:val="Caption"/>
        <w:spacing w:before="120" w:after="80"/>
      </w:pPr>
      <w:bookmarkStart w:id="342" w:name="_Toc486406088"/>
      <w:r w:rsidRPr="003414BF">
        <w:t xml:space="preserve">Figure </w:t>
      </w:r>
      <w:fldSimple w:instr=" STYLEREF 1 \s ">
        <w:r w:rsidR="00742B49">
          <w:rPr>
            <w:noProof/>
          </w:rPr>
          <w:t>6</w:t>
        </w:r>
      </w:fldSimple>
      <w:r w:rsidR="00024994">
        <w:noBreakHyphen/>
      </w:r>
      <w:fldSimple w:instr=" SEQ Figure \* ARABIC \s 1 ">
        <w:r w:rsidR="00742B49">
          <w:rPr>
            <w:noProof/>
          </w:rPr>
          <w:t>18</w:t>
        </w:r>
      </w:fldSimple>
      <w:r w:rsidRPr="00FA2BC0">
        <w:t xml:space="preserve">: </w:t>
      </w:r>
      <w:r w:rsidR="00DD18C0" w:rsidRPr="00DD18C0">
        <w:t xml:space="preserve">Relative annual resource costs, 2025, compared with 2025 Scenario 4 </w:t>
      </w:r>
      <w:r w:rsidR="00FA2BC0">
        <w:t>(</w:t>
      </w:r>
      <w:r w:rsidR="00DD18C0" w:rsidRPr="00DD18C0">
        <w:t>constrained</w:t>
      </w:r>
      <w:r w:rsidR="00FA2BC0">
        <w:t>)</w:t>
      </w:r>
      <w:r w:rsidR="00DD18C0" w:rsidRPr="00DD18C0">
        <w:t xml:space="preserve"> </w:t>
      </w:r>
      <w:r>
        <w:t>(¢</w:t>
      </w:r>
      <w:r w:rsidRPr="00751E7F">
        <w:t>/kWh</w:t>
      </w:r>
      <w:r>
        <w:t>)</w:t>
      </w:r>
      <w:r w:rsidRPr="00751E7F">
        <w:t>.</w:t>
      </w:r>
      <w:bookmarkEnd w:id="342"/>
    </w:p>
    <w:p w:rsidR="004E55C6" w:rsidRPr="008411DA" w:rsidRDefault="004E55C6" w:rsidP="00FA2BC0">
      <w:pPr>
        <w:spacing w:after="0" w:line="240" w:lineRule="auto"/>
        <w:rPr>
          <w:sz w:val="16"/>
          <w:szCs w:val="16"/>
        </w:rPr>
      </w:pPr>
      <w:r w:rsidRPr="008411DA">
        <w:rPr>
          <w:rFonts w:asciiTheme="minorHAnsi" w:hAnsiTheme="minorHAnsi"/>
          <w:b/>
          <w:sz w:val="16"/>
          <w:szCs w:val="16"/>
        </w:rPr>
        <w:t>Note</w:t>
      </w:r>
      <w:r w:rsidR="008411DA">
        <w:rPr>
          <w:rFonts w:asciiTheme="minorHAnsi" w:hAnsiTheme="minorHAnsi"/>
          <w:b/>
          <w:sz w:val="16"/>
          <w:szCs w:val="16"/>
        </w:rPr>
        <w:t>s</w:t>
      </w:r>
      <w:r w:rsidRPr="008411DA">
        <w:rPr>
          <w:rFonts w:asciiTheme="minorHAnsi" w:hAnsiTheme="minorHAnsi"/>
          <w:b/>
          <w:sz w:val="16"/>
          <w:szCs w:val="16"/>
        </w:rPr>
        <w:t>:</w:t>
      </w:r>
      <w:r w:rsidRPr="008411DA">
        <w:rPr>
          <w:rFonts w:asciiTheme="minorHAnsi" w:hAnsiTheme="minorHAnsi"/>
          <w:sz w:val="16"/>
          <w:szCs w:val="16"/>
        </w:rPr>
        <w:t xml:space="preserve">  Energy efficiency and solar include costs resulting from individual customer investments that do not reflect benefits </w:t>
      </w:r>
      <w:r w:rsidR="00100364">
        <w:rPr>
          <w:rFonts w:asciiTheme="minorHAnsi" w:hAnsiTheme="minorHAnsi"/>
          <w:sz w:val="16"/>
          <w:szCs w:val="16"/>
        </w:rPr>
        <w:t xml:space="preserve">the owners </w:t>
      </w:r>
      <w:r w:rsidR="00D75C33">
        <w:rPr>
          <w:rFonts w:asciiTheme="minorHAnsi" w:hAnsiTheme="minorHAnsi"/>
          <w:sz w:val="16"/>
          <w:szCs w:val="16"/>
        </w:rPr>
        <w:t xml:space="preserve">would </w:t>
      </w:r>
      <w:r w:rsidRPr="008411DA">
        <w:rPr>
          <w:rFonts w:asciiTheme="minorHAnsi" w:hAnsiTheme="minorHAnsi"/>
          <w:sz w:val="16"/>
          <w:szCs w:val="16"/>
        </w:rPr>
        <w:t>receive. Production costs reflect the price of carbon emissions at $24/ton.</w:t>
      </w:r>
    </w:p>
    <w:p w:rsidR="00661778" w:rsidRDefault="00661778" w:rsidP="004E55C6">
      <w:pPr>
        <w:spacing w:after="0" w:line="240" w:lineRule="auto"/>
        <w:jc w:val="center"/>
      </w:pPr>
      <w:r w:rsidRPr="002A2DAF">
        <w:rPr>
          <w:noProof/>
        </w:rPr>
        <w:lastRenderedPageBreak/>
        <w:drawing>
          <wp:inline distT="0" distB="0" distL="0" distR="0" wp14:anchorId="618D69D1" wp14:editId="09216573">
            <wp:extent cx="5943600" cy="4304030"/>
            <wp:effectExtent l="19050" t="19050" r="19050" b="203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304030"/>
                    </a:xfrm>
                    <a:prstGeom prst="rect">
                      <a:avLst/>
                    </a:prstGeom>
                    <a:noFill/>
                    <a:ln w="3175">
                      <a:solidFill>
                        <a:sysClr val="windowText" lastClr="000000"/>
                      </a:solidFill>
                    </a:ln>
                  </pic:spPr>
                </pic:pic>
              </a:graphicData>
            </a:graphic>
          </wp:inline>
        </w:drawing>
      </w:r>
    </w:p>
    <w:p w:rsidR="004E55C6" w:rsidRPr="00751E7F" w:rsidRDefault="004E55C6" w:rsidP="004E55C6">
      <w:pPr>
        <w:pStyle w:val="Caption"/>
        <w:spacing w:before="120" w:after="80"/>
      </w:pPr>
      <w:bookmarkStart w:id="343" w:name="_Toc486406089"/>
      <w:r w:rsidRPr="003414BF">
        <w:t xml:space="preserve">Figure </w:t>
      </w:r>
      <w:fldSimple w:instr=" STYLEREF 1 \s ">
        <w:r w:rsidR="00742B49">
          <w:rPr>
            <w:noProof/>
          </w:rPr>
          <w:t>6</w:t>
        </w:r>
      </w:fldSimple>
      <w:r w:rsidR="00024994">
        <w:noBreakHyphen/>
      </w:r>
      <w:fldSimple w:instr=" SEQ Figure \* ARABIC \s 1 ">
        <w:r w:rsidR="00742B49">
          <w:rPr>
            <w:noProof/>
          </w:rPr>
          <w:t>19</w:t>
        </w:r>
      </w:fldSimple>
      <w:r w:rsidRPr="003414BF">
        <w:t>:</w:t>
      </w:r>
      <w:r>
        <w:t xml:space="preserve"> </w:t>
      </w:r>
      <w:r w:rsidR="00DD18C0" w:rsidRPr="00DD18C0">
        <w:t xml:space="preserve">Relative annual resource costs, </w:t>
      </w:r>
      <w:r w:rsidR="00DD18C0">
        <w:t>2030</w:t>
      </w:r>
      <w:r w:rsidR="00DD18C0" w:rsidRPr="00DD18C0">
        <w:t>, compared with 20</w:t>
      </w:r>
      <w:r w:rsidR="00DD18C0">
        <w:t>30</w:t>
      </w:r>
      <w:r w:rsidR="00DD18C0" w:rsidRPr="00DD18C0">
        <w:t xml:space="preserve"> Scenario 4</w:t>
      </w:r>
      <w:r w:rsidR="00FA2BC0">
        <w:t xml:space="preserve"> (</w:t>
      </w:r>
      <w:r w:rsidR="00DD18C0" w:rsidRPr="00DD18C0">
        <w:t>constrained</w:t>
      </w:r>
      <w:r w:rsidR="00FA2BC0">
        <w:t>)</w:t>
      </w:r>
      <w:r w:rsidR="00DD18C0" w:rsidRPr="00DD18C0">
        <w:t xml:space="preserve"> </w:t>
      </w:r>
      <w:r>
        <w:t>(</w:t>
      </w:r>
      <w:r w:rsidRPr="00751E7F">
        <w:t>$</w:t>
      </w:r>
      <w:r>
        <w:t xml:space="preserve"> billions)</w:t>
      </w:r>
      <w:r w:rsidRPr="00751E7F">
        <w:t>.</w:t>
      </w:r>
      <w:bookmarkEnd w:id="343"/>
    </w:p>
    <w:p w:rsidR="004E55C6" w:rsidRPr="008411DA" w:rsidRDefault="004E55C6" w:rsidP="00FA2BC0">
      <w:pPr>
        <w:spacing w:after="0" w:line="240" w:lineRule="auto"/>
        <w:rPr>
          <w:sz w:val="16"/>
          <w:szCs w:val="16"/>
        </w:rPr>
      </w:pPr>
      <w:r w:rsidRPr="008411DA">
        <w:rPr>
          <w:rFonts w:asciiTheme="minorHAnsi" w:hAnsiTheme="minorHAnsi"/>
          <w:b/>
          <w:sz w:val="16"/>
          <w:szCs w:val="16"/>
        </w:rPr>
        <w:t>Note</w:t>
      </w:r>
      <w:r w:rsidR="008411DA" w:rsidRPr="008411DA">
        <w:rPr>
          <w:rFonts w:asciiTheme="minorHAnsi" w:hAnsiTheme="minorHAnsi"/>
          <w:b/>
          <w:sz w:val="16"/>
          <w:szCs w:val="16"/>
        </w:rPr>
        <w:t>s</w:t>
      </w:r>
      <w:r w:rsidRPr="008411DA">
        <w:rPr>
          <w:rFonts w:asciiTheme="minorHAnsi" w:hAnsiTheme="minorHAnsi"/>
          <w:b/>
          <w:sz w:val="16"/>
          <w:szCs w:val="16"/>
        </w:rPr>
        <w:t>:</w:t>
      </w:r>
      <w:r w:rsidRPr="008411DA">
        <w:rPr>
          <w:rFonts w:asciiTheme="minorHAnsi" w:hAnsiTheme="minorHAnsi"/>
          <w:sz w:val="16"/>
          <w:szCs w:val="16"/>
        </w:rPr>
        <w:t xml:space="preserve">  Energy efficiency and solar include costs resulting from to individual customer investments that do not reflect benefits </w:t>
      </w:r>
      <w:r w:rsidR="00100364">
        <w:rPr>
          <w:rFonts w:asciiTheme="minorHAnsi" w:hAnsiTheme="minorHAnsi"/>
          <w:sz w:val="16"/>
          <w:szCs w:val="16"/>
        </w:rPr>
        <w:t xml:space="preserve">the owners </w:t>
      </w:r>
      <w:r w:rsidR="00D75C33">
        <w:rPr>
          <w:rFonts w:asciiTheme="minorHAnsi" w:hAnsiTheme="minorHAnsi"/>
          <w:sz w:val="16"/>
          <w:szCs w:val="16"/>
        </w:rPr>
        <w:t xml:space="preserve">would </w:t>
      </w:r>
      <w:r w:rsidRPr="008411DA">
        <w:rPr>
          <w:rFonts w:asciiTheme="minorHAnsi" w:hAnsiTheme="minorHAnsi"/>
          <w:sz w:val="16"/>
          <w:szCs w:val="16"/>
        </w:rPr>
        <w:t>receive. Production costs reflect the price of carbon emissions at $24/ton.</w:t>
      </w:r>
    </w:p>
    <w:p w:rsidR="00661778" w:rsidRPr="008C50BF" w:rsidRDefault="00661778" w:rsidP="004E55C6">
      <w:pPr>
        <w:spacing w:after="0" w:line="240" w:lineRule="auto"/>
        <w:jc w:val="center"/>
      </w:pPr>
      <w:r w:rsidRPr="0053314D">
        <w:rPr>
          <w:noProof/>
        </w:rPr>
        <w:lastRenderedPageBreak/>
        <w:drawing>
          <wp:inline distT="0" distB="0" distL="0" distR="0" wp14:anchorId="613D9D2E" wp14:editId="13C3D497">
            <wp:extent cx="5943600" cy="4304030"/>
            <wp:effectExtent l="19050" t="19050" r="19050" b="203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4304030"/>
                    </a:xfrm>
                    <a:prstGeom prst="rect">
                      <a:avLst/>
                    </a:prstGeom>
                    <a:noFill/>
                    <a:ln w="3175">
                      <a:solidFill>
                        <a:sysClr val="windowText" lastClr="000000"/>
                      </a:solidFill>
                    </a:ln>
                  </pic:spPr>
                </pic:pic>
              </a:graphicData>
            </a:graphic>
          </wp:inline>
        </w:drawing>
      </w:r>
    </w:p>
    <w:p w:rsidR="004E55C6" w:rsidRPr="00751E7F" w:rsidRDefault="004E55C6" w:rsidP="004E55C6">
      <w:pPr>
        <w:pStyle w:val="Caption"/>
        <w:spacing w:before="120" w:after="80"/>
      </w:pPr>
      <w:bookmarkStart w:id="344" w:name="_Ref480892096"/>
      <w:bookmarkStart w:id="345" w:name="_Toc486406090"/>
      <w:r w:rsidRPr="003414BF">
        <w:t xml:space="preserve">Figure </w:t>
      </w:r>
      <w:fldSimple w:instr=" STYLEREF 1 \s ">
        <w:r w:rsidR="00742B49">
          <w:rPr>
            <w:noProof/>
          </w:rPr>
          <w:t>6</w:t>
        </w:r>
      </w:fldSimple>
      <w:r w:rsidR="00024994">
        <w:noBreakHyphen/>
      </w:r>
      <w:fldSimple w:instr=" SEQ Figure \* ARABIC \s 1 ">
        <w:r w:rsidR="00742B49">
          <w:rPr>
            <w:noProof/>
          </w:rPr>
          <w:t>20</w:t>
        </w:r>
      </w:fldSimple>
      <w:bookmarkEnd w:id="344"/>
      <w:r w:rsidRPr="003414BF">
        <w:t xml:space="preserve">: </w:t>
      </w:r>
      <w:r w:rsidR="00DD18C0" w:rsidRPr="00DD18C0">
        <w:t xml:space="preserve">Relative annual resource costs, 2030, compared with 2030 Scenario 4 </w:t>
      </w:r>
      <w:r w:rsidR="00FA2BC0">
        <w:t>(</w:t>
      </w:r>
      <w:r w:rsidR="00DD18C0" w:rsidRPr="00DD18C0">
        <w:t>constrained</w:t>
      </w:r>
      <w:r w:rsidR="00FA2BC0">
        <w:t>)</w:t>
      </w:r>
      <w:r>
        <w:t xml:space="preserve"> (</w:t>
      </w:r>
      <w:r w:rsidRPr="00751E7F">
        <w:t>¢/kWh</w:t>
      </w:r>
      <w:r>
        <w:t>)</w:t>
      </w:r>
      <w:r w:rsidRPr="00751E7F">
        <w:t>.</w:t>
      </w:r>
      <w:bookmarkEnd w:id="345"/>
    </w:p>
    <w:p w:rsidR="004E55C6" w:rsidRPr="008411DA" w:rsidRDefault="004E55C6" w:rsidP="004E55C6">
      <w:pPr>
        <w:adjustRightInd/>
        <w:spacing w:after="80" w:line="240" w:lineRule="auto"/>
        <w:textAlignment w:val="auto"/>
        <w:rPr>
          <w:rFonts w:asciiTheme="minorHAnsi" w:hAnsiTheme="minorHAnsi"/>
          <w:sz w:val="16"/>
          <w:szCs w:val="16"/>
        </w:rPr>
      </w:pPr>
      <w:r w:rsidRPr="008411DA">
        <w:rPr>
          <w:rFonts w:asciiTheme="minorHAnsi" w:hAnsiTheme="minorHAnsi"/>
          <w:b/>
          <w:sz w:val="16"/>
          <w:szCs w:val="16"/>
        </w:rPr>
        <w:t>Note</w:t>
      </w:r>
      <w:r w:rsidR="00EE2870">
        <w:rPr>
          <w:rFonts w:asciiTheme="minorHAnsi" w:hAnsiTheme="minorHAnsi"/>
          <w:b/>
          <w:sz w:val="16"/>
          <w:szCs w:val="16"/>
        </w:rPr>
        <w:t>s</w:t>
      </w:r>
      <w:r w:rsidRPr="008411DA">
        <w:rPr>
          <w:rFonts w:asciiTheme="minorHAnsi" w:hAnsiTheme="minorHAnsi"/>
          <w:b/>
          <w:sz w:val="16"/>
          <w:szCs w:val="16"/>
        </w:rPr>
        <w:t>:</w:t>
      </w:r>
      <w:r w:rsidRPr="008411DA">
        <w:rPr>
          <w:rFonts w:asciiTheme="minorHAnsi" w:hAnsiTheme="minorHAnsi"/>
          <w:sz w:val="16"/>
          <w:szCs w:val="16"/>
        </w:rPr>
        <w:t xml:space="preserve">  Energy efficiency and solar include costs resulting from individual customer investments that do not reflect benefits </w:t>
      </w:r>
      <w:r w:rsidR="004C2FE1">
        <w:rPr>
          <w:rFonts w:asciiTheme="minorHAnsi" w:hAnsiTheme="minorHAnsi"/>
          <w:sz w:val="16"/>
          <w:szCs w:val="16"/>
        </w:rPr>
        <w:t xml:space="preserve">the owners </w:t>
      </w:r>
      <w:r w:rsidR="00D75C33">
        <w:rPr>
          <w:rFonts w:asciiTheme="minorHAnsi" w:hAnsiTheme="minorHAnsi"/>
          <w:sz w:val="16"/>
          <w:szCs w:val="16"/>
        </w:rPr>
        <w:t xml:space="preserve">would </w:t>
      </w:r>
      <w:r w:rsidRPr="008411DA">
        <w:rPr>
          <w:rFonts w:asciiTheme="minorHAnsi" w:hAnsiTheme="minorHAnsi"/>
          <w:sz w:val="16"/>
          <w:szCs w:val="16"/>
        </w:rPr>
        <w:t>receive. Production costs reflect the price of carbon emissions at $24/ton.</w:t>
      </w:r>
    </w:p>
    <w:p w:rsidR="00526C8B" w:rsidRPr="00526C8B" w:rsidRDefault="00FA2BC0" w:rsidP="00526C8B">
      <w:pPr>
        <w:pStyle w:val="Caption"/>
        <w:jc w:val="center"/>
      </w:pPr>
      <w:r w:rsidRPr="00FA2BC0">
        <w:rPr>
          <w:highlight w:val="yellow"/>
        </w:rPr>
        <w:lastRenderedPageBreak/>
        <w:br/>
      </w:r>
      <w:bookmarkStart w:id="346" w:name="_Ref486351116"/>
      <w:bookmarkStart w:id="347" w:name="_Toc486406053"/>
      <w:r w:rsidR="00526C8B" w:rsidRPr="00D75C33">
        <w:t xml:space="preserve">Table </w:t>
      </w:r>
      <w:fldSimple w:instr=" STYLEREF 1 \s ">
        <w:r w:rsidR="004248FE">
          <w:rPr>
            <w:noProof/>
          </w:rPr>
          <w:t>6</w:t>
        </w:r>
      </w:fldSimple>
      <w:r w:rsidR="004248FE">
        <w:noBreakHyphen/>
      </w:r>
      <w:fldSimple w:instr=" SEQ Table \* ARABIC \s 1 ">
        <w:r w:rsidR="004248FE">
          <w:rPr>
            <w:noProof/>
          </w:rPr>
          <w:t>18</w:t>
        </w:r>
      </w:fldSimple>
      <w:bookmarkEnd w:id="346"/>
      <w:r w:rsidR="00526C8B" w:rsidRPr="00D75C33">
        <w:br/>
        <w:t>Relative Annual Resource Costs, 2025 and 2030 ($ Millions)</w:t>
      </w:r>
      <w:bookmarkEnd w:id="347"/>
    </w:p>
    <w:tbl>
      <w:tblPr>
        <w:tblW w:w="1044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9" w:type="dxa"/>
          <w:right w:w="29" w:type="dxa"/>
        </w:tblCellMar>
        <w:tblLook w:val="04A0" w:firstRow="1" w:lastRow="0" w:firstColumn="1" w:lastColumn="0" w:noHBand="0" w:noVBand="1"/>
      </w:tblPr>
      <w:tblGrid>
        <w:gridCol w:w="1575"/>
        <w:gridCol w:w="1080"/>
        <w:gridCol w:w="951"/>
        <w:gridCol w:w="721"/>
        <w:gridCol w:w="721"/>
        <w:gridCol w:w="721"/>
        <w:gridCol w:w="722"/>
        <w:gridCol w:w="721"/>
        <w:gridCol w:w="721"/>
        <w:gridCol w:w="883"/>
        <w:gridCol w:w="810"/>
        <w:gridCol w:w="817"/>
      </w:tblGrid>
      <w:tr w:rsidR="00D75C33" w:rsidRPr="00FA2BC0" w:rsidTr="00737F69">
        <w:trPr>
          <w:jc w:val="center"/>
        </w:trPr>
        <w:tc>
          <w:tcPr>
            <w:tcW w:w="1575" w:type="dxa"/>
            <w:shd w:val="clear" w:color="auto" w:fill="0070C0"/>
            <w:vAlign w:val="center"/>
          </w:tcPr>
          <w:p w:rsidR="00D75C33" w:rsidRPr="00FA2BC0" w:rsidRDefault="00D75C33" w:rsidP="00526C8B">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FA2BC0">
              <w:rPr>
                <w:rFonts w:asciiTheme="minorHAnsi" w:eastAsia="Calibri" w:hAnsiTheme="minorHAnsi"/>
                <w:b/>
                <w:color w:val="FFFFFF" w:themeColor="background1"/>
                <w:sz w:val="18"/>
                <w:szCs w:val="18"/>
              </w:rPr>
              <w:t>Transmission</w:t>
            </w:r>
            <w:r>
              <w:rPr>
                <w:rFonts w:asciiTheme="minorHAnsi" w:eastAsia="Calibri" w:hAnsiTheme="minorHAnsi"/>
                <w:b/>
                <w:color w:val="FFFFFF" w:themeColor="background1"/>
                <w:sz w:val="18"/>
                <w:szCs w:val="18"/>
              </w:rPr>
              <w:t xml:space="preserve"> and Year</w:t>
            </w:r>
          </w:p>
        </w:tc>
        <w:tc>
          <w:tcPr>
            <w:tcW w:w="1080" w:type="dxa"/>
            <w:shd w:val="clear" w:color="auto" w:fill="0070C0"/>
            <w:vAlign w:val="center"/>
          </w:tcPr>
          <w:p w:rsidR="00D75C33" w:rsidRPr="00BE0001" w:rsidRDefault="00D75C33" w:rsidP="00526C8B">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BE0001">
              <w:rPr>
                <w:rFonts w:asciiTheme="minorHAnsi" w:eastAsia="Calibri" w:hAnsiTheme="minorHAnsi"/>
                <w:b/>
                <w:color w:val="FFFFFF" w:themeColor="background1"/>
                <w:sz w:val="18"/>
                <w:szCs w:val="18"/>
              </w:rPr>
              <w:t>Scenario</w:t>
            </w:r>
          </w:p>
        </w:tc>
        <w:tc>
          <w:tcPr>
            <w:tcW w:w="951" w:type="dxa"/>
            <w:shd w:val="clear" w:color="auto" w:fill="0070C0"/>
            <w:vAlign w:val="center"/>
          </w:tcPr>
          <w:p w:rsidR="00D75C33" w:rsidRPr="00FA2BC0" w:rsidRDefault="00D75C33" w:rsidP="00526C8B">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FA2BC0">
              <w:rPr>
                <w:rFonts w:asciiTheme="minorHAnsi" w:eastAsia="Calibri" w:hAnsiTheme="minorHAnsi"/>
                <w:b/>
                <w:color w:val="FFFFFF" w:themeColor="background1"/>
                <w:sz w:val="18"/>
                <w:szCs w:val="18"/>
              </w:rPr>
              <w:t>Production Cost</w:t>
            </w:r>
          </w:p>
        </w:tc>
        <w:tc>
          <w:tcPr>
            <w:tcW w:w="721" w:type="dxa"/>
            <w:shd w:val="clear" w:color="auto" w:fill="0070C0"/>
            <w:vAlign w:val="center"/>
          </w:tcPr>
          <w:p w:rsidR="00D75C33" w:rsidRPr="00FA2BC0" w:rsidRDefault="00D75C33" w:rsidP="00526C8B">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FA2BC0">
              <w:rPr>
                <w:rFonts w:asciiTheme="minorHAnsi" w:eastAsia="Calibri" w:hAnsiTheme="minorHAnsi"/>
                <w:b/>
                <w:color w:val="FFFFFF" w:themeColor="background1"/>
                <w:sz w:val="18"/>
                <w:szCs w:val="18"/>
              </w:rPr>
              <w:t>15% Transm</w:t>
            </w:r>
            <w:r>
              <w:rPr>
                <w:rFonts w:asciiTheme="minorHAnsi" w:eastAsia="Calibri" w:hAnsiTheme="minorHAnsi"/>
                <w:b/>
                <w:color w:val="FFFFFF" w:themeColor="background1"/>
                <w:sz w:val="18"/>
                <w:szCs w:val="18"/>
              </w:rPr>
              <w:t>.</w:t>
            </w:r>
            <w:r w:rsidRPr="00FA2BC0">
              <w:rPr>
                <w:rFonts w:asciiTheme="minorHAnsi" w:eastAsia="Calibri" w:hAnsiTheme="minorHAnsi"/>
                <w:b/>
                <w:color w:val="FFFFFF" w:themeColor="background1"/>
                <w:sz w:val="18"/>
                <w:szCs w:val="18"/>
              </w:rPr>
              <w:t xml:space="preserve"> Cost</w:t>
            </w:r>
          </w:p>
        </w:tc>
        <w:tc>
          <w:tcPr>
            <w:tcW w:w="721" w:type="dxa"/>
            <w:shd w:val="clear" w:color="auto" w:fill="0070C0"/>
            <w:vAlign w:val="center"/>
          </w:tcPr>
          <w:p w:rsidR="00D75C33" w:rsidRPr="00FA2BC0" w:rsidRDefault="00D75C33" w:rsidP="00526C8B">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FA2BC0">
              <w:rPr>
                <w:rFonts w:asciiTheme="minorHAnsi" w:eastAsia="Calibri" w:hAnsiTheme="minorHAnsi"/>
                <w:b/>
                <w:color w:val="FFFFFF" w:themeColor="background1"/>
                <w:sz w:val="18"/>
                <w:szCs w:val="18"/>
              </w:rPr>
              <w:t>15% Ties</w:t>
            </w:r>
          </w:p>
        </w:tc>
        <w:tc>
          <w:tcPr>
            <w:tcW w:w="721" w:type="dxa"/>
            <w:shd w:val="clear" w:color="auto" w:fill="0070C0"/>
            <w:vAlign w:val="center"/>
          </w:tcPr>
          <w:p w:rsidR="00D75C33" w:rsidRPr="00FA2BC0" w:rsidRDefault="00D75C33" w:rsidP="00526C8B">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FA2BC0">
              <w:rPr>
                <w:rFonts w:asciiTheme="minorHAnsi" w:eastAsia="Calibri" w:hAnsiTheme="minorHAnsi"/>
                <w:b/>
                <w:color w:val="FFFFFF" w:themeColor="background1"/>
                <w:sz w:val="18"/>
                <w:szCs w:val="18"/>
              </w:rPr>
              <w:t>15% Comb</w:t>
            </w:r>
            <w:r>
              <w:rPr>
                <w:rFonts w:asciiTheme="minorHAnsi" w:eastAsia="Calibri" w:hAnsiTheme="minorHAnsi"/>
                <w:b/>
                <w:color w:val="FFFFFF" w:themeColor="background1"/>
                <w:sz w:val="18"/>
                <w:szCs w:val="18"/>
              </w:rPr>
              <w:t xml:space="preserve">. </w:t>
            </w:r>
            <w:r w:rsidRPr="00FA2BC0">
              <w:rPr>
                <w:rFonts w:asciiTheme="minorHAnsi" w:eastAsia="Calibri" w:hAnsiTheme="minorHAnsi"/>
                <w:b/>
                <w:color w:val="FFFFFF" w:themeColor="background1"/>
                <w:sz w:val="18"/>
                <w:szCs w:val="18"/>
              </w:rPr>
              <w:t xml:space="preserve"> Cycle</w:t>
            </w:r>
          </w:p>
        </w:tc>
        <w:tc>
          <w:tcPr>
            <w:tcW w:w="722" w:type="dxa"/>
            <w:shd w:val="clear" w:color="auto" w:fill="0070C0"/>
            <w:vAlign w:val="center"/>
          </w:tcPr>
          <w:p w:rsidR="00D75C33" w:rsidRPr="00FA2BC0" w:rsidRDefault="00D75C33" w:rsidP="00526C8B">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FA2BC0">
              <w:rPr>
                <w:rFonts w:asciiTheme="minorHAnsi" w:eastAsia="Calibri" w:hAnsiTheme="minorHAnsi"/>
                <w:b/>
                <w:color w:val="FFFFFF" w:themeColor="background1"/>
                <w:sz w:val="18"/>
                <w:szCs w:val="18"/>
              </w:rPr>
              <w:t>15% New Onshore Wind</w:t>
            </w:r>
          </w:p>
        </w:tc>
        <w:tc>
          <w:tcPr>
            <w:tcW w:w="721" w:type="dxa"/>
            <w:shd w:val="clear" w:color="auto" w:fill="0070C0"/>
            <w:vAlign w:val="center"/>
          </w:tcPr>
          <w:p w:rsidR="00D75C33" w:rsidRPr="00FA2BC0" w:rsidRDefault="00D75C33" w:rsidP="00526C8B">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FA2BC0">
              <w:rPr>
                <w:rFonts w:asciiTheme="minorHAnsi" w:eastAsia="Calibri" w:hAnsiTheme="minorHAnsi"/>
                <w:b/>
                <w:color w:val="FFFFFF" w:themeColor="background1"/>
                <w:sz w:val="18"/>
                <w:szCs w:val="18"/>
              </w:rPr>
              <w:t>15% New Offshore Wind</w:t>
            </w:r>
          </w:p>
        </w:tc>
        <w:tc>
          <w:tcPr>
            <w:tcW w:w="721" w:type="dxa"/>
            <w:shd w:val="clear" w:color="auto" w:fill="0070C0"/>
            <w:vAlign w:val="center"/>
          </w:tcPr>
          <w:p w:rsidR="00D75C33" w:rsidRPr="00FA2BC0" w:rsidRDefault="00D75C33" w:rsidP="00526C8B">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FA2BC0">
              <w:rPr>
                <w:rFonts w:asciiTheme="minorHAnsi" w:eastAsia="Calibri" w:hAnsiTheme="minorHAnsi"/>
                <w:b/>
                <w:color w:val="FFFFFF" w:themeColor="background1"/>
                <w:sz w:val="18"/>
                <w:szCs w:val="18"/>
              </w:rPr>
              <w:t>15% Solar</w:t>
            </w:r>
          </w:p>
        </w:tc>
        <w:tc>
          <w:tcPr>
            <w:tcW w:w="883" w:type="dxa"/>
            <w:shd w:val="clear" w:color="auto" w:fill="0070C0"/>
            <w:vAlign w:val="center"/>
          </w:tcPr>
          <w:p w:rsidR="00D75C33" w:rsidRPr="00FA2BC0" w:rsidRDefault="00D75C33" w:rsidP="00526C8B">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FA2BC0">
              <w:rPr>
                <w:rFonts w:asciiTheme="minorHAnsi" w:eastAsia="Calibri" w:hAnsiTheme="minorHAnsi"/>
                <w:b/>
                <w:color w:val="FFFFFF" w:themeColor="background1"/>
                <w:sz w:val="18"/>
                <w:szCs w:val="18"/>
              </w:rPr>
              <w:t>15% Energy Efficiency</w:t>
            </w:r>
          </w:p>
        </w:tc>
        <w:tc>
          <w:tcPr>
            <w:tcW w:w="810" w:type="dxa"/>
            <w:shd w:val="clear" w:color="auto" w:fill="0070C0"/>
            <w:vAlign w:val="center"/>
          </w:tcPr>
          <w:p w:rsidR="00D75C33" w:rsidRPr="00FA2BC0" w:rsidRDefault="00D75C33" w:rsidP="00526C8B">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FA2BC0">
              <w:rPr>
                <w:rFonts w:asciiTheme="minorHAnsi" w:eastAsia="Calibri" w:hAnsiTheme="minorHAnsi"/>
                <w:b/>
                <w:color w:val="FFFFFF" w:themeColor="background1"/>
                <w:sz w:val="18"/>
                <w:szCs w:val="18"/>
              </w:rPr>
              <w:t>15% Battery</w:t>
            </w:r>
          </w:p>
        </w:tc>
        <w:tc>
          <w:tcPr>
            <w:tcW w:w="817" w:type="dxa"/>
            <w:shd w:val="clear" w:color="auto" w:fill="0070C0"/>
            <w:vAlign w:val="center"/>
          </w:tcPr>
          <w:p w:rsidR="00D75C33" w:rsidRPr="00FA2BC0" w:rsidRDefault="00D75C33" w:rsidP="00526C8B">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FA2BC0">
              <w:rPr>
                <w:rFonts w:asciiTheme="minorHAnsi" w:eastAsia="Calibri" w:hAnsiTheme="minorHAnsi"/>
                <w:b/>
                <w:color w:val="FFFFFF" w:themeColor="background1"/>
                <w:sz w:val="18"/>
                <w:szCs w:val="18"/>
              </w:rPr>
              <w:t>Total</w:t>
            </w:r>
          </w:p>
        </w:tc>
      </w:tr>
      <w:tr w:rsidR="00D75C33" w:rsidRPr="00FA2BC0" w:rsidTr="00737F69">
        <w:trPr>
          <w:jc w:val="center"/>
        </w:trPr>
        <w:tc>
          <w:tcPr>
            <w:tcW w:w="1575" w:type="dxa"/>
            <w:vMerge w:val="restart"/>
            <w:shd w:val="clear" w:color="auto" w:fill="auto"/>
            <w:vAlign w:val="center"/>
          </w:tcPr>
          <w:p w:rsidR="00D75C33" w:rsidRPr="00FA2BC0" w:rsidRDefault="00D75C33" w:rsidP="00526C8B">
            <w:pPr>
              <w:keepNext/>
              <w:keepLines/>
              <w:adjustRightInd/>
              <w:spacing w:before="40" w:after="40" w:line="240" w:lineRule="auto"/>
              <w:jc w:val="center"/>
              <w:textAlignment w:val="auto"/>
              <w:rPr>
                <w:rFonts w:asciiTheme="minorHAnsi" w:eastAsia="Calibri" w:hAnsiTheme="minorHAnsi"/>
                <w:b/>
                <w:sz w:val="18"/>
                <w:szCs w:val="18"/>
              </w:rPr>
            </w:pPr>
            <w:r>
              <w:rPr>
                <w:rFonts w:asciiTheme="minorHAnsi" w:eastAsia="Calibri" w:hAnsiTheme="minorHAnsi"/>
                <w:b/>
                <w:sz w:val="18"/>
                <w:szCs w:val="18"/>
              </w:rPr>
              <w:t xml:space="preserve">2025 </w:t>
            </w:r>
            <w:r w:rsidRPr="00FA2BC0">
              <w:rPr>
                <w:rFonts w:asciiTheme="minorHAnsi" w:eastAsia="Calibri" w:hAnsiTheme="minorHAnsi"/>
                <w:b/>
                <w:sz w:val="18"/>
                <w:szCs w:val="18"/>
              </w:rPr>
              <w:t>Constrained</w:t>
            </w:r>
          </w:p>
        </w:tc>
        <w:tc>
          <w:tcPr>
            <w:tcW w:w="1080" w:type="dxa"/>
            <w:shd w:val="clear" w:color="auto" w:fill="auto"/>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RPS + Gas</w:t>
            </w:r>
          </w:p>
        </w:tc>
        <w:tc>
          <w:tcPr>
            <w:tcW w:w="95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Pr>
                <w:rFonts w:asciiTheme="minorHAnsi" w:eastAsia="Calibri" w:hAnsiTheme="minorHAnsi"/>
                <w:sz w:val="18"/>
                <w:szCs w:val="18"/>
              </w:rPr>
              <w:t>−</w:t>
            </w:r>
            <w:r w:rsidRPr="00526C8B">
              <w:rPr>
                <w:rFonts w:asciiTheme="minorHAnsi" w:eastAsia="Calibri" w:hAnsiTheme="minorHAnsi"/>
                <w:sz w:val="18"/>
                <w:szCs w:val="18"/>
              </w:rPr>
              <w:t>200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338</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104</w:t>
            </w:r>
          </w:p>
        </w:tc>
        <w:tc>
          <w:tcPr>
            <w:tcW w:w="722"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695</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83"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0"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7"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b/>
                <w:sz w:val="18"/>
                <w:szCs w:val="18"/>
              </w:rPr>
            </w:pPr>
            <w:r w:rsidRPr="00526C8B">
              <w:rPr>
                <w:rFonts w:asciiTheme="minorHAnsi" w:eastAsia="Calibri" w:hAnsiTheme="minorHAnsi"/>
                <w:sz w:val="18"/>
                <w:szCs w:val="18"/>
              </w:rPr>
              <w:t>937</w:t>
            </w:r>
          </w:p>
        </w:tc>
      </w:tr>
      <w:tr w:rsidR="00D75C33" w:rsidRPr="00FA2BC0" w:rsidTr="00737F69">
        <w:trPr>
          <w:jc w:val="center"/>
        </w:trPr>
        <w:tc>
          <w:tcPr>
            <w:tcW w:w="1575" w:type="dxa"/>
            <w:vMerge/>
            <w:shd w:val="clear" w:color="auto" w:fill="auto"/>
            <w:vAlign w:val="center"/>
          </w:tcPr>
          <w:p w:rsidR="00D75C33" w:rsidRPr="00FA2BC0" w:rsidRDefault="00D75C33" w:rsidP="00526C8B">
            <w:pPr>
              <w:keepNext/>
              <w:keepLines/>
              <w:spacing w:before="40" w:after="40" w:line="240" w:lineRule="auto"/>
              <w:jc w:val="center"/>
              <w:rPr>
                <w:rFonts w:asciiTheme="minorHAnsi" w:eastAsia="Calibri" w:hAnsiTheme="minorHAnsi"/>
                <w:b/>
                <w:sz w:val="18"/>
                <w:szCs w:val="18"/>
              </w:rPr>
            </w:pPr>
          </w:p>
        </w:tc>
        <w:tc>
          <w:tcPr>
            <w:tcW w:w="1080" w:type="dxa"/>
            <w:shd w:val="clear" w:color="auto" w:fill="auto"/>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ISO Queue</w:t>
            </w:r>
          </w:p>
        </w:tc>
        <w:tc>
          <w:tcPr>
            <w:tcW w:w="95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Pr>
                <w:rFonts w:asciiTheme="minorHAnsi" w:eastAsia="Calibri" w:hAnsiTheme="minorHAnsi"/>
                <w:sz w:val="18"/>
                <w:szCs w:val="18"/>
              </w:rPr>
              <w:t>−</w:t>
            </w:r>
            <w:r w:rsidRPr="00526C8B">
              <w:rPr>
                <w:rFonts w:asciiTheme="minorHAnsi" w:eastAsia="Calibri" w:hAnsiTheme="minorHAnsi"/>
                <w:sz w:val="18"/>
                <w:szCs w:val="18"/>
              </w:rPr>
              <w:t>316</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1,383</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2"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1,223</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194</w:t>
            </w:r>
          </w:p>
        </w:tc>
        <w:tc>
          <w:tcPr>
            <w:tcW w:w="883"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0"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7"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b/>
                <w:sz w:val="18"/>
                <w:szCs w:val="18"/>
              </w:rPr>
            </w:pPr>
            <w:r w:rsidRPr="00526C8B">
              <w:rPr>
                <w:rFonts w:asciiTheme="minorHAnsi" w:eastAsia="Calibri" w:hAnsiTheme="minorHAnsi"/>
                <w:sz w:val="18"/>
                <w:szCs w:val="18"/>
              </w:rPr>
              <w:t>2,485</w:t>
            </w:r>
          </w:p>
        </w:tc>
      </w:tr>
      <w:tr w:rsidR="00D75C33" w:rsidRPr="00FA2BC0" w:rsidTr="00737F69">
        <w:trPr>
          <w:jc w:val="center"/>
        </w:trPr>
        <w:tc>
          <w:tcPr>
            <w:tcW w:w="1575" w:type="dxa"/>
            <w:vMerge/>
            <w:shd w:val="clear" w:color="auto" w:fill="auto"/>
            <w:vAlign w:val="center"/>
          </w:tcPr>
          <w:p w:rsidR="00D75C33" w:rsidRPr="00FA2BC0" w:rsidRDefault="00D75C33" w:rsidP="00526C8B">
            <w:pPr>
              <w:keepNext/>
              <w:keepLines/>
              <w:spacing w:before="40" w:after="40" w:line="240" w:lineRule="auto"/>
              <w:jc w:val="center"/>
              <w:rPr>
                <w:rFonts w:asciiTheme="minorHAnsi" w:eastAsia="Calibri" w:hAnsiTheme="minorHAnsi"/>
                <w:b/>
                <w:sz w:val="18"/>
                <w:szCs w:val="18"/>
              </w:rPr>
            </w:pPr>
          </w:p>
        </w:tc>
        <w:tc>
          <w:tcPr>
            <w:tcW w:w="1080" w:type="dxa"/>
            <w:shd w:val="clear" w:color="auto" w:fill="auto"/>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Renew Plus</w:t>
            </w:r>
          </w:p>
        </w:tc>
        <w:tc>
          <w:tcPr>
            <w:tcW w:w="95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Pr>
                <w:rFonts w:asciiTheme="minorHAnsi" w:eastAsia="Calibri" w:hAnsiTheme="minorHAnsi"/>
                <w:sz w:val="18"/>
                <w:szCs w:val="18"/>
              </w:rPr>
              <w:t>−</w:t>
            </w:r>
            <w:r w:rsidRPr="00526C8B">
              <w:rPr>
                <w:rFonts w:asciiTheme="minorHAnsi" w:eastAsia="Calibri" w:hAnsiTheme="minorHAnsi"/>
                <w:sz w:val="18"/>
                <w:szCs w:val="18"/>
              </w:rPr>
              <w:t>1,387</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675</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450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2"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1,046</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974</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1,815</w:t>
            </w:r>
          </w:p>
        </w:tc>
        <w:tc>
          <w:tcPr>
            <w:tcW w:w="883"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432</w:t>
            </w:r>
          </w:p>
        </w:tc>
        <w:tc>
          <w:tcPr>
            <w:tcW w:w="810"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180</w:t>
            </w:r>
          </w:p>
        </w:tc>
        <w:tc>
          <w:tcPr>
            <w:tcW w:w="817"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b/>
                <w:sz w:val="18"/>
                <w:szCs w:val="18"/>
              </w:rPr>
            </w:pPr>
            <w:r w:rsidRPr="00526C8B">
              <w:rPr>
                <w:rFonts w:asciiTheme="minorHAnsi" w:eastAsia="Calibri" w:hAnsiTheme="minorHAnsi"/>
                <w:sz w:val="18"/>
                <w:szCs w:val="18"/>
              </w:rPr>
              <w:t>4,185</w:t>
            </w:r>
          </w:p>
        </w:tc>
      </w:tr>
      <w:tr w:rsidR="00D75C33" w:rsidRPr="00FA2BC0" w:rsidTr="00737F69">
        <w:trPr>
          <w:jc w:val="center"/>
        </w:trPr>
        <w:tc>
          <w:tcPr>
            <w:tcW w:w="1575" w:type="dxa"/>
            <w:vMerge/>
            <w:shd w:val="clear" w:color="auto" w:fill="auto"/>
            <w:vAlign w:val="center"/>
          </w:tcPr>
          <w:p w:rsidR="00D75C33" w:rsidRPr="00FA2BC0" w:rsidRDefault="00D75C33" w:rsidP="00526C8B">
            <w:pPr>
              <w:keepNext/>
              <w:keepLines/>
              <w:spacing w:before="40" w:after="40" w:line="240" w:lineRule="auto"/>
              <w:jc w:val="center"/>
              <w:rPr>
                <w:rFonts w:asciiTheme="minorHAnsi" w:eastAsia="Calibri" w:hAnsiTheme="minorHAnsi"/>
                <w:b/>
                <w:sz w:val="18"/>
                <w:szCs w:val="18"/>
              </w:rPr>
            </w:pPr>
          </w:p>
        </w:tc>
        <w:tc>
          <w:tcPr>
            <w:tcW w:w="1080" w:type="dxa"/>
            <w:shd w:val="clear" w:color="auto" w:fill="auto"/>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No Retire</w:t>
            </w:r>
          </w:p>
        </w:tc>
        <w:tc>
          <w:tcPr>
            <w:tcW w:w="95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2"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83"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0"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7"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b/>
                <w:sz w:val="18"/>
                <w:szCs w:val="18"/>
              </w:rPr>
            </w:pPr>
            <w:r w:rsidRPr="00526C8B">
              <w:rPr>
                <w:rFonts w:asciiTheme="minorHAnsi" w:eastAsia="Calibri" w:hAnsiTheme="minorHAnsi"/>
                <w:sz w:val="18"/>
                <w:szCs w:val="18"/>
              </w:rPr>
              <w:t>0</w:t>
            </w:r>
          </w:p>
        </w:tc>
      </w:tr>
      <w:tr w:rsidR="00D75C33" w:rsidRPr="00FA2BC0" w:rsidTr="00737F69">
        <w:trPr>
          <w:jc w:val="center"/>
        </w:trPr>
        <w:tc>
          <w:tcPr>
            <w:tcW w:w="1575" w:type="dxa"/>
            <w:vMerge/>
            <w:shd w:val="clear" w:color="auto" w:fill="auto"/>
            <w:vAlign w:val="center"/>
          </w:tcPr>
          <w:p w:rsidR="00D75C33" w:rsidRPr="00FA2BC0" w:rsidRDefault="00D75C33" w:rsidP="00526C8B">
            <w:pPr>
              <w:keepNext/>
              <w:keepLines/>
              <w:spacing w:before="40" w:after="40" w:line="240" w:lineRule="auto"/>
              <w:jc w:val="center"/>
              <w:rPr>
                <w:rFonts w:asciiTheme="minorHAnsi" w:eastAsia="Calibri" w:hAnsiTheme="minorHAnsi"/>
                <w:b/>
                <w:sz w:val="18"/>
                <w:szCs w:val="18"/>
              </w:rPr>
            </w:pPr>
          </w:p>
        </w:tc>
        <w:tc>
          <w:tcPr>
            <w:tcW w:w="1080" w:type="dxa"/>
            <w:shd w:val="clear" w:color="auto" w:fill="auto"/>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ACP + Gas</w:t>
            </w:r>
          </w:p>
        </w:tc>
        <w:tc>
          <w:tcPr>
            <w:tcW w:w="95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Pr>
                <w:rFonts w:asciiTheme="minorHAnsi" w:eastAsia="Calibri" w:hAnsiTheme="minorHAnsi"/>
                <w:sz w:val="18"/>
                <w:szCs w:val="18"/>
              </w:rPr>
              <w:t>−</w:t>
            </w:r>
            <w:r w:rsidRPr="00526C8B">
              <w:rPr>
                <w:rFonts w:asciiTheme="minorHAnsi" w:eastAsia="Calibri" w:hAnsiTheme="minorHAnsi"/>
                <w:sz w:val="18"/>
                <w:szCs w:val="18"/>
              </w:rPr>
              <w:t>10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182</w:t>
            </w:r>
          </w:p>
        </w:tc>
        <w:tc>
          <w:tcPr>
            <w:tcW w:w="722"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83"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0"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7"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b/>
                <w:sz w:val="18"/>
                <w:szCs w:val="18"/>
              </w:rPr>
            </w:pPr>
            <w:r w:rsidRPr="00526C8B">
              <w:rPr>
                <w:rFonts w:asciiTheme="minorHAnsi" w:eastAsia="Calibri" w:hAnsiTheme="minorHAnsi"/>
                <w:sz w:val="18"/>
                <w:szCs w:val="18"/>
              </w:rPr>
              <w:t>172</w:t>
            </w:r>
          </w:p>
        </w:tc>
      </w:tr>
      <w:tr w:rsidR="00D75C33" w:rsidRPr="00FA2BC0" w:rsidTr="00737F69">
        <w:trPr>
          <w:jc w:val="center"/>
        </w:trPr>
        <w:tc>
          <w:tcPr>
            <w:tcW w:w="1575" w:type="dxa"/>
            <w:vMerge/>
            <w:shd w:val="clear" w:color="auto" w:fill="auto"/>
            <w:vAlign w:val="center"/>
          </w:tcPr>
          <w:p w:rsidR="00D75C33" w:rsidRPr="00FA2BC0" w:rsidRDefault="00D75C33" w:rsidP="00526C8B">
            <w:pPr>
              <w:keepNext/>
              <w:keepLines/>
              <w:adjustRightInd/>
              <w:spacing w:before="40" w:after="40" w:line="240" w:lineRule="auto"/>
              <w:jc w:val="center"/>
              <w:textAlignment w:val="auto"/>
              <w:rPr>
                <w:rFonts w:asciiTheme="minorHAnsi" w:eastAsia="Calibri" w:hAnsiTheme="minorHAnsi"/>
                <w:b/>
                <w:sz w:val="18"/>
                <w:szCs w:val="18"/>
              </w:rPr>
            </w:pPr>
          </w:p>
        </w:tc>
        <w:tc>
          <w:tcPr>
            <w:tcW w:w="1080" w:type="dxa"/>
            <w:shd w:val="clear" w:color="auto" w:fill="auto"/>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RPS + Geo Renew</w:t>
            </w:r>
          </w:p>
        </w:tc>
        <w:tc>
          <w:tcPr>
            <w:tcW w:w="95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Pr>
                <w:rFonts w:asciiTheme="minorHAnsi" w:eastAsia="Calibri" w:hAnsiTheme="minorHAnsi"/>
                <w:sz w:val="18"/>
                <w:szCs w:val="18"/>
              </w:rPr>
              <w:t>−</w:t>
            </w:r>
            <w:r w:rsidRPr="00526C8B">
              <w:rPr>
                <w:rFonts w:asciiTheme="minorHAnsi" w:eastAsia="Calibri" w:hAnsiTheme="minorHAnsi"/>
                <w:sz w:val="18"/>
                <w:szCs w:val="18"/>
              </w:rPr>
              <w:t>490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550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2"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398</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1,237</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560</w:t>
            </w:r>
          </w:p>
        </w:tc>
        <w:tc>
          <w:tcPr>
            <w:tcW w:w="883"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0"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7"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b/>
                <w:sz w:val="18"/>
                <w:szCs w:val="18"/>
              </w:rPr>
            </w:pPr>
            <w:r w:rsidRPr="00526C8B">
              <w:rPr>
                <w:rFonts w:asciiTheme="minorHAnsi" w:eastAsia="Calibri" w:hAnsiTheme="minorHAnsi"/>
                <w:sz w:val="18"/>
                <w:szCs w:val="18"/>
              </w:rPr>
              <w:t>2,255</w:t>
            </w:r>
          </w:p>
        </w:tc>
      </w:tr>
      <w:tr w:rsidR="00D75C33" w:rsidRPr="00FA2BC0" w:rsidTr="00737F69">
        <w:trPr>
          <w:jc w:val="center"/>
        </w:trPr>
        <w:tc>
          <w:tcPr>
            <w:tcW w:w="1575" w:type="dxa"/>
            <w:vMerge w:val="restart"/>
            <w:shd w:val="clear" w:color="auto" w:fill="DBE5F1" w:themeFill="accent1" w:themeFillTint="33"/>
            <w:vAlign w:val="center"/>
          </w:tcPr>
          <w:p w:rsidR="00D75C33" w:rsidRPr="00FA2BC0" w:rsidRDefault="00D75C33" w:rsidP="00526C8B">
            <w:pPr>
              <w:keepNext/>
              <w:keepLines/>
              <w:adjustRightInd/>
              <w:spacing w:before="40" w:after="40" w:line="240" w:lineRule="auto"/>
              <w:jc w:val="center"/>
              <w:textAlignment w:val="auto"/>
              <w:rPr>
                <w:rFonts w:asciiTheme="minorHAnsi" w:eastAsia="Calibri" w:hAnsiTheme="minorHAnsi"/>
                <w:b/>
                <w:sz w:val="18"/>
                <w:szCs w:val="18"/>
              </w:rPr>
            </w:pPr>
            <w:r>
              <w:rPr>
                <w:rFonts w:asciiTheme="minorHAnsi" w:eastAsia="Calibri" w:hAnsiTheme="minorHAnsi"/>
                <w:b/>
                <w:sz w:val="18"/>
                <w:szCs w:val="18"/>
              </w:rPr>
              <w:t xml:space="preserve">2025 </w:t>
            </w:r>
            <w:r w:rsidRPr="00FA2BC0">
              <w:rPr>
                <w:rFonts w:asciiTheme="minorHAnsi" w:eastAsia="Calibri" w:hAnsiTheme="minorHAnsi"/>
                <w:b/>
                <w:sz w:val="18"/>
                <w:szCs w:val="18"/>
              </w:rPr>
              <w:t>Unconstrained</w:t>
            </w:r>
          </w:p>
        </w:tc>
        <w:tc>
          <w:tcPr>
            <w:tcW w:w="1080" w:type="dxa"/>
            <w:shd w:val="clear" w:color="auto" w:fill="DBE5F1" w:themeFill="accent1" w:themeFillTint="33"/>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RPS + Gas</w:t>
            </w:r>
          </w:p>
        </w:tc>
        <w:tc>
          <w:tcPr>
            <w:tcW w:w="95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Pr>
                <w:rFonts w:asciiTheme="minorHAnsi" w:eastAsia="Calibri" w:hAnsiTheme="minorHAnsi"/>
                <w:sz w:val="18"/>
                <w:szCs w:val="18"/>
              </w:rPr>
              <w:t>−</w:t>
            </w:r>
            <w:r w:rsidRPr="00526C8B">
              <w:rPr>
                <w:rFonts w:asciiTheme="minorHAnsi" w:eastAsia="Calibri" w:hAnsiTheme="minorHAnsi"/>
                <w:sz w:val="18"/>
                <w:szCs w:val="18"/>
              </w:rPr>
              <w:t>280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1,170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104</w:t>
            </w:r>
          </w:p>
        </w:tc>
        <w:tc>
          <w:tcPr>
            <w:tcW w:w="722"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695</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83"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0"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7"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b/>
                <w:sz w:val="18"/>
                <w:szCs w:val="18"/>
              </w:rPr>
            </w:pPr>
            <w:r w:rsidRPr="00526C8B">
              <w:rPr>
                <w:rFonts w:asciiTheme="minorHAnsi" w:eastAsia="Calibri" w:hAnsiTheme="minorHAnsi"/>
                <w:sz w:val="18"/>
                <w:szCs w:val="18"/>
              </w:rPr>
              <w:t>1,690</w:t>
            </w:r>
          </w:p>
        </w:tc>
      </w:tr>
      <w:tr w:rsidR="00D75C33" w:rsidRPr="00FA2BC0" w:rsidTr="00737F69">
        <w:trPr>
          <w:jc w:val="center"/>
        </w:trPr>
        <w:tc>
          <w:tcPr>
            <w:tcW w:w="1575" w:type="dxa"/>
            <w:vMerge/>
            <w:shd w:val="clear" w:color="auto" w:fill="DBE5F1" w:themeFill="accent1" w:themeFillTint="33"/>
            <w:vAlign w:val="center"/>
          </w:tcPr>
          <w:p w:rsidR="00D75C33" w:rsidRPr="00FA2BC0" w:rsidRDefault="00D75C33" w:rsidP="00526C8B">
            <w:pPr>
              <w:keepNext/>
              <w:keepLines/>
              <w:spacing w:before="40" w:after="40" w:line="240" w:lineRule="auto"/>
              <w:jc w:val="center"/>
              <w:rPr>
                <w:rFonts w:asciiTheme="minorHAnsi" w:eastAsia="Calibri" w:hAnsiTheme="minorHAnsi"/>
                <w:b/>
                <w:sz w:val="18"/>
                <w:szCs w:val="18"/>
              </w:rPr>
            </w:pPr>
          </w:p>
        </w:tc>
        <w:tc>
          <w:tcPr>
            <w:tcW w:w="1080" w:type="dxa"/>
            <w:shd w:val="clear" w:color="auto" w:fill="DBE5F1" w:themeFill="accent1" w:themeFillTint="33"/>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ISO Queue</w:t>
            </w:r>
          </w:p>
        </w:tc>
        <w:tc>
          <w:tcPr>
            <w:tcW w:w="95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Pr>
                <w:rFonts w:asciiTheme="minorHAnsi" w:eastAsia="Calibri" w:hAnsiTheme="minorHAnsi"/>
                <w:sz w:val="18"/>
                <w:szCs w:val="18"/>
              </w:rPr>
              <w:t>−</w:t>
            </w:r>
            <w:r w:rsidRPr="00526C8B">
              <w:rPr>
                <w:rFonts w:asciiTheme="minorHAnsi" w:eastAsia="Calibri" w:hAnsiTheme="minorHAnsi"/>
                <w:sz w:val="18"/>
                <w:szCs w:val="18"/>
              </w:rPr>
              <w:t>514</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4,500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2"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1,223</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194</w:t>
            </w:r>
          </w:p>
        </w:tc>
        <w:tc>
          <w:tcPr>
            <w:tcW w:w="883"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0"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7"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b/>
                <w:sz w:val="18"/>
                <w:szCs w:val="18"/>
              </w:rPr>
            </w:pPr>
            <w:r w:rsidRPr="00526C8B">
              <w:rPr>
                <w:rFonts w:asciiTheme="minorHAnsi" w:eastAsia="Calibri" w:hAnsiTheme="minorHAnsi"/>
                <w:sz w:val="18"/>
                <w:szCs w:val="18"/>
              </w:rPr>
              <w:t>5,402</w:t>
            </w:r>
          </w:p>
        </w:tc>
      </w:tr>
      <w:tr w:rsidR="00D75C33" w:rsidRPr="00FA2BC0" w:rsidTr="00737F69">
        <w:trPr>
          <w:jc w:val="center"/>
        </w:trPr>
        <w:tc>
          <w:tcPr>
            <w:tcW w:w="1575" w:type="dxa"/>
            <w:vMerge/>
            <w:shd w:val="clear" w:color="auto" w:fill="DBE5F1" w:themeFill="accent1" w:themeFillTint="33"/>
            <w:vAlign w:val="center"/>
          </w:tcPr>
          <w:p w:rsidR="00D75C33" w:rsidRPr="00FA2BC0" w:rsidRDefault="00D75C33" w:rsidP="00526C8B">
            <w:pPr>
              <w:keepNext/>
              <w:keepLines/>
              <w:spacing w:before="40" w:after="40" w:line="240" w:lineRule="auto"/>
              <w:jc w:val="center"/>
              <w:rPr>
                <w:rFonts w:asciiTheme="minorHAnsi" w:eastAsia="Calibri" w:hAnsiTheme="minorHAnsi"/>
                <w:b/>
                <w:sz w:val="18"/>
                <w:szCs w:val="18"/>
              </w:rPr>
            </w:pPr>
          </w:p>
        </w:tc>
        <w:tc>
          <w:tcPr>
            <w:tcW w:w="1080" w:type="dxa"/>
            <w:shd w:val="clear" w:color="auto" w:fill="DBE5F1" w:themeFill="accent1" w:themeFillTint="33"/>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Renew Plus</w:t>
            </w:r>
          </w:p>
        </w:tc>
        <w:tc>
          <w:tcPr>
            <w:tcW w:w="95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Pr>
                <w:rFonts w:asciiTheme="minorHAnsi" w:eastAsia="Calibri" w:hAnsiTheme="minorHAnsi"/>
                <w:sz w:val="18"/>
                <w:szCs w:val="18"/>
              </w:rPr>
              <w:t>−</w:t>
            </w:r>
            <w:r w:rsidRPr="00526C8B">
              <w:rPr>
                <w:rFonts w:asciiTheme="minorHAnsi" w:eastAsia="Calibri" w:hAnsiTheme="minorHAnsi"/>
                <w:sz w:val="18"/>
                <w:szCs w:val="18"/>
              </w:rPr>
              <w:t>1,531</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1,500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450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2"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1,046</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974</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1,815</w:t>
            </w:r>
          </w:p>
        </w:tc>
        <w:tc>
          <w:tcPr>
            <w:tcW w:w="883"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432</w:t>
            </w:r>
          </w:p>
        </w:tc>
        <w:tc>
          <w:tcPr>
            <w:tcW w:w="810"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180</w:t>
            </w:r>
          </w:p>
        </w:tc>
        <w:tc>
          <w:tcPr>
            <w:tcW w:w="817"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b/>
                <w:sz w:val="18"/>
                <w:szCs w:val="18"/>
              </w:rPr>
            </w:pPr>
            <w:r w:rsidRPr="00526C8B">
              <w:rPr>
                <w:rFonts w:asciiTheme="minorHAnsi" w:eastAsia="Calibri" w:hAnsiTheme="minorHAnsi"/>
                <w:sz w:val="18"/>
                <w:szCs w:val="18"/>
              </w:rPr>
              <w:t>4,866</w:t>
            </w:r>
          </w:p>
        </w:tc>
      </w:tr>
      <w:tr w:rsidR="00D75C33" w:rsidRPr="00FA2BC0" w:rsidTr="00737F69">
        <w:trPr>
          <w:jc w:val="center"/>
        </w:trPr>
        <w:tc>
          <w:tcPr>
            <w:tcW w:w="1575" w:type="dxa"/>
            <w:vMerge/>
            <w:shd w:val="clear" w:color="auto" w:fill="DBE5F1" w:themeFill="accent1" w:themeFillTint="33"/>
            <w:vAlign w:val="center"/>
          </w:tcPr>
          <w:p w:rsidR="00D75C33" w:rsidRPr="00FA2BC0" w:rsidRDefault="00D75C33" w:rsidP="00526C8B">
            <w:pPr>
              <w:keepNext/>
              <w:keepLines/>
              <w:spacing w:before="40" w:after="40" w:line="240" w:lineRule="auto"/>
              <w:jc w:val="center"/>
              <w:rPr>
                <w:rFonts w:asciiTheme="minorHAnsi" w:eastAsia="Calibri" w:hAnsiTheme="minorHAnsi"/>
                <w:b/>
                <w:sz w:val="18"/>
                <w:szCs w:val="18"/>
              </w:rPr>
            </w:pPr>
          </w:p>
        </w:tc>
        <w:tc>
          <w:tcPr>
            <w:tcW w:w="1080" w:type="dxa"/>
            <w:shd w:val="clear" w:color="auto" w:fill="DBE5F1" w:themeFill="accent1" w:themeFillTint="33"/>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No Retire</w:t>
            </w:r>
          </w:p>
        </w:tc>
        <w:tc>
          <w:tcPr>
            <w:tcW w:w="95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2"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83"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0"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7"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b/>
                <w:sz w:val="18"/>
                <w:szCs w:val="18"/>
              </w:rPr>
            </w:pPr>
            <w:r w:rsidRPr="00526C8B">
              <w:rPr>
                <w:rFonts w:asciiTheme="minorHAnsi" w:eastAsia="Calibri" w:hAnsiTheme="minorHAnsi"/>
                <w:sz w:val="18"/>
                <w:szCs w:val="18"/>
              </w:rPr>
              <w:t>0</w:t>
            </w:r>
          </w:p>
        </w:tc>
      </w:tr>
      <w:tr w:rsidR="00D75C33" w:rsidRPr="00FA2BC0" w:rsidTr="00737F69">
        <w:trPr>
          <w:jc w:val="center"/>
        </w:trPr>
        <w:tc>
          <w:tcPr>
            <w:tcW w:w="1575" w:type="dxa"/>
            <w:vMerge/>
            <w:shd w:val="clear" w:color="auto" w:fill="DBE5F1" w:themeFill="accent1" w:themeFillTint="33"/>
            <w:vAlign w:val="center"/>
          </w:tcPr>
          <w:p w:rsidR="00D75C33" w:rsidRPr="00FA2BC0" w:rsidRDefault="00D75C33" w:rsidP="00526C8B">
            <w:pPr>
              <w:keepNext/>
              <w:keepLines/>
              <w:spacing w:before="40" w:after="40" w:line="240" w:lineRule="auto"/>
              <w:jc w:val="center"/>
              <w:rPr>
                <w:rFonts w:asciiTheme="minorHAnsi" w:eastAsia="Calibri" w:hAnsiTheme="minorHAnsi"/>
                <w:b/>
                <w:sz w:val="18"/>
                <w:szCs w:val="18"/>
              </w:rPr>
            </w:pPr>
          </w:p>
        </w:tc>
        <w:tc>
          <w:tcPr>
            <w:tcW w:w="1080" w:type="dxa"/>
            <w:shd w:val="clear" w:color="auto" w:fill="DBE5F1" w:themeFill="accent1" w:themeFillTint="33"/>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ACP + Gas</w:t>
            </w:r>
          </w:p>
        </w:tc>
        <w:tc>
          <w:tcPr>
            <w:tcW w:w="95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Pr>
                <w:rFonts w:asciiTheme="minorHAnsi" w:eastAsia="Calibri" w:hAnsiTheme="minorHAnsi"/>
                <w:sz w:val="18"/>
                <w:szCs w:val="18"/>
              </w:rPr>
              <w:t>−</w:t>
            </w:r>
            <w:r w:rsidRPr="00526C8B">
              <w:rPr>
                <w:rFonts w:asciiTheme="minorHAnsi" w:eastAsia="Calibri" w:hAnsiTheme="minorHAnsi"/>
                <w:sz w:val="18"/>
                <w:szCs w:val="18"/>
              </w:rPr>
              <w:t>13</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182</w:t>
            </w:r>
          </w:p>
        </w:tc>
        <w:tc>
          <w:tcPr>
            <w:tcW w:w="722"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83"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0"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7"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b/>
                <w:sz w:val="18"/>
                <w:szCs w:val="18"/>
              </w:rPr>
            </w:pPr>
            <w:r w:rsidRPr="00526C8B">
              <w:rPr>
                <w:rFonts w:asciiTheme="minorHAnsi" w:eastAsia="Calibri" w:hAnsiTheme="minorHAnsi"/>
                <w:sz w:val="18"/>
                <w:szCs w:val="18"/>
              </w:rPr>
              <w:t>169</w:t>
            </w:r>
          </w:p>
        </w:tc>
      </w:tr>
      <w:tr w:rsidR="00D75C33" w:rsidRPr="00FA2BC0" w:rsidTr="00737F69">
        <w:trPr>
          <w:jc w:val="center"/>
        </w:trPr>
        <w:tc>
          <w:tcPr>
            <w:tcW w:w="1575" w:type="dxa"/>
            <w:vMerge/>
            <w:shd w:val="clear" w:color="auto" w:fill="DBE5F1" w:themeFill="accent1" w:themeFillTint="33"/>
            <w:vAlign w:val="center"/>
          </w:tcPr>
          <w:p w:rsidR="00D75C33" w:rsidRPr="00FA2BC0" w:rsidRDefault="00D75C33" w:rsidP="00526C8B">
            <w:pPr>
              <w:keepNext/>
              <w:keepLines/>
              <w:adjustRightInd/>
              <w:spacing w:before="40" w:after="40" w:line="240" w:lineRule="auto"/>
              <w:jc w:val="center"/>
              <w:textAlignment w:val="auto"/>
              <w:rPr>
                <w:rFonts w:asciiTheme="minorHAnsi" w:eastAsia="Calibri" w:hAnsiTheme="minorHAnsi"/>
                <w:b/>
                <w:sz w:val="18"/>
                <w:szCs w:val="18"/>
              </w:rPr>
            </w:pPr>
          </w:p>
        </w:tc>
        <w:tc>
          <w:tcPr>
            <w:tcW w:w="1080" w:type="dxa"/>
            <w:shd w:val="clear" w:color="auto" w:fill="DBE5F1" w:themeFill="accent1" w:themeFillTint="33"/>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RPSs + Geo Renew</w:t>
            </w:r>
          </w:p>
        </w:tc>
        <w:tc>
          <w:tcPr>
            <w:tcW w:w="95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Pr>
                <w:rFonts w:asciiTheme="minorHAnsi" w:eastAsia="Calibri" w:hAnsiTheme="minorHAnsi"/>
                <w:sz w:val="18"/>
                <w:szCs w:val="18"/>
              </w:rPr>
              <w:t>−</w:t>
            </w:r>
            <w:r w:rsidRPr="00526C8B">
              <w:rPr>
                <w:rFonts w:asciiTheme="minorHAnsi" w:eastAsia="Calibri" w:hAnsiTheme="minorHAnsi"/>
                <w:sz w:val="18"/>
                <w:szCs w:val="18"/>
              </w:rPr>
              <w:t>529</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1,800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2"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398</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1,237</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560</w:t>
            </w:r>
          </w:p>
        </w:tc>
        <w:tc>
          <w:tcPr>
            <w:tcW w:w="883"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0"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7"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b/>
                <w:sz w:val="18"/>
                <w:szCs w:val="18"/>
              </w:rPr>
            </w:pPr>
            <w:r w:rsidRPr="00526C8B">
              <w:rPr>
                <w:rFonts w:asciiTheme="minorHAnsi" w:eastAsia="Calibri" w:hAnsiTheme="minorHAnsi"/>
                <w:sz w:val="18"/>
                <w:szCs w:val="18"/>
              </w:rPr>
              <w:t>3,466</w:t>
            </w:r>
          </w:p>
        </w:tc>
      </w:tr>
      <w:tr w:rsidR="00D75C33" w:rsidRPr="00FA2BC0" w:rsidTr="00737F69">
        <w:trPr>
          <w:jc w:val="center"/>
        </w:trPr>
        <w:tc>
          <w:tcPr>
            <w:tcW w:w="1575" w:type="dxa"/>
            <w:vMerge w:val="restart"/>
            <w:shd w:val="clear" w:color="auto" w:fill="auto"/>
            <w:vAlign w:val="center"/>
          </w:tcPr>
          <w:p w:rsidR="00D75C33" w:rsidRPr="00FA2BC0" w:rsidRDefault="00D75C33" w:rsidP="00526C8B">
            <w:pPr>
              <w:keepNext/>
              <w:keepLines/>
              <w:adjustRightInd/>
              <w:spacing w:before="40" w:after="40" w:line="240" w:lineRule="auto"/>
              <w:jc w:val="center"/>
              <w:textAlignment w:val="auto"/>
              <w:rPr>
                <w:rFonts w:asciiTheme="minorHAnsi" w:eastAsia="Calibri" w:hAnsiTheme="minorHAnsi"/>
                <w:b/>
                <w:sz w:val="18"/>
                <w:szCs w:val="18"/>
              </w:rPr>
            </w:pPr>
            <w:r>
              <w:rPr>
                <w:rFonts w:asciiTheme="minorHAnsi" w:eastAsia="Calibri" w:hAnsiTheme="minorHAnsi"/>
                <w:b/>
                <w:sz w:val="18"/>
                <w:szCs w:val="18"/>
              </w:rPr>
              <w:t xml:space="preserve">2030 </w:t>
            </w:r>
            <w:r w:rsidRPr="00FA2BC0">
              <w:rPr>
                <w:rFonts w:asciiTheme="minorHAnsi" w:eastAsia="Calibri" w:hAnsiTheme="minorHAnsi"/>
                <w:b/>
                <w:sz w:val="18"/>
                <w:szCs w:val="18"/>
              </w:rPr>
              <w:t>Constrained</w:t>
            </w:r>
          </w:p>
        </w:tc>
        <w:tc>
          <w:tcPr>
            <w:tcW w:w="1080" w:type="dxa"/>
            <w:shd w:val="clear" w:color="auto" w:fill="auto"/>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RPS + Gas</w:t>
            </w:r>
          </w:p>
        </w:tc>
        <w:tc>
          <w:tcPr>
            <w:tcW w:w="95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Pr>
                <w:rFonts w:asciiTheme="minorHAnsi" w:eastAsia="Calibri" w:hAnsiTheme="minorHAnsi"/>
                <w:sz w:val="18"/>
                <w:szCs w:val="18"/>
              </w:rPr>
              <w:t>−</w:t>
            </w:r>
            <w:r w:rsidRPr="00526C8B">
              <w:rPr>
                <w:rFonts w:asciiTheme="minorHAnsi" w:eastAsia="Calibri" w:hAnsiTheme="minorHAnsi"/>
                <w:sz w:val="18"/>
                <w:szCs w:val="18"/>
              </w:rPr>
              <w:t>299</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338</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659</w:t>
            </w:r>
          </w:p>
        </w:tc>
        <w:tc>
          <w:tcPr>
            <w:tcW w:w="722"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981</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83"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0"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7"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b/>
                <w:sz w:val="18"/>
                <w:szCs w:val="18"/>
              </w:rPr>
            </w:pPr>
            <w:r w:rsidRPr="00526C8B">
              <w:rPr>
                <w:rFonts w:asciiTheme="minorHAnsi" w:eastAsia="Calibri" w:hAnsiTheme="minorHAnsi"/>
                <w:sz w:val="18"/>
                <w:szCs w:val="18"/>
              </w:rPr>
              <w:t>1,679</w:t>
            </w:r>
          </w:p>
        </w:tc>
      </w:tr>
      <w:tr w:rsidR="00D75C33" w:rsidRPr="00FA2BC0" w:rsidTr="00737F69">
        <w:trPr>
          <w:jc w:val="center"/>
        </w:trPr>
        <w:tc>
          <w:tcPr>
            <w:tcW w:w="1575" w:type="dxa"/>
            <w:vMerge/>
            <w:shd w:val="clear" w:color="auto" w:fill="auto"/>
            <w:vAlign w:val="center"/>
          </w:tcPr>
          <w:p w:rsidR="00D75C33" w:rsidRPr="00FA2BC0" w:rsidRDefault="00D75C33" w:rsidP="00526C8B">
            <w:pPr>
              <w:keepNext/>
              <w:keepLines/>
              <w:spacing w:before="40" w:after="40" w:line="240" w:lineRule="auto"/>
              <w:jc w:val="center"/>
              <w:rPr>
                <w:rFonts w:asciiTheme="minorHAnsi" w:eastAsia="Calibri" w:hAnsiTheme="minorHAnsi"/>
                <w:b/>
                <w:sz w:val="18"/>
                <w:szCs w:val="18"/>
              </w:rPr>
            </w:pPr>
          </w:p>
        </w:tc>
        <w:tc>
          <w:tcPr>
            <w:tcW w:w="1080" w:type="dxa"/>
            <w:shd w:val="clear" w:color="auto" w:fill="auto"/>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ISO Queue</w:t>
            </w:r>
          </w:p>
        </w:tc>
        <w:tc>
          <w:tcPr>
            <w:tcW w:w="95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Pr>
                <w:rFonts w:asciiTheme="minorHAnsi" w:eastAsia="Calibri" w:hAnsiTheme="minorHAnsi"/>
                <w:sz w:val="18"/>
                <w:szCs w:val="18"/>
              </w:rPr>
              <w:t>−</w:t>
            </w:r>
            <w:r w:rsidRPr="00526C8B">
              <w:rPr>
                <w:rFonts w:asciiTheme="minorHAnsi" w:eastAsia="Calibri" w:hAnsiTheme="minorHAnsi"/>
                <w:sz w:val="18"/>
                <w:szCs w:val="18"/>
              </w:rPr>
              <w:t>966</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1,383</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2"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4,800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1,187</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821</w:t>
            </w:r>
          </w:p>
        </w:tc>
        <w:tc>
          <w:tcPr>
            <w:tcW w:w="883"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0"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7"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b/>
                <w:sz w:val="18"/>
                <w:szCs w:val="18"/>
              </w:rPr>
            </w:pPr>
            <w:r w:rsidRPr="00526C8B">
              <w:rPr>
                <w:rFonts w:asciiTheme="minorHAnsi" w:eastAsia="Calibri" w:hAnsiTheme="minorHAnsi"/>
                <w:sz w:val="18"/>
                <w:szCs w:val="18"/>
              </w:rPr>
              <w:t>7,225</w:t>
            </w:r>
          </w:p>
        </w:tc>
      </w:tr>
      <w:tr w:rsidR="00D75C33" w:rsidRPr="00FA2BC0" w:rsidTr="00737F69">
        <w:trPr>
          <w:jc w:val="center"/>
        </w:trPr>
        <w:tc>
          <w:tcPr>
            <w:tcW w:w="1575" w:type="dxa"/>
            <w:vMerge/>
            <w:shd w:val="clear" w:color="auto" w:fill="auto"/>
            <w:vAlign w:val="center"/>
          </w:tcPr>
          <w:p w:rsidR="00D75C33" w:rsidRPr="00FA2BC0" w:rsidRDefault="00D75C33" w:rsidP="00526C8B">
            <w:pPr>
              <w:keepNext/>
              <w:keepLines/>
              <w:spacing w:before="40" w:after="40" w:line="240" w:lineRule="auto"/>
              <w:jc w:val="center"/>
              <w:rPr>
                <w:rFonts w:asciiTheme="minorHAnsi" w:eastAsia="Calibri" w:hAnsiTheme="minorHAnsi"/>
                <w:b/>
                <w:sz w:val="18"/>
                <w:szCs w:val="18"/>
              </w:rPr>
            </w:pPr>
          </w:p>
        </w:tc>
        <w:tc>
          <w:tcPr>
            <w:tcW w:w="1080" w:type="dxa"/>
            <w:shd w:val="clear" w:color="auto" w:fill="auto"/>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Renew Plus</w:t>
            </w:r>
          </w:p>
        </w:tc>
        <w:tc>
          <w:tcPr>
            <w:tcW w:w="95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Pr>
                <w:rFonts w:asciiTheme="minorHAnsi" w:eastAsia="Calibri" w:hAnsiTheme="minorHAnsi"/>
                <w:sz w:val="18"/>
                <w:szCs w:val="18"/>
              </w:rPr>
              <w:t>−</w:t>
            </w:r>
            <w:r w:rsidRPr="00526C8B">
              <w:rPr>
                <w:rFonts w:asciiTheme="minorHAnsi" w:eastAsia="Calibri" w:hAnsiTheme="minorHAnsi"/>
                <w:sz w:val="18"/>
                <w:szCs w:val="18"/>
              </w:rPr>
              <w:t>2,608</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675</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450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2"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1,259</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1,948</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3,095</w:t>
            </w:r>
          </w:p>
        </w:tc>
        <w:tc>
          <w:tcPr>
            <w:tcW w:w="883"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980</w:t>
            </w:r>
          </w:p>
        </w:tc>
        <w:tc>
          <w:tcPr>
            <w:tcW w:w="810"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375</w:t>
            </w:r>
          </w:p>
        </w:tc>
        <w:tc>
          <w:tcPr>
            <w:tcW w:w="817"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b/>
                <w:sz w:val="18"/>
                <w:szCs w:val="18"/>
              </w:rPr>
            </w:pPr>
            <w:r w:rsidRPr="00526C8B">
              <w:rPr>
                <w:rFonts w:asciiTheme="minorHAnsi" w:eastAsia="Calibri" w:hAnsiTheme="minorHAnsi"/>
                <w:sz w:val="18"/>
                <w:szCs w:val="18"/>
              </w:rPr>
              <w:t>6,174</w:t>
            </w:r>
          </w:p>
        </w:tc>
      </w:tr>
      <w:tr w:rsidR="00D75C33" w:rsidRPr="00FA2BC0" w:rsidTr="00737F69">
        <w:trPr>
          <w:jc w:val="center"/>
        </w:trPr>
        <w:tc>
          <w:tcPr>
            <w:tcW w:w="1575" w:type="dxa"/>
            <w:vMerge/>
            <w:shd w:val="clear" w:color="auto" w:fill="auto"/>
            <w:vAlign w:val="center"/>
          </w:tcPr>
          <w:p w:rsidR="00D75C33" w:rsidRPr="00FA2BC0" w:rsidRDefault="00D75C33" w:rsidP="00526C8B">
            <w:pPr>
              <w:keepNext/>
              <w:keepLines/>
              <w:spacing w:before="40" w:after="40" w:line="240" w:lineRule="auto"/>
              <w:jc w:val="center"/>
              <w:rPr>
                <w:rFonts w:asciiTheme="minorHAnsi" w:eastAsia="Calibri" w:hAnsiTheme="minorHAnsi"/>
                <w:b/>
                <w:sz w:val="18"/>
                <w:szCs w:val="18"/>
              </w:rPr>
            </w:pPr>
          </w:p>
        </w:tc>
        <w:tc>
          <w:tcPr>
            <w:tcW w:w="1080" w:type="dxa"/>
            <w:shd w:val="clear" w:color="auto" w:fill="auto"/>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No Retire</w:t>
            </w:r>
          </w:p>
        </w:tc>
        <w:tc>
          <w:tcPr>
            <w:tcW w:w="95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2"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83"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0"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7"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b/>
                <w:sz w:val="18"/>
                <w:szCs w:val="18"/>
              </w:rPr>
            </w:pPr>
            <w:r w:rsidRPr="00526C8B">
              <w:rPr>
                <w:rFonts w:asciiTheme="minorHAnsi" w:eastAsia="Calibri" w:hAnsiTheme="minorHAnsi"/>
                <w:sz w:val="18"/>
                <w:szCs w:val="18"/>
              </w:rPr>
              <w:t>0</w:t>
            </w:r>
          </w:p>
        </w:tc>
      </w:tr>
      <w:tr w:rsidR="00D75C33" w:rsidRPr="00FA2BC0" w:rsidTr="00737F69">
        <w:trPr>
          <w:jc w:val="center"/>
        </w:trPr>
        <w:tc>
          <w:tcPr>
            <w:tcW w:w="1575" w:type="dxa"/>
            <w:vMerge/>
            <w:shd w:val="clear" w:color="auto" w:fill="auto"/>
            <w:vAlign w:val="center"/>
          </w:tcPr>
          <w:p w:rsidR="00D75C33" w:rsidRPr="00FA2BC0" w:rsidRDefault="00D75C33" w:rsidP="00526C8B">
            <w:pPr>
              <w:keepNext/>
              <w:keepLines/>
              <w:spacing w:before="40" w:after="40" w:line="240" w:lineRule="auto"/>
              <w:jc w:val="center"/>
              <w:rPr>
                <w:rFonts w:asciiTheme="minorHAnsi" w:eastAsia="Calibri" w:hAnsiTheme="minorHAnsi"/>
                <w:b/>
                <w:sz w:val="18"/>
                <w:szCs w:val="18"/>
              </w:rPr>
            </w:pPr>
          </w:p>
        </w:tc>
        <w:tc>
          <w:tcPr>
            <w:tcW w:w="1080" w:type="dxa"/>
            <w:shd w:val="clear" w:color="auto" w:fill="auto"/>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ACP + Gas</w:t>
            </w:r>
          </w:p>
        </w:tc>
        <w:tc>
          <w:tcPr>
            <w:tcW w:w="95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Pr>
                <w:rFonts w:asciiTheme="minorHAnsi" w:eastAsia="Calibri" w:hAnsiTheme="minorHAnsi"/>
                <w:sz w:val="18"/>
                <w:szCs w:val="18"/>
              </w:rPr>
              <w:t>−</w:t>
            </w:r>
            <w:r w:rsidRPr="00526C8B">
              <w:rPr>
                <w:rFonts w:asciiTheme="minorHAnsi" w:eastAsia="Calibri" w:hAnsiTheme="minorHAnsi"/>
                <w:sz w:val="18"/>
                <w:szCs w:val="18"/>
              </w:rPr>
              <w:t>28</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768</w:t>
            </w:r>
          </w:p>
        </w:tc>
        <w:tc>
          <w:tcPr>
            <w:tcW w:w="722"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83"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0"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7"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b/>
                <w:sz w:val="18"/>
                <w:szCs w:val="18"/>
              </w:rPr>
            </w:pPr>
            <w:r w:rsidRPr="00526C8B">
              <w:rPr>
                <w:rFonts w:asciiTheme="minorHAnsi" w:eastAsia="Calibri" w:hAnsiTheme="minorHAnsi"/>
                <w:sz w:val="18"/>
                <w:szCs w:val="18"/>
              </w:rPr>
              <w:t>741</w:t>
            </w:r>
          </w:p>
        </w:tc>
      </w:tr>
      <w:tr w:rsidR="00D75C33" w:rsidRPr="00FA2BC0" w:rsidTr="00737F69">
        <w:trPr>
          <w:jc w:val="center"/>
        </w:trPr>
        <w:tc>
          <w:tcPr>
            <w:tcW w:w="1575" w:type="dxa"/>
            <w:vMerge/>
            <w:shd w:val="clear" w:color="auto" w:fill="auto"/>
            <w:vAlign w:val="center"/>
          </w:tcPr>
          <w:p w:rsidR="00D75C33" w:rsidRPr="00FA2BC0" w:rsidRDefault="00D75C33" w:rsidP="00526C8B">
            <w:pPr>
              <w:keepNext/>
              <w:keepLines/>
              <w:adjustRightInd/>
              <w:spacing w:before="40" w:after="40" w:line="240" w:lineRule="auto"/>
              <w:jc w:val="center"/>
              <w:textAlignment w:val="auto"/>
              <w:rPr>
                <w:rFonts w:asciiTheme="minorHAnsi" w:eastAsia="Calibri" w:hAnsiTheme="minorHAnsi"/>
                <w:b/>
                <w:sz w:val="18"/>
                <w:szCs w:val="18"/>
              </w:rPr>
            </w:pPr>
          </w:p>
        </w:tc>
        <w:tc>
          <w:tcPr>
            <w:tcW w:w="1080" w:type="dxa"/>
            <w:shd w:val="clear" w:color="auto" w:fill="auto"/>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RPS + Geo Renew</w:t>
            </w:r>
          </w:p>
        </w:tc>
        <w:tc>
          <w:tcPr>
            <w:tcW w:w="95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Pr>
                <w:rFonts w:asciiTheme="minorHAnsi" w:eastAsia="Calibri" w:hAnsiTheme="minorHAnsi"/>
                <w:sz w:val="18"/>
                <w:szCs w:val="18"/>
              </w:rPr>
              <w:t>−</w:t>
            </w:r>
            <w:r w:rsidRPr="00526C8B">
              <w:rPr>
                <w:rFonts w:asciiTheme="minorHAnsi" w:eastAsia="Calibri" w:hAnsiTheme="minorHAnsi"/>
                <w:sz w:val="18"/>
                <w:szCs w:val="18"/>
              </w:rPr>
              <w:t>1,996</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550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2"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2,145</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5,230</w:t>
            </w:r>
          </w:p>
        </w:tc>
        <w:tc>
          <w:tcPr>
            <w:tcW w:w="721"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2,367</w:t>
            </w:r>
          </w:p>
        </w:tc>
        <w:tc>
          <w:tcPr>
            <w:tcW w:w="883"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0"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7" w:type="dxa"/>
            <w:shd w:val="clear" w:color="auto" w:fill="auto"/>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b/>
                <w:sz w:val="18"/>
                <w:szCs w:val="18"/>
              </w:rPr>
            </w:pPr>
            <w:r w:rsidRPr="00526C8B">
              <w:rPr>
                <w:rFonts w:asciiTheme="minorHAnsi" w:eastAsia="Calibri" w:hAnsiTheme="minorHAnsi"/>
                <w:sz w:val="18"/>
                <w:szCs w:val="18"/>
              </w:rPr>
              <w:t>8,297</w:t>
            </w:r>
          </w:p>
        </w:tc>
      </w:tr>
      <w:tr w:rsidR="00D75C33" w:rsidRPr="00FA2BC0" w:rsidTr="00737F69">
        <w:trPr>
          <w:jc w:val="center"/>
        </w:trPr>
        <w:tc>
          <w:tcPr>
            <w:tcW w:w="1575" w:type="dxa"/>
            <w:vMerge w:val="restart"/>
            <w:shd w:val="clear" w:color="auto" w:fill="DBE5F1" w:themeFill="accent1" w:themeFillTint="33"/>
            <w:vAlign w:val="center"/>
          </w:tcPr>
          <w:p w:rsidR="00D75C33" w:rsidRPr="00FA2BC0" w:rsidRDefault="00D75C33" w:rsidP="00526C8B">
            <w:pPr>
              <w:keepNext/>
              <w:keepLines/>
              <w:adjustRightInd/>
              <w:spacing w:before="40" w:after="40" w:line="240" w:lineRule="auto"/>
              <w:jc w:val="center"/>
              <w:textAlignment w:val="auto"/>
              <w:rPr>
                <w:rFonts w:asciiTheme="minorHAnsi" w:eastAsia="Calibri" w:hAnsiTheme="minorHAnsi"/>
                <w:b/>
                <w:sz w:val="18"/>
                <w:szCs w:val="18"/>
              </w:rPr>
            </w:pPr>
            <w:r>
              <w:rPr>
                <w:rFonts w:asciiTheme="minorHAnsi" w:eastAsia="Calibri" w:hAnsiTheme="minorHAnsi"/>
                <w:b/>
                <w:sz w:val="18"/>
                <w:szCs w:val="18"/>
              </w:rPr>
              <w:t xml:space="preserve">2030 </w:t>
            </w:r>
            <w:r w:rsidRPr="00FA2BC0">
              <w:rPr>
                <w:rFonts w:asciiTheme="minorHAnsi" w:eastAsia="Calibri" w:hAnsiTheme="minorHAnsi"/>
                <w:b/>
                <w:sz w:val="18"/>
                <w:szCs w:val="18"/>
              </w:rPr>
              <w:t>Unconstrained</w:t>
            </w:r>
          </w:p>
        </w:tc>
        <w:tc>
          <w:tcPr>
            <w:tcW w:w="1080" w:type="dxa"/>
            <w:shd w:val="clear" w:color="auto" w:fill="DBE5F1" w:themeFill="accent1" w:themeFillTint="33"/>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RPS + Gas</w:t>
            </w:r>
          </w:p>
        </w:tc>
        <w:tc>
          <w:tcPr>
            <w:tcW w:w="95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Pr>
                <w:rFonts w:asciiTheme="minorHAnsi" w:eastAsia="Calibri" w:hAnsiTheme="minorHAnsi"/>
                <w:sz w:val="18"/>
                <w:szCs w:val="18"/>
              </w:rPr>
              <w:t>−</w:t>
            </w:r>
            <w:r w:rsidRPr="00526C8B">
              <w:rPr>
                <w:rFonts w:asciiTheme="minorHAnsi" w:eastAsia="Calibri" w:hAnsiTheme="minorHAnsi"/>
                <w:sz w:val="18"/>
                <w:szCs w:val="18"/>
              </w:rPr>
              <w:t>477</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1,170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659</w:t>
            </w:r>
          </w:p>
        </w:tc>
        <w:tc>
          <w:tcPr>
            <w:tcW w:w="722"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981</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83"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0"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7"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b/>
                <w:sz w:val="18"/>
                <w:szCs w:val="18"/>
              </w:rPr>
            </w:pPr>
            <w:r w:rsidRPr="00526C8B">
              <w:rPr>
                <w:rFonts w:asciiTheme="minorHAnsi" w:eastAsia="Calibri" w:hAnsiTheme="minorHAnsi"/>
                <w:sz w:val="18"/>
                <w:szCs w:val="18"/>
              </w:rPr>
              <w:t>2,334</w:t>
            </w:r>
          </w:p>
        </w:tc>
      </w:tr>
      <w:tr w:rsidR="00D75C33" w:rsidRPr="00FA2BC0" w:rsidTr="00737F69">
        <w:trPr>
          <w:jc w:val="center"/>
        </w:trPr>
        <w:tc>
          <w:tcPr>
            <w:tcW w:w="1575" w:type="dxa"/>
            <w:vMerge/>
            <w:shd w:val="clear" w:color="auto" w:fill="DBE5F1" w:themeFill="accent1" w:themeFillTint="33"/>
            <w:vAlign w:val="center"/>
          </w:tcPr>
          <w:p w:rsidR="00D75C33" w:rsidRPr="00FA2BC0" w:rsidRDefault="00D75C33" w:rsidP="00526C8B">
            <w:pPr>
              <w:keepNext/>
              <w:keepLines/>
              <w:spacing w:before="40" w:after="40" w:line="240" w:lineRule="auto"/>
              <w:jc w:val="center"/>
              <w:rPr>
                <w:rFonts w:asciiTheme="minorHAnsi" w:eastAsia="Calibri" w:hAnsiTheme="minorHAnsi"/>
                <w:sz w:val="18"/>
                <w:szCs w:val="18"/>
              </w:rPr>
            </w:pPr>
          </w:p>
        </w:tc>
        <w:tc>
          <w:tcPr>
            <w:tcW w:w="1080" w:type="dxa"/>
            <w:shd w:val="clear" w:color="auto" w:fill="DBE5F1" w:themeFill="accent1" w:themeFillTint="33"/>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ISO Queue</w:t>
            </w:r>
          </w:p>
        </w:tc>
        <w:tc>
          <w:tcPr>
            <w:tcW w:w="95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Pr>
                <w:rFonts w:asciiTheme="minorHAnsi" w:eastAsia="Calibri" w:hAnsiTheme="minorHAnsi"/>
                <w:sz w:val="18"/>
                <w:szCs w:val="18"/>
              </w:rPr>
              <w:t>−</w:t>
            </w:r>
            <w:r w:rsidRPr="00526C8B">
              <w:rPr>
                <w:rFonts w:asciiTheme="minorHAnsi" w:eastAsia="Calibri" w:hAnsiTheme="minorHAnsi"/>
                <w:sz w:val="18"/>
                <w:szCs w:val="18"/>
              </w:rPr>
              <w:t>2,080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4,500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2"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4,800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1,187</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821</w:t>
            </w:r>
          </w:p>
        </w:tc>
        <w:tc>
          <w:tcPr>
            <w:tcW w:w="883"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0"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7"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b/>
                <w:sz w:val="18"/>
                <w:szCs w:val="18"/>
              </w:rPr>
            </w:pPr>
            <w:r w:rsidRPr="00526C8B">
              <w:rPr>
                <w:rFonts w:asciiTheme="minorHAnsi" w:eastAsia="Calibri" w:hAnsiTheme="minorHAnsi"/>
                <w:sz w:val="18"/>
                <w:szCs w:val="18"/>
              </w:rPr>
              <w:t>9,228</w:t>
            </w:r>
          </w:p>
        </w:tc>
      </w:tr>
      <w:tr w:rsidR="00D75C33" w:rsidRPr="00FA2BC0" w:rsidTr="00737F69">
        <w:trPr>
          <w:jc w:val="center"/>
        </w:trPr>
        <w:tc>
          <w:tcPr>
            <w:tcW w:w="1575" w:type="dxa"/>
            <w:vMerge/>
            <w:shd w:val="clear" w:color="auto" w:fill="DBE5F1" w:themeFill="accent1" w:themeFillTint="33"/>
            <w:vAlign w:val="center"/>
          </w:tcPr>
          <w:p w:rsidR="00D75C33" w:rsidRPr="00FA2BC0" w:rsidRDefault="00D75C33" w:rsidP="00526C8B">
            <w:pPr>
              <w:keepNext/>
              <w:keepLines/>
              <w:spacing w:before="40" w:after="40" w:line="240" w:lineRule="auto"/>
              <w:jc w:val="center"/>
              <w:rPr>
                <w:rFonts w:asciiTheme="minorHAnsi" w:eastAsia="Calibri" w:hAnsiTheme="minorHAnsi"/>
                <w:sz w:val="18"/>
                <w:szCs w:val="18"/>
              </w:rPr>
            </w:pPr>
          </w:p>
        </w:tc>
        <w:tc>
          <w:tcPr>
            <w:tcW w:w="1080" w:type="dxa"/>
            <w:shd w:val="clear" w:color="auto" w:fill="DBE5F1" w:themeFill="accent1" w:themeFillTint="33"/>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Renew Plus</w:t>
            </w:r>
          </w:p>
        </w:tc>
        <w:tc>
          <w:tcPr>
            <w:tcW w:w="95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Pr>
                <w:rFonts w:asciiTheme="minorHAnsi" w:eastAsia="Calibri" w:hAnsiTheme="minorHAnsi"/>
                <w:sz w:val="18"/>
                <w:szCs w:val="18"/>
              </w:rPr>
              <w:t>−</w:t>
            </w:r>
            <w:r w:rsidRPr="00526C8B">
              <w:rPr>
                <w:rFonts w:asciiTheme="minorHAnsi" w:eastAsia="Calibri" w:hAnsiTheme="minorHAnsi"/>
                <w:sz w:val="18"/>
                <w:szCs w:val="18"/>
              </w:rPr>
              <w:t>2,775</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1,500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450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2"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1,259</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1,948</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3,095</w:t>
            </w:r>
          </w:p>
        </w:tc>
        <w:tc>
          <w:tcPr>
            <w:tcW w:w="883"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980</w:t>
            </w:r>
          </w:p>
        </w:tc>
        <w:tc>
          <w:tcPr>
            <w:tcW w:w="810"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375</w:t>
            </w:r>
          </w:p>
        </w:tc>
        <w:tc>
          <w:tcPr>
            <w:tcW w:w="817"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b/>
                <w:sz w:val="18"/>
                <w:szCs w:val="18"/>
              </w:rPr>
            </w:pPr>
            <w:r w:rsidRPr="00526C8B">
              <w:rPr>
                <w:rFonts w:asciiTheme="minorHAnsi" w:eastAsia="Calibri" w:hAnsiTheme="minorHAnsi"/>
                <w:sz w:val="18"/>
                <w:szCs w:val="18"/>
              </w:rPr>
              <w:t>6,831</w:t>
            </w:r>
          </w:p>
        </w:tc>
      </w:tr>
      <w:tr w:rsidR="00D75C33" w:rsidRPr="00FA2BC0" w:rsidTr="00737F69">
        <w:trPr>
          <w:jc w:val="center"/>
        </w:trPr>
        <w:tc>
          <w:tcPr>
            <w:tcW w:w="1575" w:type="dxa"/>
            <w:vMerge/>
            <w:shd w:val="clear" w:color="auto" w:fill="DBE5F1" w:themeFill="accent1" w:themeFillTint="33"/>
            <w:vAlign w:val="center"/>
          </w:tcPr>
          <w:p w:rsidR="00D75C33" w:rsidRPr="00FA2BC0" w:rsidRDefault="00D75C33" w:rsidP="00526C8B">
            <w:pPr>
              <w:keepNext/>
              <w:keepLines/>
              <w:spacing w:before="40" w:after="40" w:line="240" w:lineRule="auto"/>
              <w:jc w:val="center"/>
              <w:rPr>
                <w:rFonts w:asciiTheme="minorHAnsi" w:eastAsia="Calibri" w:hAnsiTheme="minorHAnsi"/>
                <w:sz w:val="18"/>
                <w:szCs w:val="18"/>
              </w:rPr>
            </w:pPr>
          </w:p>
        </w:tc>
        <w:tc>
          <w:tcPr>
            <w:tcW w:w="1080" w:type="dxa"/>
            <w:shd w:val="clear" w:color="auto" w:fill="DBE5F1" w:themeFill="accent1" w:themeFillTint="33"/>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No Retire</w:t>
            </w:r>
          </w:p>
        </w:tc>
        <w:tc>
          <w:tcPr>
            <w:tcW w:w="95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Pr>
                <w:rFonts w:asciiTheme="minorHAnsi" w:eastAsia="Calibri" w:hAnsiTheme="minorHAnsi"/>
                <w:sz w:val="18"/>
                <w:szCs w:val="18"/>
              </w:rPr>
              <w:t>−</w:t>
            </w:r>
            <w:r w:rsidRPr="00526C8B">
              <w:rPr>
                <w:rFonts w:asciiTheme="minorHAnsi" w:eastAsia="Calibri" w:hAnsiTheme="minorHAnsi"/>
                <w:sz w:val="18"/>
                <w:szCs w:val="18"/>
              </w:rPr>
              <w:t>3</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2"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83"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0"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7"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b/>
                <w:sz w:val="18"/>
                <w:szCs w:val="18"/>
              </w:rPr>
            </w:pPr>
            <w:r w:rsidRPr="00526C8B">
              <w:rPr>
                <w:rFonts w:asciiTheme="minorHAnsi" w:eastAsia="Calibri" w:hAnsiTheme="minorHAnsi"/>
                <w:sz w:val="18"/>
                <w:szCs w:val="18"/>
              </w:rPr>
              <w:t>-3</w:t>
            </w:r>
          </w:p>
        </w:tc>
      </w:tr>
      <w:tr w:rsidR="00D75C33" w:rsidRPr="00FA2BC0" w:rsidTr="00737F69">
        <w:trPr>
          <w:jc w:val="center"/>
        </w:trPr>
        <w:tc>
          <w:tcPr>
            <w:tcW w:w="1575" w:type="dxa"/>
            <w:vMerge/>
            <w:shd w:val="clear" w:color="auto" w:fill="DBE5F1" w:themeFill="accent1" w:themeFillTint="33"/>
            <w:vAlign w:val="center"/>
          </w:tcPr>
          <w:p w:rsidR="00D75C33" w:rsidRPr="00FA2BC0" w:rsidRDefault="00D75C33" w:rsidP="00526C8B">
            <w:pPr>
              <w:keepNext/>
              <w:keepLines/>
              <w:spacing w:before="40" w:after="40" w:line="240" w:lineRule="auto"/>
              <w:jc w:val="center"/>
              <w:rPr>
                <w:rFonts w:asciiTheme="minorHAnsi" w:eastAsia="Calibri" w:hAnsiTheme="minorHAnsi"/>
                <w:sz w:val="18"/>
                <w:szCs w:val="18"/>
              </w:rPr>
            </w:pPr>
          </w:p>
        </w:tc>
        <w:tc>
          <w:tcPr>
            <w:tcW w:w="1080" w:type="dxa"/>
            <w:shd w:val="clear" w:color="auto" w:fill="DBE5F1" w:themeFill="accent1" w:themeFillTint="33"/>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ACP + Gas</w:t>
            </w:r>
          </w:p>
        </w:tc>
        <w:tc>
          <w:tcPr>
            <w:tcW w:w="95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Pr>
                <w:rFonts w:asciiTheme="minorHAnsi" w:eastAsia="Calibri" w:hAnsiTheme="minorHAnsi"/>
                <w:sz w:val="18"/>
                <w:szCs w:val="18"/>
              </w:rPr>
              <w:t>−</w:t>
            </w:r>
            <w:r w:rsidRPr="00526C8B">
              <w:rPr>
                <w:rFonts w:asciiTheme="minorHAnsi" w:eastAsia="Calibri" w:hAnsiTheme="minorHAnsi"/>
                <w:sz w:val="18"/>
                <w:szCs w:val="18"/>
              </w:rPr>
              <w:t>29</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768</w:t>
            </w:r>
          </w:p>
        </w:tc>
        <w:tc>
          <w:tcPr>
            <w:tcW w:w="722"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83"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0"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7"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b/>
                <w:sz w:val="18"/>
                <w:szCs w:val="18"/>
              </w:rPr>
            </w:pPr>
            <w:r w:rsidRPr="00526C8B">
              <w:rPr>
                <w:rFonts w:asciiTheme="minorHAnsi" w:eastAsia="Calibri" w:hAnsiTheme="minorHAnsi"/>
                <w:sz w:val="18"/>
                <w:szCs w:val="18"/>
              </w:rPr>
              <w:t>739</w:t>
            </w:r>
          </w:p>
        </w:tc>
      </w:tr>
      <w:tr w:rsidR="00D75C33" w:rsidRPr="00FA2BC0" w:rsidTr="00737F69">
        <w:trPr>
          <w:jc w:val="center"/>
        </w:trPr>
        <w:tc>
          <w:tcPr>
            <w:tcW w:w="1575" w:type="dxa"/>
            <w:vMerge/>
            <w:shd w:val="clear" w:color="auto" w:fill="DBE5F1" w:themeFill="accent1" w:themeFillTint="33"/>
            <w:vAlign w:val="center"/>
          </w:tcPr>
          <w:p w:rsidR="00D75C33" w:rsidRPr="00FA2BC0" w:rsidRDefault="00D75C33" w:rsidP="00526C8B">
            <w:pPr>
              <w:keepNext/>
              <w:keepLines/>
              <w:adjustRightInd/>
              <w:spacing w:before="40" w:after="40" w:line="240" w:lineRule="auto"/>
              <w:jc w:val="center"/>
              <w:textAlignment w:val="auto"/>
              <w:rPr>
                <w:rFonts w:asciiTheme="minorHAnsi" w:eastAsia="Calibri" w:hAnsiTheme="minorHAnsi"/>
                <w:sz w:val="18"/>
                <w:szCs w:val="18"/>
              </w:rPr>
            </w:pPr>
          </w:p>
        </w:tc>
        <w:tc>
          <w:tcPr>
            <w:tcW w:w="1080" w:type="dxa"/>
            <w:shd w:val="clear" w:color="auto" w:fill="DBE5F1" w:themeFill="accent1" w:themeFillTint="33"/>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RPSs + Geo Renew</w:t>
            </w:r>
          </w:p>
        </w:tc>
        <w:tc>
          <w:tcPr>
            <w:tcW w:w="95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Pr>
                <w:rFonts w:asciiTheme="minorHAnsi" w:eastAsia="Calibri" w:hAnsiTheme="minorHAnsi"/>
                <w:sz w:val="18"/>
                <w:szCs w:val="18"/>
              </w:rPr>
              <w:t>−</w:t>
            </w:r>
            <w:r w:rsidRPr="00526C8B">
              <w:rPr>
                <w:rFonts w:asciiTheme="minorHAnsi" w:eastAsia="Calibri" w:hAnsiTheme="minorHAnsi"/>
                <w:sz w:val="18"/>
                <w:szCs w:val="18"/>
              </w:rPr>
              <w:t>2,277</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1,800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722"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2,145</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5,230</w:t>
            </w:r>
          </w:p>
        </w:tc>
        <w:tc>
          <w:tcPr>
            <w:tcW w:w="721"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2,367</w:t>
            </w:r>
          </w:p>
        </w:tc>
        <w:tc>
          <w:tcPr>
            <w:tcW w:w="883"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0"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sz w:val="18"/>
                <w:szCs w:val="18"/>
              </w:rPr>
            </w:pPr>
            <w:r w:rsidRPr="00526C8B">
              <w:rPr>
                <w:rFonts w:asciiTheme="minorHAnsi" w:eastAsia="Calibri" w:hAnsiTheme="minorHAnsi"/>
                <w:sz w:val="18"/>
                <w:szCs w:val="18"/>
              </w:rPr>
              <w:t>0</w:t>
            </w:r>
          </w:p>
        </w:tc>
        <w:tc>
          <w:tcPr>
            <w:tcW w:w="817" w:type="dxa"/>
            <w:shd w:val="clear" w:color="auto" w:fill="DBE5F1" w:themeFill="accent1" w:themeFillTint="33"/>
            <w:tcMar>
              <w:left w:w="29" w:type="dxa"/>
              <w:right w:w="86" w:type="dxa"/>
            </w:tcMar>
            <w:vAlign w:val="center"/>
          </w:tcPr>
          <w:p w:rsidR="00D75C33" w:rsidRPr="00526C8B" w:rsidRDefault="00D75C33" w:rsidP="00985404">
            <w:pPr>
              <w:keepNext/>
              <w:keepLines/>
              <w:adjustRightInd/>
              <w:spacing w:before="40" w:after="40" w:line="240" w:lineRule="auto"/>
              <w:jc w:val="right"/>
              <w:textAlignment w:val="auto"/>
              <w:rPr>
                <w:rFonts w:asciiTheme="minorHAnsi" w:eastAsia="Calibri" w:hAnsiTheme="minorHAnsi"/>
                <w:b/>
                <w:sz w:val="18"/>
                <w:szCs w:val="18"/>
              </w:rPr>
            </w:pPr>
            <w:r w:rsidRPr="00526C8B">
              <w:rPr>
                <w:rFonts w:asciiTheme="minorHAnsi" w:eastAsia="Calibri" w:hAnsiTheme="minorHAnsi"/>
                <w:sz w:val="18"/>
                <w:szCs w:val="18"/>
              </w:rPr>
              <w:t>9,266</w:t>
            </w:r>
          </w:p>
        </w:tc>
      </w:tr>
    </w:tbl>
    <w:p w:rsidR="00526C8B" w:rsidRDefault="00526C8B" w:rsidP="007F0082"/>
    <w:p w:rsidR="00526C8B" w:rsidRDefault="00985404" w:rsidP="00985404">
      <w:pPr>
        <w:pStyle w:val="Caption"/>
        <w:jc w:val="center"/>
      </w:pPr>
      <w:bookmarkStart w:id="348" w:name="_Ref486351122"/>
      <w:bookmarkStart w:id="349" w:name="_Toc486406054"/>
      <w:r>
        <w:lastRenderedPageBreak/>
        <w:t xml:space="preserve">Table </w:t>
      </w:r>
      <w:fldSimple w:instr=" STYLEREF 1 \s ">
        <w:r w:rsidR="004248FE">
          <w:rPr>
            <w:noProof/>
          </w:rPr>
          <w:t>6</w:t>
        </w:r>
      </w:fldSimple>
      <w:r w:rsidR="004248FE">
        <w:noBreakHyphen/>
      </w:r>
      <w:fldSimple w:instr=" SEQ Table \* ARABIC \s 1 ">
        <w:r w:rsidR="004248FE">
          <w:rPr>
            <w:noProof/>
          </w:rPr>
          <w:t>19</w:t>
        </w:r>
      </w:fldSimple>
      <w:bookmarkEnd w:id="348"/>
      <w:r>
        <w:br/>
      </w:r>
      <w:r w:rsidR="00526C8B" w:rsidRPr="00526C8B">
        <w:t>Relative Annual Resource Cost</w:t>
      </w:r>
      <w:r w:rsidR="00526C8B">
        <w:t xml:space="preserve">s, 2025 and 2030 </w:t>
      </w:r>
      <w:r w:rsidR="00526C8B" w:rsidRPr="00526C8B">
        <w:t>(</w:t>
      </w:r>
      <w:r w:rsidR="00526C8B" w:rsidRPr="00751E7F">
        <w:t>¢/kWh</w:t>
      </w:r>
      <w:r w:rsidR="00526C8B">
        <w:t>)</w:t>
      </w:r>
      <w:bookmarkEnd w:id="349"/>
    </w:p>
    <w:tbl>
      <w:tblPr>
        <w:tblW w:w="1048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9" w:type="dxa"/>
          <w:right w:w="29" w:type="dxa"/>
        </w:tblCellMar>
        <w:tblLook w:val="04A0" w:firstRow="1" w:lastRow="0" w:firstColumn="1" w:lastColumn="0" w:noHBand="0" w:noVBand="1"/>
      </w:tblPr>
      <w:tblGrid>
        <w:gridCol w:w="1618"/>
        <w:gridCol w:w="1080"/>
        <w:gridCol w:w="951"/>
        <w:gridCol w:w="721"/>
        <w:gridCol w:w="721"/>
        <w:gridCol w:w="721"/>
        <w:gridCol w:w="722"/>
        <w:gridCol w:w="721"/>
        <w:gridCol w:w="721"/>
        <w:gridCol w:w="883"/>
        <w:gridCol w:w="810"/>
        <w:gridCol w:w="817"/>
      </w:tblGrid>
      <w:tr w:rsidR="00D75C33" w:rsidRPr="00FA2BC0" w:rsidTr="00737F69">
        <w:trPr>
          <w:jc w:val="center"/>
        </w:trPr>
        <w:tc>
          <w:tcPr>
            <w:tcW w:w="1618" w:type="dxa"/>
            <w:shd w:val="clear" w:color="auto" w:fill="0070C0"/>
            <w:vAlign w:val="center"/>
          </w:tcPr>
          <w:p w:rsidR="00D75C33" w:rsidRPr="00FA2BC0" w:rsidRDefault="00D75C33" w:rsidP="00985404">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FA2BC0">
              <w:rPr>
                <w:rFonts w:asciiTheme="minorHAnsi" w:eastAsia="Calibri" w:hAnsiTheme="minorHAnsi"/>
                <w:b/>
                <w:color w:val="FFFFFF" w:themeColor="background1"/>
                <w:sz w:val="18"/>
                <w:szCs w:val="18"/>
              </w:rPr>
              <w:t>Transmission</w:t>
            </w:r>
            <w:r>
              <w:rPr>
                <w:rFonts w:asciiTheme="minorHAnsi" w:eastAsia="Calibri" w:hAnsiTheme="minorHAnsi"/>
                <w:b/>
                <w:color w:val="FFFFFF" w:themeColor="background1"/>
                <w:sz w:val="18"/>
                <w:szCs w:val="18"/>
              </w:rPr>
              <w:t xml:space="preserve"> and Year</w:t>
            </w:r>
          </w:p>
        </w:tc>
        <w:tc>
          <w:tcPr>
            <w:tcW w:w="1080" w:type="dxa"/>
            <w:shd w:val="clear" w:color="auto" w:fill="0070C0"/>
            <w:vAlign w:val="center"/>
          </w:tcPr>
          <w:p w:rsidR="00D75C33" w:rsidRPr="00BE0001" w:rsidRDefault="00D75C33" w:rsidP="00985404">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BE0001">
              <w:rPr>
                <w:rFonts w:asciiTheme="minorHAnsi" w:eastAsia="Calibri" w:hAnsiTheme="minorHAnsi"/>
                <w:b/>
                <w:color w:val="FFFFFF" w:themeColor="background1"/>
                <w:sz w:val="18"/>
                <w:szCs w:val="18"/>
              </w:rPr>
              <w:t>Scenario</w:t>
            </w:r>
          </w:p>
        </w:tc>
        <w:tc>
          <w:tcPr>
            <w:tcW w:w="951" w:type="dxa"/>
            <w:shd w:val="clear" w:color="auto" w:fill="0070C0"/>
            <w:vAlign w:val="center"/>
          </w:tcPr>
          <w:p w:rsidR="00D75C33" w:rsidRPr="00FA2BC0" w:rsidRDefault="00D75C33" w:rsidP="00985404">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FA2BC0">
              <w:rPr>
                <w:rFonts w:asciiTheme="minorHAnsi" w:eastAsia="Calibri" w:hAnsiTheme="minorHAnsi"/>
                <w:b/>
                <w:color w:val="FFFFFF" w:themeColor="background1"/>
                <w:sz w:val="18"/>
                <w:szCs w:val="18"/>
              </w:rPr>
              <w:t>Production Cost</w:t>
            </w:r>
          </w:p>
        </w:tc>
        <w:tc>
          <w:tcPr>
            <w:tcW w:w="721" w:type="dxa"/>
            <w:shd w:val="clear" w:color="auto" w:fill="0070C0"/>
            <w:vAlign w:val="center"/>
          </w:tcPr>
          <w:p w:rsidR="00D75C33" w:rsidRPr="00FA2BC0" w:rsidRDefault="00D75C33" w:rsidP="00985404">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FA2BC0">
              <w:rPr>
                <w:rFonts w:asciiTheme="minorHAnsi" w:eastAsia="Calibri" w:hAnsiTheme="minorHAnsi"/>
                <w:b/>
                <w:color w:val="FFFFFF" w:themeColor="background1"/>
                <w:sz w:val="18"/>
                <w:szCs w:val="18"/>
              </w:rPr>
              <w:t>15% Transm</w:t>
            </w:r>
            <w:r>
              <w:rPr>
                <w:rFonts w:asciiTheme="minorHAnsi" w:eastAsia="Calibri" w:hAnsiTheme="minorHAnsi"/>
                <w:b/>
                <w:color w:val="FFFFFF" w:themeColor="background1"/>
                <w:sz w:val="18"/>
                <w:szCs w:val="18"/>
              </w:rPr>
              <w:t>.</w:t>
            </w:r>
            <w:r w:rsidRPr="00FA2BC0">
              <w:rPr>
                <w:rFonts w:asciiTheme="minorHAnsi" w:eastAsia="Calibri" w:hAnsiTheme="minorHAnsi"/>
                <w:b/>
                <w:color w:val="FFFFFF" w:themeColor="background1"/>
                <w:sz w:val="18"/>
                <w:szCs w:val="18"/>
              </w:rPr>
              <w:t xml:space="preserve"> Cost</w:t>
            </w:r>
          </w:p>
        </w:tc>
        <w:tc>
          <w:tcPr>
            <w:tcW w:w="721" w:type="dxa"/>
            <w:shd w:val="clear" w:color="auto" w:fill="0070C0"/>
            <w:vAlign w:val="center"/>
          </w:tcPr>
          <w:p w:rsidR="00D75C33" w:rsidRPr="00FA2BC0" w:rsidRDefault="00D75C33" w:rsidP="00985404">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FA2BC0">
              <w:rPr>
                <w:rFonts w:asciiTheme="minorHAnsi" w:eastAsia="Calibri" w:hAnsiTheme="minorHAnsi"/>
                <w:b/>
                <w:color w:val="FFFFFF" w:themeColor="background1"/>
                <w:sz w:val="18"/>
                <w:szCs w:val="18"/>
              </w:rPr>
              <w:t>15% Ties</w:t>
            </w:r>
          </w:p>
        </w:tc>
        <w:tc>
          <w:tcPr>
            <w:tcW w:w="721" w:type="dxa"/>
            <w:shd w:val="clear" w:color="auto" w:fill="0070C0"/>
            <w:vAlign w:val="center"/>
          </w:tcPr>
          <w:p w:rsidR="00D75C33" w:rsidRPr="00FA2BC0" w:rsidRDefault="00D75C33" w:rsidP="00985404">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FA2BC0">
              <w:rPr>
                <w:rFonts w:asciiTheme="minorHAnsi" w:eastAsia="Calibri" w:hAnsiTheme="minorHAnsi"/>
                <w:b/>
                <w:color w:val="FFFFFF" w:themeColor="background1"/>
                <w:sz w:val="18"/>
                <w:szCs w:val="18"/>
              </w:rPr>
              <w:t>15% Comb</w:t>
            </w:r>
            <w:r>
              <w:rPr>
                <w:rFonts w:asciiTheme="minorHAnsi" w:eastAsia="Calibri" w:hAnsiTheme="minorHAnsi"/>
                <w:b/>
                <w:color w:val="FFFFFF" w:themeColor="background1"/>
                <w:sz w:val="18"/>
                <w:szCs w:val="18"/>
              </w:rPr>
              <w:t xml:space="preserve">. </w:t>
            </w:r>
            <w:r w:rsidRPr="00FA2BC0">
              <w:rPr>
                <w:rFonts w:asciiTheme="minorHAnsi" w:eastAsia="Calibri" w:hAnsiTheme="minorHAnsi"/>
                <w:b/>
                <w:color w:val="FFFFFF" w:themeColor="background1"/>
                <w:sz w:val="18"/>
                <w:szCs w:val="18"/>
              </w:rPr>
              <w:t xml:space="preserve"> Cycle</w:t>
            </w:r>
          </w:p>
        </w:tc>
        <w:tc>
          <w:tcPr>
            <w:tcW w:w="722" w:type="dxa"/>
            <w:shd w:val="clear" w:color="auto" w:fill="0070C0"/>
            <w:vAlign w:val="center"/>
          </w:tcPr>
          <w:p w:rsidR="00D75C33" w:rsidRPr="00FA2BC0" w:rsidRDefault="00D75C33" w:rsidP="00985404">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FA2BC0">
              <w:rPr>
                <w:rFonts w:asciiTheme="minorHAnsi" w:eastAsia="Calibri" w:hAnsiTheme="minorHAnsi"/>
                <w:b/>
                <w:color w:val="FFFFFF" w:themeColor="background1"/>
                <w:sz w:val="18"/>
                <w:szCs w:val="18"/>
              </w:rPr>
              <w:t>15% New Onshore Wind</w:t>
            </w:r>
          </w:p>
        </w:tc>
        <w:tc>
          <w:tcPr>
            <w:tcW w:w="721" w:type="dxa"/>
            <w:shd w:val="clear" w:color="auto" w:fill="0070C0"/>
            <w:vAlign w:val="center"/>
          </w:tcPr>
          <w:p w:rsidR="00D75C33" w:rsidRPr="00FA2BC0" w:rsidRDefault="00D75C33" w:rsidP="00985404">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FA2BC0">
              <w:rPr>
                <w:rFonts w:asciiTheme="minorHAnsi" w:eastAsia="Calibri" w:hAnsiTheme="minorHAnsi"/>
                <w:b/>
                <w:color w:val="FFFFFF" w:themeColor="background1"/>
                <w:sz w:val="18"/>
                <w:szCs w:val="18"/>
              </w:rPr>
              <w:t>15% New Offshore Wind</w:t>
            </w:r>
          </w:p>
        </w:tc>
        <w:tc>
          <w:tcPr>
            <w:tcW w:w="721" w:type="dxa"/>
            <w:shd w:val="clear" w:color="auto" w:fill="0070C0"/>
            <w:vAlign w:val="center"/>
          </w:tcPr>
          <w:p w:rsidR="00D75C33" w:rsidRPr="00FA2BC0" w:rsidRDefault="00D75C33" w:rsidP="00985404">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FA2BC0">
              <w:rPr>
                <w:rFonts w:asciiTheme="minorHAnsi" w:eastAsia="Calibri" w:hAnsiTheme="minorHAnsi"/>
                <w:b/>
                <w:color w:val="FFFFFF" w:themeColor="background1"/>
                <w:sz w:val="18"/>
                <w:szCs w:val="18"/>
              </w:rPr>
              <w:t>15% Solar</w:t>
            </w:r>
          </w:p>
        </w:tc>
        <w:tc>
          <w:tcPr>
            <w:tcW w:w="883" w:type="dxa"/>
            <w:shd w:val="clear" w:color="auto" w:fill="0070C0"/>
            <w:vAlign w:val="center"/>
          </w:tcPr>
          <w:p w:rsidR="00D75C33" w:rsidRPr="00FA2BC0" w:rsidRDefault="00D75C33" w:rsidP="00985404">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FA2BC0">
              <w:rPr>
                <w:rFonts w:asciiTheme="minorHAnsi" w:eastAsia="Calibri" w:hAnsiTheme="minorHAnsi"/>
                <w:b/>
                <w:color w:val="FFFFFF" w:themeColor="background1"/>
                <w:sz w:val="18"/>
                <w:szCs w:val="18"/>
              </w:rPr>
              <w:t>15% Energy Efficiency</w:t>
            </w:r>
          </w:p>
        </w:tc>
        <w:tc>
          <w:tcPr>
            <w:tcW w:w="810" w:type="dxa"/>
            <w:shd w:val="clear" w:color="auto" w:fill="0070C0"/>
            <w:vAlign w:val="center"/>
          </w:tcPr>
          <w:p w:rsidR="00D75C33" w:rsidRPr="00FA2BC0" w:rsidRDefault="00D75C33" w:rsidP="00985404">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FA2BC0">
              <w:rPr>
                <w:rFonts w:asciiTheme="minorHAnsi" w:eastAsia="Calibri" w:hAnsiTheme="minorHAnsi"/>
                <w:b/>
                <w:color w:val="FFFFFF" w:themeColor="background1"/>
                <w:sz w:val="18"/>
                <w:szCs w:val="18"/>
              </w:rPr>
              <w:t>15% Battery</w:t>
            </w:r>
          </w:p>
        </w:tc>
        <w:tc>
          <w:tcPr>
            <w:tcW w:w="817" w:type="dxa"/>
            <w:shd w:val="clear" w:color="auto" w:fill="0070C0"/>
            <w:vAlign w:val="center"/>
          </w:tcPr>
          <w:p w:rsidR="00D75C33" w:rsidRPr="00FA2BC0" w:rsidRDefault="00D75C33" w:rsidP="00985404">
            <w:pPr>
              <w:keepNext/>
              <w:keepLines/>
              <w:adjustRightInd/>
              <w:spacing w:before="40" w:after="40" w:line="240" w:lineRule="auto"/>
              <w:jc w:val="center"/>
              <w:textAlignment w:val="auto"/>
              <w:rPr>
                <w:rFonts w:asciiTheme="minorHAnsi" w:eastAsia="Calibri" w:hAnsiTheme="minorHAnsi"/>
                <w:b/>
                <w:color w:val="FFFFFF" w:themeColor="background1"/>
                <w:sz w:val="18"/>
                <w:szCs w:val="18"/>
              </w:rPr>
            </w:pPr>
            <w:r w:rsidRPr="00FA2BC0">
              <w:rPr>
                <w:rFonts w:asciiTheme="minorHAnsi" w:eastAsia="Calibri" w:hAnsiTheme="minorHAnsi"/>
                <w:b/>
                <w:color w:val="FFFFFF" w:themeColor="background1"/>
                <w:sz w:val="18"/>
                <w:szCs w:val="18"/>
              </w:rPr>
              <w:t>Total</w:t>
            </w:r>
          </w:p>
        </w:tc>
      </w:tr>
      <w:tr w:rsidR="00D75C33" w:rsidRPr="00FA2BC0" w:rsidTr="00737F69">
        <w:trPr>
          <w:jc w:val="center"/>
        </w:trPr>
        <w:tc>
          <w:tcPr>
            <w:tcW w:w="1618" w:type="dxa"/>
            <w:vMerge w:val="restart"/>
            <w:shd w:val="clear" w:color="auto" w:fill="auto"/>
            <w:vAlign w:val="center"/>
          </w:tcPr>
          <w:p w:rsidR="00D75C33" w:rsidRPr="00FA2BC0" w:rsidRDefault="00D75C33" w:rsidP="00985404">
            <w:pPr>
              <w:keepNext/>
              <w:keepLines/>
              <w:adjustRightInd/>
              <w:spacing w:before="40" w:after="40" w:line="240" w:lineRule="auto"/>
              <w:jc w:val="center"/>
              <w:textAlignment w:val="auto"/>
              <w:rPr>
                <w:rFonts w:asciiTheme="minorHAnsi" w:eastAsia="Calibri" w:hAnsiTheme="minorHAnsi"/>
                <w:b/>
                <w:sz w:val="18"/>
                <w:szCs w:val="18"/>
              </w:rPr>
            </w:pPr>
            <w:r>
              <w:rPr>
                <w:rFonts w:asciiTheme="minorHAnsi" w:eastAsia="Calibri" w:hAnsiTheme="minorHAnsi"/>
                <w:b/>
                <w:sz w:val="18"/>
                <w:szCs w:val="18"/>
              </w:rPr>
              <w:t xml:space="preserve">2025 </w:t>
            </w:r>
            <w:r w:rsidRPr="00FA2BC0">
              <w:rPr>
                <w:rFonts w:asciiTheme="minorHAnsi" w:eastAsia="Calibri" w:hAnsiTheme="minorHAnsi"/>
                <w:b/>
                <w:sz w:val="18"/>
                <w:szCs w:val="18"/>
              </w:rPr>
              <w:t>Constrained</w:t>
            </w:r>
          </w:p>
        </w:tc>
        <w:tc>
          <w:tcPr>
            <w:tcW w:w="1080" w:type="dxa"/>
            <w:shd w:val="clear" w:color="auto" w:fill="auto"/>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RPS + Gas</w:t>
            </w:r>
          </w:p>
        </w:tc>
        <w:tc>
          <w:tcPr>
            <w:tcW w:w="95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Pr>
                <w:rFonts w:asciiTheme="minorHAnsi" w:eastAsia="Calibri" w:hAnsiTheme="minorHAnsi"/>
                <w:sz w:val="18"/>
                <w:szCs w:val="18"/>
              </w:rPr>
              <w:t>−</w:t>
            </w:r>
            <w:r w:rsidRPr="00985404">
              <w:rPr>
                <w:rFonts w:asciiTheme="minorHAnsi" w:eastAsia="Calibri" w:hAnsiTheme="minorHAnsi"/>
                <w:sz w:val="18"/>
                <w:szCs w:val="18"/>
              </w:rPr>
              <w:t>0.131</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0.222</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0.069</w:t>
            </w:r>
          </w:p>
        </w:tc>
        <w:tc>
          <w:tcPr>
            <w:tcW w:w="722"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0.457</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83"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0"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7"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b/>
                <w:sz w:val="18"/>
                <w:szCs w:val="18"/>
              </w:rPr>
            </w:pPr>
            <w:r w:rsidRPr="00985404">
              <w:rPr>
                <w:rFonts w:asciiTheme="minorHAnsi" w:eastAsia="Calibri" w:hAnsiTheme="minorHAnsi"/>
                <w:sz w:val="18"/>
                <w:szCs w:val="18"/>
              </w:rPr>
              <w:t>0.616</w:t>
            </w:r>
          </w:p>
        </w:tc>
      </w:tr>
      <w:tr w:rsidR="00D75C33" w:rsidRPr="00FA2BC0" w:rsidTr="00737F69">
        <w:trPr>
          <w:jc w:val="center"/>
        </w:trPr>
        <w:tc>
          <w:tcPr>
            <w:tcW w:w="1618" w:type="dxa"/>
            <w:vMerge/>
            <w:shd w:val="clear" w:color="auto" w:fill="auto"/>
            <w:vAlign w:val="center"/>
          </w:tcPr>
          <w:p w:rsidR="00D75C33" w:rsidRPr="00FA2BC0" w:rsidRDefault="00D75C33" w:rsidP="00985404">
            <w:pPr>
              <w:keepNext/>
              <w:keepLines/>
              <w:spacing w:before="40" w:after="40" w:line="240" w:lineRule="auto"/>
              <w:jc w:val="center"/>
              <w:rPr>
                <w:rFonts w:asciiTheme="minorHAnsi" w:eastAsia="Calibri" w:hAnsiTheme="minorHAnsi"/>
                <w:b/>
                <w:sz w:val="18"/>
                <w:szCs w:val="18"/>
              </w:rPr>
            </w:pPr>
          </w:p>
        </w:tc>
        <w:tc>
          <w:tcPr>
            <w:tcW w:w="1080" w:type="dxa"/>
            <w:shd w:val="clear" w:color="auto" w:fill="auto"/>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ISO Queue</w:t>
            </w:r>
          </w:p>
        </w:tc>
        <w:tc>
          <w:tcPr>
            <w:tcW w:w="95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Pr>
                <w:rFonts w:asciiTheme="minorHAnsi" w:eastAsia="Calibri" w:hAnsiTheme="minorHAnsi"/>
                <w:sz w:val="18"/>
                <w:szCs w:val="18"/>
              </w:rPr>
              <w:t>−</w:t>
            </w:r>
            <w:r w:rsidRPr="00985404">
              <w:rPr>
                <w:rFonts w:asciiTheme="minorHAnsi" w:eastAsia="Calibri" w:hAnsiTheme="minorHAnsi"/>
                <w:sz w:val="18"/>
                <w:szCs w:val="18"/>
              </w:rPr>
              <w:t>0.207</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0.909</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2"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0.804</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0.127</w:t>
            </w:r>
          </w:p>
        </w:tc>
        <w:tc>
          <w:tcPr>
            <w:tcW w:w="883"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0"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7"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b/>
                <w:sz w:val="18"/>
                <w:szCs w:val="18"/>
              </w:rPr>
            </w:pPr>
            <w:r w:rsidRPr="00985404">
              <w:rPr>
                <w:rFonts w:asciiTheme="minorHAnsi" w:eastAsia="Calibri" w:hAnsiTheme="minorHAnsi"/>
                <w:sz w:val="18"/>
                <w:szCs w:val="18"/>
              </w:rPr>
              <w:t>1.633</w:t>
            </w:r>
          </w:p>
        </w:tc>
      </w:tr>
      <w:tr w:rsidR="00D75C33" w:rsidRPr="00FA2BC0" w:rsidTr="00737F69">
        <w:trPr>
          <w:jc w:val="center"/>
        </w:trPr>
        <w:tc>
          <w:tcPr>
            <w:tcW w:w="1618" w:type="dxa"/>
            <w:vMerge/>
            <w:shd w:val="clear" w:color="auto" w:fill="auto"/>
            <w:vAlign w:val="center"/>
          </w:tcPr>
          <w:p w:rsidR="00D75C33" w:rsidRPr="00FA2BC0" w:rsidRDefault="00D75C33" w:rsidP="00985404">
            <w:pPr>
              <w:keepNext/>
              <w:keepLines/>
              <w:spacing w:before="40" w:after="40" w:line="240" w:lineRule="auto"/>
              <w:jc w:val="center"/>
              <w:rPr>
                <w:rFonts w:asciiTheme="minorHAnsi" w:eastAsia="Calibri" w:hAnsiTheme="minorHAnsi"/>
                <w:b/>
                <w:sz w:val="18"/>
                <w:szCs w:val="18"/>
              </w:rPr>
            </w:pPr>
          </w:p>
        </w:tc>
        <w:tc>
          <w:tcPr>
            <w:tcW w:w="1080" w:type="dxa"/>
            <w:shd w:val="clear" w:color="auto" w:fill="auto"/>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Renew Plus</w:t>
            </w:r>
          </w:p>
        </w:tc>
        <w:tc>
          <w:tcPr>
            <w:tcW w:w="95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Pr>
                <w:rFonts w:asciiTheme="minorHAnsi" w:eastAsia="Calibri" w:hAnsiTheme="minorHAnsi"/>
                <w:sz w:val="18"/>
                <w:szCs w:val="18"/>
              </w:rPr>
              <w:t>−</w:t>
            </w:r>
            <w:r w:rsidRPr="00985404">
              <w:rPr>
                <w:rFonts w:asciiTheme="minorHAnsi" w:eastAsia="Calibri" w:hAnsiTheme="minorHAnsi"/>
                <w:sz w:val="18"/>
                <w:szCs w:val="18"/>
              </w:rPr>
              <w:t>0.859</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0.418</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0.279</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2"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0.648</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0.603</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1.124</w:t>
            </w:r>
          </w:p>
        </w:tc>
        <w:tc>
          <w:tcPr>
            <w:tcW w:w="883"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0.267</w:t>
            </w:r>
          </w:p>
        </w:tc>
        <w:tc>
          <w:tcPr>
            <w:tcW w:w="810"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0.111</w:t>
            </w:r>
          </w:p>
        </w:tc>
        <w:tc>
          <w:tcPr>
            <w:tcW w:w="817"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b/>
                <w:sz w:val="18"/>
                <w:szCs w:val="18"/>
              </w:rPr>
            </w:pPr>
            <w:r w:rsidRPr="00985404">
              <w:rPr>
                <w:rFonts w:asciiTheme="minorHAnsi" w:eastAsia="Calibri" w:hAnsiTheme="minorHAnsi"/>
                <w:sz w:val="18"/>
                <w:szCs w:val="18"/>
              </w:rPr>
              <w:t>2.592</w:t>
            </w:r>
          </w:p>
        </w:tc>
      </w:tr>
      <w:tr w:rsidR="00D75C33" w:rsidRPr="00FA2BC0" w:rsidTr="00737F69">
        <w:trPr>
          <w:jc w:val="center"/>
        </w:trPr>
        <w:tc>
          <w:tcPr>
            <w:tcW w:w="1618" w:type="dxa"/>
            <w:vMerge/>
            <w:shd w:val="clear" w:color="auto" w:fill="auto"/>
            <w:vAlign w:val="center"/>
          </w:tcPr>
          <w:p w:rsidR="00D75C33" w:rsidRPr="00FA2BC0" w:rsidRDefault="00D75C33" w:rsidP="00985404">
            <w:pPr>
              <w:keepNext/>
              <w:keepLines/>
              <w:spacing w:before="40" w:after="40" w:line="240" w:lineRule="auto"/>
              <w:jc w:val="center"/>
              <w:rPr>
                <w:rFonts w:asciiTheme="minorHAnsi" w:eastAsia="Calibri" w:hAnsiTheme="minorHAnsi"/>
                <w:b/>
                <w:sz w:val="18"/>
                <w:szCs w:val="18"/>
              </w:rPr>
            </w:pPr>
          </w:p>
        </w:tc>
        <w:tc>
          <w:tcPr>
            <w:tcW w:w="1080" w:type="dxa"/>
            <w:shd w:val="clear" w:color="auto" w:fill="auto"/>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No Retire</w:t>
            </w:r>
          </w:p>
        </w:tc>
        <w:tc>
          <w:tcPr>
            <w:tcW w:w="95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2"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83"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0"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7"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b/>
                <w:sz w:val="18"/>
                <w:szCs w:val="18"/>
              </w:rPr>
            </w:pPr>
            <w:r w:rsidRPr="00985404">
              <w:rPr>
                <w:rFonts w:asciiTheme="minorHAnsi" w:eastAsia="Calibri" w:hAnsiTheme="minorHAnsi"/>
                <w:sz w:val="18"/>
                <w:szCs w:val="18"/>
              </w:rPr>
              <w:t>0.000</w:t>
            </w:r>
          </w:p>
        </w:tc>
      </w:tr>
      <w:tr w:rsidR="00D75C33" w:rsidRPr="00FA2BC0" w:rsidTr="00737F69">
        <w:trPr>
          <w:jc w:val="center"/>
        </w:trPr>
        <w:tc>
          <w:tcPr>
            <w:tcW w:w="1618" w:type="dxa"/>
            <w:vMerge/>
            <w:shd w:val="clear" w:color="auto" w:fill="auto"/>
            <w:vAlign w:val="center"/>
          </w:tcPr>
          <w:p w:rsidR="00D75C33" w:rsidRPr="00FA2BC0" w:rsidRDefault="00D75C33" w:rsidP="00985404">
            <w:pPr>
              <w:keepNext/>
              <w:keepLines/>
              <w:spacing w:before="40" w:after="40" w:line="240" w:lineRule="auto"/>
              <w:jc w:val="center"/>
              <w:rPr>
                <w:rFonts w:asciiTheme="minorHAnsi" w:eastAsia="Calibri" w:hAnsiTheme="minorHAnsi"/>
                <w:b/>
                <w:sz w:val="18"/>
                <w:szCs w:val="18"/>
              </w:rPr>
            </w:pPr>
          </w:p>
        </w:tc>
        <w:tc>
          <w:tcPr>
            <w:tcW w:w="1080" w:type="dxa"/>
            <w:shd w:val="clear" w:color="auto" w:fill="auto"/>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ACP + Gas</w:t>
            </w:r>
          </w:p>
        </w:tc>
        <w:tc>
          <w:tcPr>
            <w:tcW w:w="95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Pr>
                <w:rFonts w:asciiTheme="minorHAnsi" w:eastAsia="Calibri" w:hAnsiTheme="minorHAnsi"/>
                <w:sz w:val="18"/>
                <w:szCs w:val="18"/>
              </w:rPr>
              <w:t>−</w:t>
            </w:r>
            <w:r w:rsidRPr="00985404">
              <w:rPr>
                <w:rFonts w:asciiTheme="minorHAnsi" w:eastAsia="Calibri" w:hAnsiTheme="minorHAnsi"/>
                <w:sz w:val="18"/>
                <w:szCs w:val="18"/>
              </w:rPr>
              <w:t>0.007</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0.119</w:t>
            </w:r>
          </w:p>
        </w:tc>
        <w:tc>
          <w:tcPr>
            <w:tcW w:w="722"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83"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0"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7"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b/>
                <w:sz w:val="18"/>
                <w:szCs w:val="18"/>
              </w:rPr>
            </w:pPr>
            <w:r w:rsidRPr="00985404">
              <w:rPr>
                <w:rFonts w:asciiTheme="minorHAnsi" w:eastAsia="Calibri" w:hAnsiTheme="minorHAnsi"/>
                <w:sz w:val="18"/>
                <w:szCs w:val="18"/>
              </w:rPr>
              <w:t>0.113</w:t>
            </w:r>
          </w:p>
        </w:tc>
      </w:tr>
      <w:tr w:rsidR="00D75C33" w:rsidRPr="00FA2BC0" w:rsidTr="00737F69">
        <w:trPr>
          <w:jc w:val="center"/>
        </w:trPr>
        <w:tc>
          <w:tcPr>
            <w:tcW w:w="1618" w:type="dxa"/>
            <w:vMerge/>
            <w:shd w:val="clear" w:color="auto" w:fill="auto"/>
            <w:vAlign w:val="center"/>
          </w:tcPr>
          <w:p w:rsidR="00D75C33" w:rsidRPr="00FA2BC0" w:rsidRDefault="00D75C33" w:rsidP="00985404">
            <w:pPr>
              <w:keepNext/>
              <w:keepLines/>
              <w:adjustRightInd/>
              <w:spacing w:before="40" w:after="40" w:line="240" w:lineRule="auto"/>
              <w:jc w:val="center"/>
              <w:textAlignment w:val="auto"/>
              <w:rPr>
                <w:rFonts w:asciiTheme="minorHAnsi" w:eastAsia="Calibri" w:hAnsiTheme="minorHAnsi"/>
                <w:b/>
                <w:sz w:val="18"/>
                <w:szCs w:val="18"/>
              </w:rPr>
            </w:pPr>
          </w:p>
        </w:tc>
        <w:tc>
          <w:tcPr>
            <w:tcW w:w="1080" w:type="dxa"/>
            <w:shd w:val="clear" w:color="auto" w:fill="auto"/>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RPS + Geo Renew</w:t>
            </w:r>
          </w:p>
        </w:tc>
        <w:tc>
          <w:tcPr>
            <w:tcW w:w="95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Pr>
                <w:rFonts w:asciiTheme="minorHAnsi" w:eastAsia="Calibri" w:hAnsiTheme="minorHAnsi"/>
                <w:sz w:val="18"/>
                <w:szCs w:val="18"/>
              </w:rPr>
              <w:t>−</w:t>
            </w:r>
            <w:r w:rsidRPr="00985404">
              <w:rPr>
                <w:rFonts w:asciiTheme="minorHAnsi" w:eastAsia="Calibri" w:hAnsiTheme="minorHAnsi"/>
                <w:sz w:val="18"/>
                <w:szCs w:val="18"/>
              </w:rPr>
              <w:t>0.322</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0.362</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2"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0.262</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0.813</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0.368</w:t>
            </w:r>
          </w:p>
        </w:tc>
        <w:tc>
          <w:tcPr>
            <w:tcW w:w="883"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0"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7"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b/>
                <w:sz w:val="18"/>
                <w:szCs w:val="18"/>
              </w:rPr>
            </w:pPr>
            <w:r w:rsidRPr="00985404">
              <w:rPr>
                <w:rFonts w:asciiTheme="minorHAnsi" w:eastAsia="Calibri" w:hAnsiTheme="minorHAnsi"/>
                <w:sz w:val="18"/>
                <w:szCs w:val="18"/>
              </w:rPr>
              <w:t>1.483</w:t>
            </w:r>
          </w:p>
        </w:tc>
      </w:tr>
      <w:tr w:rsidR="00D75C33" w:rsidRPr="00FA2BC0" w:rsidTr="00737F69">
        <w:trPr>
          <w:jc w:val="center"/>
        </w:trPr>
        <w:tc>
          <w:tcPr>
            <w:tcW w:w="1618" w:type="dxa"/>
            <w:vMerge w:val="restart"/>
            <w:shd w:val="clear" w:color="auto" w:fill="DBE5F1" w:themeFill="accent1" w:themeFillTint="33"/>
            <w:vAlign w:val="center"/>
          </w:tcPr>
          <w:p w:rsidR="00D75C33" w:rsidRPr="00FA2BC0" w:rsidRDefault="00D75C33" w:rsidP="00985404">
            <w:pPr>
              <w:keepNext/>
              <w:keepLines/>
              <w:adjustRightInd/>
              <w:spacing w:before="40" w:after="40" w:line="240" w:lineRule="auto"/>
              <w:jc w:val="center"/>
              <w:textAlignment w:val="auto"/>
              <w:rPr>
                <w:rFonts w:asciiTheme="minorHAnsi" w:eastAsia="Calibri" w:hAnsiTheme="minorHAnsi"/>
                <w:b/>
                <w:sz w:val="18"/>
                <w:szCs w:val="18"/>
              </w:rPr>
            </w:pPr>
            <w:r>
              <w:rPr>
                <w:rFonts w:asciiTheme="minorHAnsi" w:eastAsia="Calibri" w:hAnsiTheme="minorHAnsi"/>
                <w:b/>
                <w:sz w:val="18"/>
                <w:szCs w:val="18"/>
              </w:rPr>
              <w:t xml:space="preserve">2025 </w:t>
            </w:r>
            <w:r w:rsidRPr="00FA2BC0">
              <w:rPr>
                <w:rFonts w:asciiTheme="minorHAnsi" w:eastAsia="Calibri" w:hAnsiTheme="minorHAnsi"/>
                <w:b/>
                <w:sz w:val="18"/>
                <w:szCs w:val="18"/>
              </w:rPr>
              <w:t>Unconstrained</w:t>
            </w:r>
          </w:p>
        </w:tc>
        <w:tc>
          <w:tcPr>
            <w:tcW w:w="1080" w:type="dxa"/>
            <w:shd w:val="clear" w:color="auto" w:fill="DBE5F1" w:themeFill="accent1" w:themeFillTint="33"/>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RPS + Gas</w:t>
            </w:r>
          </w:p>
        </w:tc>
        <w:tc>
          <w:tcPr>
            <w:tcW w:w="95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Pr>
                <w:rFonts w:asciiTheme="minorHAnsi" w:eastAsia="Calibri" w:hAnsiTheme="minorHAnsi"/>
                <w:sz w:val="18"/>
                <w:szCs w:val="18"/>
              </w:rPr>
              <w:t>−</w:t>
            </w:r>
            <w:r w:rsidRPr="00985404">
              <w:rPr>
                <w:rFonts w:asciiTheme="minorHAnsi" w:eastAsia="Calibri" w:hAnsiTheme="minorHAnsi"/>
                <w:sz w:val="18"/>
                <w:szCs w:val="18"/>
              </w:rPr>
              <w:t>0.186</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0.211</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0.413</w:t>
            </w:r>
          </w:p>
        </w:tc>
        <w:tc>
          <w:tcPr>
            <w:tcW w:w="722"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0.614</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83"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0"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7"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b/>
                <w:sz w:val="18"/>
                <w:szCs w:val="18"/>
              </w:rPr>
            </w:pPr>
            <w:r w:rsidRPr="00985404">
              <w:rPr>
                <w:rFonts w:asciiTheme="minorHAnsi" w:eastAsia="Calibri" w:hAnsiTheme="minorHAnsi"/>
                <w:sz w:val="18"/>
                <w:szCs w:val="18"/>
              </w:rPr>
              <w:t>1.053</w:t>
            </w:r>
          </w:p>
        </w:tc>
      </w:tr>
      <w:tr w:rsidR="00D75C33" w:rsidRPr="00FA2BC0" w:rsidTr="00737F69">
        <w:trPr>
          <w:jc w:val="center"/>
        </w:trPr>
        <w:tc>
          <w:tcPr>
            <w:tcW w:w="1618" w:type="dxa"/>
            <w:vMerge/>
            <w:shd w:val="clear" w:color="auto" w:fill="DBE5F1" w:themeFill="accent1" w:themeFillTint="33"/>
            <w:vAlign w:val="center"/>
          </w:tcPr>
          <w:p w:rsidR="00D75C33" w:rsidRPr="00FA2BC0" w:rsidRDefault="00D75C33" w:rsidP="00985404">
            <w:pPr>
              <w:keepNext/>
              <w:keepLines/>
              <w:spacing w:before="40" w:after="40" w:line="240" w:lineRule="auto"/>
              <w:jc w:val="center"/>
              <w:rPr>
                <w:rFonts w:asciiTheme="minorHAnsi" w:eastAsia="Calibri" w:hAnsiTheme="minorHAnsi"/>
                <w:b/>
                <w:sz w:val="18"/>
                <w:szCs w:val="18"/>
              </w:rPr>
            </w:pPr>
          </w:p>
        </w:tc>
        <w:tc>
          <w:tcPr>
            <w:tcW w:w="1080" w:type="dxa"/>
            <w:shd w:val="clear" w:color="auto" w:fill="DBE5F1" w:themeFill="accent1" w:themeFillTint="33"/>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ISO Queue</w:t>
            </w:r>
          </w:p>
        </w:tc>
        <w:tc>
          <w:tcPr>
            <w:tcW w:w="95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Pr>
                <w:rFonts w:asciiTheme="minorHAnsi" w:eastAsia="Calibri" w:hAnsiTheme="minorHAnsi"/>
                <w:sz w:val="18"/>
                <w:szCs w:val="18"/>
              </w:rPr>
              <w:t>−</w:t>
            </w:r>
            <w:r w:rsidRPr="00985404">
              <w:rPr>
                <w:rFonts w:asciiTheme="minorHAnsi" w:eastAsia="Calibri" w:hAnsiTheme="minorHAnsi"/>
                <w:sz w:val="18"/>
                <w:szCs w:val="18"/>
              </w:rPr>
              <w:t>0.606</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0.870</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2"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3.018</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0.747</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0.516</w:t>
            </w:r>
          </w:p>
        </w:tc>
        <w:tc>
          <w:tcPr>
            <w:tcW w:w="883"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0"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7"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b/>
                <w:sz w:val="18"/>
                <w:szCs w:val="18"/>
              </w:rPr>
            </w:pPr>
            <w:r w:rsidRPr="00985404">
              <w:rPr>
                <w:rFonts w:asciiTheme="minorHAnsi" w:eastAsia="Calibri" w:hAnsiTheme="minorHAnsi"/>
                <w:sz w:val="18"/>
                <w:szCs w:val="18"/>
              </w:rPr>
              <w:t>4.545</w:t>
            </w:r>
          </w:p>
        </w:tc>
      </w:tr>
      <w:tr w:rsidR="00D75C33" w:rsidRPr="00FA2BC0" w:rsidTr="00737F69">
        <w:trPr>
          <w:jc w:val="center"/>
        </w:trPr>
        <w:tc>
          <w:tcPr>
            <w:tcW w:w="1618" w:type="dxa"/>
            <w:vMerge/>
            <w:shd w:val="clear" w:color="auto" w:fill="DBE5F1" w:themeFill="accent1" w:themeFillTint="33"/>
            <w:vAlign w:val="center"/>
          </w:tcPr>
          <w:p w:rsidR="00D75C33" w:rsidRPr="00FA2BC0" w:rsidRDefault="00D75C33" w:rsidP="00985404">
            <w:pPr>
              <w:keepNext/>
              <w:keepLines/>
              <w:spacing w:before="40" w:after="40" w:line="240" w:lineRule="auto"/>
              <w:jc w:val="center"/>
              <w:rPr>
                <w:rFonts w:asciiTheme="minorHAnsi" w:eastAsia="Calibri" w:hAnsiTheme="minorHAnsi"/>
                <w:b/>
                <w:sz w:val="18"/>
                <w:szCs w:val="18"/>
              </w:rPr>
            </w:pPr>
          </w:p>
        </w:tc>
        <w:tc>
          <w:tcPr>
            <w:tcW w:w="1080" w:type="dxa"/>
            <w:shd w:val="clear" w:color="auto" w:fill="DBE5F1" w:themeFill="accent1" w:themeFillTint="33"/>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Renew Plus</w:t>
            </w:r>
          </w:p>
        </w:tc>
        <w:tc>
          <w:tcPr>
            <w:tcW w:w="95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Pr>
                <w:rFonts w:asciiTheme="minorHAnsi" w:eastAsia="Calibri" w:hAnsiTheme="minorHAnsi"/>
                <w:sz w:val="18"/>
                <w:szCs w:val="18"/>
              </w:rPr>
              <w:t>−</w:t>
            </w:r>
            <w:r w:rsidRPr="00985404">
              <w:rPr>
                <w:rFonts w:asciiTheme="minorHAnsi" w:eastAsia="Calibri" w:hAnsiTheme="minorHAnsi"/>
                <w:sz w:val="18"/>
                <w:szCs w:val="18"/>
              </w:rPr>
              <w:t>1.483</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0.384</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0.256</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2"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0.717</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1.109</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1.762</w:t>
            </w:r>
          </w:p>
        </w:tc>
        <w:tc>
          <w:tcPr>
            <w:tcW w:w="883"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0.558</w:t>
            </w:r>
          </w:p>
        </w:tc>
        <w:tc>
          <w:tcPr>
            <w:tcW w:w="810"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0.213</w:t>
            </w:r>
          </w:p>
        </w:tc>
        <w:tc>
          <w:tcPr>
            <w:tcW w:w="817"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b/>
                <w:sz w:val="18"/>
                <w:szCs w:val="18"/>
              </w:rPr>
            </w:pPr>
            <w:r w:rsidRPr="00985404">
              <w:rPr>
                <w:rFonts w:asciiTheme="minorHAnsi" w:eastAsia="Calibri" w:hAnsiTheme="minorHAnsi"/>
                <w:sz w:val="18"/>
                <w:szCs w:val="18"/>
              </w:rPr>
              <w:t>3.516</w:t>
            </w:r>
          </w:p>
        </w:tc>
      </w:tr>
      <w:tr w:rsidR="00D75C33" w:rsidRPr="00FA2BC0" w:rsidTr="00737F69">
        <w:trPr>
          <w:jc w:val="center"/>
        </w:trPr>
        <w:tc>
          <w:tcPr>
            <w:tcW w:w="1618" w:type="dxa"/>
            <w:vMerge/>
            <w:shd w:val="clear" w:color="auto" w:fill="DBE5F1" w:themeFill="accent1" w:themeFillTint="33"/>
            <w:vAlign w:val="center"/>
          </w:tcPr>
          <w:p w:rsidR="00D75C33" w:rsidRPr="00FA2BC0" w:rsidRDefault="00D75C33" w:rsidP="00985404">
            <w:pPr>
              <w:keepNext/>
              <w:keepLines/>
              <w:spacing w:before="40" w:after="40" w:line="240" w:lineRule="auto"/>
              <w:jc w:val="center"/>
              <w:rPr>
                <w:rFonts w:asciiTheme="minorHAnsi" w:eastAsia="Calibri" w:hAnsiTheme="minorHAnsi"/>
                <w:b/>
                <w:sz w:val="18"/>
                <w:szCs w:val="18"/>
              </w:rPr>
            </w:pPr>
          </w:p>
        </w:tc>
        <w:tc>
          <w:tcPr>
            <w:tcW w:w="1080" w:type="dxa"/>
            <w:shd w:val="clear" w:color="auto" w:fill="DBE5F1" w:themeFill="accent1" w:themeFillTint="33"/>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No Retire</w:t>
            </w:r>
          </w:p>
        </w:tc>
        <w:tc>
          <w:tcPr>
            <w:tcW w:w="95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2"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83"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0"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7"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b/>
                <w:sz w:val="18"/>
                <w:szCs w:val="18"/>
              </w:rPr>
            </w:pPr>
            <w:r w:rsidRPr="00985404">
              <w:rPr>
                <w:rFonts w:asciiTheme="minorHAnsi" w:eastAsia="Calibri" w:hAnsiTheme="minorHAnsi"/>
                <w:sz w:val="18"/>
                <w:szCs w:val="18"/>
              </w:rPr>
              <w:t>0.002</w:t>
            </w:r>
          </w:p>
        </w:tc>
      </w:tr>
      <w:tr w:rsidR="00D75C33" w:rsidRPr="00FA2BC0" w:rsidTr="00737F69">
        <w:trPr>
          <w:jc w:val="center"/>
        </w:trPr>
        <w:tc>
          <w:tcPr>
            <w:tcW w:w="1618" w:type="dxa"/>
            <w:vMerge/>
            <w:shd w:val="clear" w:color="auto" w:fill="DBE5F1" w:themeFill="accent1" w:themeFillTint="33"/>
            <w:vAlign w:val="center"/>
          </w:tcPr>
          <w:p w:rsidR="00D75C33" w:rsidRPr="00FA2BC0" w:rsidRDefault="00D75C33" w:rsidP="00985404">
            <w:pPr>
              <w:keepNext/>
              <w:keepLines/>
              <w:spacing w:before="40" w:after="40" w:line="240" w:lineRule="auto"/>
              <w:jc w:val="center"/>
              <w:rPr>
                <w:rFonts w:asciiTheme="minorHAnsi" w:eastAsia="Calibri" w:hAnsiTheme="minorHAnsi"/>
                <w:b/>
                <w:sz w:val="18"/>
                <w:szCs w:val="18"/>
              </w:rPr>
            </w:pPr>
          </w:p>
        </w:tc>
        <w:tc>
          <w:tcPr>
            <w:tcW w:w="1080" w:type="dxa"/>
            <w:shd w:val="clear" w:color="auto" w:fill="DBE5F1" w:themeFill="accent1" w:themeFillTint="33"/>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ACP + Gas</w:t>
            </w:r>
          </w:p>
        </w:tc>
        <w:tc>
          <w:tcPr>
            <w:tcW w:w="95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Pr>
                <w:rFonts w:asciiTheme="minorHAnsi" w:eastAsia="Calibri" w:hAnsiTheme="minorHAnsi"/>
                <w:sz w:val="18"/>
                <w:szCs w:val="18"/>
              </w:rPr>
              <w:t>−</w:t>
            </w:r>
            <w:r w:rsidRPr="00985404">
              <w:rPr>
                <w:rFonts w:asciiTheme="minorHAnsi" w:eastAsia="Calibri" w:hAnsiTheme="minorHAnsi"/>
                <w:sz w:val="18"/>
                <w:szCs w:val="18"/>
              </w:rPr>
              <w:t>0.016</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0.481</w:t>
            </w:r>
          </w:p>
        </w:tc>
        <w:tc>
          <w:tcPr>
            <w:tcW w:w="722"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83"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0"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7"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b/>
                <w:sz w:val="18"/>
                <w:szCs w:val="18"/>
              </w:rPr>
            </w:pPr>
            <w:r w:rsidRPr="00985404">
              <w:rPr>
                <w:rFonts w:asciiTheme="minorHAnsi" w:eastAsia="Calibri" w:hAnsiTheme="minorHAnsi"/>
                <w:sz w:val="18"/>
                <w:szCs w:val="18"/>
              </w:rPr>
              <w:t>0.465</w:t>
            </w:r>
          </w:p>
        </w:tc>
      </w:tr>
      <w:tr w:rsidR="00D75C33" w:rsidRPr="00FA2BC0" w:rsidTr="00737F69">
        <w:trPr>
          <w:jc w:val="center"/>
        </w:trPr>
        <w:tc>
          <w:tcPr>
            <w:tcW w:w="1618" w:type="dxa"/>
            <w:vMerge/>
            <w:shd w:val="clear" w:color="auto" w:fill="DBE5F1" w:themeFill="accent1" w:themeFillTint="33"/>
            <w:vAlign w:val="center"/>
          </w:tcPr>
          <w:p w:rsidR="00D75C33" w:rsidRPr="00FA2BC0" w:rsidRDefault="00D75C33" w:rsidP="00985404">
            <w:pPr>
              <w:keepNext/>
              <w:keepLines/>
              <w:adjustRightInd/>
              <w:spacing w:before="40" w:after="40" w:line="240" w:lineRule="auto"/>
              <w:jc w:val="center"/>
              <w:textAlignment w:val="auto"/>
              <w:rPr>
                <w:rFonts w:asciiTheme="minorHAnsi" w:eastAsia="Calibri" w:hAnsiTheme="minorHAnsi"/>
                <w:b/>
                <w:sz w:val="18"/>
                <w:szCs w:val="18"/>
              </w:rPr>
            </w:pPr>
          </w:p>
        </w:tc>
        <w:tc>
          <w:tcPr>
            <w:tcW w:w="1080" w:type="dxa"/>
            <w:shd w:val="clear" w:color="auto" w:fill="DBE5F1" w:themeFill="accent1" w:themeFillTint="33"/>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RPSs + Geo Renew</w:t>
            </w:r>
          </w:p>
        </w:tc>
        <w:tc>
          <w:tcPr>
            <w:tcW w:w="95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Pr>
                <w:rFonts w:asciiTheme="minorHAnsi" w:eastAsia="Calibri" w:hAnsiTheme="minorHAnsi"/>
                <w:sz w:val="18"/>
                <w:szCs w:val="18"/>
              </w:rPr>
              <w:t>−</w:t>
            </w:r>
            <w:r w:rsidRPr="00985404">
              <w:rPr>
                <w:rFonts w:asciiTheme="minorHAnsi" w:eastAsia="Calibri" w:hAnsiTheme="minorHAnsi"/>
                <w:sz w:val="18"/>
                <w:szCs w:val="18"/>
              </w:rPr>
              <w:t>1.253</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0.346</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2"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1.349</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3.289</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1.489</w:t>
            </w:r>
          </w:p>
        </w:tc>
        <w:tc>
          <w:tcPr>
            <w:tcW w:w="883"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0"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7"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b/>
                <w:sz w:val="18"/>
                <w:szCs w:val="18"/>
              </w:rPr>
            </w:pPr>
            <w:r w:rsidRPr="00985404">
              <w:rPr>
                <w:rFonts w:asciiTheme="minorHAnsi" w:eastAsia="Calibri" w:hAnsiTheme="minorHAnsi"/>
                <w:sz w:val="18"/>
                <w:szCs w:val="18"/>
              </w:rPr>
              <w:t>5.219</w:t>
            </w:r>
          </w:p>
        </w:tc>
      </w:tr>
      <w:tr w:rsidR="00D75C33" w:rsidRPr="00FA2BC0" w:rsidTr="00737F69">
        <w:trPr>
          <w:jc w:val="center"/>
        </w:trPr>
        <w:tc>
          <w:tcPr>
            <w:tcW w:w="1618" w:type="dxa"/>
            <w:vMerge w:val="restart"/>
            <w:shd w:val="clear" w:color="auto" w:fill="auto"/>
            <w:vAlign w:val="center"/>
          </w:tcPr>
          <w:p w:rsidR="00D75C33" w:rsidRPr="00FA2BC0" w:rsidRDefault="00D75C33" w:rsidP="00985404">
            <w:pPr>
              <w:keepNext/>
              <w:keepLines/>
              <w:adjustRightInd/>
              <w:spacing w:before="40" w:after="40" w:line="240" w:lineRule="auto"/>
              <w:jc w:val="center"/>
              <w:textAlignment w:val="auto"/>
              <w:rPr>
                <w:rFonts w:asciiTheme="minorHAnsi" w:eastAsia="Calibri" w:hAnsiTheme="minorHAnsi"/>
                <w:b/>
                <w:sz w:val="18"/>
                <w:szCs w:val="18"/>
              </w:rPr>
            </w:pPr>
            <w:r>
              <w:rPr>
                <w:rFonts w:asciiTheme="minorHAnsi" w:eastAsia="Calibri" w:hAnsiTheme="minorHAnsi"/>
                <w:b/>
                <w:sz w:val="18"/>
                <w:szCs w:val="18"/>
              </w:rPr>
              <w:t xml:space="preserve">2030 </w:t>
            </w:r>
            <w:r w:rsidRPr="00FA2BC0">
              <w:rPr>
                <w:rFonts w:asciiTheme="minorHAnsi" w:eastAsia="Calibri" w:hAnsiTheme="minorHAnsi"/>
                <w:b/>
                <w:sz w:val="18"/>
                <w:szCs w:val="18"/>
              </w:rPr>
              <w:t>Constrained</w:t>
            </w:r>
          </w:p>
        </w:tc>
        <w:tc>
          <w:tcPr>
            <w:tcW w:w="1080" w:type="dxa"/>
            <w:shd w:val="clear" w:color="auto" w:fill="auto"/>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RPS + Gas</w:t>
            </w:r>
          </w:p>
        </w:tc>
        <w:tc>
          <w:tcPr>
            <w:tcW w:w="95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Pr>
                <w:rFonts w:asciiTheme="minorHAnsi" w:eastAsia="Calibri" w:hAnsiTheme="minorHAnsi"/>
                <w:sz w:val="18"/>
                <w:szCs w:val="18"/>
              </w:rPr>
              <w:t>−</w:t>
            </w:r>
            <w:r w:rsidRPr="00985404">
              <w:rPr>
                <w:rFonts w:asciiTheme="minorHAnsi" w:eastAsia="Calibri" w:hAnsiTheme="minorHAnsi"/>
                <w:sz w:val="18"/>
                <w:szCs w:val="18"/>
              </w:rPr>
              <w:t>0.184</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0.769</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0.069</w:t>
            </w:r>
          </w:p>
        </w:tc>
        <w:tc>
          <w:tcPr>
            <w:tcW w:w="722"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0.457</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83"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0"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7"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b/>
                <w:sz w:val="18"/>
                <w:szCs w:val="18"/>
              </w:rPr>
            </w:pPr>
            <w:r w:rsidRPr="00985404">
              <w:rPr>
                <w:rFonts w:asciiTheme="minorHAnsi" w:eastAsia="Calibri" w:hAnsiTheme="minorHAnsi"/>
                <w:sz w:val="18"/>
                <w:szCs w:val="18"/>
              </w:rPr>
              <w:t>1.110</w:t>
            </w:r>
          </w:p>
        </w:tc>
      </w:tr>
      <w:tr w:rsidR="00D75C33" w:rsidRPr="00FA2BC0" w:rsidTr="00737F69">
        <w:trPr>
          <w:jc w:val="center"/>
        </w:trPr>
        <w:tc>
          <w:tcPr>
            <w:tcW w:w="1618" w:type="dxa"/>
            <w:vMerge/>
            <w:shd w:val="clear" w:color="auto" w:fill="auto"/>
            <w:vAlign w:val="center"/>
          </w:tcPr>
          <w:p w:rsidR="00D75C33" w:rsidRPr="00FA2BC0" w:rsidRDefault="00D75C33" w:rsidP="00985404">
            <w:pPr>
              <w:keepNext/>
              <w:keepLines/>
              <w:spacing w:before="40" w:after="40" w:line="240" w:lineRule="auto"/>
              <w:jc w:val="center"/>
              <w:rPr>
                <w:rFonts w:asciiTheme="minorHAnsi" w:eastAsia="Calibri" w:hAnsiTheme="minorHAnsi"/>
                <w:b/>
                <w:sz w:val="18"/>
                <w:szCs w:val="18"/>
              </w:rPr>
            </w:pPr>
          </w:p>
        </w:tc>
        <w:tc>
          <w:tcPr>
            <w:tcW w:w="1080" w:type="dxa"/>
            <w:shd w:val="clear" w:color="auto" w:fill="auto"/>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ISO Queue</w:t>
            </w:r>
          </w:p>
        </w:tc>
        <w:tc>
          <w:tcPr>
            <w:tcW w:w="95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Pr>
                <w:rFonts w:asciiTheme="minorHAnsi" w:eastAsia="Calibri" w:hAnsiTheme="minorHAnsi"/>
                <w:sz w:val="18"/>
                <w:szCs w:val="18"/>
              </w:rPr>
              <w:t>−</w:t>
            </w:r>
            <w:r w:rsidRPr="00985404">
              <w:rPr>
                <w:rFonts w:asciiTheme="minorHAnsi" w:eastAsia="Calibri" w:hAnsiTheme="minorHAnsi"/>
                <w:sz w:val="18"/>
                <w:szCs w:val="18"/>
              </w:rPr>
              <w:t>0.338</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2.958</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2"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0.804</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0.127</w:t>
            </w:r>
          </w:p>
        </w:tc>
        <w:tc>
          <w:tcPr>
            <w:tcW w:w="883"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0"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7"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b/>
                <w:sz w:val="18"/>
                <w:szCs w:val="18"/>
              </w:rPr>
            </w:pPr>
            <w:r w:rsidRPr="00985404">
              <w:rPr>
                <w:rFonts w:asciiTheme="minorHAnsi" w:eastAsia="Calibri" w:hAnsiTheme="minorHAnsi"/>
                <w:sz w:val="18"/>
                <w:szCs w:val="18"/>
              </w:rPr>
              <w:t>3.552</w:t>
            </w:r>
          </w:p>
        </w:tc>
      </w:tr>
      <w:tr w:rsidR="00D75C33" w:rsidRPr="00FA2BC0" w:rsidTr="00737F69">
        <w:trPr>
          <w:jc w:val="center"/>
        </w:trPr>
        <w:tc>
          <w:tcPr>
            <w:tcW w:w="1618" w:type="dxa"/>
            <w:vMerge/>
            <w:shd w:val="clear" w:color="auto" w:fill="auto"/>
            <w:vAlign w:val="center"/>
          </w:tcPr>
          <w:p w:rsidR="00D75C33" w:rsidRPr="00FA2BC0" w:rsidRDefault="00D75C33" w:rsidP="00985404">
            <w:pPr>
              <w:keepNext/>
              <w:keepLines/>
              <w:spacing w:before="40" w:after="40" w:line="240" w:lineRule="auto"/>
              <w:jc w:val="center"/>
              <w:rPr>
                <w:rFonts w:asciiTheme="minorHAnsi" w:eastAsia="Calibri" w:hAnsiTheme="minorHAnsi"/>
                <w:b/>
                <w:sz w:val="18"/>
                <w:szCs w:val="18"/>
              </w:rPr>
            </w:pPr>
          </w:p>
        </w:tc>
        <w:tc>
          <w:tcPr>
            <w:tcW w:w="1080" w:type="dxa"/>
            <w:shd w:val="clear" w:color="auto" w:fill="auto"/>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Renew Plus</w:t>
            </w:r>
          </w:p>
        </w:tc>
        <w:tc>
          <w:tcPr>
            <w:tcW w:w="95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Pr>
                <w:rFonts w:asciiTheme="minorHAnsi" w:eastAsia="Calibri" w:hAnsiTheme="minorHAnsi"/>
                <w:sz w:val="18"/>
                <w:szCs w:val="18"/>
              </w:rPr>
              <w:t>−</w:t>
            </w:r>
            <w:r w:rsidRPr="00985404">
              <w:rPr>
                <w:rFonts w:asciiTheme="minorHAnsi" w:eastAsia="Calibri" w:hAnsiTheme="minorHAnsi"/>
                <w:sz w:val="18"/>
                <w:szCs w:val="18"/>
              </w:rPr>
              <w:t>0.948</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0.929</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0.279</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2"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0.648</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0.603</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1.124</w:t>
            </w:r>
          </w:p>
        </w:tc>
        <w:tc>
          <w:tcPr>
            <w:tcW w:w="883"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0.267</w:t>
            </w:r>
          </w:p>
        </w:tc>
        <w:tc>
          <w:tcPr>
            <w:tcW w:w="810"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0.111</w:t>
            </w:r>
          </w:p>
        </w:tc>
        <w:tc>
          <w:tcPr>
            <w:tcW w:w="817"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b/>
                <w:sz w:val="18"/>
                <w:szCs w:val="18"/>
              </w:rPr>
            </w:pPr>
            <w:r w:rsidRPr="00985404">
              <w:rPr>
                <w:rFonts w:asciiTheme="minorHAnsi" w:eastAsia="Calibri" w:hAnsiTheme="minorHAnsi"/>
                <w:sz w:val="18"/>
                <w:szCs w:val="18"/>
              </w:rPr>
              <w:t>3.014</w:t>
            </w:r>
          </w:p>
        </w:tc>
      </w:tr>
      <w:tr w:rsidR="00D75C33" w:rsidRPr="00FA2BC0" w:rsidTr="00737F69">
        <w:trPr>
          <w:jc w:val="center"/>
        </w:trPr>
        <w:tc>
          <w:tcPr>
            <w:tcW w:w="1618" w:type="dxa"/>
            <w:vMerge/>
            <w:shd w:val="clear" w:color="auto" w:fill="auto"/>
            <w:vAlign w:val="center"/>
          </w:tcPr>
          <w:p w:rsidR="00D75C33" w:rsidRPr="00FA2BC0" w:rsidRDefault="00D75C33" w:rsidP="00985404">
            <w:pPr>
              <w:keepNext/>
              <w:keepLines/>
              <w:spacing w:before="40" w:after="40" w:line="240" w:lineRule="auto"/>
              <w:jc w:val="center"/>
              <w:rPr>
                <w:rFonts w:asciiTheme="minorHAnsi" w:eastAsia="Calibri" w:hAnsiTheme="minorHAnsi"/>
                <w:b/>
                <w:sz w:val="18"/>
                <w:szCs w:val="18"/>
              </w:rPr>
            </w:pPr>
          </w:p>
        </w:tc>
        <w:tc>
          <w:tcPr>
            <w:tcW w:w="1080" w:type="dxa"/>
            <w:shd w:val="clear" w:color="auto" w:fill="auto"/>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No Retire</w:t>
            </w:r>
          </w:p>
        </w:tc>
        <w:tc>
          <w:tcPr>
            <w:tcW w:w="95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2"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83"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0"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7"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b/>
                <w:sz w:val="18"/>
                <w:szCs w:val="18"/>
              </w:rPr>
            </w:pPr>
            <w:r w:rsidRPr="00985404">
              <w:rPr>
                <w:rFonts w:asciiTheme="minorHAnsi" w:eastAsia="Calibri" w:hAnsiTheme="minorHAnsi"/>
                <w:sz w:val="18"/>
                <w:szCs w:val="18"/>
              </w:rPr>
              <w:t>0.000</w:t>
            </w:r>
          </w:p>
        </w:tc>
      </w:tr>
      <w:tr w:rsidR="00D75C33" w:rsidRPr="00FA2BC0" w:rsidTr="00737F69">
        <w:trPr>
          <w:jc w:val="center"/>
        </w:trPr>
        <w:tc>
          <w:tcPr>
            <w:tcW w:w="1618" w:type="dxa"/>
            <w:vMerge/>
            <w:shd w:val="clear" w:color="auto" w:fill="auto"/>
            <w:vAlign w:val="center"/>
          </w:tcPr>
          <w:p w:rsidR="00D75C33" w:rsidRPr="00FA2BC0" w:rsidRDefault="00D75C33" w:rsidP="00985404">
            <w:pPr>
              <w:keepNext/>
              <w:keepLines/>
              <w:spacing w:before="40" w:after="40" w:line="240" w:lineRule="auto"/>
              <w:jc w:val="center"/>
              <w:rPr>
                <w:rFonts w:asciiTheme="minorHAnsi" w:eastAsia="Calibri" w:hAnsiTheme="minorHAnsi"/>
                <w:b/>
                <w:sz w:val="18"/>
                <w:szCs w:val="18"/>
              </w:rPr>
            </w:pPr>
          </w:p>
        </w:tc>
        <w:tc>
          <w:tcPr>
            <w:tcW w:w="1080" w:type="dxa"/>
            <w:shd w:val="clear" w:color="auto" w:fill="auto"/>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ACP + Gas</w:t>
            </w:r>
          </w:p>
        </w:tc>
        <w:tc>
          <w:tcPr>
            <w:tcW w:w="95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Pr>
                <w:rFonts w:asciiTheme="minorHAnsi" w:eastAsia="Calibri" w:hAnsiTheme="minorHAnsi"/>
                <w:sz w:val="18"/>
                <w:szCs w:val="18"/>
              </w:rPr>
              <w:t>−</w:t>
            </w:r>
            <w:r w:rsidRPr="00985404">
              <w:rPr>
                <w:rFonts w:asciiTheme="minorHAnsi" w:eastAsia="Calibri" w:hAnsiTheme="minorHAnsi"/>
                <w:sz w:val="18"/>
                <w:szCs w:val="18"/>
              </w:rPr>
              <w:t>0.009</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0.119</w:t>
            </w:r>
          </w:p>
        </w:tc>
        <w:tc>
          <w:tcPr>
            <w:tcW w:w="722"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83"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0"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7"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b/>
                <w:sz w:val="18"/>
                <w:szCs w:val="18"/>
              </w:rPr>
            </w:pPr>
            <w:r w:rsidRPr="00985404">
              <w:rPr>
                <w:rFonts w:asciiTheme="minorHAnsi" w:eastAsia="Calibri" w:hAnsiTheme="minorHAnsi"/>
                <w:sz w:val="18"/>
                <w:szCs w:val="18"/>
              </w:rPr>
              <w:t>0.111</w:t>
            </w:r>
          </w:p>
        </w:tc>
      </w:tr>
      <w:tr w:rsidR="00D75C33" w:rsidRPr="00FA2BC0" w:rsidTr="00737F69">
        <w:trPr>
          <w:jc w:val="center"/>
        </w:trPr>
        <w:tc>
          <w:tcPr>
            <w:tcW w:w="1618" w:type="dxa"/>
            <w:vMerge/>
            <w:shd w:val="clear" w:color="auto" w:fill="auto"/>
            <w:vAlign w:val="center"/>
          </w:tcPr>
          <w:p w:rsidR="00D75C33" w:rsidRPr="00FA2BC0" w:rsidRDefault="00D75C33" w:rsidP="00985404">
            <w:pPr>
              <w:keepNext/>
              <w:keepLines/>
              <w:adjustRightInd/>
              <w:spacing w:before="40" w:after="40" w:line="240" w:lineRule="auto"/>
              <w:jc w:val="center"/>
              <w:textAlignment w:val="auto"/>
              <w:rPr>
                <w:rFonts w:asciiTheme="minorHAnsi" w:eastAsia="Calibri" w:hAnsiTheme="minorHAnsi"/>
                <w:b/>
                <w:sz w:val="18"/>
                <w:szCs w:val="18"/>
              </w:rPr>
            </w:pPr>
          </w:p>
        </w:tc>
        <w:tc>
          <w:tcPr>
            <w:tcW w:w="1080" w:type="dxa"/>
            <w:shd w:val="clear" w:color="auto" w:fill="auto"/>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RPS + Geo Renew</w:t>
            </w:r>
          </w:p>
        </w:tc>
        <w:tc>
          <w:tcPr>
            <w:tcW w:w="95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Pr>
                <w:rFonts w:asciiTheme="minorHAnsi" w:eastAsia="Calibri" w:hAnsiTheme="minorHAnsi"/>
                <w:sz w:val="18"/>
                <w:szCs w:val="18"/>
              </w:rPr>
              <w:t>−</w:t>
            </w:r>
            <w:r w:rsidRPr="00985404">
              <w:rPr>
                <w:rFonts w:asciiTheme="minorHAnsi" w:eastAsia="Calibri" w:hAnsiTheme="minorHAnsi"/>
                <w:sz w:val="18"/>
                <w:szCs w:val="18"/>
              </w:rPr>
              <w:t>0.347</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1.183</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2"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0.262</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0.813</w:t>
            </w:r>
          </w:p>
        </w:tc>
        <w:tc>
          <w:tcPr>
            <w:tcW w:w="721"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0.368</w:t>
            </w:r>
          </w:p>
        </w:tc>
        <w:tc>
          <w:tcPr>
            <w:tcW w:w="883"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0"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7" w:type="dxa"/>
            <w:shd w:val="clear" w:color="auto" w:fill="auto"/>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b/>
                <w:sz w:val="18"/>
                <w:szCs w:val="18"/>
              </w:rPr>
            </w:pPr>
            <w:r w:rsidRPr="00985404">
              <w:rPr>
                <w:rFonts w:asciiTheme="minorHAnsi" w:eastAsia="Calibri" w:hAnsiTheme="minorHAnsi"/>
                <w:sz w:val="18"/>
                <w:szCs w:val="18"/>
              </w:rPr>
              <w:t>2.278</w:t>
            </w:r>
          </w:p>
        </w:tc>
      </w:tr>
      <w:tr w:rsidR="00D75C33" w:rsidRPr="00FA2BC0" w:rsidTr="00737F69">
        <w:trPr>
          <w:jc w:val="center"/>
        </w:trPr>
        <w:tc>
          <w:tcPr>
            <w:tcW w:w="1618" w:type="dxa"/>
            <w:vMerge w:val="restart"/>
            <w:shd w:val="clear" w:color="auto" w:fill="DBE5F1" w:themeFill="accent1" w:themeFillTint="33"/>
            <w:vAlign w:val="center"/>
          </w:tcPr>
          <w:p w:rsidR="00D75C33" w:rsidRPr="00FA2BC0" w:rsidRDefault="00D75C33" w:rsidP="00985404">
            <w:pPr>
              <w:keepNext/>
              <w:keepLines/>
              <w:adjustRightInd/>
              <w:spacing w:before="40" w:after="40" w:line="240" w:lineRule="auto"/>
              <w:jc w:val="center"/>
              <w:textAlignment w:val="auto"/>
              <w:rPr>
                <w:rFonts w:asciiTheme="minorHAnsi" w:eastAsia="Calibri" w:hAnsiTheme="minorHAnsi"/>
                <w:b/>
                <w:sz w:val="18"/>
                <w:szCs w:val="18"/>
              </w:rPr>
            </w:pPr>
            <w:r>
              <w:rPr>
                <w:rFonts w:asciiTheme="minorHAnsi" w:eastAsia="Calibri" w:hAnsiTheme="minorHAnsi"/>
                <w:b/>
                <w:sz w:val="18"/>
                <w:szCs w:val="18"/>
              </w:rPr>
              <w:t xml:space="preserve">2030 </w:t>
            </w:r>
            <w:r w:rsidRPr="00FA2BC0">
              <w:rPr>
                <w:rFonts w:asciiTheme="minorHAnsi" w:eastAsia="Calibri" w:hAnsiTheme="minorHAnsi"/>
                <w:b/>
                <w:sz w:val="18"/>
                <w:szCs w:val="18"/>
              </w:rPr>
              <w:t>Unconstrained</w:t>
            </w:r>
          </w:p>
        </w:tc>
        <w:tc>
          <w:tcPr>
            <w:tcW w:w="1080" w:type="dxa"/>
            <w:shd w:val="clear" w:color="auto" w:fill="DBE5F1" w:themeFill="accent1" w:themeFillTint="33"/>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RPS + Gas</w:t>
            </w:r>
          </w:p>
        </w:tc>
        <w:tc>
          <w:tcPr>
            <w:tcW w:w="95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Pr>
                <w:rFonts w:asciiTheme="minorHAnsi" w:eastAsia="Calibri" w:hAnsiTheme="minorHAnsi"/>
                <w:sz w:val="18"/>
                <w:szCs w:val="18"/>
              </w:rPr>
              <w:t>−</w:t>
            </w:r>
            <w:r w:rsidRPr="00985404">
              <w:rPr>
                <w:rFonts w:asciiTheme="minorHAnsi" w:eastAsia="Calibri" w:hAnsiTheme="minorHAnsi"/>
                <w:sz w:val="18"/>
                <w:szCs w:val="18"/>
              </w:rPr>
              <w:t>0.297</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0.732</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0.413</w:t>
            </w:r>
          </w:p>
        </w:tc>
        <w:tc>
          <w:tcPr>
            <w:tcW w:w="722"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0.614</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83"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0"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7"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b/>
                <w:sz w:val="18"/>
                <w:szCs w:val="18"/>
              </w:rPr>
            </w:pPr>
            <w:r w:rsidRPr="00985404">
              <w:rPr>
                <w:rFonts w:asciiTheme="minorHAnsi" w:eastAsia="Calibri" w:hAnsiTheme="minorHAnsi"/>
                <w:sz w:val="18"/>
                <w:szCs w:val="18"/>
              </w:rPr>
              <w:t>1.463</w:t>
            </w:r>
          </w:p>
        </w:tc>
      </w:tr>
      <w:tr w:rsidR="00D75C33" w:rsidRPr="00FA2BC0" w:rsidTr="00737F69">
        <w:trPr>
          <w:jc w:val="center"/>
        </w:trPr>
        <w:tc>
          <w:tcPr>
            <w:tcW w:w="1618" w:type="dxa"/>
            <w:vMerge/>
            <w:shd w:val="clear" w:color="auto" w:fill="DBE5F1" w:themeFill="accent1" w:themeFillTint="33"/>
            <w:vAlign w:val="center"/>
          </w:tcPr>
          <w:p w:rsidR="00D75C33" w:rsidRPr="00FA2BC0" w:rsidRDefault="00D75C33" w:rsidP="00985404">
            <w:pPr>
              <w:keepNext/>
              <w:keepLines/>
              <w:spacing w:before="40" w:after="40" w:line="240" w:lineRule="auto"/>
              <w:jc w:val="center"/>
              <w:rPr>
                <w:rFonts w:asciiTheme="minorHAnsi" w:eastAsia="Calibri" w:hAnsiTheme="minorHAnsi"/>
                <w:sz w:val="18"/>
                <w:szCs w:val="18"/>
              </w:rPr>
            </w:pPr>
          </w:p>
        </w:tc>
        <w:tc>
          <w:tcPr>
            <w:tcW w:w="1080" w:type="dxa"/>
            <w:shd w:val="clear" w:color="auto" w:fill="DBE5F1" w:themeFill="accent1" w:themeFillTint="33"/>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ISO Queue</w:t>
            </w:r>
          </w:p>
        </w:tc>
        <w:tc>
          <w:tcPr>
            <w:tcW w:w="95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Pr>
                <w:rFonts w:asciiTheme="minorHAnsi" w:eastAsia="Calibri" w:hAnsiTheme="minorHAnsi"/>
                <w:sz w:val="18"/>
                <w:szCs w:val="18"/>
              </w:rPr>
              <w:t>−</w:t>
            </w:r>
            <w:r w:rsidRPr="00985404">
              <w:rPr>
                <w:rFonts w:asciiTheme="minorHAnsi" w:eastAsia="Calibri" w:hAnsiTheme="minorHAnsi"/>
                <w:sz w:val="18"/>
                <w:szCs w:val="18"/>
              </w:rPr>
              <w:t>1.306</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2.830</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2"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3.018</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0.747</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0.516</w:t>
            </w:r>
          </w:p>
        </w:tc>
        <w:tc>
          <w:tcPr>
            <w:tcW w:w="883"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0"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7"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b/>
                <w:sz w:val="18"/>
                <w:szCs w:val="18"/>
              </w:rPr>
            </w:pPr>
            <w:r w:rsidRPr="00985404">
              <w:rPr>
                <w:rFonts w:asciiTheme="minorHAnsi" w:eastAsia="Calibri" w:hAnsiTheme="minorHAnsi"/>
                <w:sz w:val="18"/>
                <w:szCs w:val="18"/>
              </w:rPr>
              <w:t>5.804</w:t>
            </w:r>
          </w:p>
        </w:tc>
      </w:tr>
      <w:tr w:rsidR="00D75C33" w:rsidRPr="00FA2BC0" w:rsidTr="00737F69">
        <w:trPr>
          <w:jc w:val="center"/>
        </w:trPr>
        <w:tc>
          <w:tcPr>
            <w:tcW w:w="1618" w:type="dxa"/>
            <w:vMerge/>
            <w:shd w:val="clear" w:color="auto" w:fill="DBE5F1" w:themeFill="accent1" w:themeFillTint="33"/>
            <w:vAlign w:val="center"/>
          </w:tcPr>
          <w:p w:rsidR="00D75C33" w:rsidRPr="00FA2BC0" w:rsidRDefault="00D75C33" w:rsidP="00985404">
            <w:pPr>
              <w:keepNext/>
              <w:keepLines/>
              <w:spacing w:before="40" w:after="40" w:line="240" w:lineRule="auto"/>
              <w:jc w:val="center"/>
              <w:rPr>
                <w:rFonts w:asciiTheme="minorHAnsi" w:eastAsia="Calibri" w:hAnsiTheme="minorHAnsi"/>
                <w:sz w:val="18"/>
                <w:szCs w:val="18"/>
              </w:rPr>
            </w:pPr>
          </w:p>
        </w:tc>
        <w:tc>
          <w:tcPr>
            <w:tcW w:w="1080" w:type="dxa"/>
            <w:shd w:val="clear" w:color="auto" w:fill="DBE5F1" w:themeFill="accent1" w:themeFillTint="33"/>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Renew Plus</w:t>
            </w:r>
          </w:p>
        </w:tc>
        <w:tc>
          <w:tcPr>
            <w:tcW w:w="95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Pr>
                <w:rFonts w:asciiTheme="minorHAnsi" w:eastAsia="Calibri" w:hAnsiTheme="minorHAnsi"/>
                <w:sz w:val="18"/>
                <w:szCs w:val="18"/>
              </w:rPr>
              <w:t>−</w:t>
            </w:r>
            <w:r w:rsidRPr="00985404">
              <w:rPr>
                <w:rFonts w:asciiTheme="minorHAnsi" w:eastAsia="Calibri" w:hAnsiTheme="minorHAnsi"/>
                <w:sz w:val="18"/>
                <w:szCs w:val="18"/>
              </w:rPr>
              <w:t>1.578</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0.854</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0.256</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2"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0.717</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1.109</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1.762</w:t>
            </w:r>
          </w:p>
        </w:tc>
        <w:tc>
          <w:tcPr>
            <w:tcW w:w="883"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0.558</w:t>
            </w:r>
          </w:p>
        </w:tc>
        <w:tc>
          <w:tcPr>
            <w:tcW w:w="810"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0.213</w:t>
            </w:r>
          </w:p>
        </w:tc>
        <w:tc>
          <w:tcPr>
            <w:tcW w:w="817"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b/>
                <w:sz w:val="18"/>
                <w:szCs w:val="18"/>
              </w:rPr>
            </w:pPr>
            <w:r w:rsidRPr="00985404">
              <w:rPr>
                <w:rFonts w:asciiTheme="minorHAnsi" w:eastAsia="Calibri" w:hAnsiTheme="minorHAnsi"/>
                <w:sz w:val="18"/>
                <w:szCs w:val="18"/>
              </w:rPr>
              <w:t>3.891</w:t>
            </w:r>
          </w:p>
        </w:tc>
      </w:tr>
      <w:tr w:rsidR="00D75C33" w:rsidRPr="00FA2BC0" w:rsidTr="00737F69">
        <w:trPr>
          <w:jc w:val="center"/>
        </w:trPr>
        <w:tc>
          <w:tcPr>
            <w:tcW w:w="1618" w:type="dxa"/>
            <w:vMerge/>
            <w:shd w:val="clear" w:color="auto" w:fill="DBE5F1" w:themeFill="accent1" w:themeFillTint="33"/>
            <w:vAlign w:val="center"/>
          </w:tcPr>
          <w:p w:rsidR="00D75C33" w:rsidRPr="00FA2BC0" w:rsidRDefault="00D75C33" w:rsidP="00985404">
            <w:pPr>
              <w:keepNext/>
              <w:keepLines/>
              <w:spacing w:before="40" w:after="40" w:line="240" w:lineRule="auto"/>
              <w:jc w:val="center"/>
              <w:rPr>
                <w:rFonts w:asciiTheme="minorHAnsi" w:eastAsia="Calibri" w:hAnsiTheme="minorHAnsi"/>
                <w:sz w:val="18"/>
                <w:szCs w:val="18"/>
              </w:rPr>
            </w:pPr>
          </w:p>
        </w:tc>
        <w:tc>
          <w:tcPr>
            <w:tcW w:w="1080" w:type="dxa"/>
            <w:shd w:val="clear" w:color="auto" w:fill="DBE5F1" w:themeFill="accent1" w:themeFillTint="33"/>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No Retire</w:t>
            </w:r>
          </w:p>
        </w:tc>
        <w:tc>
          <w:tcPr>
            <w:tcW w:w="95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2"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83"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0"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7"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b/>
                <w:sz w:val="18"/>
                <w:szCs w:val="18"/>
              </w:rPr>
            </w:pPr>
            <w:r w:rsidRPr="00985404">
              <w:rPr>
                <w:rFonts w:asciiTheme="minorHAnsi" w:eastAsia="Calibri" w:hAnsiTheme="minorHAnsi"/>
                <w:sz w:val="18"/>
                <w:szCs w:val="18"/>
              </w:rPr>
              <w:t>0.000</w:t>
            </w:r>
          </w:p>
        </w:tc>
      </w:tr>
      <w:tr w:rsidR="00D75C33" w:rsidRPr="00FA2BC0" w:rsidTr="00737F69">
        <w:trPr>
          <w:jc w:val="center"/>
        </w:trPr>
        <w:tc>
          <w:tcPr>
            <w:tcW w:w="1618" w:type="dxa"/>
            <w:vMerge/>
            <w:shd w:val="clear" w:color="auto" w:fill="DBE5F1" w:themeFill="accent1" w:themeFillTint="33"/>
            <w:vAlign w:val="center"/>
          </w:tcPr>
          <w:p w:rsidR="00D75C33" w:rsidRPr="00FA2BC0" w:rsidRDefault="00D75C33" w:rsidP="00985404">
            <w:pPr>
              <w:keepNext/>
              <w:keepLines/>
              <w:spacing w:before="40" w:after="40" w:line="240" w:lineRule="auto"/>
              <w:jc w:val="center"/>
              <w:rPr>
                <w:rFonts w:asciiTheme="minorHAnsi" w:eastAsia="Calibri" w:hAnsiTheme="minorHAnsi"/>
                <w:sz w:val="18"/>
                <w:szCs w:val="18"/>
              </w:rPr>
            </w:pPr>
          </w:p>
        </w:tc>
        <w:tc>
          <w:tcPr>
            <w:tcW w:w="1080" w:type="dxa"/>
            <w:shd w:val="clear" w:color="auto" w:fill="DBE5F1" w:themeFill="accent1" w:themeFillTint="33"/>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ACP + Gas</w:t>
            </w:r>
          </w:p>
        </w:tc>
        <w:tc>
          <w:tcPr>
            <w:tcW w:w="95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Pr>
                <w:rFonts w:asciiTheme="minorHAnsi" w:eastAsia="Calibri" w:hAnsiTheme="minorHAnsi"/>
                <w:sz w:val="18"/>
                <w:szCs w:val="18"/>
              </w:rPr>
              <w:t>−</w:t>
            </w:r>
            <w:r w:rsidRPr="00985404">
              <w:rPr>
                <w:rFonts w:asciiTheme="minorHAnsi" w:eastAsia="Calibri" w:hAnsiTheme="minorHAnsi"/>
                <w:sz w:val="18"/>
                <w:szCs w:val="18"/>
              </w:rPr>
              <w:t>0.017</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0.481</w:t>
            </w:r>
          </w:p>
        </w:tc>
        <w:tc>
          <w:tcPr>
            <w:tcW w:w="722"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83"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0"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7"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b/>
                <w:sz w:val="18"/>
                <w:szCs w:val="18"/>
              </w:rPr>
            </w:pPr>
            <w:r w:rsidRPr="00985404">
              <w:rPr>
                <w:rFonts w:asciiTheme="minorHAnsi" w:eastAsia="Calibri" w:hAnsiTheme="minorHAnsi"/>
                <w:sz w:val="18"/>
                <w:szCs w:val="18"/>
              </w:rPr>
              <w:t>0.464</w:t>
            </w:r>
          </w:p>
        </w:tc>
      </w:tr>
      <w:tr w:rsidR="00D75C33" w:rsidRPr="00FA2BC0" w:rsidTr="00737F69">
        <w:trPr>
          <w:jc w:val="center"/>
        </w:trPr>
        <w:tc>
          <w:tcPr>
            <w:tcW w:w="1618" w:type="dxa"/>
            <w:vMerge/>
            <w:shd w:val="clear" w:color="auto" w:fill="DBE5F1" w:themeFill="accent1" w:themeFillTint="33"/>
            <w:vAlign w:val="center"/>
          </w:tcPr>
          <w:p w:rsidR="00D75C33" w:rsidRPr="00FA2BC0" w:rsidRDefault="00D75C33" w:rsidP="00985404">
            <w:pPr>
              <w:keepNext/>
              <w:keepLines/>
              <w:adjustRightInd/>
              <w:spacing w:before="40" w:after="40" w:line="240" w:lineRule="auto"/>
              <w:jc w:val="center"/>
              <w:textAlignment w:val="auto"/>
              <w:rPr>
                <w:rFonts w:asciiTheme="minorHAnsi" w:eastAsia="Calibri" w:hAnsiTheme="minorHAnsi"/>
                <w:sz w:val="18"/>
                <w:szCs w:val="18"/>
              </w:rPr>
            </w:pPr>
          </w:p>
        </w:tc>
        <w:tc>
          <w:tcPr>
            <w:tcW w:w="1080" w:type="dxa"/>
            <w:shd w:val="clear" w:color="auto" w:fill="DBE5F1" w:themeFill="accent1" w:themeFillTint="33"/>
            <w:tcMar>
              <w:left w:w="58" w:type="dxa"/>
              <w:right w:w="0" w:type="dxa"/>
            </w:tcMar>
            <w:vAlign w:val="center"/>
          </w:tcPr>
          <w:p w:rsidR="00D75C33" w:rsidRPr="00FA2BC0" w:rsidRDefault="00D75C33" w:rsidP="00737F69">
            <w:pPr>
              <w:keepNext/>
              <w:keepLines/>
              <w:adjustRightInd/>
              <w:spacing w:before="40" w:after="40" w:line="240" w:lineRule="auto"/>
              <w:textAlignment w:val="auto"/>
              <w:rPr>
                <w:rFonts w:asciiTheme="minorHAnsi" w:eastAsia="Calibri" w:hAnsiTheme="minorHAnsi"/>
                <w:sz w:val="18"/>
                <w:szCs w:val="18"/>
              </w:rPr>
            </w:pPr>
            <w:r w:rsidRPr="00FA2BC0">
              <w:rPr>
                <w:rFonts w:asciiTheme="minorHAnsi" w:eastAsia="Calibri" w:hAnsiTheme="minorHAnsi"/>
                <w:sz w:val="18"/>
                <w:szCs w:val="18"/>
              </w:rPr>
              <w:t>RPSs + Geo Renew</w:t>
            </w:r>
          </w:p>
        </w:tc>
        <w:tc>
          <w:tcPr>
            <w:tcW w:w="95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Pr>
                <w:rFonts w:asciiTheme="minorHAnsi" w:eastAsia="Calibri" w:hAnsiTheme="minorHAnsi"/>
                <w:sz w:val="18"/>
                <w:szCs w:val="18"/>
              </w:rPr>
              <w:t>−</w:t>
            </w:r>
            <w:r w:rsidRPr="00985404">
              <w:rPr>
                <w:rFonts w:asciiTheme="minorHAnsi" w:eastAsia="Calibri" w:hAnsiTheme="minorHAnsi"/>
                <w:sz w:val="18"/>
                <w:szCs w:val="18"/>
              </w:rPr>
              <w:t>1.430</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1.132</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722"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1.349</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3.289</w:t>
            </w:r>
          </w:p>
        </w:tc>
        <w:tc>
          <w:tcPr>
            <w:tcW w:w="721"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1.489</w:t>
            </w:r>
          </w:p>
        </w:tc>
        <w:tc>
          <w:tcPr>
            <w:tcW w:w="883"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0"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sz w:val="18"/>
                <w:szCs w:val="18"/>
              </w:rPr>
            </w:pPr>
            <w:r w:rsidRPr="00985404">
              <w:rPr>
                <w:rFonts w:asciiTheme="minorHAnsi" w:eastAsia="Calibri" w:hAnsiTheme="minorHAnsi"/>
                <w:sz w:val="18"/>
                <w:szCs w:val="18"/>
              </w:rPr>
              <w:t>0.000</w:t>
            </w:r>
          </w:p>
        </w:tc>
        <w:tc>
          <w:tcPr>
            <w:tcW w:w="817" w:type="dxa"/>
            <w:shd w:val="clear" w:color="auto" w:fill="DBE5F1" w:themeFill="accent1" w:themeFillTint="33"/>
            <w:tcMar>
              <w:left w:w="58" w:type="dxa"/>
              <w:right w:w="58" w:type="dxa"/>
            </w:tcMar>
            <w:vAlign w:val="center"/>
          </w:tcPr>
          <w:p w:rsidR="00D75C33" w:rsidRPr="00985404" w:rsidRDefault="00D75C33" w:rsidP="00985404">
            <w:pPr>
              <w:keepNext/>
              <w:keepLines/>
              <w:adjustRightInd/>
              <w:spacing w:before="40" w:after="40" w:line="240" w:lineRule="auto"/>
              <w:jc w:val="center"/>
              <w:textAlignment w:val="auto"/>
              <w:rPr>
                <w:rFonts w:asciiTheme="minorHAnsi" w:eastAsia="Calibri" w:hAnsiTheme="minorHAnsi"/>
                <w:b/>
                <w:sz w:val="18"/>
                <w:szCs w:val="18"/>
              </w:rPr>
            </w:pPr>
            <w:r w:rsidRPr="00985404">
              <w:rPr>
                <w:rFonts w:asciiTheme="minorHAnsi" w:eastAsia="Calibri" w:hAnsiTheme="minorHAnsi"/>
                <w:sz w:val="18"/>
                <w:szCs w:val="18"/>
              </w:rPr>
              <w:t>5.828</w:t>
            </w:r>
          </w:p>
        </w:tc>
      </w:tr>
    </w:tbl>
    <w:p w:rsidR="004E55C6" w:rsidRPr="00751E7F" w:rsidRDefault="004E55C6" w:rsidP="004E55C6">
      <w:pPr>
        <w:rPr>
          <w:rFonts w:asciiTheme="minorHAnsi" w:hAnsiTheme="minorHAnsi"/>
          <w:sz w:val="18"/>
          <w:szCs w:val="18"/>
        </w:rPr>
      </w:pPr>
    </w:p>
    <w:p w:rsidR="0053379A" w:rsidRPr="004766D0" w:rsidRDefault="0053379A" w:rsidP="0053379A">
      <w:pPr>
        <w:pStyle w:val="Heading2"/>
      </w:pPr>
      <w:bookmarkStart w:id="350" w:name="_Toc486406005"/>
      <w:r w:rsidRPr="004766D0">
        <w:t>Environmental Results</w:t>
      </w:r>
      <w:bookmarkEnd w:id="350"/>
    </w:p>
    <w:p w:rsidR="0053379A" w:rsidRPr="004766D0" w:rsidRDefault="00C45BAB" w:rsidP="0053379A">
      <w:r>
        <w:t xml:space="preserve">The results for the metrics that </w:t>
      </w:r>
      <w:r w:rsidR="0053379A" w:rsidRPr="00E33A68">
        <w:t>assess</w:t>
      </w:r>
      <w:r>
        <w:t>ed t</w:t>
      </w:r>
      <w:r w:rsidR="0053379A" w:rsidRPr="00E33A68">
        <w:t>he environmental impacts associated with the different scenarios</w:t>
      </w:r>
      <w:r w:rsidR="009E35A0">
        <w:t xml:space="preserve"> </w:t>
      </w:r>
      <w:r w:rsidR="0053379A" w:rsidRPr="00E33A68">
        <w:t>provide some insight on future emission trends.</w:t>
      </w:r>
      <w:r w:rsidR="0083676A">
        <w:t xml:space="preserve"> </w:t>
      </w:r>
      <w:r w:rsidR="0053379A" w:rsidRPr="00E33A68">
        <w:t>The levels of SO</w:t>
      </w:r>
      <w:r w:rsidR="0053379A" w:rsidRPr="00E33A68">
        <w:rPr>
          <w:vertAlign w:val="subscript"/>
        </w:rPr>
        <w:t>2</w:t>
      </w:r>
      <w:r w:rsidR="0053379A" w:rsidRPr="00E33A68">
        <w:t>, NO</w:t>
      </w:r>
      <w:r w:rsidR="0053379A" w:rsidRPr="00E33A68">
        <w:rPr>
          <w:vertAlign w:val="subscript"/>
        </w:rPr>
        <w:t>X</w:t>
      </w:r>
      <w:r w:rsidR="0053379A" w:rsidRPr="00E33A68">
        <w:t>, and CO</w:t>
      </w:r>
      <w:r w:rsidR="0053379A" w:rsidRPr="00E33A68">
        <w:rPr>
          <w:vertAlign w:val="subscript"/>
        </w:rPr>
        <w:t>2</w:t>
      </w:r>
      <w:r w:rsidR="0053379A" w:rsidRPr="00E33A68">
        <w:t>, emissions associated with the different scenarios</w:t>
      </w:r>
      <w:r w:rsidR="0053379A" w:rsidRPr="00712F7A">
        <w:t xml:space="preserve"> are</w:t>
      </w:r>
      <w:r w:rsidR="0053379A" w:rsidRPr="00E33A68">
        <w:t xml:space="preserve"> directly tied to the type and amount of fossil fuel</w:t>
      </w:r>
      <w:r w:rsidR="009E35A0">
        <w:t>s</w:t>
      </w:r>
      <w:r w:rsidR="0053379A" w:rsidRPr="00E33A68">
        <w:t xml:space="preserve"> </w:t>
      </w:r>
      <w:r w:rsidR="00E91240">
        <w:t xml:space="preserve">the different scenarios and cases </w:t>
      </w:r>
      <w:r w:rsidR="0053379A" w:rsidRPr="00E33A68">
        <w:t>use</w:t>
      </w:r>
      <w:r w:rsidR="00E91240">
        <w:t xml:space="preserve"> </w:t>
      </w:r>
      <w:r w:rsidR="0053379A" w:rsidRPr="00E33A68">
        <w:lastRenderedPageBreak/>
        <w:t>to generate electricity.</w:t>
      </w:r>
      <w:r w:rsidR="00650639">
        <w:rPr>
          <w:rStyle w:val="FootnoteReference"/>
        </w:rPr>
        <w:footnoteReference w:id="70"/>
      </w:r>
      <w:r w:rsidR="00DB3E8C">
        <w:t xml:space="preserve"> </w:t>
      </w:r>
      <w:r w:rsidR="00155151" w:rsidRPr="00712F7A">
        <w:t>CO</w:t>
      </w:r>
      <w:r w:rsidR="00155151" w:rsidRPr="00712F7A">
        <w:rPr>
          <w:vertAlign w:val="subscript"/>
        </w:rPr>
        <w:t>2</w:t>
      </w:r>
      <w:r w:rsidR="00B76C5F" w:rsidRPr="00712F7A">
        <w:t xml:space="preserve"> al</w:t>
      </w:r>
      <w:r w:rsidR="00B76C5F" w:rsidRPr="00702EDC">
        <w:t xml:space="preserve">lowance </w:t>
      </w:r>
      <w:r w:rsidR="00155151" w:rsidRPr="00702EDC">
        <w:t>prices</w:t>
      </w:r>
      <w:r w:rsidR="00831EE8">
        <w:t xml:space="preserve"> </w:t>
      </w:r>
      <w:r w:rsidR="00831EE8" w:rsidRPr="00702EDC">
        <w:t>assumed based on</w:t>
      </w:r>
      <w:r w:rsidRPr="00702EDC">
        <w:t xml:space="preserve"> </w:t>
      </w:r>
      <w:r w:rsidR="0065781B" w:rsidRPr="00702EDC">
        <w:t>the</w:t>
      </w:r>
      <w:r w:rsidR="0065781B" w:rsidRPr="00712F7A">
        <w:t xml:space="preserve"> Regional Greenhouse Gas Initiative</w:t>
      </w:r>
      <w:r w:rsidR="00155151" w:rsidRPr="00712F7A">
        <w:t xml:space="preserve"> are </w:t>
      </w:r>
      <w:r w:rsidR="00155151" w:rsidRPr="00702EDC">
        <w:t xml:space="preserve">key drivers </w:t>
      </w:r>
      <w:r w:rsidR="00155151" w:rsidRPr="00712F7A">
        <w:t>of production costs</w:t>
      </w:r>
      <w:r w:rsidRPr="00712F7A">
        <w:t>,</w:t>
      </w:r>
      <w:r w:rsidR="00155151" w:rsidRPr="00712F7A">
        <w:t xml:space="preserve"> and CO</w:t>
      </w:r>
      <w:r w:rsidR="00155151" w:rsidRPr="00712F7A">
        <w:rPr>
          <w:vertAlign w:val="subscript"/>
        </w:rPr>
        <w:t>2</w:t>
      </w:r>
      <w:r w:rsidR="00155151" w:rsidRPr="00712F7A">
        <w:t xml:space="preserve"> emissions pose a potential regulatory constraint</w:t>
      </w:r>
      <w:r w:rsidR="00E91240" w:rsidRPr="00712F7A">
        <w:t xml:space="preserve"> during the study years</w:t>
      </w:r>
      <w:r w:rsidR="009E7B29" w:rsidRPr="00712F7A">
        <w:t>.</w:t>
      </w:r>
      <w:r w:rsidR="009E7B29">
        <w:rPr>
          <w:u w:val="single"/>
        </w:rPr>
        <w:t xml:space="preserve"> </w:t>
      </w:r>
    </w:p>
    <w:p w:rsidR="0083676A" w:rsidRDefault="000554D4" w:rsidP="00AF716F">
      <w:pPr>
        <w:pStyle w:val="Heading3"/>
      </w:pPr>
      <w:bookmarkStart w:id="351" w:name="_Toc486406006"/>
      <w:r>
        <w:t>Ability of the System to Meet Renewable Portfolio Standards</w:t>
      </w:r>
      <w:bookmarkEnd w:id="351"/>
      <w:r w:rsidR="00122AC3">
        <w:t xml:space="preserve"> </w:t>
      </w:r>
    </w:p>
    <w:p w:rsidR="002354CA" w:rsidRDefault="00AD1BE5" w:rsidP="00201D25">
      <w:pPr>
        <w:rPr>
          <w:noProof/>
        </w:rPr>
      </w:pPr>
      <w:r w:rsidRPr="00516EA7">
        <w:t>The assumptions for</w:t>
      </w:r>
      <w:r w:rsidR="004A75DD" w:rsidRPr="00516EA7">
        <w:t xml:space="preserve"> Scenarios 1, 2, 3, and 6 </w:t>
      </w:r>
      <w:r w:rsidRPr="00516EA7">
        <w:t xml:space="preserve">were developed to </w:t>
      </w:r>
      <w:r w:rsidR="004A75DD" w:rsidRPr="00516EA7">
        <w:t xml:space="preserve">physically meet the </w:t>
      </w:r>
      <w:r w:rsidRPr="00516EA7">
        <w:t xml:space="preserve">regionwide </w:t>
      </w:r>
      <w:r w:rsidR="004A75DD" w:rsidRPr="00516EA7">
        <w:t>Renewable Portfolio Standa</w:t>
      </w:r>
      <w:r w:rsidRPr="00516EA7">
        <w:t>rds for the unconstrained cases</w:t>
      </w:r>
      <w:r w:rsidR="00E008E4" w:rsidRPr="00516EA7">
        <w:t>.</w:t>
      </w:r>
      <w:r w:rsidR="00A267C1" w:rsidRPr="00516EA7">
        <w:t xml:space="preserve"> </w:t>
      </w:r>
      <w:r w:rsidRPr="00516EA7">
        <w:t xml:space="preserve">As shown in </w:t>
      </w:r>
      <w:r w:rsidR="00A267C1" w:rsidRPr="00516EA7">
        <w:fldChar w:fldCharType="begin"/>
      </w:r>
      <w:r w:rsidR="00A267C1" w:rsidRPr="00516EA7">
        <w:instrText xml:space="preserve"> REF _Ref480893311 \h  \* MERGEFORMAT </w:instrText>
      </w:r>
      <w:r w:rsidR="00A267C1" w:rsidRPr="00516EA7">
        <w:fldChar w:fldCharType="separate"/>
      </w:r>
      <w:r w:rsidR="00742B49" w:rsidRPr="00516EA7">
        <w:t xml:space="preserve">Figure </w:t>
      </w:r>
      <w:r w:rsidR="00742B49" w:rsidRPr="00516EA7">
        <w:rPr>
          <w:noProof/>
        </w:rPr>
        <w:t>6</w:t>
      </w:r>
      <w:r w:rsidR="00742B49" w:rsidRPr="00516EA7">
        <w:rPr>
          <w:noProof/>
        </w:rPr>
        <w:noBreakHyphen/>
        <w:t>21</w:t>
      </w:r>
      <w:r w:rsidR="00A267C1" w:rsidRPr="00516EA7">
        <w:fldChar w:fldCharType="end"/>
      </w:r>
      <w:r w:rsidR="00A267C1" w:rsidRPr="00516EA7">
        <w:t xml:space="preserve"> </w:t>
      </w:r>
      <w:r w:rsidRPr="00516EA7">
        <w:t xml:space="preserve">and </w:t>
      </w:r>
      <w:r w:rsidR="00A267C1" w:rsidRPr="00516EA7">
        <w:fldChar w:fldCharType="begin"/>
      </w:r>
      <w:r w:rsidR="00A267C1" w:rsidRPr="00516EA7">
        <w:instrText xml:space="preserve"> REF _Ref480893324 \h  \* MERGEFORMAT </w:instrText>
      </w:r>
      <w:r w:rsidR="00A267C1" w:rsidRPr="00516EA7">
        <w:fldChar w:fldCharType="separate"/>
      </w:r>
      <w:r w:rsidR="00742B49" w:rsidRPr="00516EA7">
        <w:t xml:space="preserve">Figure </w:t>
      </w:r>
      <w:r w:rsidR="00742B49" w:rsidRPr="00516EA7">
        <w:rPr>
          <w:noProof/>
        </w:rPr>
        <w:t>6</w:t>
      </w:r>
      <w:r w:rsidR="00742B49" w:rsidRPr="00516EA7">
        <w:rPr>
          <w:noProof/>
        </w:rPr>
        <w:noBreakHyphen/>
        <w:t>22</w:t>
      </w:r>
      <w:r w:rsidR="00A267C1" w:rsidRPr="00516EA7">
        <w:fldChar w:fldCharType="end"/>
      </w:r>
      <w:r w:rsidR="006012E0" w:rsidRPr="00516EA7">
        <w:t xml:space="preserve"> (and </w:t>
      </w:r>
      <w:r w:rsidR="006012E0" w:rsidRPr="00516EA7">
        <w:fldChar w:fldCharType="begin"/>
      </w:r>
      <w:r w:rsidR="006012E0" w:rsidRPr="00516EA7">
        <w:instrText xml:space="preserve"> REF _Ref483930638 \h  \* MERGEFORMAT </w:instrText>
      </w:r>
      <w:r w:rsidR="006012E0" w:rsidRPr="00516EA7">
        <w:fldChar w:fldCharType="separate"/>
      </w:r>
      <w:r w:rsidR="00516EA7" w:rsidRPr="00516EA7">
        <w:t xml:space="preserve">Table </w:t>
      </w:r>
      <w:r w:rsidR="00516EA7" w:rsidRPr="00516EA7">
        <w:rPr>
          <w:noProof/>
        </w:rPr>
        <w:t>6</w:t>
      </w:r>
      <w:r w:rsidR="00516EA7" w:rsidRPr="00516EA7">
        <w:rPr>
          <w:noProof/>
        </w:rPr>
        <w:noBreakHyphen/>
        <w:t>20</w:t>
      </w:r>
      <w:r w:rsidR="006012E0" w:rsidRPr="00516EA7">
        <w:fldChar w:fldCharType="end"/>
      </w:r>
      <w:r w:rsidR="006012E0" w:rsidRPr="00516EA7">
        <w:t>)</w:t>
      </w:r>
      <w:r w:rsidRPr="00516EA7">
        <w:t xml:space="preserve">, </w:t>
      </w:r>
      <w:r w:rsidR="00B14012" w:rsidRPr="00516EA7">
        <w:t xml:space="preserve">Scenarios 1, </w:t>
      </w:r>
      <w:r w:rsidR="00D10C6B" w:rsidRPr="00516EA7">
        <w:t xml:space="preserve">2, 3, and 6 </w:t>
      </w:r>
      <w:r w:rsidR="00831EE8" w:rsidRPr="00516EA7">
        <w:t xml:space="preserve">physically </w:t>
      </w:r>
      <w:r w:rsidRPr="00516EA7">
        <w:t>me</w:t>
      </w:r>
      <w:r w:rsidR="00D10C6B" w:rsidRPr="00516EA7">
        <w:t>e</w:t>
      </w:r>
      <w:r w:rsidRPr="00516EA7">
        <w:t xml:space="preserve">t </w:t>
      </w:r>
      <w:r w:rsidR="00D10C6B" w:rsidRPr="00516EA7">
        <w:t xml:space="preserve">RPS targets for </w:t>
      </w:r>
      <w:r w:rsidRPr="00516EA7">
        <w:t>both the constrained and the</w:t>
      </w:r>
      <w:r>
        <w:t xml:space="preserve"> unconstrained cases for 2025 and 2030</w:t>
      </w:r>
      <w:r w:rsidR="009E7B29">
        <w:t xml:space="preserve">. </w:t>
      </w:r>
      <w:r w:rsidR="00831EE8">
        <w:t xml:space="preserve">By design, </w:t>
      </w:r>
      <w:r w:rsidR="00831EE8" w:rsidRPr="00E008E4">
        <w:t>Scenarios 4 and 5 do not physically meet the RPS but are assumed to comply through use of alternative compliance payments.</w:t>
      </w:r>
    </w:p>
    <w:p w:rsidR="007F0082" w:rsidRDefault="007F0082" w:rsidP="00E008E4">
      <w:pPr>
        <w:keepNext/>
        <w:keepLines/>
        <w:spacing w:after="0" w:line="240" w:lineRule="auto"/>
        <w:jc w:val="center"/>
        <w:rPr>
          <w:noProof/>
        </w:rPr>
      </w:pPr>
      <w:r w:rsidRPr="007F0082">
        <w:rPr>
          <w:noProof/>
        </w:rPr>
        <w:drawing>
          <wp:inline distT="0" distB="0" distL="0" distR="0" wp14:anchorId="5ABF6764" wp14:editId="7BEE4C8E">
            <wp:extent cx="5382895" cy="2743200"/>
            <wp:effectExtent l="0" t="0" r="8255" b="0"/>
            <wp:docPr id="7175"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82895" cy="2743200"/>
                    </a:xfrm>
                    <a:prstGeom prst="rect">
                      <a:avLst/>
                    </a:prstGeom>
                    <a:noFill/>
                    <a:ln>
                      <a:noFill/>
                    </a:ln>
                  </pic:spPr>
                </pic:pic>
              </a:graphicData>
            </a:graphic>
          </wp:inline>
        </w:drawing>
      </w:r>
    </w:p>
    <w:p w:rsidR="002354CA" w:rsidRPr="00A267C1" w:rsidRDefault="0002530A" w:rsidP="00E008E4">
      <w:pPr>
        <w:pStyle w:val="Caption"/>
        <w:keepNext w:val="0"/>
        <w:keepLines w:val="0"/>
        <w:spacing w:before="120" w:after="80"/>
        <w:ind w:left="446" w:right="547"/>
        <w:rPr>
          <w:noProof/>
        </w:rPr>
      </w:pPr>
      <w:bookmarkStart w:id="352" w:name="_Ref480893311"/>
      <w:bookmarkStart w:id="353" w:name="_Toc486406091"/>
      <w:r>
        <w:t xml:space="preserve">Figure </w:t>
      </w:r>
      <w:fldSimple w:instr=" STYLEREF 1 \s ">
        <w:r w:rsidR="00742B49">
          <w:rPr>
            <w:noProof/>
          </w:rPr>
          <w:t>6</w:t>
        </w:r>
      </w:fldSimple>
      <w:r w:rsidR="00024994">
        <w:noBreakHyphen/>
      </w:r>
      <w:fldSimple w:instr=" SEQ Figure \* ARABIC \s 1 ">
        <w:r w:rsidR="00742B49">
          <w:rPr>
            <w:noProof/>
          </w:rPr>
          <w:t>21</w:t>
        </w:r>
      </w:fldSimple>
      <w:bookmarkEnd w:id="352"/>
      <w:r>
        <w:t xml:space="preserve">: </w:t>
      </w:r>
      <w:r>
        <w:rPr>
          <w:noProof/>
        </w:rPr>
        <w:t>The scenarios’ renewable energy production, 2025 (unconstrained and constrained cases) (GWh).</w:t>
      </w:r>
      <w:bookmarkEnd w:id="353"/>
    </w:p>
    <w:p w:rsidR="007D238D" w:rsidRDefault="007D238D" w:rsidP="00A267C1">
      <w:pPr>
        <w:keepNext/>
        <w:keepLines/>
        <w:spacing w:after="0" w:line="240" w:lineRule="auto"/>
        <w:jc w:val="center"/>
      </w:pPr>
    </w:p>
    <w:p w:rsidR="007F0082" w:rsidRDefault="007F0082" w:rsidP="00A267C1">
      <w:pPr>
        <w:keepNext/>
        <w:keepLines/>
        <w:spacing w:after="0" w:line="240" w:lineRule="auto"/>
        <w:jc w:val="center"/>
      </w:pPr>
      <w:r w:rsidRPr="007F0082">
        <w:rPr>
          <w:noProof/>
        </w:rPr>
        <w:drawing>
          <wp:inline distT="0" distB="0" distL="0" distR="0" wp14:anchorId="7FFBCCA2" wp14:editId="79E65603">
            <wp:extent cx="5382895" cy="2743200"/>
            <wp:effectExtent l="0" t="0" r="8255" b="0"/>
            <wp:docPr id="7187" name="Picture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82895" cy="2743200"/>
                    </a:xfrm>
                    <a:prstGeom prst="rect">
                      <a:avLst/>
                    </a:prstGeom>
                    <a:noFill/>
                    <a:ln>
                      <a:noFill/>
                    </a:ln>
                  </pic:spPr>
                </pic:pic>
              </a:graphicData>
            </a:graphic>
          </wp:inline>
        </w:drawing>
      </w:r>
    </w:p>
    <w:p w:rsidR="00E008E4" w:rsidRDefault="0002530A" w:rsidP="006012E0">
      <w:pPr>
        <w:pStyle w:val="Caption"/>
        <w:keepNext w:val="0"/>
        <w:keepLines w:val="0"/>
        <w:spacing w:before="120" w:after="80"/>
        <w:ind w:left="450" w:right="540"/>
        <w:rPr>
          <w:noProof/>
        </w:rPr>
      </w:pPr>
      <w:bookmarkStart w:id="354" w:name="_Ref480893324"/>
      <w:bookmarkStart w:id="355" w:name="_Toc486406092"/>
      <w:r>
        <w:t xml:space="preserve">Figure </w:t>
      </w:r>
      <w:fldSimple w:instr=" STYLEREF 1 \s ">
        <w:r w:rsidR="00742B49">
          <w:rPr>
            <w:noProof/>
          </w:rPr>
          <w:t>6</w:t>
        </w:r>
      </w:fldSimple>
      <w:r w:rsidR="00024994">
        <w:noBreakHyphen/>
      </w:r>
      <w:fldSimple w:instr=" SEQ Figure \* ARABIC \s 1 ">
        <w:r w:rsidR="00742B49">
          <w:rPr>
            <w:noProof/>
          </w:rPr>
          <w:t>22</w:t>
        </w:r>
      </w:fldSimple>
      <w:bookmarkEnd w:id="354"/>
      <w:r>
        <w:t xml:space="preserve">: </w:t>
      </w:r>
      <w:r>
        <w:rPr>
          <w:noProof/>
        </w:rPr>
        <w:t>The scenarios’ renewable energy production, 2030 (unconstrained and constrained cases) (GWh).</w:t>
      </w:r>
      <w:bookmarkEnd w:id="355"/>
    </w:p>
    <w:p w:rsidR="007A0500" w:rsidRDefault="006012E0" w:rsidP="00470B01">
      <w:pPr>
        <w:pStyle w:val="Caption"/>
        <w:suppressAutoHyphens/>
        <w:jc w:val="center"/>
        <w:rPr>
          <w:rFonts w:asciiTheme="minorHAnsi" w:hAnsiTheme="minorHAnsi"/>
          <w:noProof/>
          <w:sz w:val="18"/>
          <w:szCs w:val="18"/>
        </w:rPr>
      </w:pPr>
      <w:bookmarkStart w:id="356" w:name="_Ref483930638"/>
      <w:bookmarkStart w:id="357" w:name="_Toc486406055"/>
      <w:r w:rsidRPr="00516EA7">
        <w:lastRenderedPageBreak/>
        <w:t xml:space="preserve">Table </w:t>
      </w:r>
      <w:fldSimple w:instr=" STYLEREF 1 \s ">
        <w:r w:rsidR="004248FE">
          <w:rPr>
            <w:noProof/>
          </w:rPr>
          <w:t>6</w:t>
        </w:r>
      </w:fldSimple>
      <w:r w:rsidR="004248FE">
        <w:noBreakHyphen/>
      </w:r>
      <w:fldSimple w:instr=" SEQ Table \* ARABIC \s 1 ">
        <w:r w:rsidR="004248FE">
          <w:rPr>
            <w:noProof/>
          </w:rPr>
          <w:t>20</w:t>
        </w:r>
      </w:fldSimple>
      <w:bookmarkEnd w:id="356"/>
      <w:r w:rsidRPr="00516EA7">
        <w:br/>
      </w:r>
      <w:r w:rsidR="007A0500" w:rsidRPr="00516EA7">
        <w:rPr>
          <w:rFonts w:asciiTheme="minorHAnsi" w:hAnsiTheme="minorHAnsi"/>
          <w:noProof/>
          <w:sz w:val="18"/>
          <w:szCs w:val="18"/>
        </w:rPr>
        <w:t>Assumed Source of RPS Energy and Goal</w:t>
      </w:r>
      <w:r w:rsidRPr="00516EA7">
        <w:rPr>
          <w:rFonts w:asciiTheme="minorHAnsi" w:hAnsiTheme="minorHAnsi"/>
          <w:noProof/>
          <w:sz w:val="18"/>
          <w:szCs w:val="18"/>
        </w:rPr>
        <w:t>, 2025 and 2030 (GWh)</w:t>
      </w:r>
      <w:bookmarkEnd w:id="357"/>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39"/>
        <w:gridCol w:w="1237"/>
        <w:gridCol w:w="1245"/>
        <w:gridCol w:w="1234"/>
        <w:gridCol w:w="1120"/>
        <w:gridCol w:w="1013"/>
        <w:gridCol w:w="1149"/>
      </w:tblGrid>
      <w:tr w:rsidR="00516EA7" w:rsidRPr="00550BFD" w:rsidTr="0006098B">
        <w:trPr>
          <w:jc w:val="center"/>
        </w:trPr>
        <w:tc>
          <w:tcPr>
            <w:tcW w:w="1939" w:type="dxa"/>
            <w:shd w:val="clear" w:color="auto" w:fill="4F81BD" w:themeFill="accent1"/>
            <w:vAlign w:val="center"/>
          </w:tcPr>
          <w:p w:rsidR="00516EA7" w:rsidRPr="00550BFD" w:rsidRDefault="00516EA7" w:rsidP="006012E0">
            <w:pPr>
              <w:keepNext/>
              <w:keepLines/>
              <w:suppressAutoHyphens/>
              <w:adjustRightInd/>
              <w:spacing w:before="40" w:after="40" w:line="240" w:lineRule="auto"/>
              <w:jc w:val="center"/>
              <w:textAlignment w:val="auto"/>
              <w:rPr>
                <w:rFonts w:asciiTheme="minorHAnsi" w:eastAsia="Calibri" w:hAnsiTheme="minorHAnsi"/>
                <w:b/>
                <w:color w:val="FFFFFF" w:themeColor="background1"/>
                <w:sz w:val="18"/>
                <w:szCs w:val="18"/>
              </w:rPr>
            </w:pPr>
            <w:r w:rsidRPr="00550BFD">
              <w:rPr>
                <w:rFonts w:asciiTheme="minorHAnsi" w:eastAsia="Calibri" w:hAnsiTheme="minorHAnsi"/>
                <w:b/>
                <w:color w:val="FFFFFF" w:themeColor="background1"/>
                <w:sz w:val="18"/>
                <w:szCs w:val="18"/>
              </w:rPr>
              <w:t>Transmission</w:t>
            </w:r>
            <w:r>
              <w:rPr>
                <w:rFonts w:asciiTheme="minorHAnsi" w:eastAsia="Calibri" w:hAnsiTheme="minorHAnsi"/>
                <w:b/>
                <w:color w:val="FFFFFF" w:themeColor="background1"/>
                <w:sz w:val="18"/>
                <w:szCs w:val="18"/>
              </w:rPr>
              <w:t xml:space="preserve"> and Year</w:t>
            </w:r>
          </w:p>
        </w:tc>
        <w:tc>
          <w:tcPr>
            <w:tcW w:w="1237" w:type="dxa"/>
            <w:shd w:val="clear" w:color="auto" w:fill="4F81BD" w:themeFill="accent1"/>
            <w:vAlign w:val="center"/>
          </w:tcPr>
          <w:p w:rsidR="00516EA7" w:rsidRPr="00550BFD" w:rsidRDefault="00516EA7" w:rsidP="006012E0">
            <w:pPr>
              <w:keepNext/>
              <w:keepLines/>
              <w:suppressAutoHyphens/>
              <w:adjustRightInd/>
              <w:spacing w:before="40" w:after="40" w:line="240" w:lineRule="auto"/>
              <w:jc w:val="center"/>
              <w:textAlignment w:val="auto"/>
              <w:rPr>
                <w:rFonts w:asciiTheme="minorHAnsi" w:eastAsia="Calibri" w:hAnsiTheme="minorHAnsi"/>
                <w:b/>
                <w:color w:val="FFFFFF" w:themeColor="background1"/>
                <w:sz w:val="18"/>
                <w:szCs w:val="18"/>
              </w:rPr>
            </w:pPr>
            <w:r w:rsidRPr="00550BFD">
              <w:rPr>
                <w:rFonts w:asciiTheme="minorHAnsi" w:eastAsia="Calibri" w:hAnsiTheme="minorHAnsi"/>
                <w:b/>
                <w:color w:val="FFFFFF" w:themeColor="background1"/>
                <w:sz w:val="18"/>
                <w:szCs w:val="18"/>
              </w:rPr>
              <w:t>Scenario</w:t>
            </w:r>
          </w:p>
        </w:tc>
        <w:tc>
          <w:tcPr>
            <w:tcW w:w="1245" w:type="dxa"/>
            <w:shd w:val="clear" w:color="auto" w:fill="4F81BD" w:themeFill="accent1"/>
            <w:vAlign w:val="center"/>
          </w:tcPr>
          <w:p w:rsidR="00516EA7" w:rsidRPr="00550BFD" w:rsidRDefault="00516EA7" w:rsidP="006012E0">
            <w:pPr>
              <w:keepNext/>
              <w:keepLines/>
              <w:suppressAutoHyphens/>
              <w:adjustRightInd/>
              <w:spacing w:before="40" w:after="40" w:line="240" w:lineRule="auto"/>
              <w:jc w:val="center"/>
              <w:textAlignment w:val="auto"/>
              <w:rPr>
                <w:rFonts w:asciiTheme="minorHAnsi" w:eastAsia="Calibri" w:hAnsiTheme="minorHAnsi"/>
                <w:b/>
                <w:color w:val="FFFFFF" w:themeColor="background1"/>
                <w:sz w:val="18"/>
                <w:szCs w:val="18"/>
              </w:rPr>
            </w:pPr>
            <w:r w:rsidRPr="00550BFD">
              <w:rPr>
                <w:rFonts w:asciiTheme="minorHAnsi" w:eastAsia="Calibri" w:hAnsiTheme="minorHAnsi"/>
                <w:b/>
                <w:color w:val="FFFFFF" w:themeColor="background1"/>
                <w:sz w:val="18"/>
                <w:szCs w:val="18"/>
              </w:rPr>
              <w:t>Offshore Wind</w:t>
            </w:r>
          </w:p>
        </w:tc>
        <w:tc>
          <w:tcPr>
            <w:tcW w:w="1234" w:type="dxa"/>
            <w:shd w:val="clear" w:color="auto" w:fill="4F81BD" w:themeFill="accent1"/>
            <w:vAlign w:val="center"/>
          </w:tcPr>
          <w:p w:rsidR="00516EA7" w:rsidRPr="00550BFD" w:rsidRDefault="00516EA7" w:rsidP="006012E0">
            <w:pPr>
              <w:keepNext/>
              <w:keepLines/>
              <w:suppressAutoHyphens/>
              <w:adjustRightInd/>
              <w:spacing w:before="40" w:after="40" w:line="240" w:lineRule="auto"/>
              <w:jc w:val="center"/>
              <w:textAlignment w:val="auto"/>
              <w:rPr>
                <w:rFonts w:asciiTheme="minorHAnsi" w:eastAsia="Calibri" w:hAnsiTheme="minorHAnsi"/>
                <w:b/>
                <w:color w:val="FFFFFF" w:themeColor="background1"/>
                <w:sz w:val="18"/>
                <w:szCs w:val="18"/>
              </w:rPr>
            </w:pPr>
            <w:r w:rsidRPr="00550BFD">
              <w:rPr>
                <w:rFonts w:asciiTheme="minorHAnsi" w:eastAsia="Calibri" w:hAnsiTheme="minorHAnsi"/>
                <w:b/>
                <w:color w:val="FFFFFF" w:themeColor="background1"/>
                <w:sz w:val="18"/>
                <w:szCs w:val="18"/>
              </w:rPr>
              <w:t>Onshore Wind</w:t>
            </w:r>
          </w:p>
        </w:tc>
        <w:tc>
          <w:tcPr>
            <w:tcW w:w="1120" w:type="dxa"/>
            <w:shd w:val="clear" w:color="auto" w:fill="4F81BD" w:themeFill="accent1"/>
            <w:vAlign w:val="center"/>
          </w:tcPr>
          <w:p w:rsidR="00516EA7" w:rsidRPr="00550BFD" w:rsidRDefault="00516EA7" w:rsidP="006012E0">
            <w:pPr>
              <w:keepNext/>
              <w:keepLines/>
              <w:suppressAutoHyphens/>
              <w:adjustRightInd/>
              <w:spacing w:before="40" w:after="40" w:line="240" w:lineRule="auto"/>
              <w:jc w:val="center"/>
              <w:textAlignment w:val="auto"/>
              <w:rPr>
                <w:rFonts w:asciiTheme="minorHAnsi" w:eastAsia="Calibri" w:hAnsiTheme="minorHAnsi"/>
                <w:b/>
                <w:color w:val="FFFFFF" w:themeColor="background1"/>
                <w:sz w:val="18"/>
                <w:szCs w:val="18"/>
              </w:rPr>
            </w:pPr>
            <w:r w:rsidRPr="00550BFD">
              <w:rPr>
                <w:rFonts w:asciiTheme="minorHAnsi" w:eastAsia="Calibri" w:hAnsiTheme="minorHAnsi"/>
                <w:b/>
                <w:color w:val="FFFFFF" w:themeColor="background1"/>
                <w:sz w:val="18"/>
                <w:szCs w:val="18"/>
              </w:rPr>
              <w:t>Solar (New)</w:t>
            </w:r>
          </w:p>
        </w:tc>
        <w:tc>
          <w:tcPr>
            <w:tcW w:w="1013" w:type="dxa"/>
            <w:shd w:val="clear" w:color="auto" w:fill="4F81BD" w:themeFill="accent1"/>
            <w:vAlign w:val="center"/>
          </w:tcPr>
          <w:p w:rsidR="00516EA7" w:rsidRPr="00550BFD" w:rsidRDefault="00516EA7" w:rsidP="006012E0">
            <w:pPr>
              <w:keepNext/>
              <w:keepLines/>
              <w:suppressAutoHyphens/>
              <w:adjustRightInd/>
              <w:spacing w:before="40" w:after="40" w:line="240" w:lineRule="auto"/>
              <w:jc w:val="center"/>
              <w:textAlignment w:val="auto"/>
              <w:rPr>
                <w:rFonts w:asciiTheme="minorHAnsi" w:eastAsia="Calibri" w:hAnsiTheme="minorHAnsi"/>
                <w:b/>
                <w:color w:val="FFFFFF" w:themeColor="background1"/>
                <w:sz w:val="18"/>
                <w:szCs w:val="18"/>
              </w:rPr>
            </w:pPr>
            <w:r w:rsidRPr="00550BFD">
              <w:rPr>
                <w:rFonts w:asciiTheme="minorHAnsi" w:eastAsia="Calibri" w:hAnsiTheme="minorHAnsi"/>
                <w:b/>
                <w:color w:val="FFFFFF" w:themeColor="background1"/>
                <w:sz w:val="18"/>
                <w:szCs w:val="18"/>
              </w:rPr>
              <w:t>Total</w:t>
            </w:r>
          </w:p>
        </w:tc>
        <w:tc>
          <w:tcPr>
            <w:tcW w:w="1149" w:type="dxa"/>
            <w:shd w:val="clear" w:color="auto" w:fill="4F81BD" w:themeFill="accent1"/>
            <w:vAlign w:val="center"/>
          </w:tcPr>
          <w:p w:rsidR="00516EA7" w:rsidRPr="00550BFD" w:rsidRDefault="00516EA7" w:rsidP="006012E0">
            <w:pPr>
              <w:keepNext/>
              <w:keepLines/>
              <w:suppressAutoHyphens/>
              <w:adjustRightInd/>
              <w:spacing w:before="40" w:after="40" w:line="240" w:lineRule="auto"/>
              <w:jc w:val="center"/>
              <w:textAlignment w:val="auto"/>
              <w:rPr>
                <w:rFonts w:asciiTheme="minorHAnsi" w:eastAsia="Calibri" w:hAnsiTheme="minorHAnsi"/>
                <w:b/>
                <w:color w:val="FFFFFF" w:themeColor="background1"/>
                <w:sz w:val="18"/>
                <w:szCs w:val="18"/>
              </w:rPr>
            </w:pPr>
            <w:r w:rsidRPr="00550BFD">
              <w:rPr>
                <w:rFonts w:asciiTheme="minorHAnsi" w:eastAsia="Calibri" w:hAnsiTheme="minorHAnsi"/>
                <w:b/>
                <w:color w:val="FFFFFF" w:themeColor="background1"/>
                <w:sz w:val="18"/>
                <w:szCs w:val="18"/>
              </w:rPr>
              <w:t>RPS Goal</w:t>
            </w:r>
          </w:p>
        </w:tc>
      </w:tr>
      <w:tr w:rsidR="00516EA7" w:rsidRPr="00550BFD" w:rsidTr="001E0E83">
        <w:trPr>
          <w:jc w:val="center"/>
        </w:trPr>
        <w:tc>
          <w:tcPr>
            <w:tcW w:w="1939" w:type="dxa"/>
            <w:vMerge w:val="restart"/>
            <w:shd w:val="clear" w:color="auto" w:fill="auto"/>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b/>
                <w:sz w:val="18"/>
                <w:szCs w:val="18"/>
              </w:rPr>
            </w:pPr>
            <w:r>
              <w:rPr>
                <w:rFonts w:asciiTheme="minorHAnsi" w:eastAsia="Calibri" w:hAnsiTheme="minorHAnsi"/>
                <w:b/>
                <w:sz w:val="18"/>
                <w:szCs w:val="18"/>
              </w:rPr>
              <w:t xml:space="preserve">2025 </w:t>
            </w:r>
            <w:r w:rsidRPr="00550BFD">
              <w:rPr>
                <w:rFonts w:asciiTheme="minorHAnsi" w:eastAsia="Calibri" w:hAnsiTheme="minorHAnsi"/>
                <w:b/>
                <w:sz w:val="18"/>
                <w:szCs w:val="18"/>
              </w:rPr>
              <w:t>Constrained</w:t>
            </w:r>
          </w:p>
        </w:tc>
        <w:tc>
          <w:tcPr>
            <w:tcW w:w="1237" w:type="dxa"/>
            <w:shd w:val="clear" w:color="auto" w:fill="auto"/>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sz w:val="18"/>
                <w:szCs w:val="18"/>
              </w:rPr>
            </w:pPr>
            <w:r w:rsidRPr="00550BFD">
              <w:rPr>
                <w:rFonts w:asciiTheme="minorHAnsi" w:eastAsia="Calibri" w:hAnsiTheme="minorHAnsi"/>
                <w:sz w:val="18"/>
                <w:szCs w:val="18"/>
              </w:rPr>
              <w:t>RPS + Gas</w:t>
            </w:r>
          </w:p>
        </w:tc>
        <w:tc>
          <w:tcPr>
            <w:tcW w:w="1245"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1.926</w:t>
            </w:r>
          </w:p>
        </w:tc>
        <w:tc>
          <w:tcPr>
            <w:tcW w:w="1234"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6.396</w:t>
            </w:r>
          </w:p>
        </w:tc>
        <w:tc>
          <w:tcPr>
            <w:tcW w:w="1120"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0.906</w:t>
            </w:r>
          </w:p>
        </w:tc>
        <w:tc>
          <w:tcPr>
            <w:tcW w:w="1013" w:type="dxa"/>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16EA7">
              <w:rPr>
                <w:rFonts w:asciiTheme="minorHAnsi" w:hAnsiTheme="minorHAnsi"/>
                <w:sz w:val="18"/>
                <w:szCs w:val="18"/>
              </w:rPr>
              <w:t>9.228</w:t>
            </w:r>
          </w:p>
        </w:tc>
        <w:tc>
          <w:tcPr>
            <w:tcW w:w="1149"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8.609</w:t>
            </w:r>
          </w:p>
        </w:tc>
      </w:tr>
      <w:tr w:rsidR="00516EA7" w:rsidRPr="00550BFD" w:rsidTr="001E0E83">
        <w:trPr>
          <w:jc w:val="center"/>
        </w:trPr>
        <w:tc>
          <w:tcPr>
            <w:tcW w:w="1939" w:type="dxa"/>
            <w:vMerge/>
            <w:shd w:val="clear" w:color="auto" w:fill="auto"/>
            <w:vAlign w:val="center"/>
          </w:tcPr>
          <w:p w:rsidR="00516EA7" w:rsidRPr="00550BFD" w:rsidRDefault="00516EA7" w:rsidP="006012E0">
            <w:pPr>
              <w:keepNext/>
              <w:keepLines/>
              <w:suppressAutoHyphens/>
              <w:spacing w:before="40" w:after="40" w:line="240" w:lineRule="auto"/>
              <w:rPr>
                <w:rFonts w:asciiTheme="minorHAnsi" w:eastAsia="Calibri" w:hAnsiTheme="minorHAnsi"/>
                <w:b/>
                <w:sz w:val="18"/>
                <w:szCs w:val="18"/>
              </w:rPr>
            </w:pPr>
          </w:p>
        </w:tc>
        <w:tc>
          <w:tcPr>
            <w:tcW w:w="1237" w:type="dxa"/>
            <w:shd w:val="clear" w:color="auto" w:fill="auto"/>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sz w:val="18"/>
                <w:szCs w:val="18"/>
              </w:rPr>
            </w:pPr>
            <w:r w:rsidRPr="00550BFD">
              <w:rPr>
                <w:rFonts w:asciiTheme="minorHAnsi" w:eastAsia="Calibri" w:hAnsiTheme="minorHAnsi"/>
                <w:sz w:val="18"/>
                <w:szCs w:val="18"/>
              </w:rPr>
              <w:t>ISO Queue</w:t>
            </w:r>
          </w:p>
        </w:tc>
        <w:tc>
          <w:tcPr>
            <w:tcW w:w="1245"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1.926</w:t>
            </w:r>
          </w:p>
        </w:tc>
        <w:tc>
          <w:tcPr>
            <w:tcW w:w="1234"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9.499</w:t>
            </w:r>
          </w:p>
        </w:tc>
        <w:tc>
          <w:tcPr>
            <w:tcW w:w="1120"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1.581</w:t>
            </w:r>
          </w:p>
        </w:tc>
        <w:tc>
          <w:tcPr>
            <w:tcW w:w="1013" w:type="dxa"/>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16EA7">
              <w:rPr>
                <w:rFonts w:asciiTheme="minorHAnsi" w:hAnsiTheme="minorHAnsi"/>
                <w:sz w:val="18"/>
                <w:szCs w:val="18"/>
              </w:rPr>
              <w:t>13.006</w:t>
            </w:r>
          </w:p>
        </w:tc>
        <w:tc>
          <w:tcPr>
            <w:tcW w:w="1149"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8.609</w:t>
            </w:r>
          </w:p>
        </w:tc>
      </w:tr>
      <w:tr w:rsidR="00516EA7" w:rsidRPr="00550BFD" w:rsidTr="001E0E83">
        <w:trPr>
          <w:jc w:val="center"/>
        </w:trPr>
        <w:tc>
          <w:tcPr>
            <w:tcW w:w="1939" w:type="dxa"/>
            <w:vMerge/>
            <w:shd w:val="clear" w:color="auto" w:fill="auto"/>
            <w:vAlign w:val="center"/>
          </w:tcPr>
          <w:p w:rsidR="00516EA7" w:rsidRPr="00550BFD" w:rsidRDefault="00516EA7" w:rsidP="006012E0">
            <w:pPr>
              <w:keepNext/>
              <w:keepLines/>
              <w:suppressAutoHyphens/>
              <w:spacing w:before="40" w:after="40" w:line="240" w:lineRule="auto"/>
              <w:rPr>
                <w:rFonts w:asciiTheme="minorHAnsi" w:eastAsia="Calibri" w:hAnsiTheme="minorHAnsi"/>
                <w:b/>
                <w:sz w:val="18"/>
                <w:szCs w:val="18"/>
              </w:rPr>
            </w:pPr>
          </w:p>
        </w:tc>
        <w:tc>
          <w:tcPr>
            <w:tcW w:w="1237" w:type="dxa"/>
            <w:shd w:val="clear" w:color="auto" w:fill="auto"/>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sz w:val="18"/>
                <w:szCs w:val="18"/>
              </w:rPr>
            </w:pPr>
            <w:r w:rsidRPr="00550BFD">
              <w:rPr>
                <w:rFonts w:asciiTheme="minorHAnsi" w:eastAsia="Calibri" w:hAnsiTheme="minorHAnsi"/>
                <w:sz w:val="18"/>
                <w:szCs w:val="18"/>
              </w:rPr>
              <w:t>Renew Plus</w:t>
            </w:r>
          </w:p>
        </w:tc>
        <w:tc>
          <w:tcPr>
            <w:tcW w:w="1245"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5.772</w:t>
            </w:r>
          </w:p>
        </w:tc>
        <w:tc>
          <w:tcPr>
            <w:tcW w:w="1234"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8.387</w:t>
            </w:r>
          </w:p>
        </w:tc>
        <w:tc>
          <w:tcPr>
            <w:tcW w:w="1120"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5.350</w:t>
            </w:r>
          </w:p>
        </w:tc>
        <w:tc>
          <w:tcPr>
            <w:tcW w:w="1013" w:type="dxa"/>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16EA7">
              <w:rPr>
                <w:rFonts w:asciiTheme="minorHAnsi" w:hAnsiTheme="minorHAnsi"/>
                <w:sz w:val="18"/>
                <w:szCs w:val="18"/>
              </w:rPr>
              <w:t>19.509</w:t>
            </w:r>
          </w:p>
        </w:tc>
        <w:tc>
          <w:tcPr>
            <w:tcW w:w="1149"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8.609</w:t>
            </w:r>
          </w:p>
        </w:tc>
      </w:tr>
      <w:tr w:rsidR="00516EA7" w:rsidRPr="00550BFD" w:rsidTr="001E0E83">
        <w:trPr>
          <w:jc w:val="center"/>
        </w:trPr>
        <w:tc>
          <w:tcPr>
            <w:tcW w:w="1939" w:type="dxa"/>
            <w:vMerge/>
            <w:shd w:val="clear" w:color="auto" w:fill="auto"/>
            <w:vAlign w:val="center"/>
          </w:tcPr>
          <w:p w:rsidR="00516EA7" w:rsidRPr="00550BFD" w:rsidRDefault="00516EA7" w:rsidP="006012E0">
            <w:pPr>
              <w:keepNext/>
              <w:keepLines/>
              <w:suppressAutoHyphens/>
              <w:spacing w:before="40" w:after="40" w:line="240" w:lineRule="auto"/>
              <w:rPr>
                <w:rFonts w:asciiTheme="minorHAnsi" w:eastAsia="Calibri" w:hAnsiTheme="minorHAnsi"/>
                <w:b/>
                <w:sz w:val="18"/>
                <w:szCs w:val="18"/>
              </w:rPr>
            </w:pPr>
          </w:p>
        </w:tc>
        <w:tc>
          <w:tcPr>
            <w:tcW w:w="1237" w:type="dxa"/>
            <w:shd w:val="clear" w:color="auto" w:fill="auto"/>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sz w:val="18"/>
                <w:szCs w:val="18"/>
              </w:rPr>
            </w:pPr>
            <w:r w:rsidRPr="00550BFD">
              <w:rPr>
                <w:rFonts w:asciiTheme="minorHAnsi" w:eastAsia="Calibri" w:hAnsiTheme="minorHAnsi"/>
                <w:sz w:val="18"/>
                <w:szCs w:val="18"/>
              </w:rPr>
              <w:t>No Retire</w:t>
            </w:r>
          </w:p>
        </w:tc>
        <w:tc>
          <w:tcPr>
            <w:tcW w:w="1245"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1.926</w:t>
            </w:r>
          </w:p>
        </w:tc>
        <w:tc>
          <w:tcPr>
            <w:tcW w:w="1234"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1.168</w:t>
            </w:r>
          </w:p>
        </w:tc>
        <w:tc>
          <w:tcPr>
            <w:tcW w:w="1120"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0.906</w:t>
            </w:r>
          </w:p>
        </w:tc>
        <w:tc>
          <w:tcPr>
            <w:tcW w:w="1013" w:type="dxa"/>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16EA7">
              <w:rPr>
                <w:rFonts w:asciiTheme="minorHAnsi" w:hAnsiTheme="minorHAnsi"/>
                <w:sz w:val="18"/>
                <w:szCs w:val="18"/>
              </w:rPr>
              <w:t>4</w:t>
            </w:r>
            <w:r>
              <w:rPr>
                <w:rFonts w:asciiTheme="minorHAnsi" w:hAnsiTheme="minorHAnsi"/>
                <w:sz w:val="18"/>
                <w:szCs w:val="18"/>
              </w:rPr>
              <w:t>.000</w:t>
            </w:r>
          </w:p>
        </w:tc>
        <w:tc>
          <w:tcPr>
            <w:tcW w:w="1149"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8.609</w:t>
            </w:r>
          </w:p>
        </w:tc>
      </w:tr>
      <w:tr w:rsidR="00516EA7" w:rsidRPr="00550BFD" w:rsidTr="001E0E83">
        <w:trPr>
          <w:jc w:val="center"/>
        </w:trPr>
        <w:tc>
          <w:tcPr>
            <w:tcW w:w="1939" w:type="dxa"/>
            <w:vMerge/>
            <w:shd w:val="clear" w:color="auto" w:fill="auto"/>
            <w:vAlign w:val="center"/>
          </w:tcPr>
          <w:p w:rsidR="00516EA7" w:rsidRPr="00550BFD" w:rsidRDefault="00516EA7" w:rsidP="006012E0">
            <w:pPr>
              <w:keepNext/>
              <w:keepLines/>
              <w:suppressAutoHyphens/>
              <w:spacing w:before="40" w:after="40" w:line="240" w:lineRule="auto"/>
              <w:rPr>
                <w:rFonts w:asciiTheme="minorHAnsi" w:eastAsia="Calibri" w:hAnsiTheme="minorHAnsi"/>
                <w:b/>
                <w:sz w:val="18"/>
                <w:szCs w:val="18"/>
              </w:rPr>
            </w:pPr>
          </w:p>
        </w:tc>
        <w:tc>
          <w:tcPr>
            <w:tcW w:w="1237" w:type="dxa"/>
            <w:shd w:val="clear" w:color="auto" w:fill="auto"/>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sz w:val="18"/>
                <w:szCs w:val="18"/>
              </w:rPr>
            </w:pPr>
            <w:r w:rsidRPr="00550BFD">
              <w:rPr>
                <w:rFonts w:asciiTheme="minorHAnsi" w:eastAsia="Calibri" w:hAnsiTheme="minorHAnsi"/>
                <w:sz w:val="18"/>
                <w:szCs w:val="18"/>
              </w:rPr>
              <w:t>ACP + Gas</w:t>
            </w:r>
          </w:p>
        </w:tc>
        <w:tc>
          <w:tcPr>
            <w:tcW w:w="1245"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1.926</w:t>
            </w:r>
          </w:p>
        </w:tc>
        <w:tc>
          <w:tcPr>
            <w:tcW w:w="1234"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1.168</w:t>
            </w:r>
          </w:p>
        </w:tc>
        <w:tc>
          <w:tcPr>
            <w:tcW w:w="1120"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0.906</w:t>
            </w:r>
          </w:p>
        </w:tc>
        <w:tc>
          <w:tcPr>
            <w:tcW w:w="1013" w:type="dxa"/>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16EA7">
              <w:rPr>
                <w:rFonts w:asciiTheme="minorHAnsi" w:hAnsiTheme="minorHAnsi"/>
                <w:sz w:val="18"/>
                <w:szCs w:val="18"/>
              </w:rPr>
              <w:t>4</w:t>
            </w:r>
            <w:r>
              <w:rPr>
                <w:rFonts w:asciiTheme="minorHAnsi" w:hAnsiTheme="minorHAnsi"/>
                <w:sz w:val="18"/>
                <w:szCs w:val="18"/>
              </w:rPr>
              <w:t>.000</w:t>
            </w:r>
          </w:p>
        </w:tc>
        <w:tc>
          <w:tcPr>
            <w:tcW w:w="1149"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8.609</w:t>
            </w:r>
          </w:p>
        </w:tc>
      </w:tr>
      <w:tr w:rsidR="00516EA7" w:rsidRPr="00550BFD" w:rsidTr="001E0E83">
        <w:trPr>
          <w:jc w:val="center"/>
        </w:trPr>
        <w:tc>
          <w:tcPr>
            <w:tcW w:w="1939" w:type="dxa"/>
            <w:vMerge/>
            <w:shd w:val="clear" w:color="auto" w:fill="auto"/>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b/>
                <w:sz w:val="18"/>
                <w:szCs w:val="18"/>
              </w:rPr>
            </w:pPr>
          </w:p>
        </w:tc>
        <w:tc>
          <w:tcPr>
            <w:tcW w:w="1237" w:type="dxa"/>
            <w:shd w:val="clear" w:color="auto" w:fill="auto"/>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sz w:val="18"/>
                <w:szCs w:val="18"/>
              </w:rPr>
            </w:pPr>
            <w:r w:rsidRPr="00550BFD">
              <w:rPr>
                <w:rFonts w:asciiTheme="minorHAnsi" w:eastAsia="Calibri" w:hAnsiTheme="minorHAnsi"/>
                <w:sz w:val="18"/>
                <w:szCs w:val="18"/>
              </w:rPr>
              <w:t>RPS + Geo Renew</w:t>
            </w:r>
          </w:p>
        </w:tc>
        <w:tc>
          <w:tcPr>
            <w:tcW w:w="1245"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6.815</w:t>
            </w:r>
          </w:p>
        </w:tc>
        <w:tc>
          <w:tcPr>
            <w:tcW w:w="1234"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5.306</w:t>
            </w:r>
          </w:p>
        </w:tc>
        <w:tc>
          <w:tcPr>
            <w:tcW w:w="1120"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2.859</w:t>
            </w:r>
          </w:p>
        </w:tc>
        <w:tc>
          <w:tcPr>
            <w:tcW w:w="1013" w:type="dxa"/>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16EA7">
              <w:rPr>
                <w:rFonts w:asciiTheme="minorHAnsi" w:hAnsiTheme="minorHAnsi"/>
                <w:sz w:val="18"/>
                <w:szCs w:val="18"/>
              </w:rPr>
              <w:t>14.98</w:t>
            </w:r>
            <w:r>
              <w:rPr>
                <w:rFonts w:asciiTheme="minorHAnsi" w:hAnsiTheme="minorHAnsi"/>
                <w:sz w:val="18"/>
                <w:szCs w:val="18"/>
              </w:rPr>
              <w:t>0</w:t>
            </w:r>
          </w:p>
        </w:tc>
        <w:tc>
          <w:tcPr>
            <w:tcW w:w="1149"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8.609</w:t>
            </w:r>
          </w:p>
        </w:tc>
      </w:tr>
      <w:tr w:rsidR="00516EA7" w:rsidRPr="00550BFD" w:rsidTr="001E0E83">
        <w:trPr>
          <w:jc w:val="center"/>
        </w:trPr>
        <w:tc>
          <w:tcPr>
            <w:tcW w:w="1939" w:type="dxa"/>
            <w:vMerge w:val="restart"/>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b/>
                <w:sz w:val="18"/>
                <w:szCs w:val="18"/>
              </w:rPr>
            </w:pPr>
            <w:r>
              <w:rPr>
                <w:rFonts w:asciiTheme="minorHAnsi" w:eastAsia="Calibri" w:hAnsiTheme="minorHAnsi"/>
                <w:b/>
                <w:sz w:val="18"/>
                <w:szCs w:val="18"/>
              </w:rPr>
              <w:t xml:space="preserve">2025 </w:t>
            </w:r>
            <w:r w:rsidRPr="00550BFD">
              <w:rPr>
                <w:rFonts w:asciiTheme="minorHAnsi" w:eastAsia="Calibri" w:hAnsiTheme="minorHAnsi"/>
                <w:b/>
                <w:sz w:val="18"/>
                <w:szCs w:val="18"/>
              </w:rPr>
              <w:t>Unconstrained</w:t>
            </w:r>
          </w:p>
        </w:tc>
        <w:tc>
          <w:tcPr>
            <w:tcW w:w="1237"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sz w:val="18"/>
                <w:szCs w:val="18"/>
              </w:rPr>
            </w:pPr>
            <w:r w:rsidRPr="00550BFD">
              <w:rPr>
                <w:rFonts w:asciiTheme="minorHAnsi" w:eastAsia="Calibri" w:hAnsiTheme="minorHAnsi"/>
                <w:sz w:val="18"/>
                <w:szCs w:val="18"/>
              </w:rPr>
              <w:t>RPS + Gas</w:t>
            </w:r>
          </w:p>
        </w:tc>
        <w:tc>
          <w:tcPr>
            <w:tcW w:w="1245"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1.926</w:t>
            </w:r>
          </w:p>
        </w:tc>
        <w:tc>
          <w:tcPr>
            <w:tcW w:w="1234"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6.795</w:t>
            </w:r>
          </w:p>
        </w:tc>
        <w:tc>
          <w:tcPr>
            <w:tcW w:w="1120"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0.906</w:t>
            </w:r>
          </w:p>
        </w:tc>
        <w:tc>
          <w:tcPr>
            <w:tcW w:w="1013"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16EA7">
              <w:rPr>
                <w:rFonts w:asciiTheme="minorHAnsi" w:hAnsiTheme="minorHAnsi"/>
                <w:sz w:val="18"/>
                <w:szCs w:val="18"/>
              </w:rPr>
              <w:t>9.627</w:t>
            </w:r>
          </w:p>
        </w:tc>
        <w:tc>
          <w:tcPr>
            <w:tcW w:w="1149"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8.609</w:t>
            </w:r>
          </w:p>
        </w:tc>
      </w:tr>
      <w:tr w:rsidR="00516EA7" w:rsidRPr="00550BFD" w:rsidTr="001E0E83">
        <w:trPr>
          <w:jc w:val="center"/>
        </w:trPr>
        <w:tc>
          <w:tcPr>
            <w:tcW w:w="1939" w:type="dxa"/>
            <w:vMerge/>
            <w:shd w:val="clear" w:color="auto" w:fill="DBE5F1" w:themeFill="accent1" w:themeFillTint="33"/>
            <w:vAlign w:val="center"/>
          </w:tcPr>
          <w:p w:rsidR="00516EA7" w:rsidRPr="00550BFD" w:rsidRDefault="00516EA7" w:rsidP="006012E0">
            <w:pPr>
              <w:keepNext/>
              <w:keepLines/>
              <w:suppressAutoHyphens/>
              <w:spacing w:before="40" w:after="40" w:line="240" w:lineRule="auto"/>
              <w:rPr>
                <w:rFonts w:asciiTheme="minorHAnsi" w:eastAsia="Calibri" w:hAnsiTheme="minorHAnsi"/>
                <w:b/>
                <w:sz w:val="18"/>
                <w:szCs w:val="18"/>
              </w:rPr>
            </w:pPr>
          </w:p>
        </w:tc>
        <w:tc>
          <w:tcPr>
            <w:tcW w:w="1237"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sz w:val="18"/>
                <w:szCs w:val="18"/>
              </w:rPr>
            </w:pPr>
            <w:r w:rsidRPr="00550BFD">
              <w:rPr>
                <w:rFonts w:asciiTheme="minorHAnsi" w:eastAsia="Calibri" w:hAnsiTheme="minorHAnsi"/>
                <w:sz w:val="18"/>
                <w:szCs w:val="18"/>
              </w:rPr>
              <w:t>ISO Queue</w:t>
            </w:r>
          </w:p>
        </w:tc>
        <w:tc>
          <w:tcPr>
            <w:tcW w:w="1245"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1.926</w:t>
            </w:r>
          </w:p>
        </w:tc>
        <w:tc>
          <w:tcPr>
            <w:tcW w:w="1234"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11.466</w:t>
            </w:r>
          </w:p>
        </w:tc>
        <w:tc>
          <w:tcPr>
            <w:tcW w:w="1120"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1.581</w:t>
            </w:r>
          </w:p>
        </w:tc>
        <w:tc>
          <w:tcPr>
            <w:tcW w:w="1013"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16EA7">
              <w:rPr>
                <w:rFonts w:asciiTheme="minorHAnsi" w:hAnsiTheme="minorHAnsi"/>
                <w:sz w:val="18"/>
                <w:szCs w:val="18"/>
              </w:rPr>
              <w:t>14.973</w:t>
            </w:r>
          </w:p>
        </w:tc>
        <w:tc>
          <w:tcPr>
            <w:tcW w:w="1149"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8.609</w:t>
            </w:r>
          </w:p>
        </w:tc>
      </w:tr>
      <w:tr w:rsidR="00516EA7" w:rsidRPr="00550BFD" w:rsidTr="001E0E83">
        <w:trPr>
          <w:jc w:val="center"/>
        </w:trPr>
        <w:tc>
          <w:tcPr>
            <w:tcW w:w="1939" w:type="dxa"/>
            <w:vMerge/>
            <w:shd w:val="clear" w:color="auto" w:fill="DBE5F1" w:themeFill="accent1" w:themeFillTint="33"/>
            <w:vAlign w:val="center"/>
          </w:tcPr>
          <w:p w:rsidR="00516EA7" w:rsidRPr="00550BFD" w:rsidRDefault="00516EA7" w:rsidP="006012E0">
            <w:pPr>
              <w:keepNext/>
              <w:keepLines/>
              <w:suppressAutoHyphens/>
              <w:spacing w:before="40" w:after="40" w:line="240" w:lineRule="auto"/>
              <w:rPr>
                <w:rFonts w:asciiTheme="minorHAnsi" w:eastAsia="Calibri" w:hAnsiTheme="minorHAnsi"/>
                <w:b/>
                <w:sz w:val="18"/>
                <w:szCs w:val="18"/>
              </w:rPr>
            </w:pPr>
          </w:p>
        </w:tc>
        <w:tc>
          <w:tcPr>
            <w:tcW w:w="1237"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sz w:val="18"/>
                <w:szCs w:val="18"/>
              </w:rPr>
            </w:pPr>
            <w:r w:rsidRPr="00550BFD">
              <w:rPr>
                <w:rFonts w:asciiTheme="minorHAnsi" w:eastAsia="Calibri" w:hAnsiTheme="minorHAnsi"/>
                <w:sz w:val="18"/>
                <w:szCs w:val="18"/>
              </w:rPr>
              <w:t>Renew Plus</w:t>
            </w:r>
          </w:p>
        </w:tc>
        <w:tc>
          <w:tcPr>
            <w:tcW w:w="1245"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5.772</w:t>
            </w:r>
          </w:p>
        </w:tc>
        <w:tc>
          <w:tcPr>
            <w:tcW w:w="1234"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9.910</w:t>
            </w:r>
          </w:p>
        </w:tc>
        <w:tc>
          <w:tcPr>
            <w:tcW w:w="1120"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5.350</w:t>
            </w:r>
          </w:p>
        </w:tc>
        <w:tc>
          <w:tcPr>
            <w:tcW w:w="1013"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16EA7">
              <w:rPr>
                <w:rFonts w:asciiTheme="minorHAnsi" w:hAnsiTheme="minorHAnsi"/>
                <w:sz w:val="18"/>
                <w:szCs w:val="18"/>
              </w:rPr>
              <w:t>21.032</w:t>
            </w:r>
          </w:p>
        </w:tc>
        <w:tc>
          <w:tcPr>
            <w:tcW w:w="1149"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8.609</w:t>
            </w:r>
          </w:p>
        </w:tc>
      </w:tr>
      <w:tr w:rsidR="00516EA7" w:rsidRPr="00550BFD" w:rsidTr="001E0E83">
        <w:trPr>
          <w:jc w:val="center"/>
        </w:trPr>
        <w:tc>
          <w:tcPr>
            <w:tcW w:w="1939" w:type="dxa"/>
            <w:vMerge/>
            <w:shd w:val="clear" w:color="auto" w:fill="DBE5F1" w:themeFill="accent1" w:themeFillTint="33"/>
            <w:vAlign w:val="center"/>
          </w:tcPr>
          <w:p w:rsidR="00516EA7" w:rsidRPr="00550BFD" w:rsidRDefault="00516EA7" w:rsidP="006012E0">
            <w:pPr>
              <w:keepNext/>
              <w:keepLines/>
              <w:suppressAutoHyphens/>
              <w:spacing w:before="40" w:after="40" w:line="240" w:lineRule="auto"/>
              <w:rPr>
                <w:rFonts w:asciiTheme="minorHAnsi" w:eastAsia="Calibri" w:hAnsiTheme="minorHAnsi"/>
                <w:b/>
                <w:sz w:val="18"/>
                <w:szCs w:val="18"/>
              </w:rPr>
            </w:pPr>
          </w:p>
        </w:tc>
        <w:tc>
          <w:tcPr>
            <w:tcW w:w="1237"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sz w:val="18"/>
                <w:szCs w:val="18"/>
              </w:rPr>
            </w:pPr>
            <w:r w:rsidRPr="00550BFD">
              <w:rPr>
                <w:rFonts w:asciiTheme="minorHAnsi" w:eastAsia="Calibri" w:hAnsiTheme="minorHAnsi"/>
                <w:sz w:val="18"/>
                <w:szCs w:val="18"/>
              </w:rPr>
              <w:t>No Retire</w:t>
            </w:r>
          </w:p>
        </w:tc>
        <w:tc>
          <w:tcPr>
            <w:tcW w:w="1245"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1.926</w:t>
            </w:r>
          </w:p>
        </w:tc>
        <w:tc>
          <w:tcPr>
            <w:tcW w:w="1234"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1.168</w:t>
            </w:r>
          </w:p>
        </w:tc>
        <w:tc>
          <w:tcPr>
            <w:tcW w:w="1120"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0.906</w:t>
            </w:r>
          </w:p>
        </w:tc>
        <w:tc>
          <w:tcPr>
            <w:tcW w:w="1013"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16EA7">
              <w:rPr>
                <w:rFonts w:asciiTheme="minorHAnsi" w:hAnsiTheme="minorHAnsi"/>
                <w:sz w:val="18"/>
                <w:szCs w:val="18"/>
              </w:rPr>
              <w:t>4</w:t>
            </w:r>
            <w:r>
              <w:rPr>
                <w:rFonts w:asciiTheme="minorHAnsi" w:hAnsiTheme="minorHAnsi"/>
                <w:sz w:val="18"/>
                <w:szCs w:val="18"/>
              </w:rPr>
              <w:t>.000</w:t>
            </w:r>
          </w:p>
        </w:tc>
        <w:tc>
          <w:tcPr>
            <w:tcW w:w="1149"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8.609</w:t>
            </w:r>
          </w:p>
        </w:tc>
      </w:tr>
      <w:tr w:rsidR="00516EA7" w:rsidRPr="00550BFD" w:rsidTr="001E0E83">
        <w:trPr>
          <w:jc w:val="center"/>
        </w:trPr>
        <w:tc>
          <w:tcPr>
            <w:tcW w:w="1939" w:type="dxa"/>
            <w:vMerge/>
            <w:shd w:val="clear" w:color="auto" w:fill="DBE5F1" w:themeFill="accent1" w:themeFillTint="33"/>
            <w:vAlign w:val="center"/>
          </w:tcPr>
          <w:p w:rsidR="00516EA7" w:rsidRPr="00550BFD" w:rsidRDefault="00516EA7" w:rsidP="006012E0">
            <w:pPr>
              <w:keepNext/>
              <w:keepLines/>
              <w:suppressAutoHyphens/>
              <w:spacing w:before="40" w:after="40" w:line="240" w:lineRule="auto"/>
              <w:rPr>
                <w:rFonts w:asciiTheme="minorHAnsi" w:eastAsia="Calibri" w:hAnsiTheme="minorHAnsi"/>
                <w:b/>
                <w:sz w:val="18"/>
                <w:szCs w:val="18"/>
              </w:rPr>
            </w:pPr>
          </w:p>
        </w:tc>
        <w:tc>
          <w:tcPr>
            <w:tcW w:w="1237"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sz w:val="18"/>
                <w:szCs w:val="18"/>
              </w:rPr>
            </w:pPr>
            <w:r w:rsidRPr="00550BFD">
              <w:rPr>
                <w:rFonts w:asciiTheme="minorHAnsi" w:eastAsia="Calibri" w:hAnsiTheme="minorHAnsi"/>
                <w:sz w:val="18"/>
                <w:szCs w:val="18"/>
              </w:rPr>
              <w:t>ACP + Gas</w:t>
            </w:r>
          </w:p>
        </w:tc>
        <w:tc>
          <w:tcPr>
            <w:tcW w:w="1245"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1.926</w:t>
            </w:r>
          </w:p>
        </w:tc>
        <w:tc>
          <w:tcPr>
            <w:tcW w:w="1234"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1.168</w:t>
            </w:r>
          </w:p>
        </w:tc>
        <w:tc>
          <w:tcPr>
            <w:tcW w:w="1120"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0.906</w:t>
            </w:r>
          </w:p>
        </w:tc>
        <w:tc>
          <w:tcPr>
            <w:tcW w:w="1013"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16EA7">
              <w:rPr>
                <w:rFonts w:asciiTheme="minorHAnsi" w:hAnsiTheme="minorHAnsi"/>
                <w:sz w:val="18"/>
                <w:szCs w:val="18"/>
              </w:rPr>
              <w:t>4</w:t>
            </w:r>
            <w:r>
              <w:rPr>
                <w:rFonts w:asciiTheme="minorHAnsi" w:hAnsiTheme="minorHAnsi"/>
                <w:sz w:val="18"/>
                <w:szCs w:val="18"/>
              </w:rPr>
              <w:t>.000</w:t>
            </w:r>
          </w:p>
        </w:tc>
        <w:tc>
          <w:tcPr>
            <w:tcW w:w="1149"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8.609</w:t>
            </w:r>
          </w:p>
        </w:tc>
      </w:tr>
      <w:tr w:rsidR="00516EA7" w:rsidRPr="00550BFD" w:rsidTr="001E0E83">
        <w:trPr>
          <w:jc w:val="center"/>
        </w:trPr>
        <w:tc>
          <w:tcPr>
            <w:tcW w:w="1939" w:type="dxa"/>
            <w:vMerge/>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b/>
                <w:sz w:val="18"/>
                <w:szCs w:val="18"/>
              </w:rPr>
            </w:pPr>
          </w:p>
        </w:tc>
        <w:tc>
          <w:tcPr>
            <w:tcW w:w="1237"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sz w:val="18"/>
                <w:szCs w:val="18"/>
              </w:rPr>
            </w:pPr>
            <w:r w:rsidRPr="00550BFD">
              <w:rPr>
                <w:rFonts w:asciiTheme="minorHAnsi" w:eastAsia="Calibri" w:hAnsiTheme="minorHAnsi"/>
                <w:sz w:val="18"/>
                <w:szCs w:val="18"/>
              </w:rPr>
              <w:t>RPS + Geo Renew</w:t>
            </w:r>
          </w:p>
        </w:tc>
        <w:tc>
          <w:tcPr>
            <w:tcW w:w="1245"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6.815</w:t>
            </w:r>
          </w:p>
        </w:tc>
        <w:tc>
          <w:tcPr>
            <w:tcW w:w="1234"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5.363</w:t>
            </w:r>
          </w:p>
        </w:tc>
        <w:tc>
          <w:tcPr>
            <w:tcW w:w="1120"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2.859</w:t>
            </w:r>
          </w:p>
        </w:tc>
        <w:tc>
          <w:tcPr>
            <w:tcW w:w="1013"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16EA7">
              <w:rPr>
                <w:rFonts w:asciiTheme="minorHAnsi" w:hAnsiTheme="minorHAnsi"/>
                <w:sz w:val="18"/>
                <w:szCs w:val="18"/>
              </w:rPr>
              <w:t>15.037</w:t>
            </w:r>
          </w:p>
        </w:tc>
        <w:tc>
          <w:tcPr>
            <w:tcW w:w="1149"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8.609</w:t>
            </w:r>
          </w:p>
        </w:tc>
      </w:tr>
      <w:tr w:rsidR="00516EA7" w:rsidRPr="00550BFD" w:rsidTr="001E0E83">
        <w:trPr>
          <w:jc w:val="center"/>
        </w:trPr>
        <w:tc>
          <w:tcPr>
            <w:tcW w:w="1939" w:type="dxa"/>
            <w:vMerge w:val="restart"/>
            <w:shd w:val="clear" w:color="auto" w:fill="auto"/>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b/>
                <w:sz w:val="18"/>
                <w:szCs w:val="18"/>
              </w:rPr>
            </w:pPr>
            <w:r>
              <w:rPr>
                <w:rFonts w:asciiTheme="minorHAnsi" w:eastAsia="Calibri" w:hAnsiTheme="minorHAnsi"/>
                <w:b/>
                <w:sz w:val="18"/>
                <w:szCs w:val="18"/>
              </w:rPr>
              <w:t xml:space="preserve">2030 </w:t>
            </w:r>
            <w:r w:rsidRPr="00550BFD">
              <w:rPr>
                <w:rFonts w:asciiTheme="minorHAnsi" w:eastAsia="Calibri" w:hAnsiTheme="minorHAnsi"/>
                <w:b/>
                <w:sz w:val="18"/>
                <w:szCs w:val="18"/>
              </w:rPr>
              <w:t>Constrained</w:t>
            </w:r>
          </w:p>
        </w:tc>
        <w:tc>
          <w:tcPr>
            <w:tcW w:w="1237" w:type="dxa"/>
            <w:shd w:val="clear" w:color="auto" w:fill="auto"/>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sz w:val="18"/>
                <w:szCs w:val="18"/>
              </w:rPr>
            </w:pPr>
            <w:r w:rsidRPr="00550BFD">
              <w:rPr>
                <w:rFonts w:asciiTheme="minorHAnsi" w:eastAsia="Calibri" w:hAnsiTheme="minorHAnsi"/>
                <w:sz w:val="18"/>
                <w:szCs w:val="18"/>
              </w:rPr>
              <w:t>RPS + Gas</w:t>
            </w:r>
          </w:p>
        </w:tc>
        <w:tc>
          <w:tcPr>
            <w:tcW w:w="1245"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1.926</w:t>
            </w:r>
          </w:p>
        </w:tc>
        <w:tc>
          <w:tcPr>
            <w:tcW w:w="1234"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7.861</w:t>
            </w:r>
          </w:p>
        </w:tc>
        <w:tc>
          <w:tcPr>
            <w:tcW w:w="1120"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1.170</w:t>
            </w:r>
          </w:p>
        </w:tc>
        <w:tc>
          <w:tcPr>
            <w:tcW w:w="1013" w:type="dxa"/>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16EA7">
              <w:rPr>
                <w:rFonts w:asciiTheme="minorHAnsi" w:hAnsiTheme="minorHAnsi"/>
                <w:sz w:val="18"/>
                <w:szCs w:val="18"/>
              </w:rPr>
              <w:t>10.957</w:t>
            </w:r>
          </w:p>
        </w:tc>
        <w:tc>
          <w:tcPr>
            <w:tcW w:w="1149"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10.806</w:t>
            </w:r>
          </w:p>
        </w:tc>
      </w:tr>
      <w:tr w:rsidR="00516EA7" w:rsidRPr="00550BFD" w:rsidTr="001E0E83">
        <w:trPr>
          <w:jc w:val="center"/>
        </w:trPr>
        <w:tc>
          <w:tcPr>
            <w:tcW w:w="1939" w:type="dxa"/>
            <w:vMerge/>
            <w:shd w:val="clear" w:color="auto" w:fill="auto"/>
            <w:vAlign w:val="center"/>
          </w:tcPr>
          <w:p w:rsidR="00516EA7" w:rsidRPr="00550BFD" w:rsidRDefault="00516EA7" w:rsidP="006012E0">
            <w:pPr>
              <w:keepNext/>
              <w:keepLines/>
              <w:suppressAutoHyphens/>
              <w:spacing w:before="40" w:after="40" w:line="240" w:lineRule="auto"/>
              <w:rPr>
                <w:rFonts w:asciiTheme="minorHAnsi" w:eastAsia="Calibri" w:hAnsiTheme="minorHAnsi"/>
                <w:b/>
                <w:sz w:val="18"/>
                <w:szCs w:val="18"/>
              </w:rPr>
            </w:pPr>
          </w:p>
        </w:tc>
        <w:tc>
          <w:tcPr>
            <w:tcW w:w="1237" w:type="dxa"/>
            <w:shd w:val="clear" w:color="auto" w:fill="auto"/>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sz w:val="18"/>
                <w:szCs w:val="18"/>
              </w:rPr>
            </w:pPr>
            <w:r w:rsidRPr="00550BFD">
              <w:rPr>
                <w:rFonts w:asciiTheme="minorHAnsi" w:eastAsia="Calibri" w:hAnsiTheme="minorHAnsi"/>
                <w:sz w:val="18"/>
                <w:szCs w:val="18"/>
              </w:rPr>
              <w:t>ISO Queue</w:t>
            </w:r>
          </w:p>
        </w:tc>
        <w:tc>
          <w:tcPr>
            <w:tcW w:w="1245"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6.789</w:t>
            </w:r>
          </w:p>
        </w:tc>
        <w:tc>
          <w:tcPr>
            <w:tcW w:w="1234"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15.864</w:t>
            </w:r>
          </w:p>
        </w:tc>
        <w:tc>
          <w:tcPr>
            <w:tcW w:w="1120"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4.021</w:t>
            </w:r>
          </w:p>
        </w:tc>
        <w:tc>
          <w:tcPr>
            <w:tcW w:w="1013" w:type="dxa"/>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16EA7">
              <w:rPr>
                <w:rFonts w:asciiTheme="minorHAnsi" w:hAnsiTheme="minorHAnsi"/>
                <w:sz w:val="18"/>
                <w:szCs w:val="18"/>
              </w:rPr>
              <w:t>26.674</w:t>
            </w:r>
          </w:p>
        </w:tc>
        <w:tc>
          <w:tcPr>
            <w:tcW w:w="1149"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10.806</w:t>
            </w:r>
          </w:p>
        </w:tc>
      </w:tr>
      <w:tr w:rsidR="00516EA7" w:rsidRPr="00550BFD" w:rsidTr="001E0E83">
        <w:trPr>
          <w:jc w:val="center"/>
        </w:trPr>
        <w:tc>
          <w:tcPr>
            <w:tcW w:w="1939" w:type="dxa"/>
            <w:vMerge/>
            <w:shd w:val="clear" w:color="auto" w:fill="auto"/>
            <w:vAlign w:val="center"/>
          </w:tcPr>
          <w:p w:rsidR="00516EA7" w:rsidRPr="00550BFD" w:rsidRDefault="00516EA7" w:rsidP="006012E0">
            <w:pPr>
              <w:keepNext/>
              <w:keepLines/>
              <w:suppressAutoHyphens/>
              <w:spacing w:before="40" w:after="40" w:line="240" w:lineRule="auto"/>
              <w:rPr>
                <w:rFonts w:asciiTheme="minorHAnsi" w:eastAsia="Calibri" w:hAnsiTheme="minorHAnsi"/>
                <w:b/>
                <w:sz w:val="18"/>
                <w:szCs w:val="18"/>
              </w:rPr>
            </w:pPr>
          </w:p>
        </w:tc>
        <w:tc>
          <w:tcPr>
            <w:tcW w:w="1237" w:type="dxa"/>
            <w:shd w:val="clear" w:color="auto" w:fill="auto"/>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sz w:val="18"/>
                <w:szCs w:val="18"/>
              </w:rPr>
            </w:pPr>
            <w:r w:rsidRPr="00550BFD">
              <w:rPr>
                <w:rFonts w:asciiTheme="minorHAnsi" w:eastAsia="Calibri" w:hAnsiTheme="minorHAnsi"/>
                <w:sz w:val="18"/>
                <w:szCs w:val="18"/>
              </w:rPr>
              <w:t>Renew Plus</w:t>
            </w:r>
          </w:p>
        </w:tc>
        <w:tc>
          <w:tcPr>
            <w:tcW w:w="1245"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9.426</w:t>
            </w:r>
          </w:p>
        </w:tc>
        <w:tc>
          <w:tcPr>
            <w:tcW w:w="1234"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9.635</w:t>
            </w:r>
          </w:p>
        </w:tc>
        <w:tc>
          <w:tcPr>
            <w:tcW w:w="1120"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8.014</w:t>
            </w:r>
          </w:p>
        </w:tc>
        <w:tc>
          <w:tcPr>
            <w:tcW w:w="1013" w:type="dxa"/>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16EA7">
              <w:rPr>
                <w:rFonts w:asciiTheme="minorHAnsi" w:hAnsiTheme="minorHAnsi"/>
                <w:sz w:val="18"/>
                <w:szCs w:val="18"/>
              </w:rPr>
              <w:t>27.075</w:t>
            </w:r>
          </w:p>
        </w:tc>
        <w:tc>
          <w:tcPr>
            <w:tcW w:w="1149"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10.806</w:t>
            </w:r>
          </w:p>
        </w:tc>
      </w:tr>
      <w:tr w:rsidR="00516EA7" w:rsidRPr="00550BFD" w:rsidTr="001E0E83">
        <w:trPr>
          <w:jc w:val="center"/>
        </w:trPr>
        <w:tc>
          <w:tcPr>
            <w:tcW w:w="1939" w:type="dxa"/>
            <w:vMerge/>
            <w:shd w:val="clear" w:color="auto" w:fill="auto"/>
            <w:vAlign w:val="center"/>
          </w:tcPr>
          <w:p w:rsidR="00516EA7" w:rsidRPr="00550BFD" w:rsidRDefault="00516EA7" w:rsidP="006012E0">
            <w:pPr>
              <w:keepNext/>
              <w:keepLines/>
              <w:suppressAutoHyphens/>
              <w:spacing w:before="40" w:after="40" w:line="240" w:lineRule="auto"/>
              <w:rPr>
                <w:rFonts w:asciiTheme="minorHAnsi" w:eastAsia="Calibri" w:hAnsiTheme="minorHAnsi"/>
                <w:b/>
                <w:sz w:val="18"/>
                <w:szCs w:val="18"/>
              </w:rPr>
            </w:pPr>
          </w:p>
        </w:tc>
        <w:tc>
          <w:tcPr>
            <w:tcW w:w="1237" w:type="dxa"/>
            <w:shd w:val="clear" w:color="auto" w:fill="auto"/>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sz w:val="18"/>
                <w:szCs w:val="18"/>
              </w:rPr>
            </w:pPr>
            <w:r w:rsidRPr="00550BFD">
              <w:rPr>
                <w:rFonts w:asciiTheme="minorHAnsi" w:eastAsia="Calibri" w:hAnsiTheme="minorHAnsi"/>
                <w:sz w:val="18"/>
                <w:szCs w:val="18"/>
              </w:rPr>
              <w:t>No Retire</w:t>
            </w:r>
          </w:p>
        </w:tc>
        <w:tc>
          <w:tcPr>
            <w:tcW w:w="1245"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1.926</w:t>
            </w:r>
          </w:p>
        </w:tc>
        <w:tc>
          <w:tcPr>
            <w:tcW w:w="1234"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1.168</w:t>
            </w:r>
          </w:p>
        </w:tc>
        <w:tc>
          <w:tcPr>
            <w:tcW w:w="1120"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1.170</w:t>
            </w:r>
          </w:p>
        </w:tc>
        <w:tc>
          <w:tcPr>
            <w:tcW w:w="1013" w:type="dxa"/>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16EA7">
              <w:rPr>
                <w:rFonts w:asciiTheme="minorHAnsi" w:hAnsiTheme="minorHAnsi"/>
                <w:sz w:val="18"/>
                <w:szCs w:val="18"/>
              </w:rPr>
              <w:t>4.264</w:t>
            </w:r>
          </w:p>
        </w:tc>
        <w:tc>
          <w:tcPr>
            <w:tcW w:w="1149"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10.806</w:t>
            </w:r>
          </w:p>
        </w:tc>
      </w:tr>
      <w:tr w:rsidR="00516EA7" w:rsidRPr="00550BFD" w:rsidTr="001E0E83">
        <w:trPr>
          <w:jc w:val="center"/>
        </w:trPr>
        <w:tc>
          <w:tcPr>
            <w:tcW w:w="1939" w:type="dxa"/>
            <w:vMerge/>
            <w:shd w:val="clear" w:color="auto" w:fill="auto"/>
            <w:vAlign w:val="center"/>
          </w:tcPr>
          <w:p w:rsidR="00516EA7" w:rsidRPr="00550BFD" w:rsidRDefault="00516EA7" w:rsidP="006012E0">
            <w:pPr>
              <w:keepNext/>
              <w:keepLines/>
              <w:suppressAutoHyphens/>
              <w:spacing w:before="40" w:after="40" w:line="240" w:lineRule="auto"/>
              <w:rPr>
                <w:rFonts w:asciiTheme="minorHAnsi" w:eastAsia="Calibri" w:hAnsiTheme="minorHAnsi"/>
                <w:b/>
                <w:sz w:val="18"/>
                <w:szCs w:val="18"/>
              </w:rPr>
            </w:pPr>
          </w:p>
        </w:tc>
        <w:tc>
          <w:tcPr>
            <w:tcW w:w="1237" w:type="dxa"/>
            <w:shd w:val="clear" w:color="auto" w:fill="auto"/>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sz w:val="18"/>
                <w:szCs w:val="18"/>
              </w:rPr>
            </w:pPr>
            <w:r w:rsidRPr="00550BFD">
              <w:rPr>
                <w:rFonts w:asciiTheme="minorHAnsi" w:eastAsia="Calibri" w:hAnsiTheme="minorHAnsi"/>
                <w:sz w:val="18"/>
                <w:szCs w:val="18"/>
              </w:rPr>
              <w:t>ACP + Gas</w:t>
            </w:r>
          </w:p>
        </w:tc>
        <w:tc>
          <w:tcPr>
            <w:tcW w:w="1245"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1.926</w:t>
            </w:r>
          </w:p>
        </w:tc>
        <w:tc>
          <w:tcPr>
            <w:tcW w:w="1234"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1.168</w:t>
            </w:r>
          </w:p>
        </w:tc>
        <w:tc>
          <w:tcPr>
            <w:tcW w:w="1120"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1.170</w:t>
            </w:r>
          </w:p>
        </w:tc>
        <w:tc>
          <w:tcPr>
            <w:tcW w:w="1013" w:type="dxa"/>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16EA7">
              <w:rPr>
                <w:rFonts w:asciiTheme="minorHAnsi" w:hAnsiTheme="minorHAnsi"/>
                <w:sz w:val="18"/>
                <w:szCs w:val="18"/>
              </w:rPr>
              <w:t>4.264</w:t>
            </w:r>
          </w:p>
        </w:tc>
        <w:tc>
          <w:tcPr>
            <w:tcW w:w="1149"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10.806</w:t>
            </w:r>
          </w:p>
        </w:tc>
      </w:tr>
      <w:tr w:rsidR="00516EA7" w:rsidRPr="00550BFD" w:rsidTr="001E0E83">
        <w:trPr>
          <w:jc w:val="center"/>
        </w:trPr>
        <w:tc>
          <w:tcPr>
            <w:tcW w:w="1939" w:type="dxa"/>
            <w:vMerge/>
            <w:shd w:val="clear" w:color="auto" w:fill="auto"/>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b/>
                <w:sz w:val="18"/>
                <w:szCs w:val="18"/>
              </w:rPr>
            </w:pPr>
          </w:p>
        </w:tc>
        <w:tc>
          <w:tcPr>
            <w:tcW w:w="1237" w:type="dxa"/>
            <w:shd w:val="clear" w:color="auto" w:fill="auto"/>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sz w:val="18"/>
                <w:szCs w:val="18"/>
              </w:rPr>
            </w:pPr>
            <w:r w:rsidRPr="00550BFD">
              <w:rPr>
                <w:rFonts w:asciiTheme="minorHAnsi" w:eastAsia="Calibri" w:hAnsiTheme="minorHAnsi"/>
                <w:sz w:val="18"/>
                <w:szCs w:val="18"/>
              </w:rPr>
              <w:t>RPS + Geo Renew</w:t>
            </w:r>
          </w:p>
        </w:tc>
        <w:tc>
          <w:tcPr>
            <w:tcW w:w="1245"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26.145</w:t>
            </w:r>
          </w:p>
        </w:tc>
        <w:tc>
          <w:tcPr>
            <w:tcW w:w="1234"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12.117</w:t>
            </w:r>
          </w:p>
        </w:tc>
        <w:tc>
          <w:tcPr>
            <w:tcW w:w="1120"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9.418</w:t>
            </w:r>
          </w:p>
        </w:tc>
        <w:tc>
          <w:tcPr>
            <w:tcW w:w="1013" w:type="dxa"/>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16EA7">
              <w:rPr>
                <w:rFonts w:asciiTheme="minorHAnsi" w:hAnsiTheme="minorHAnsi"/>
                <w:sz w:val="18"/>
                <w:szCs w:val="18"/>
              </w:rPr>
              <w:t>47.68</w:t>
            </w:r>
            <w:r>
              <w:rPr>
                <w:rFonts w:asciiTheme="minorHAnsi" w:hAnsiTheme="minorHAnsi"/>
                <w:sz w:val="18"/>
                <w:szCs w:val="18"/>
              </w:rPr>
              <w:t>0</w:t>
            </w:r>
          </w:p>
        </w:tc>
        <w:tc>
          <w:tcPr>
            <w:tcW w:w="1149" w:type="dxa"/>
            <w:shd w:val="clear" w:color="auto" w:fill="auto"/>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10.806</w:t>
            </w:r>
          </w:p>
        </w:tc>
      </w:tr>
      <w:tr w:rsidR="00516EA7" w:rsidRPr="00550BFD" w:rsidTr="001E0E83">
        <w:trPr>
          <w:jc w:val="center"/>
        </w:trPr>
        <w:tc>
          <w:tcPr>
            <w:tcW w:w="1939" w:type="dxa"/>
            <w:vMerge w:val="restart"/>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b/>
                <w:sz w:val="18"/>
                <w:szCs w:val="18"/>
              </w:rPr>
            </w:pPr>
            <w:r>
              <w:rPr>
                <w:rFonts w:asciiTheme="minorHAnsi" w:eastAsia="Calibri" w:hAnsiTheme="minorHAnsi"/>
                <w:b/>
                <w:sz w:val="18"/>
                <w:szCs w:val="18"/>
              </w:rPr>
              <w:t xml:space="preserve">2030 </w:t>
            </w:r>
            <w:r w:rsidRPr="00550BFD">
              <w:rPr>
                <w:rFonts w:asciiTheme="minorHAnsi" w:eastAsia="Calibri" w:hAnsiTheme="minorHAnsi"/>
                <w:b/>
                <w:sz w:val="18"/>
                <w:szCs w:val="18"/>
              </w:rPr>
              <w:t>Unconstrained</w:t>
            </w:r>
          </w:p>
        </w:tc>
        <w:tc>
          <w:tcPr>
            <w:tcW w:w="1237"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sz w:val="18"/>
                <w:szCs w:val="18"/>
              </w:rPr>
            </w:pPr>
            <w:r w:rsidRPr="00550BFD">
              <w:rPr>
                <w:rFonts w:asciiTheme="minorHAnsi" w:eastAsia="Calibri" w:hAnsiTheme="minorHAnsi"/>
                <w:sz w:val="18"/>
                <w:szCs w:val="18"/>
              </w:rPr>
              <w:t>RPS + Gas</w:t>
            </w:r>
          </w:p>
        </w:tc>
        <w:tc>
          <w:tcPr>
            <w:tcW w:w="1245"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1.926</w:t>
            </w:r>
          </w:p>
        </w:tc>
        <w:tc>
          <w:tcPr>
            <w:tcW w:w="1234"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9.351</w:t>
            </w:r>
          </w:p>
        </w:tc>
        <w:tc>
          <w:tcPr>
            <w:tcW w:w="1120"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1.170</w:t>
            </w:r>
          </w:p>
        </w:tc>
        <w:tc>
          <w:tcPr>
            <w:tcW w:w="1013"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16EA7">
              <w:rPr>
                <w:rFonts w:asciiTheme="minorHAnsi" w:hAnsiTheme="minorHAnsi"/>
                <w:sz w:val="18"/>
                <w:szCs w:val="18"/>
              </w:rPr>
              <w:t>12.447</w:t>
            </w:r>
          </w:p>
        </w:tc>
        <w:tc>
          <w:tcPr>
            <w:tcW w:w="1149"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10.806</w:t>
            </w:r>
          </w:p>
        </w:tc>
      </w:tr>
      <w:tr w:rsidR="00516EA7" w:rsidRPr="00550BFD" w:rsidTr="001E0E83">
        <w:trPr>
          <w:jc w:val="center"/>
        </w:trPr>
        <w:tc>
          <w:tcPr>
            <w:tcW w:w="1939" w:type="dxa"/>
            <w:vMerge/>
            <w:shd w:val="clear" w:color="auto" w:fill="DBE5F1" w:themeFill="accent1" w:themeFillTint="33"/>
            <w:vAlign w:val="center"/>
          </w:tcPr>
          <w:p w:rsidR="00516EA7" w:rsidRPr="00550BFD" w:rsidRDefault="00516EA7" w:rsidP="006012E0">
            <w:pPr>
              <w:keepNext/>
              <w:keepLines/>
              <w:suppressAutoHyphens/>
              <w:spacing w:before="40" w:after="40" w:line="240" w:lineRule="auto"/>
              <w:rPr>
                <w:rFonts w:asciiTheme="minorHAnsi" w:eastAsia="Calibri" w:hAnsiTheme="minorHAnsi"/>
                <w:sz w:val="18"/>
                <w:szCs w:val="18"/>
              </w:rPr>
            </w:pPr>
          </w:p>
        </w:tc>
        <w:tc>
          <w:tcPr>
            <w:tcW w:w="1237"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sz w:val="18"/>
                <w:szCs w:val="18"/>
              </w:rPr>
            </w:pPr>
            <w:r w:rsidRPr="00550BFD">
              <w:rPr>
                <w:rFonts w:asciiTheme="minorHAnsi" w:eastAsia="Calibri" w:hAnsiTheme="minorHAnsi"/>
                <w:sz w:val="18"/>
                <w:szCs w:val="18"/>
              </w:rPr>
              <w:t>ISO Queue</w:t>
            </w:r>
          </w:p>
        </w:tc>
        <w:tc>
          <w:tcPr>
            <w:tcW w:w="1245"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6.789</w:t>
            </w:r>
          </w:p>
        </w:tc>
        <w:tc>
          <w:tcPr>
            <w:tcW w:w="1234"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37.898</w:t>
            </w:r>
          </w:p>
        </w:tc>
        <w:tc>
          <w:tcPr>
            <w:tcW w:w="1120"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4.021</w:t>
            </w:r>
          </w:p>
        </w:tc>
        <w:tc>
          <w:tcPr>
            <w:tcW w:w="1013"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16EA7">
              <w:rPr>
                <w:rFonts w:asciiTheme="minorHAnsi" w:hAnsiTheme="minorHAnsi"/>
                <w:sz w:val="18"/>
                <w:szCs w:val="18"/>
              </w:rPr>
              <w:t>48.708</w:t>
            </w:r>
          </w:p>
        </w:tc>
        <w:tc>
          <w:tcPr>
            <w:tcW w:w="1149"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10.806</w:t>
            </w:r>
          </w:p>
        </w:tc>
      </w:tr>
      <w:tr w:rsidR="00516EA7" w:rsidRPr="00550BFD" w:rsidTr="001E0E83">
        <w:trPr>
          <w:jc w:val="center"/>
        </w:trPr>
        <w:tc>
          <w:tcPr>
            <w:tcW w:w="1939" w:type="dxa"/>
            <w:vMerge/>
            <w:shd w:val="clear" w:color="auto" w:fill="DBE5F1" w:themeFill="accent1" w:themeFillTint="33"/>
            <w:vAlign w:val="center"/>
          </w:tcPr>
          <w:p w:rsidR="00516EA7" w:rsidRPr="00550BFD" w:rsidRDefault="00516EA7" w:rsidP="006012E0">
            <w:pPr>
              <w:keepNext/>
              <w:keepLines/>
              <w:suppressAutoHyphens/>
              <w:spacing w:before="40" w:after="40" w:line="240" w:lineRule="auto"/>
              <w:rPr>
                <w:rFonts w:asciiTheme="minorHAnsi" w:eastAsia="Calibri" w:hAnsiTheme="minorHAnsi"/>
                <w:sz w:val="18"/>
                <w:szCs w:val="18"/>
              </w:rPr>
            </w:pPr>
          </w:p>
        </w:tc>
        <w:tc>
          <w:tcPr>
            <w:tcW w:w="1237"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sz w:val="18"/>
                <w:szCs w:val="18"/>
              </w:rPr>
            </w:pPr>
            <w:r w:rsidRPr="00550BFD">
              <w:rPr>
                <w:rFonts w:asciiTheme="minorHAnsi" w:eastAsia="Calibri" w:hAnsiTheme="minorHAnsi"/>
                <w:sz w:val="18"/>
                <w:szCs w:val="18"/>
              </w:rPr>
              <w:t>Renew Plus</w:t>
            </w:r>
          </w:p>
        </w:tc>
        <w:tc>
          <w:tcPr>
            <w:tcW w:w="1245"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9.413</w:t>
            </w:r>
          </w:p>
        </w:tc>
        <w:tc>
          <w:tcPr>
            <w:tcW w:w="1234"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11.562</w:t>
            </w:r>
          </w:p>
        </w:tc>
        <w:tc>
          <w:tcPr>
            <w:tcW w:w="1120"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8.016</w:t>
            </w:r>
          </w:p>
        </w:tc>
        <w:tc>
          <w:tcPr>
            <w:tcW w:w="1013"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16EA7">
              <w:rPr>
                <w:rFonts w:asciiTheme="minorHAnsi" w:hAnsiTheme="minorHAnsi"/>
                <w:sz w:val="18"/>
                <w:szCs w:val="18"/>
              </w:rPr>
              <w:t>28.991</w:t>
            </w:r>
          </w:p>
        </w:tc>
        <w:tc>
          <w:tcPr>
            <w:tcW w:w="1149"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10.806</w:t>
            </w:r>
          </w:p>
        </w:tc>
      </w:tr>
      <w:tr w:rsidR="00516EA7" w:rsidRPr="00550BFD" w:rsidTr="001E0E83">
        <w:trPr>
          <w:jc w:val="center"/>
        </w:trPr>
        <w:tc>
          <w:tcPr>
            <w:tcW w:w="1939" w:type="dxa"/>
            <w:vMerge/>
            <w:shd w:val="clear" w:color="auto" w:fill="DBE5F1" w:themeFill="accent1" w:themeFillTint="33"/>
            <w:vAlign w:val="center"/>
          </w:tcPr>
          <w:p w:rsidR="00516EA7" w:rsidRPr="00550BFD" w:rsidRDefault="00516EA7" w:rsidP="006012E0">
            <w:pPr>
              <w:keepNext/>
              <w:keepLines/>
              <w:suppressAutoHyphens/>
              <w:spacing w:before="40" w:after="40" w:line="240" w:lineRule="auto"/>
              <w:rPr>
                <w:rFonts w:asciiTheme="minorHAnsi" w:eastAsia="Calibri" w:hAnsiTheme="minorHAnsi"/>
                <w:sz w:val="18"/>
                <w:szCs w:val="18"/>
              </w:rPr>
            </w:pPr>
          </w:p>
        </w:tc>
        <w:tc>
          <w:tcPr>
            <w:tcW w:w="1237"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sz w:val="18"/>
                <w:szCs w:val="18"/>
              </w:rPr>
            </w:pPr>
            <w:r w:rsidRPr="00550BFD">
              <w:rPr>
                <w:rFonts w:asciiTheme="minorHAnsi" w:eastAsia="Calibri" w:hAnsiTheme="minorHAnsi"/>
                <w:sz w:val="18"/>
                <w:szCs w:val="18"/>
              </w:rPr>
              <w:t>No Retire</w:t>
            </w:r>
          </w:p>
        </w:tc>
        <w:tc>
          <w:tcPr>
            <w:tcW w:w="1245"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1.926</w:t>
            </w:r>
          </w:p>
        </w:tc>
        <w:tc>
          <w:tcPr>
            <w:tcW w:w="1234"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1.168</w:t>
            </w:r>
          </w:p>
        </w:tc>
        <w:tc>
          <w:tcPr>
            <w:tcW w:w="1120"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1.170</w:t>
            </w:r>
          </w:p>
        </w:tc>
        <w:tc>
          <w:tcPr>
            <w:tcW w:w="1013"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16EA7">
              <w:rPr>
                <w:rFonts w:asciiTheme="minorHAnsi" w:hAnsiTheme="minorHAnsi"/>
                <w:sz w:val="18"/>
                <w:szCs w:val="18"/>
              </w:rPr>
              <w:t>4.264</w:t>
            </w:r>
          </w:p>
        </w:tc>
        <w:tc>
          <w:tcPr>
            <w:tcW w:w="1149"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10.806</w:t>
            </w:r>
          </w:p>
        </w:tc>
      </w:tr>
      <w:tr w:rsidR="00516EA7" w:rsidRPr="00550BFD" w:rsidTr="001E0E83">
        <w:trPr>
          <w:jc w:val="center"/>
        </w:trPr>
        <w:tc>
          <w:tcPr>
            <w:tcW w:w="1939" w:type="dxa"/>
            <w:vMerge/>
            <w:shd w:val="clear" w:color="auto" w:fill="DBE5F1" w:themeFill="accent1" w:themeFillTint="33"/>
            <w:vAlign w:val="center"/>
          </w:tcPr>
          <w:p w:rsidR="00516EA7" w:rsidRPr="00550BFD" w:rsidRDefault="00516EA7" w:rsidP="006012E0">
            <w:pPr>
              <w:keepNext/>
              <w:keepLines/>
              <w:suppressAutoHyphens/>
              <w:spacing w:before="40" w:after="40" w:line="240" w:lineRule="auto"/>
              <w:rPr>
                <w:rFonts w:asciiTheme="minorHAnsi" w:eastAsia="Calibri" w:hAnsiTheme="minorHAnsi"/>
                <w:sz w:val="18"/>
                <w:szCs w:val="18"/>
              </w:rPr>
            </w:pPr>
          </w:p>
        </w:tc>
        <w:tc>
          <w:tcPr>
            <w:tcW w:w="1237"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sz w:val="18"/>
                <w:szCs w:val="18"/>
              </w:rPr>
            </w:pPr>
            <w:r w:rsidRPr="00550BFD">
              <w:rPr>
                <w:rFonts w:asciiTheme="minorHAnsi" w:eastAsia="Calibri" w:hAnsiTheme="minorHAnsi"/>
                <w:sz w:val="18"/>
                <w:szCs w:val="18"/>
              </w:rPr>
              <w:t>ACP + Gas</w:t>
            </w:r>
          </w:p>
        </w:tc>
        <w:tc>
          <w:tcPr>
            <w:tcW w:w="1245"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1.926</w:t>
            </w:r>
          </w:p>
        </w:tc>
        <w:tc>
          <w:tcPr>
            <w:tcW w:w="1234"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1.168</w:t>
            </w:r>
          </w:p>
        </w:tc>
        <w:tc>
          <w:tcPr>
            <w:tcW w:w="1120"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1.170</w:t>
            </w:r>
          </w:p>
        </w:tc>
        <w:tc>
          <w:tcPr>
            <w:tcW w:w="1013"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16EA7">
              <w:rPr>
                <w:rFonts w:asciiTheme="minorHAnsi" w:hAnsiTheme="minorHAnsi"/>
                <w:sz w:val="18"/>
                <w:szCs w:val="18"/>
              </w:rPr>
              <w:t>4.264</w:t>
            </w:r>
          </w:p>
        </w:tc>
        <w:tc>
          <w:tcPr>
            <w:tcW w:w="1149"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10.806</w:t>
            </w:r>
          </w:p>
        </w:tc>
      </w:tr>
      <w:tr w:rsidR="00516EA7" w:rsidRPr="00550BFD" w:rsidTr="001E0E83">
        <w:trPr>
          <w:jc w:val="center"/>
        </w:trPr>
        <w:tc>
          <w:tcPr>
            <w:tcW w:w="1939" w:type="dxa"/>
            <w:vMerge/>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sz w:val="18"/>
                <w:szCs w:val="18"/>
              </w:rPr>
            </w:pPr>
          </w:p>
        </w:tc>
        <w:tc>
          <w:tcPr>
            <w:tcW w:w="1237"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textAlignment w:val="auto"/>
              <w:rPr>
                <w:rFonts w:asciiTheme="minorHAnsi" w:eastAsia="Calibri" w:hAnsiTheme="minorHAnsi"/>
                <w:sz w:val="18"/>
                <w:szCs w:val="18"/>
              </w:rPr>
            </w:pPr>
            <w:r w:rsidRPr="00550BFD">
              <w:rPr>
                <w:rFonts w:asciiTheme="minorHAnsi" w:eastAsia="Calibri" w:hAnsiTheme="minorHAnsi"/>
                <w:sz w:val="18"/>
                <w:szCs w:val="18"/>
              </w:rPr>
              <w:t>RPS + Geo Renew</w:t>
            </w:r>
          </w:p>
        </w:tc>
        <w:tc>
          <w:tcPr>
            <w:tcW w:w="1245"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25.176</w:t>
            </w:r>
          </w:p>
        </w:tc>
        <w:tc>
          <w:tcPr>
            <w:tcW w:w="1234"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18.077</w:t>
            </w:r>
          </w:p>
        </w:tc>
        <w:tc>
          <w:tcPr>
            <w:tcW w:w="1120"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9.418</w:t>
            </w:r>
          </w:p>
        </w:tc>
        <w:tc>
          <w:tcPr>
            <w:tcW w:w="1013"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16EA7">
              <w:rPr>
                <w:rFonts w:asciiTheme="minorHAnsi" w:hAnsiTheme="minorHAnsi"/>
                <w:sz w:val="18"/>
                <w:szCs w:val="18"/>
              </w:rPr>
              <w:t>52.671</w:t>
            </w:r>
          </w:p>
        </w:tc>
        <w:tc>
          <w:tcPr>
            <w:tcW w:w="1149" w:type="dxa"/>
            <w:shd w:val="clear" w:color="auto" w:fill="DBE5F1" w:themeFill="accent1" w:themeFillTint="33"/>
            <w:vAlign w:val="center"/>
          </w:tcPr>
          <w:p w:rsidR="00516EA7" w:rsidRPr="00550BFD" w:rsidRDefault="00516EA7" w:rsidP="006012E0">
            <w:pPr>
              <w:keepNext/>
              <w:keepLines/>
              <w:suppressAutoHyphens/>
              <w:adjustRightInd/>
              <w:spacing w:before="40" w:after="40" w:line="240" w:lineRule="auto"/>
              <w:jc w:val="right"/>
              <w:textAlignment w:val="auto"/>
              <w:rPr>
                <w:rFonts w:asciiTheme="minorHAnsi" w:eastAsia="Calibri" w:hAnsiTheme="minorHAnsi"/>
                <w:sz w:val="18"/>
                <w:szCs w:val="18"/>
              </w:rPr>
            </w:pPr>
            <w:r w:rsidRPr="00550BFD">
              <w:rPr>
                <w:rFonts w:asciiTheme="minorHAnsi" w:eastAsia="Calibri" w:hAnsiTheme="minorHAnsi"/>
                <w:sz w:val="18"/>
                <w:szCs w:val="18"/>
              </w:rPr>
              <w:t>10.806</w:t>
            </w:r>
          </w:p>
        </w:tc>
      </w:tr>
    </w:tbl>
    <w:p w:rsidR="007A0500" w:rsidRPr="00A267C1" w:rsidRDefault="007A0500" w:rsidP="00A267C1">
      <w:pPr>
        <w:keepNext/>
        <w:keepLines/>
        <w:spacing w:line="240" w:lineRule="auto"/>
        <w:ind w:left="810" w:right="810"/>
        <w:rPr>
          <w:rFonts w:asciiTheme="minorHAnsi" w:hAnsiTheme="minorHAnsi"/>
          <w:noProof/>
          <w:sz w:val="18"/>
          <w:szCs w:val="18"/>
        </w:rPr>
      </w:pPr>
    </w:p>
    <w:p w:rsidR="0053379A" w:rsidRDefault="0053379A" w:rsidP="00AF716F">
      <w:pPr>
        <w:pStyle w:val="Heading3"/>
      </w:pPr>
      <w:bookmarkStart w:id="358" w:name="_Toc486406007"/>
      <w:r w:rsidRPr="008E2AA0">
        <w:t>Carbon Dioxide Emissions and RGGI Goals</w:t>
      </w:r>
      <w:bookmarkEnd w:id="358"/>
    </w:p>
    <w:p w:rsidR="00AF716F" w:rsidRDefault="00DB3E8C" w:rsidP="0053379A">
      <w:r>
        <w:t xml:space="preserve">The </w:t>
      </w:r>
      <w:r w:rsidR="00453B15">
        <w:t>p</w:t>
      </w:r>
      <w:r w:rsidR="0053379A" w:rsidRPr="00CD4AA6">
        <w:t xml:space="preserve">otential RGGI targets for </w:t>
      </w:r>
      <w:r w:rsidR="00D53DCB">
        <w:t>total CO</w:t>
      </w:r>
      <w:r w:rsidR="00D53DCB" w:rsidRPr="00751E7F">
        <w:rPr>
          <w:vertAlign w:val="subscript"/>
        </w:rPr>
        <w:t>2</w:t>
      </w:r>
      <w:r w:rsidR="00D53DCB">
        <w:t xml:space="preserve"> emissions  in </w:t>
      </w:r>
      <w:r w:rsidR="0053379A" w:rsidRPr="00CD4AA6">
        <w:t xml:space="preserve">the New England states </w:t>
      </w:r>
      <w:r w:rsidR="0053379A">
        <w:t xml:space="preserve">for 2025 </w:t>
      </w:r>
      <w:r w:rsidR="0053379A" w:rsidRPr="00CD4AA6">
        <w:t xml:space="preserve">range </w:t>
      </w:r>
      <w:r w:rsidR="0053379A">
        <w:t xml:space="preserve">from an </w:t>
      </w:r>
      <w:r w:rsidR="0053379A" w:rsidRPr="00CD4AA6">
        <w:t>approximate</w:t>
      </w:r>
      <w:r w:rsidR="005D5A9E">
        <w:t xml:space="preserve"> amount</w:t>
      </w:r>
      <w:r w:rsidR="0053379A">
        <w:t xml:space="preserve"> of </w:t>
      </w:r>
      <w:r w:rsidR="0053379A" w:rsidRPr="00CD4AA6">
        <w:t xml:space="preserve">21.2 </w:t>
      </w:r>
      <w:r w:rsidR="0053379A">
        <w:t>million short tons (</w:t>
      </w:r>
      <w:r w:rsidR="0053379A" w:rsidRPr="005507B4">
        <w:t>5</w:t>
      </w:r>
      <w:r w:rsidR="0053379A" w:rsidRPr="00C07911">
        <w:t>.0</w:t>
      </w:r>
      <w:r w:rsidR="0053379A">
        <w:t>%</w:t>
      </w:r>
      <w:r w:rsidR="00700820">
        <w:t xml:space="preserve"> reduction</w:t>
      </w:r>
      <w:r w:rsidR="0053379A">
        <w:t xml:space="preserve">) to </w:t>
      </w:r>
      <w:r w:rsidR="005D5A9E">
        <w:t xml:space="preserve">a total of </w:t>
      </w:r>
      <w:r w:rsidR="0053379A" w:rsidRPr="00CD4AA6">
        <w:t>23.9 million short tons</w:t>
      </w:r>
      <w:r w:rsidR="005D5A9E">
        <w:t xml:space="preserve"> (2.5%</w:t>
      </w:r>
      <w:r w:rsidR="00700820">
        <w:t xml:space="preserve"> reduction</w:t>
      </w:r>
      <w:r w:rsidR="005D5A9E">
        <w:t>). The total</w:t>
      </w:r>
      <w:r w:rsidR="00443C4E">
        <w:t xml:space="preserve"> CO</w:t>
      </w:r>
      <w:r w:rsidR="00443C4E" w:rsidRPr="00751E7F">
        <w:rPr>
          <w:vertAlign w:val="subscript"/>
        </w:rPr>
        <w:t>2</w:t>
      </w:r>
      <w:r w:rsidR="00443C4E">
        <w:t xml:space="preserve"> emission</w:t>
      </w:r>
      <w:r w:rsidR="005D5A9E">
        <w:t xml:space="preserve">s for 2030 range from </w:t>
      </w:r>
      <w:r w:rsidR="0053379A" w:rsidRPr="00CD4AA6">
        <w:t xml:space="preserve">14.4 </w:t>
      </w:r>
      <w:r w:rsidR="0053379A">
        <w:t>million short tons (5.0%</w:t>
      </w:r>
      <w:r w:rsidR="00700820">
        <w:t xml:space="preserve"> reduction</w:t>
      </w:r>
      <w:r w:rsidR="0053379A">
        <w:t xml:space="preserve">) to </w:t>
      </w:r>
      <w:r w:rsidR="0053379A" w:rsidRPr="00CD4AA6">
        <w:t>20.</w:t>
      </w:r>
      <w:r w:rsidR="00AF3971" w:rsidRPr="00CD4AA6">
        <w:t>5</w:t>
      </w:r>
      <w:r w:rsidR="00AF3971">
        <w:t> </w:t>
      </w:r>
      <w:r w:rsidR="0053379A" w:rsidRPr="00CD4AA6">
        <w:t>million short tons</w:t>
      </w:r>
      <w:r w:rsidR="0053379A">
        <w:t xml:space="preserve"> (2.5%</w:t>
      </w:r>
      <w:r w:rsidR="00700820">
        <w:t xml:space="preserve"> reduction</w:t>
      </w:r>
      <w:r w:rsidR="0053379A">
        <w:t>)</w:t>
      </w:r>
      <w:r w:rsidR="0053379A" w:rsidRPr="00CD4AA6">
        <w:t>.</w:t>
      </w:r>
      <w:r w:rsidR="0053379A">
        <w:rPr>
          <w:rStyle w:val="FootnoteReference"/>
        </w:rPr>
        <w:footnoteReference w:id="71"/>
      </w:r>
      <w:r w:rsidR="0053379A">
        <w:t xml:space="preserve"> </w:t>
      </w:r>
      <w:r w:rsidR="0053379A" w:rsidRPr="00CD4AA6">
        <w:t>RGGI currently permits the use of allowances</w:t>
      </w:r>
      <w:r w:rsidR="0053379A">
        <w:t>,</w:t>
      </w:r>
      <w:r w:rsidR="0053379A" w:rsidRPr="00CD4AA6">
        <w:t xml:space="preserve"> regardless of source </w:t>
      </w:r>
      <w:r w:rsidR="0053379A" w:rsidRPr="00CD4AA6">
        <w:lastRenderedPageBreak/>
        <w:t xml:space="preserve">or issuing </w:t>
      </w:r>
      <w:r w:rsidR="0053379A">
        <w:t>s</w:t>
      </w:r>
      <w:r w:rsidR="0053379A" w:rsidRPr="00CD4AA6">
        <w:t>tate</w:t>
      </w:r>
      <w:r w:rsidR="0053379A">
        <w:t xml:space="preserve">, </w:t>
      </w:r>
      <w:r w:rsidR="0053379A" w:rsidRPr="00CD4AA6">
        <w:t xml:space="preserve">and offsets to meet compliance obligations in any </w:t>
      </w:r>
      <w:r w:rsidR="0053379A">
        <w:t>s</w:t>
      </w:r>
      <w:r w:rsidR="0053379A" w:rsidRPr="00CD4AA6">
        <w:t>tate</w:t>
      </w:r>
      <w:r w:rsidR="0053379A">
        <w:t xml:space="preserve">. </w:t>
      </w:r>
      <w:r w:rsidR="0053379A" w:rsidRPr="00CD4AA6">
        <w:t xml:space="preserve">Allowances may be available from primary </w:t>
      </w:r>
      <w:r w:rsidR="0053379A">
        <w:t xml:space="preserve">or </w:t>
      </w:r>
      <w:r w:rsidR="0053379A" w:rsidRPr="00CD4AA6">
        <w:t>secondary markets</w:t>
      </w:r>
      <w:r w:rsidR="0053379A">
        <w:t xml:space="preserve"> or neighboring states, </w:t>
      </w:r>
      <w:r w:rsidR="0053379A" w:rsidRPr="001E1293">
        <w:t xml:space="preserve">or they may be banked </w:t>
      </w:r>
      <w:r w:rsidR="00032B2D" w:rsidRPr="001E1293">
        <w:t xml:space="preserve">and used in future compliance periods. The states also may release </w:t>
      </w:r>
      <w:r w:rsidR="0053379A" w:rsidRPr="001E1293">
        <w:t>cost-containment reserves</w:t>
      </w:r>
      <w:r w:rsidR="00032B2D" w:rsidRPr="001E1293">
        <w:t xml:space="preserve">, which are </w:t>
      </w:r>
      <w:r w:rsidR="00B265F6" w:rsidRPr="001E1293">
        <w:t>additional CO</w:t>
      </w:r>
      <w:r w:rsidR="00B265F6" w:rsidRPr="001E1293">
        <w:rPr>
          <w:vertAlign w:val="subscript"/>
        </w:rPr>
        <w:t>2</w:t>
      </w:r>
      <w:r w:rsidR="00B265F6" w:rsidRPr="001E1293">
        <w:t xml:space="preserve"> allowances </w:t>
      </w:r>
      <w:r w:rsidR="00032B2D" w:rsidRPr="001E1293">
        <w:t xml:space="preserve">issued </w:t>
      </w:r>
      <w:r w:rsidR="00B265F6" w:rsidRPr="001E1293">
        <w:t>if auction prices exceed certain thre</w:t>
      </w:r>
      <w:r w:rsidR="00E669C7" w:rsidRPr="001E1293">
        <w:t>s</w:t>
      </w:r>
      <w:r w:rsidR="00B265F6" w:rsidRPr="001E1293">
        <w:t>holds</w:t>
      </w:r>
      <w:r w:rsidR="009E7B29" w:rsidRPr="001E1293">
        <w:t xml:space="preserve">. </w:t>
      </w:r>
      <w:r w:rsidR="0053379A" w:rsidRPr="00CD4AA6">
        <w:t xml:space="preserve">RGGI excludes generators </w:t>
      </w:r>
      <w:r w:rsidR="0057471F">
        <w:t xml:space="preserve">smaller than </w:t>
      </w:r>
      <w:r w:rsidR="0053379A" w:rsidRPr="00CD4AA6">
        <w:t>25 MW and municipal solid</w:t>
      </w:r>
      <w:r w:rsidR="0065781B">
        <w:t xml:space="preserve"> </w:t>
      </w:r>
      <w:r w:rsidR="0053379A" w:rsidRPr="00CD4AA6">
        <w:t>waste units</w:t>
      </w:r>
      <w:r w:rsidR="0053379A">
        <w:t>.</w:t>
      </w:r>
      <w:r w:rsidR="0065781B">
        <w:t xml:space="preserve"> </w:t>
      </w:r>
      <w:r w:rsidR="00AF716F">
        <w:fldChar w:fldCharType="begin"/>
      </w:r>
      <w:r w:rsidR="00AF716F">
        <w:instrText xml:space="preserve"> REF _Ref477173503 \h </w:instrText>
      </w:r>
      <w:r w:rsidR="00AF716F">
        <w:fldChar w:fldCharType="separate"/>
      </w:r>
      <w:r w:rsidR="00742B49">
        <w:t xml:space="preserve">Figure </w:t>
      </w:r>
      <w:r w:rsidR="00742B49">
        <w:rPr>
          <w:noProof/>
        </w:rPr>
        <w:t>6</w:t>
      </w:r>
      <w:r w:rsidR="00742B49">
        <w:noBreakHyphen/>
      </w:r>
      <w:r w:rsidR="00742B49">
        <w:rPr>
          <w:noProof/>
        </w:rPr>
        <w:t>23</w:t>
      </w:r>
      <w:r w:rsidR="00AF716F">
        <w:fldChar w:fldCharType="end"/>
      </w:r>
      <w:r w:rsidR="00AF716F">
        <w:t xml:space="preserve"> and </w:t>
      </w:r>
      <w:r w:rsidR="00AF716F">
        <w:fldChar w:fldCharType="begin"/>
      </w:r>
      <w:r w:rsidR="00AF716F">
        <w:instrText xml:space="preserve"> REF _Ref477173504 \h </w:instrText>
      </w:r>
      <w:r w:rsidR="00AF716F">
        <w:fldChar w:fldCharType="separate"/>
      </w:r>
      <w:r w:rsidR="00742B49">
        <w:t xml:space="preserve">Figure </w:t>
      </w:r>
      <w:r w:rsidR="00742B49">
        <w:rPr>
          <w:noProof/>
        </w:rPr>
        <w:t>6</w:t>
      </w:r>
      <w:r w:rsidR="00742B49">
        <w:noBreakHyphen/>
      </w:r>
      <w:r w:rsidR="00742B49">
        <w:rPr>
          <w:noProof/>
        </w:rPr>
        <w:t>24</w:t>
      </w:r>
      <w:r w:rsidR="00AF716F">
        <w:fldChar w:fldCharType="end"/>
      </w:r>
      <w:r w:rsidR="002C2A27">
        <w:t xml:space="preserve"> </w:t>
      </w:r>
      <w:r w:rsidR="00AF716F">
        <w:t>compare the total CO</w:t>
      </w:r>
      <w:r w:rsidR="00AF716F" w:rsidRPr="0062074B">
        <w:rPr>
          <w:vertAlign w:val="subscript"/>
        </w:rPr>
        <w:t>2</w:t>
      </w:r>
      <w:r w:rsidR="00AF716F">
        <w:t xml:space="preserve"> emissions for the scenarios with the potential RGGI emission limits for the New England region.</w:t>
      </w:r>
    </w:p>
    <w:p w:rsidR="007F0082" w:rsidRDefault="007F0082" w:rsidP="00287FD9">
      <w:pPr>
        <w:keepNext/>
        <w:spacing w:after="0" w:line="240" w:lineRule="auto"/>
        <w:jc w:val="center"/>
      </w:pPr>
      <w:r w:rsidRPr="007F0082">
        <w:rPr>
          <w:noProof/>
        </w:rPr>
        <w:drawing>
          <wp:inline distT="0" distB="0" distL="0" distR="0" wp14:anchorId="147EB857" wp14:editId="5C728FD6">
            <wp:extent cx="4663440" cy="2612045"/>
            <wp:effectExtent l="0" t="0" r="3810" b="0"/>
            <wp:docPr id="7188" name="Picture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668326" cy="2614782"/>
                    </a:xfrm>
                    <a:prstGeom prst="rect">
                      <a:avLst/>
                    </a:prstGeom>
                    <a:noFill/>
                    <a:ln>
                      <a:noFill/>
                    </a:ln>
                  </pic:spPr>
                </pic:pic>
              </a:graphicData>
            </a:graphic>
          </wp:inline>
        </w:drawing>
      </w:r>
    </w:p>
    <w:p w:rsidR="0065781B" w:rsidRDefault="0065781B" w:rsidP="005507B4">
      <w:pPr>
        <w:pStyle w:val="Caption"/>
        <w:spacing w:before="120" w:after="240"/>
        <w:ind w:left="994" w:right="2347"/>
      </w:pPr>
      <w:bookmarkStart w:id="359" w:name="_Ref477173503"/>
      <w:bookmarkStart w:id="360" w:name="_Toc486406093"/>
      <w:r>
        <w:t xml:space="preserve">Figure </w:t>
      </w:r>
      <w:fldSimple w:instr=" STYLEREF 1 \s ">
        <w:r w:rsidR="00742B49">
          <w:rPr>
            <w:noProof/>
          </w:rPr>
          <w:t>6</w:t>
        </w:r>
      </w:fldSimple>
      <w:r w:rsidR="00024994">
        <w:noBreakHyphen/>
      </w:r>
      <w:fldSimple w:instr=" SEQ Figure \* ARABIC \s 1 ">
        <w:r w:rsidR="00742B49">
          <w:rPr>
            <w:noProof/>
          </w:rPr>
          <w:t>23</w:t>
        </w:r>
      </w:fldSimple>
      <w:bookmarkEnd w:id="359"/>
      <w:r w:rsidR="00B065F2">
        <w:t xml:space="preserve">: </w:t>
      </w:r>
      <w:r w:rsidR="00B065F2" w:rsidRPr="000B0055">
        <w:t>CO</w:t>
      </w:r>
      <w:r w:rsidR="00B065F2" w:rsidRPr="001E1293">
        <w:rPr>
          <w:vertAlign w:val="subscript"/>
        </w:rPr>
        <w:t>2</w:t>
      </w:r>
      <w:r w:rsidR="00B065F2" w:rsidRPr="000B0055">
        <w:t xml:space="preserve"> </w:t>
      </w:r>
      <w:r w:rsidR="00692162">
        <w:t>e</w:t>
      </w:r>
      <w:r w:rsidR="00B065F2" w:rsidRPr="000B0055">
        <w:t>missions</w:t>
      </w:r>
      <w:r>
        <w:t xml:space="preserve">, </w:t>
      </w:r>
      <w:r w:rsidR="00B065F2" w:rsidRPr="000B0055">
        <w:t>2025 (</w:t>
      </w:r>
      <w:r>
        <w:t>m</w:t>
      </w:r>
      <w:r w:rsidR="00B065F2" w:rsidRPr="000B0055">
        <w:t xml:space="preserve">illions of </w:t>
      </w:r>
      <w:r>
        <w:t>s</w:t>
      </w:r>
      <w:r w:rsidR="00B065F2" w:rsidRPr="000B0055">
        <w:t xml:space="preserve">hort </w:t>
      </w:r>
      <w:r>
        <w:t>t</w:t>
      </w:r>
      <w:r w:rsidR="00B065F2" w:rsidRPr="000B0055">
        <w:t>ons</w:t>
      </w:r>
      <w:r w:rsidR="00094A0C">
        <w:t>, %</w:t>
      </w:r>
      <w:r w:rsidR="00B065F2" w:rsidRPr="000B0055">
        <w:t>)</w:t>
      </w:r>
      <w:r>
        <w:t>.</w:t>
      </w:r>
      <w:bookmarkEnd w:id="360"/>
    </w:p>
    <w:p w:rsidR="007F0082" w:rsidRDefault="007F0082" w:rsidP="00287FD9">
      <w:pPr>
        <w:spacing w:after="0" w:line="240" w:lineRule="auto"/>
        <w:jc w:val="center"/>
      </w:pPr>
      <w:r w:rsidRPr="007F0082">
        <w:rPr>
          <w:noProof/>
        </w:rPr>
        <w:drawing>
          <wp:inline distT="0" distB="0" distL="0" distR="0" wp14:anchorId="3204E15B" wp14:editId="00462705">
            <wp:extent cx="4577771" cy="2596896"/>
            <wp:effectExtent l="0" t="0" r="0" b="0"/>
            <wp:docPr id="7189" name="Picture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579074" cy="2597635"/>
                    </a:xfrm>
                    <a:prstGeom prst="rect">
                      <a:avLst/>
                    </a:prstGeom>
                    <a:noFill/>
                    <a:ln>
                      <a:noFill/>
                    </a:ln>
                  </pic:spPr>
                </pic:pic>
              </a:graphicData>
            </a:graphic>
          </wp:inline>
        </w:drawing>
      </w:r>
    </w:p>
    <w:p w:rsidR="0065781B" w:rsidRDefault="00B065F2" w:rsidP="005507B4">
      <w:pPr>
        <w:pStyle w:val="Caption"/>
        <w:spacing w:before="120" w:after="240"/>
        <w:ind w:left="1080" w:right="2434"/>
      </w:pPr>
      <w:bookmarkStart w:id="361" w:name="_Ref477173504"/>
      <w:bookmarkStart w:id="362" w:name="_Toc486406094"/>
      <w:r>
        <w:t xml:space="preserve">Figure </w:t>
      </w:r>
      <w:fldSimple w:instr=" STYLEREF 1 \s ">
        <w:r w:rsidR="00742B49">
          <w:rPr>
            <w:noProof/>
          </w:rPr>
          <w:t>6</w:t>
        </w:r>
      </w:fldSimple>
      <w:r w:rsidR="00024994">
        <w:noBreakHyphen/>
      </w:r>
      <w:fldSimple w:instr=" SEQ Figure \* ARABIC \s 1 ">
        <w:r w:rsidR="00742B49">
          <w:rPr>
            <w:noProof/>
          </w:rPr>
          <w:t>24</w:t>
        </w:r>
      </w:fldSimple>
      <w:bookmarkEnd w:id="361"/>
      <w:r>
        <w:t xml:space="preserve">: </w:t>
      </w:r>
      <w:r w:rsidRPr="004836B9">
        <w:t>CO</w:t>
      </w:r>
      <w:r w:rsidRPr="001E1293">
        <w:rPr>
          <w:vertAlign w:val="subscript"/>
        </w:rPr>
        <w:t>2</w:t>
      </w:r>
      <w:r w:rsidRPr="004836B9">
        <w:t xml:space="preserve"> </w:t>
      </w:r>
      <w:r w:rsidR="0065781B">
        <w:t>e</w:t>
      </w:r>
      <w:r w:rsidRPr="004836B9">
        <w:t>missions</w:t>
      </w:r>
      <w:r w:rsidR="0065781B">
        <w:t>,</w:t>
      </w:r>
      <w:r w:rsidRPr="004836B9">
        <w:t xml:space="preserve"> </w:t>
      </w:r>
      <w:r>
        <w:t xml:space="preserve">2030 </w:t>
      </w:r>
      <w:r w:rsidRPr="00B065F2">
        <w:t>(</w:t>
      </w:r>
      <w:r w:rsidR="0065781B">
        <w:t>m</w:t>
      </w:r>
      <w:r w:rsidRPr="00B065F2">
        <w:t xml:space="preserve">illions of </w:t>
      </w:r>
      <w:r w:rsidR="0065781B">
        <w:t>s</w:t>
      </w:r>
      <w:r w:rsidRPr="00B065F2">
        <w:t xml:space="preserve">hort </w:t>
      </w:r>
      <w:r w:rsidR="0065781B">
        <w:t>t</w:t>
      </w:r>
      <w:r w:rsidRPr="00B065F2">
        <w:t>ons</w:t>
      </w:r>
      <w:r w:rsidR="00094A0C">
        <w:t>, %</w:t>
      </w:r>
      <w:r w:rsidRPr="00B065F2">
        <w:t>)</w:t>
      </w:r>
      <w:r w:rsidR="0065781B">
        <w:t>.</w:t>
      </w:r>
      <w:bookmarkEnd w:id="362"/>
    </w:p>
    <w:p w:rsidR="002C2A27" w:rsidRDefault="007F19DE" w:rsidP="007F5623">
      <w:r>
        <w:t>Table 6-21</w:t>
      </w:r>
      <w:r w:rsidR="007F5623">
        <w:t xml:space="preserve"> </w:t>
      </w:r>
      <w:r w:rsidR="002C2A27" w:rsidRPr="002370F7">
        <w:t>show</w:t>
      </w:r>
      <w:r w:rsidR="002370F7" w:rsidRPr="002370F7">
        <w:t>s</w:t>
      </w:r>
      <w:r w:rsidR="002C2A27" w:rsidRPr="002370F7">
        <w:t xml:space="preserve"> more detailed CO</w:t>
      </w:r>
      <w:r w:rsidR="002C2A27" w:rsidRPr="002370F7">
        <w:rPr>
          <w:vertAlign w:val="subscript"/>
        </w:rPr>
        <w:t>2</w:t>
      </w:r>
      <w:r w:rsidR="002C2A27" w:rsidRPr="002370F7">
        <w:t xml:space="preserve"> emission results </w:t>
      </w:r>
      <w:r w:rsidR="002370F7" w:rsidRPr="002370F7">
        <w:t xml:space="preserve">for 2025 and 2030 </w:t>
      </w:r>
      <w:r w:rsidR="002C2A27" w:rsidRPr="002370F7">
        <w:t>and compare</w:t>
      </w:r>
      <w:r w:rsidR="002370F7" w:rsidRPr="002370F7">
        <w:t>s</w:t>
      </w:r>
      <w:r w:rsidR="002C2A27" w:rsidRPr="002370F7">
        <w:t xml:space="preserve"> New England CO</w:t>
      </w:r>
      <w:r w:rsidR="002C2A27" w:rsidRPr="002370F7">
        <w:rPr>
          <w:vertAlign w:val="subscript"/>
        </w:rPr>
        <w:t>2</w:t>
      </w:r>
      <w:r w:rsidR="002C2A27">
        <w:t xml:space="preserve"> emissions with the total emission allowances for the entire RGGI region. </w:t>
      </w:r>
      <w:r w:rsidR="002C2A27">
        <w:rPr>
          <w:rFonts w:cs="Arial"/>
          <w:color w:val="000000"/>
          <w:szCs w:val="20"/>
        </w:rPr>
        <w:t>The s</w:t>
      </w:r>
      <w:r w:rsidR="002C2A27" w:rsidRPr="00235196">
        <w:rPr>
          <w:rFonts w:cs="Calibri"/>
          <w:color w:val="000000"/>
          <w:szCs w:val="20"/>
        </w:rPr>
        <w:t>cenarios with the large</w:t>
      </w:r>
      <w:r w:rsidR="002C2A27">
        <w:rPr>
          <w:rFonts w:cs="Calibri"/>
          <w:color w:val="000000"/>
          <w:szCs w:val="20"/>
        </w:rPr>
        <w:t>-</w:t>
      </w:r>
      <w:r w:rsidR="002C2A27" w:rsidRPr="00235196">
        <w:rPr>
          <w:rFonts w:cs="Calibri"/>
          <w:color w:val="000000"/>
          <w:szCs w:val="20"/>
        </w:rPr>
        <w:t>scale development of zero</w:t>
      </w:r>
      <w:r w:rsidR="002C2A27">
        <w:rPr>
          <w:rFonts w:cs="Calibri"/>
          <w:color w:val="000000"/>
          <w:szCs w:val="20"/>
        </w:rPr>
        <w:t>-</w:t>
      </w:r>
      <w:r w:rsidR="002C2A27" w:rsidRPr="00235196">
        <w:rPr>
          <w:rFonts w:cs="Calibri"/>
          <w:color w:val="000000"/>
          <w:szCs w:val="20"/>
        </w:rPr>
        <w:t xml:space="preserve">emitting resources </w:t>
      </w:r>
      <w:r w:rsidR="002C2A27">
        <w:rPr>
          <w:rFonts w:cs="Calibri"/>
          <w:color w:val="000000"/>
          <w:szCs w:val="20"/>
        </w:rPr>
        <w:t xml:space="preserve">result in </w:t>
      </w:r>
      <w:r w:rsidR="002C2A27" w:rsidRPr="00235196">
        <w:rPr>
          <w:rFonts w:cs="Calibri"/>
          <w:color w:val="000000"/>
          <w:szCs w:val="20"/>
        </w:rPr>
        <w:t>lower CO</w:t>
      </w:r>
      <w:r w:rsidR="002C2A27" w:rsidRPr="00F056A1">
        <w:rPr>
          <w:rFonts w:cs="Calibri"/>
          <w:color w:val="000000"/>
          <w:szCs w:val="20"/>
          <w:vertAlign w:val="subscript"/>
        </w:rPr>
        <w:t>2</w:t>
      </w:r>
      <w:r w:rsidR="002C2A27" w:rsidRPr="00235196">
        <w:rPr>
          <w:rFonts w:cs="Calibri"/>
          <w:color w:val="000000"/>
          <w:szCs w:val="20"/>
        </w:rPr>
        <w:t xml:space="preserve"> emissions</w:t>
      </w:r>
      <w:r w:rsidR="002C2A27">
        <w:rPr>
          <w:rFonts w:cs="Calibri"/>
          <w:color w:val="000000"/>
          <w:szCs w:val="20"/>
        </w:rPr>
        <w:t>. S</w:t>
      </w:r>
      <w:r w:rsidR="002C2A27" w:rsidRPr="00235196">
        <w:rPr>
          <w:rFonts w:cs="Calibri"/>
          <w:color w:val="000000"/>
          <w:szCs w:val="20"/>
        </w:rPr>
        <w:t>cenario 3 results in the lowest overall emissions</w:t>
      </w:r>
      <w:r w:rsidR="002C2A27">
        <w:rPr>
          <w:rFonts w:cs="Calibri"/>
          <w:color w:val="000000"/>
          <w:szCs w:val="20"/>
        </w:rPr>
        <w:t>.</w:t>
      </w:r>
    </w:p>
    <w:p w:rsidR="005507B4" w:rsidRDefault="005507B4" w:rsidP="001E1293">
      <w:pPr>
        <w:pStyle w:val="Caption"/>
        <w:spacing w:after="240"/>
        <w:ind w:left="1080" w:right="2430"/>
        <w:rPr>
          <w:b w:val="0"/>
          <w:sz w:val="18"/>
          <w:szCs w:val="18"/>
        </w:rPr>
      </w:pPr>
    </w:p>
    <w:p w:rsidR="002C2A27" w:rsidRPr="002370F7" w:rsidRDefault="002C2A27" w:rsidP="002370F7">
      <w:pPr>
        <w:sectPr w:rsidR="002C2A27" w:rsidRPr="002370F7" w:rsidSect="00995AFE">
          <w:headerReference w:type="even" r:id="rId70"/>
          <w:pgSz w:w="12240" w:h="15840" w:code="1"/>
          <w:pgMar w:top="1440" w:right="1440" w:bottom="1440" w:left="1440" w:header="720" w:footer="720" w:gutter="0"/>
          <w:cols w:space="720"/>
          <w:docGrid w:linePitch="360"/>
        </w:sectPr>
      </w:pPr>
    </w:p>
    <w:p w:rsidR="007A0500" w:rsidRPr="00094A0C" w:rsidRDefault="005507B4" w:rsidP="001E0E83">
      <w:pPr>
        <w:pStyle w:val="Caption"/>
        <w:jc w:val="center"/>
        <w:rPr>
          <w:szCs w:val="22"/>
        </w:rPr>
      </w:pPr>
      <w:bookmarkStart w:id="363" w:name="_Ref483931477"/>
      <w:bookmarkStart w:id="364" w:name="_Toc486406056"/>
      <w:r w:rsidRPr="001E0E83">
        <w:lastRenderedPageBreak/>
        <w:t xml:space="preserve">Table </w:t>
      </w:r>
      <w:fldSimple w:instr=" STYLEREF 1 \s ">
        <w:r w:rsidR="004248FE">
          <w:rPr>
            <w:noProof/>
          </w:rPr>
          <w:t>6</w:t>
        </w:r>
      </w:fldSimple>
      <w:r w:rsidR="004248FE">
        <w:noBreakHyphen/>
      </w:r>
      <w:fldSimple w:instr=" SEQ Table \* ARABIC \s 1 ">
        <w:r w:rsidR="004248FE">
          <w:rPr>
            <w:noProof/>
          </w:rPr>
          <w:t>21</w:t>
        </w:r>
      </w:fldSimple>
      <w:bookmarkEnd w:id="363"/>
      <w:r w:rsidRPr="001E0E83">
        <w:br/>
      </w:r>
      <w:r w:rsidR="002C2A27">
        <w:t>CO</w:t>
      </w:r>
      <w:r w:rsidR="002C2A27" w:rsidRPr="00287FD9">
        <w:rPr>
          <w:vertAlign w:val="subscript"/>
        </w:rPr>
        <w:t>2</w:t>
      </w:r>
      <w:r w:rsidR="002C2A27">
        <w:t xml:space="preserve"> Emissions Compared with RGGI Targets, 2025 and 2030</w:t>
      </w:r>
      <w:r w:rsidR="000773BE">
        <w:t xml:space="preserve"> </w:t>
      </w:r>
      <w:r w:rsidR="002C2A27">
        <w:t xml:space="preserve">(Millions of Short Tons </w:t>
      </w:r>
      <w:r w:rsidR="002C2A27" w:rsidRPr="000773BE">
        <w:t xml:space="preserve">and </w:t>
      </w:r>
      <w:r w:rsidR="00094A0C" w:rsidRPr="000773BE">
        <w:t>%)</w:t>
      </w:r>
      <w:bookmarkEnd w:id="364"/>
    </w:p>
    <w:tbl>
      <w:tblPr>
        <w:tblW w:w="12239" w:type="dxa"/>
        <w:jc w:val="center"/>
        <w:tblInd w:w="-33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9" w:type="dxa"/>
          <w:left w:w="115" w:type="dxa"/>
          <w:bottom w:w="29" w:type="dxa"/>
          <w:right w:w="115" w:type="dxa"/>
        </w:tblCellMar>
        <w:tblLook w:val="04A0" w:firstRow="1" w:lastRow="0" w:firstColumn="1" w:lastColumn="0" w:noHBand="0" w:noVBand="1"/>
      </w:tblPr>
      <w:tblGrid>
        <w:gridCol w:w="1980"/>
        <w:gridCol w:w="1464"/>
        <w:gridCol w:w="1157"/>
        <w:gridCol w:w="1330"/>
        <w:gridCol w:w="1599"/>
        <w:gridCol w:w="1685"/>
        <w:gridCol w:w="1512"/>
        <w:gridCol w:w="1512"/>
      </w:tblGrid>
      <w:tr w:rsidR="001E0E83" w:rsidRPr="00094A0C" w:rsidTr="001E0E83">
        <w:trPr>
          <w:cantSplit/>
          <w:tblHeader/>
          <w:jc w:val="center"/>
        </w:trPr>
        <w:tc>
          <w:tcPr>
            <w:tcW w:w="1980" w:type="dxa"/>
            <w:shd w:val="clear" w:color="auto" w:fill="0070C0"/>
            <w:tcMar>
              <w:top w:w="58" w:type="dxa"/>
              <w:bottom w:w="58" w:type="dxa"/>
            </w:tcMar>
            <w:vAlign w:val="center"/>
          </w:tcPr>
          <w:p w:rsidR="001E0E83" w:rsidRPr="00094A0C" w:rsidRDefault="001E0E83" w:rsidP="002370F7">
            <w:pPr>
              <w:adjustRightInd/>
              <w:spacing w:after="0" w:line="240" w:lineRule="auto"/>
              <w:jc w:val="center"/>
              <w:textAlignment w:val="auto"/>
              <w:rPr>
                <w:rFonts w:asciiTheme="minorHAnsi" w:eastAsia="Calibri" w:hAnsiTheme="minorHAnsi"/>
                <w:b/>
                <w:color w:val="FFFFFF" w:themeColor="background1"/>
                <w:sz w:val="18"/>
                <w:szCs w:val="18"/>
              </w:rPr>
            </w:pPr>
            <w:r>
              <w:rPr>
                <w:rFonts w:asciiTheme="minorHAnsi" w:eastAsia="Calibri" w:hAnsiTheme="minorHAnsi"/>
                <w:b/>
                <w:color w:val="FFFFFF" w:themeColor="background1"/>
                <w:sz w:val="18"/>
                <w:szCs w:val="18"/>
              </w:rPr>
              <w:t>Transmission and Year</w:t>
            </w:r>
          </w:p>
        </w:tc>
        <w:tc>
          <w:tcPr>
            <w:tcW w:w="1464" w:type="dxa"/>
            <w:shd w:val="clear" w:color="auto" w:fill="0070C0"/>
            <w:tcMar>
              <w:top w:w="58" w:type="dxa"/>
              <w:bottom w:w="58" w:type="dxa"/>
            </w:tcMar>
            <w:vAlign w:val="center"/>
          </w:tcPr>
          <w:p w:rsidR="001E0E83" w:rsidRPr="00094A0C" w:rsidRDefault="001E0E83" w:rsidP="002370F7">
            <w:pPr>
              <w:adjustRightInd/>
              <w:spacing w:after="0" w:line="240" w:lineRule="auto"/>
              <w:jc w:val="center"/>
              <w:textAlignment w:val="auto"/>
              <w:rPr>
                <w:rFonts w:asciiTheme="minorHAnsi" w:eastAsia="Calibri" w:hAnsiTheme="minorHAnsi"/>
                <w:b/>
                <w:color w:val="FFFFFF" w:themeColor="background1"/>
                <w:sz w:val="18"/>
                <w:szCs w:val="18"/>
              </w:rPr>
            </w:pPr>
            <w:r w:rsidRPr="00094A0C">
              <w:rPr>
                <w:rFonts w:asciiTheme="minorHAnsi" w:eastAsia="Calibri" w:hAnsiTheme="minorHAnsi"/>
                <w:b/>
                <w:color w:val="FFFFFF" w:themeColor="background1"/>
                <w:sz w:val="18"/>
                <w:szCs w:val="18"/>
              </w:rPr>
              <w:t>Scenario</w:t>
            </w:r>
          </w:p>
        </w:tc>
        <w:tc>
          <w:tcPr>
            <w:tcW w:w="1157" w:type="dxa"/>
            <w:shd w:val="clear" w:color="auto" w:fill="0070C0"/>
            <w:tcMar>
              <w:top w:w="58" w:type="dxa"/>
              <w:bottom w:w="58" w:type="dxa"/>
            </w:tcMar>
            <w:vAlign w:val="center"/>
          </w:tcPr>
          <w:p w:rsidR="001E0E83" w:rsidRPr="00094A0C" w:rsidRDefault="001E0E83" w:rsidP="002370F7">
            <w:pPr>
              <w:adjustRightInd/>
              <w:spacing w:after="0" w:line="240" w:lineRule="auto"/>
              <w:jc w:val="center"/>
              <w:textAlignment w:val="auto"/>
              <w:rPr>
                <w:rFonts w:asciiTheme="minorHAnsi" w:eastAsia="Calibri" w:hAnsiTheme="minorHAnsi"/>
                <w:b/>
                <w:color w:val="FFFFFF" w:themeColor="background1"/>
                <w:sz w:val="18"/>
                <w:szCs w:val="18"/>
              </w:rPr>
            </w:pPr>
            <w:r w:rsidRPr="00094A0C">
              <w:rPr>
                <w:rFonts w:asciiTheme="minorHAnsi" w:eastAsia="Calibri" w:hAnsiTheme="minorHAnsi"/>
                <w:b/>
                <w:color w:val="FFFFFF" w:themeColor="background1"/>
                <w:sz w:val="18"/>
                <w:szCs w:val="18"/>
              </w:rPr>
              <w:t>All Sources New England (Short Tons)</w:t>
            </w:r>
          </w:p>
        </w:tc>
        <w:tc>
          <w:tcPr>
            <w:tcW w:w="1330" w:type="dxa"/>
            <w:shd w:val="clear" w:color="auto" w:fill="0070C0"/>
            <w:tcMar>
              <w:top w:w="58" w:type="dxa"/>
              <w:bottom w:w="58" w:type="dxa"/>
            </w:tcMar>
            <w:vAlign w:val="center"/>
          </w:tcPr>
          <w:p w:rsidR="001E0E83" w:rsidRPr="00094A0C" w:rsidRDefault="001E0E83" w:rsidP="002370F7">
            <w:pPr>
              <w:adjustRightInd/>
              <w:spacing w:after="0" w:line="240" w:lineRule="auto"/>
              <w:jc w:val="center"/>
              <w:textAlignment w:val="auto"/>
              <w:rPr>
                <w:rFonts w:asciiTheme="minorHAnsi" w:eastAsia="Calibri" w:hAnsiTheme="minorHAnsi"/>
                <w:b/>
                <w:color w:val="FFFFFF" w:themeColor="background1"/>
                <w:sz w:val="18"/>
                <w:szCs w:val="18"/>
              </w:rPr>
            </w:pPr>
            <w:r w:rsidRPr="00094A0C">
              <w:rPr>
                <w:rFonts w:asciiTheme="minorHAnsi" w:eastAsia="Calibri" w:hAnsiTheme="minorHAnsi"/>
                <w:b/>
                <w:color w:val="FFFFFF" w:themeColor="background1"/>
                <w:sz w:val="18"/>
                <w:szCs w:val="18"/>
              </w:rPr>
              <w:t>RGGI Sources New England (Short Tons)</w:t>
            </w:r>
          </w:p>
        </w:tc>
        <w:tc>
          <w:tcPr>
            <w:tcW w:w="1599" w:type="dxa"/>
            <w:shd w:val="clear" w:color="auto" w:fill="0070C0"/>
            <w:tcMar>
              <w:top w:w="58" w:type="dxa"/>
              <w:bottom w:w="58" w:type="dxa"/>
            </w:tcMar>
            <w:vAlign w:val="center"/>
          </w:tcPr>
          <w:p w:rsidR="001E0E83" w:rsidRPr="00094A0C" w:rsidRDefault="001E0E83" w:rsidP="002370F7">
            <w:pPr>
              <w:adjustRightInd/>
              <w:spacing w:after="0" w:line="240" w:lineRule="auto"/>
              <w:jc w:val="center"/>
              <w:textAlignment w:val="auto"/>
              <w:rPr>
                <w:rFonts w:asciiTheme="minorHAnsi" w:eastAsia="Calibri" w:hAnsiTheme="minorHAnsi"/>
                <w:b/>
                <w:color w:val="FFFFFF" w:themeColor="background1"/>
                <w:sz w:val="18"/>
                <w:szCs w:val="18"/>
              </w:rPr>
            </w:pPr>
            <w:r w:rsidRPr="00094A0C">
              <w:rPr>
                <w:rFonts w:asciiTheme="minorHAnsi" w:eastAsia="Calibri" w:hAnsiTheme="minorHAnsi"/>
                <w:b/>
                <w:color w:val="FFFFFF" w:themeColor="background1"/>
                <w:sz w:val="18"/>
                <w:szCs w:val="18"/>
              </w:rPr>
              <w:t>New England RGGI Sources Percentage of   New England 2.5% Reduction (%)</w:t>
            </w:r>
          </w:p>
        </w:tc>
        <w:tc>
          <w:tcPr>
            <w:tcW w:w="1685" w:type="dxa"/>
            <w:shd w:val="clear" w:color="auto" w:fill="0070C0"/>
            <w:tcMar>
              <w:top w:w="58" w:type="dxa"/>
              <w:bottom w:w="58" w:type="dxa"/>
            </w:tcMar>
            <w:vAlign w:val="center"/>
          </w:tcPr>
          <w:p w:rsidR="001E0E83" w:rsidRPr="00094A0C" w:rsidRDefault="001E0E83" w:rsidP="002370F7">
            <w:pPr>
              <w:adjustRightInd/>
              <w:spacing w:after="0" w:line="240" w:lineRule="auto"/>
              <w:jc w:val="center"/>
              <w:textAlignment w:val="auto"/>
              <w:rPr>
                <w:rFonts w:asciiTheme="minorHAnsi" w:eastAsia="Calibri" w:hAnsiTheme="minorHAnsi"/>
                <w:b/>
                <w:color w:val="FFFFFF" w:themeColor="background1"/>
                <w:sz w:val="18"/>
                <w:szCs w:val="18"/>
              </w:rPr>
            </w:pPr>
            <w:r w:rsidRPr="00094A0C">
              <w:rPr>
                <w:rFonts w:asciiTheme="minorHAnsi" w:eastAsia="Calibri" w:hAnsiTheme="minorHAnsi"/>
                <w:b/>
                <w:color w:val="FFFFFF" w:themeColor="background1"/>
                <w:sz w:val="18"/>
                <w:szCs w:val="18"/>
              </w:rPr>
              <w:t>New England RGGI Sources Percentage of   New England 5.0% Reduction (%)</w:t>
            </w:r>
          </w:p>
        </w:tc>
        <w:tc>
          <w:tcPr>
            <w:tcW w:w="1512" w:type="dxa"/>
            <w:shd w:val="clear" w:color="auto" w:fill="0070C0"/>
            <w:tcMar>
              <w:top w:w="58" w:type="dxa"/>
              <w:bottom w:w="58" w:type="dxa"/>
            </w:tcMar>
            <w:vAlign w:val="center"/>
          </w:tcPr>
          <w:p w:rsidR="001E0E83" w:rsidRPr="00094A0C" w:rsidRDefault="001E0E83" w:rsidP="002370F7">
            <w:pPr>
              <w:adjustRightInd/>
              <w:spacing w:after="0" w:line="240" w:lineRule="auto"/>
              <w:jc w:val="center"/>
              <w:textAlignment w:val="auto"/>
              <w:rPr>
                <w:rFonts w:asciiTheme="minorHAnsi" w:eastAsia="Calibri" w:hAnsiTheme="minorHAnsi"/>
                <w:b/>
                <w:color w:val="FFFFFF" w:themeColor="background1"/>
                <w:sz w:val="18"/>
                <w:szCs w:val="18"/>
              </w:rPr>
            </w:pPr>
            <w:r w:rsidRPr="00094A0C">
              <w:rPr>
                <w:rFonts w:asciiTheme="minorHAnsi" w:eastAsia="Calibri" w:hAnsiTheme="minorHAnsi"/>
                <w:b/>
                <w:color w:val="FFFFFF" w:themeColor="background1"/>
                <w:sz w:val="18"/>
                <w:szCs w:val="18"/>
              </w:rPr>
              <w:t>New England RGGI Sources Percentage of 9 RGGI States 2.5% Reduction (%)</w:t>
            </w:r>
          </w:p>
        </w:tc>
        <w:tc>
          <w:tcPr>
            <w:tcW w:w="1512" w:type="dxa"/>
            <w:shd w:val="clear" w:color="auto" w:fill="0070C0"/>
            <w:tcMar>
              <w:top w:w="58" w:type="dxa"/>
              <w:bottom w:w="58" w:type="dxa"/>
            </w:tcMar>
            <w:vAlign w:val="center"/>
          </w:tcPr>
          <w:p w:rsidR="001E0E83" w:rsidRPr="00094A0C" w:rsidRDefault="001E0E83" w:rsidP="002370F7">
            <w:pPr>
              <w:adjustRightInd/>
              <w:spacing w:after="0" w:line="240" w:lineRule="auto"/>
              <w:jc w:val="center"/>
              <w:textAlignment w:val="auto"/>
              <w:rPr>
                <w:rFonts w:asciiTheme="minorHAnsi" w:eastAsia="Calibri" w:hAnsiTheme="minorHAnsi"/>
                <w:b/>
                <w:color w:val="FFFFFF" w:themeColor="background1"/>
                <w:sz w:val="18"/>
                <w:szCs w:val="18"/>
              </w:rPr>
            </w:pPr>
            <w:r w:rsidRPr="00094A0C">
              <w:rPr>
                <w:rFonts w:asciiTheme="minorHAnsi" w:eastAsia="Calibri" w:hAnsiTheme="minorHAnsi"/>
                <w:b/>
                <w:color w:val="FFFFFF" w:themeColor="background1"/>
                <w:sz w:val="18"/>
                <w:szCs w:val="18"/>
              </w:rPr>
              <w:t>New England RGGI Sources Percentage of  9 RGGI States 5.0% Reduction (%)</w:t>
            </w:r>
          </w:p>
        </w:tc>
      </w:tr>
      <w:tr w:rsidR="001E0E83" w:rsidRPr="00094A0C" w:rsidTr="001E0E83">
        <w:trPr>
          <w:jc w:val="center"/>
        </w:trPr>
        <w:tc>
          <w:tcPr>
            <w:tcW w:w="1980" w:type="dxa"/>
            <w:vMerge w:val="restart"/>
            <w:shd w:val="clear" w:color="auto" w:fill="DBE5F1" w:themeFill="accent1" w:themeFillTint="33"/>
            <w:tcMar>
              <w:top w:w="58" w:type="dxa"/>
              <w:bottom w:w="58" w:type="dxa"/>
            </w:tcMar>
            <w:vAlign w:val="center"/>
          </w:tcPr>
          <w:p w:rsidR="001E0E83" w:rsidRPr="001E0E83" w:rsidRDefault="001E0E83" w:rsidP="002370F7">
            <w:pPr>
              <w:adjustRightInd/>
              <w:spacing w:after="0" w:line="240" w:lineRule="auto"/>
              <w:textAlignment w:val="auto"/>
              <w:rPr>
                <w:rFonts w:asciiTheme="minorHAnsi" w:eastAsia="Calibri" w:hAnsiTheme="minorHAnsi"/>
                <w:b/>
                <w:sz w:val="18"/>
                <w:szCs w:val="18"/>
              </w:rPr>
            </w:pPr>
            <w:r w:rsidRPr="001E0E83">
              <w:rPr>
                <w:rFonts w:asciiTheme="minorHAnsi" w:eastAsia="Calibri" w:hAnsiTheme="minorHAnsi"/>
                <w:b/>
                <w:sz w:val="18"/>
                <w:szCs w:val="18"/>
              </w:rPr>
              <w:t>2025 Unconstrain</w:t>
            </w:r>
            <w:r w:rsidRPr="001E0E83">
              <w:rPr>
                <w:rFonts w:asciiTheme="minorHAnsi" w:eastAsia="Calibri" w:hAnsiTheme="minorHAnsi"/>
                <w:b/>
                <w:sz w:val="18"/>
                <w:szCs w:val="18"/>
                <w:shd w:val="clear" w:color="auto" w:fill="DBE5F1" w:themeFill="accent1" w:themeFillTint="33"/>
              </w:rPr>
              <w:t>e</w:t>
            </w:r>
            <w:r w:rsidRPr="001E0E83">
              <w:rPr>
                <w:rFonts w:asciiTheme="minorHAnsi" w:eastAsia="Calibri" w:hAnsiTheme="minorHAnsi"/>
                <w:b/>
                <w:sz w:val="18"/>
                <w:szCs w:val="18"/>
              </w:rPr>
              <w:t>d</w:t>
            </w:r>
          </w:p>
        </w:tc>
        <w:tc>
          <w:tcPr>
            <w:tcW w:w="1464" w:type="dxa"/>
            <w:shd w:val="clear" w:color="auto" w:fill="auto"/>
            <w:tcMar>
              <w:top w:w="58" w:type="dxa"/>
              <w:bottom w:w="58" w:type="dxa"/>
            </w:tcMar>
            <w:vAlign w:val="center"/>
          </w:tcPr>
          <w:p w:rsidR="001E0E83" w:rsidRPr="00094A0C" w:rsidRDefault="001E0E83" w:rsidP="002370F7">
            <w:pPr>
              <w:adjustRightInd/>
              <w:spacing w:after="0" w:line="240" w:lineRule="auto"/>
              <w:textAlignment w:val="auto"/>
              <w:rPr>
                <w:rFonts w:asciiTheme="minorHAnsi" w:eastAsia="Calibri" w:hAnsiTheme="minorHAnsi"/>
                <w:sz w:val="18"/>
                <w:szCs w:val="18"/>
              </w:rPr>
            </w:pPr>
            <w:r w:rsidRPr="00094A0C">
              <w:rPr>
                <w:rFonts w:asciiTheme="minorHAnsi" w:eastAsia="Calibri" w:hAnsiTheme="minorHAnsi"/>
                <w:sz w:val="18"/>
                <w:szCs w:val="18"/>
              </w:rPr>
              <w:t>RPS + Gas</w:t>
            </w:r>
          </w:p>
        </w:tc>
        <w:tc>
          <w:tcPr>
            <w:tcW w:w="1157"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32.8</w:t>
            </w:r>
          </w:p>
        </w:tc>
        <w:tc>
          <w:tcPr>
            <w:tcW w:w="1330"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28.3</w:t>
            </w:r>
          </w:p>
        </w:tc>
        <w:tc>
          <w:tcPr>
            <w:tcW w:w="1599"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121%</w:t>
            </w:r>
          </w:p>
        </w:tc>
        <w:tc>
          <w:tcPr>
            <w:tcW w:w="1685"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142%</w:t>
            </w:r>
          </w:p>
        </w:tc>
        <w:tc>
          <w:tcPr>
            <w:tcW w:w="1512"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41%</w:t>
            </w:r>
          </w:p>
        </w:tc>
        <w:tc>
          <w:tcPr>
            <w:tcW w:w="1512"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50%</w:t>
            </w:r>
          </w:p>
        </w:tc>
      </w:tr>
      <w:tr w:rsidR="001E0E83" w:rsidRPr="00094A0C" w:rsidTr="001E0E83">
        <w:trPr>
          <w:jc w:val="center"/>
        </w:trPr>
        <w:tc>
          <w:tcPr>
            <w:tcW w:w="1980" w:type="dxa"/>
            <w:vMerge/>
            <w:shd w:val="clear" w:color="auto" w:fill="DBE5F1" w:themeFill="accent1" w:themeFillTint="33"/>
            <w:tcMar>
              <w:top w:w="58" w:type="dxa"/>
              <w:bottom w:w="58" w:type="dxa"/>
            </w:tcMar>
            <w:vAlign w:val="center"/>
          </w:tcPr>
          <w:p w:rsidR="001E0E83" w:rsidRPr="001E0E83" w:rsidRDefault="001E0E83" w:rsidP="002370F7">
            <w:pPr>
              <w:spacing w:after="0" w:line="240" w:lineRule="auto"/>
              <w:rPr>
                <w:rFonts w:asciiTheme="minorHAnsi" w:eastAsia="Calibri" w:hAnsiTheme="minorHAnsi"/>
                <w:b/>
                <w:sz w:val="18"/>
                <w:szCs w:val="18"/>
              </w:rPr>
            </w:pPr>
          </w:p>
        </w:tc>
        <w:tc>
          <w:tcPr>
            <w:tcW w:w="1464" w:type="dxa"/>
            <w:shd w:val="clear" w:color="auto" w:fill="auto"/>
            <w:tcMar>
              <w:top w:w="58" w:type="dxa"/>
              <w:bottom w:w="58" w:type="dxa"/>
            </w:tcMar>
            <w:vAlign w:val="center"/>
          </w:tcPr>
          <w:p w:rsidR="001E0E83" w:rsidRPr="00094A0C" w:rsidRDefault="001E0E83" w:rsidP="002370F7">
            <w:pPr>
              <w:adjustRightInd/>
              <w:spacing w:after="0" w:line="240" w:lineRule="auto"/>
              <w:textAlignment w:val="auto"/>
              <w:rPr>
                <w:rFonts w:asciiTheme="minorHAnsi" w:eastAsia="Calibri" w:hAnsiTheme="minorHAnsi"/>
                <w:sz w:val="18"/>
                <w:szCs w:val="18"/>
              </w:rPr>
            </w:pPr>
            <w:r w:rsidRPr="00094A0C">
              <w:rPr>
                <w:rFonts w:asciiTheme="minorHAnsi" w:eastAsia="Calibri" w:hAnsiTheme="minorHAnsi"/>
                <w:sz w:val="18"/>
                <w:szCs w:val="18"/>
              </w:rPr>
              <w:t>ISO Queue</w:t>
            </w:r>
          </w:p>
        </w:tc>
        <w:tc>
          <w:tcPr>
            <w:tcW w:w="1157"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30.3</w:t>
            </w:r>
          </w:p>
        </w:tc>
        <w:tc>
          <w:tcPr>
            <w:tcW w:w="1330"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26.1</w:t>
            </w:r>
          </w:p>
        </w:tc>
        <w:tc>
          <w:tcPr>
            <w:tcW w:w="1599"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112%</w:t>
            </w:r>
          </w:p>
        </w:tc>
        <w:tc>
          <w:tcPr>
            <w:tcW w:w="1685"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131%</w:t>
            </w:r>
          </w:p>
        </w:tc>
        <w:tc>
          <w:tcPr>
            <w:tcW w:w="1512"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38%</w:t>
            </w:r>
          </w:p>
        </w:tc>
        <w:tc>
          <w:tcPr>
            <w:tcW w:w="1512"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46%</w:t>
            </w:r>
          </w:p>
        </w:tc>
      </w:tr>
      <w:tr w:rsidR="001E0E83" w:rsidRPr="00094A0C" w:rsidTr="001E0E83">
        <w:trPr>
          <w:jc w:val="center"/>
        </w:trPr>
        <w:tc>
          <w:tcPr>
            <w:tcW w:w="1980" w:type="dxa"/>
            <w:vMerge/>
            <w:shd w:val="clear" w:color="auto" w:fill="DBE5F1" w:themeFill="accent1" w:themeFillTint="33"/>
            <w:tcMar>
              <w:top w:w="58" w:type="dxa"/>
              <w:bottom w:w="58" w:type="dxa"/>
            </w:tcMar>
            <w:vAlign w:val="center"/>
          </w:tcPr>
          <w:p w:rsidR="001E0E83" w:rsidRPr="001E0E83" w:rsidRDefault="001E0E83" w:rsidP="002370F7">
            <w:pPr>
              <w:spacing w:after="0" w:line="240" w:lineRule="auto"/>
              <w:rPr>
                <w:rFonts w:asciiTheme="minorHAnsi" w:eastAsia="Calibri" w:hAnsiTheme="minorHAnsi"/>
                <w:b/>
                <w:sz w:val="18"/>
                <w:szCs w:val="18"/>
              </w:rPr>
            </w:pPr>
          </w:p>
        </w:tc>
        <w:tc>
          <w:tcPr>
            <w:tcW w:w="1464" w:type="dxa"/>
            <w:shd w:val="clear" w:color="auto" w:fill="auto"/>
            <w:tcMar>
              <w:top w:w="58" w:type="dxa"/>
              <w:bottom w:w="58" w:type="dxa"/>
            </w:tcMar>
            <w:vAlign w:val="center"/>
          </w:tcPr>
          <w:p w:rsidR="001E0E83" w:rsidRPr="00094A0C" w:rsidRDefault="001E0E83" w:rsidP="002370F7">
            <w:pPr>
              <w:adjustRightInd/>
              <w:spacing w:after="0" w:line="240" w:lineRule="auto"/>
              <w:textAlignment w:val="auto"/>
              <w:rPr>
                <w:rFonts w:asciiTheme="minorHAnsi" w:eastAsia="Calibri" w:hAnsiTheme="minorHAnsi"/>
                <w:sz w:val="18"/>
                <w:szCs w:val="18"/>
              </w:rPr>
            </w:pPr>
            <w:r w:rsidRPr="00094A0C">
              <w:rPr>
                <w:rFonts w:asciiTheme="minorHAnsi" w:eastAsia="Calibri" w:hAnsiTheme="minorHAnsi"/>
                <w:sz w:val="18"/>
                <w:szCs w:val="18"/>
              </w:rPr>
              <w:t>Renew Plus</w:t>
            </w:r>
          </w:p>
        </w:tc>
        <w:tc>
          <w:tcPr>
            <w:tcW w:w="1157"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20.8</w:t>
            </w:r>
          </w:p>
        </w:tc>
        <w:tc>
          <w:tcPr>
            <w:tcW w:w="1330"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16.9</w:t>
            </w:r>
          </w:p>
        </w:tc>
        <w:tc>
          <w:tcPr>
            <w:tcW w:w="1599"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73%</w:t>
            </w:r>
          </w:p>
        </w:tc>
        <w:tc>
          <w:tcPr>
            <w:tcW w:w="1685"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85%</w:t>
            </w:r>
          </w:p>
        </w:tc>
        <w:tc>
          <w:tcPr>
            <w:tcW w:w="1512"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25%</w:t>
            </w:r>
          </w:p>
        </w:tc>
        <w:tc>
          <w:tcPr>
            <w:tcW w:w="1512"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30%</w:t>
            </w:r>
          </w:p>
        </w:tc>
      </w:tr>
      <w:tr w:rsidR="001E0E83" w:rsidRPr="00094A0C" w:rsidTr="001E0E83">
        <w:trPr>
          <w:jc w:val="center"/>
        </w:trPr>
        <w:tc>
          <w:tcPr>
            <w:tcW w:w="1980" w:type="dxa"/>
            <w:vMerge/>
            <w:shd w:val="clear" w:color="auto" w:fill="DBE5F1" w:themeFill="accent1" w:themeFillTint="33"/>
            <w:tcMar>
              <w:top w:w="58" w:type="dxa"/>
              <w:bottom w:w="58" w:type="dxa"/>
            </w:tcMar>
            <w:vAlign w:val="center"/>
          </w:tcPr>
          <w:p w:rsidR="001E0E83" w:rsidRPr="001E0E83" w:rsidRDefault="001E0E83" w:rsidP="002370F7">
            <w:pPr>
              <w:spacing w:after="0" w:line="240" w:lineRule="auto"/>
              <w:rPr>
                <w:rFonts w:asciiTheme="minorHAnsi" w:eastAsia="Calibri" w:hAnsiTheme="minorHAnsi"/>
                <w:b/>
                <w:sz w:val="18"/>
                <w:szCs w:val="18"/>
              </w:rPr>
            </w:pPr>
          </w:p>
        </w:tc>
        <w:tc>
          <w:tcPr>
            <w:tcW w:w="1464" w:type="dxa"/>
            <w:shd w:val="clear" w:color="auto" w:fill="auto"/>
            <w:tcMar>
              <w:top w:w="58" w:type="dxa"/>
              <w:bottom w:w="58" w:type="dxa"/>
            </w:tcMar>
            <w:vAlign w:val="center"/>
          </w:tcPr>
          <w:p w:rsidR="001E0E83" w:rsidRPr="00094A0C" w:rsidRDefault="001E0E83" w:rsidP="002370F7">
            <w:pPr>
              <w:adjustRightInd/>
              <w:spacing w:after="0" w:line="240" w:lineRule="auto"/>
              <w:textAlignment w:val="auto"/>
              <w:rPr>
                <w:rFonts w:asciiTheme="minorHAnsi" w:eastAsia="Calibri" w:hAnsiTheme="minorHAnsi"/>
                <w:sz w:val="18"/>
                <w:szCs w:val="18"/>
              </w:rPr>
            </w:pPr>
            <w:r w:rsidRPr="00094A0C">
              <w:rPr>
                <w:rFonts w:asciiTheme="minorHAnsi" w:eastAsia="Calibri" w:hAnsiTheme="minorHAnsi"/>
                <w:sz w:val="18"/>
                <w:szCs w:val="18"/>
              </w:rPr>
              <w:t>No Retire</w:t>
            </w:r>
          </w:p>
        </w:tc>
        <w:tc>
          <w:tcPr>
            <w:tcW w:w="1157"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38.4</w:t>
            </w:r>
          </w:p>
        </w:tc>
        <w:tc>
          <w:tcPr>
            <w:tcW w:w="1330"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33.9</w:t>
            </w:r>
          </w:p>
        </w:tc>
        <w:tc>
          <w:tcPr>
            <w:tcW w:w="1599"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146%</w:t>
            </w:r>
          </w:p>
        </w:tc>
        <w:tc>
          <w:tcPr>
            <w:tcW w:w="1685"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170%</w:t>
            </w:r>
          </w:p>
        </w:tc>
        <w:tc>
          <w:tcPr>
            <w:tcW w:w="1512"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50%</w:t>
            </w:r>
          </w:p>
        </w:tc>
        <w:tc>
          <w:tcPr>
            <w:tcW w:w="1512"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60%</w:t>
            </w:r>
          </w:p>
        </w:tc>
      </w:tr>
      <w:tr w:rsidR="001E0E83" w:rsidRPr="00094A0C" w:rsidTr="001E0E83">
        <w:trPr>
          <w:jc w:val="center"/>
        </w:trPr>
        <w:tc>
          <w:tcPr>
            <w:tcW w:w="1980" w:type="dxa"/>
            <w:vMerge/>
            <w:shd w:val="clear" w:color="auto" w:fill="DBE5F1" w:themeFill="accent1" w:themeFillTint="33"/>
            <w:tcMar>
              <w:top w:w="58" w:type="dxa"/>
              <w:bottom w:w="58" w:type="dxa"/>
            </w:tcMar>
            <w:vAlign w:val="center"/>
          </w:tcPr>
          <w:p w:rsidR="001E0E83" w:rsidRPr="001E0E83" w:rsidRDefault="001E0E83" w:rsidP="002370F7">
            <w:pPr>
              <w:spacing w:after="0" w:line="240" w:lineRule="auto"/>
              <w:rPr>
                <w:rFonts w:asciiTheme="minorHAnsi" w:eastAsia="Calibri" w:hAnsiTheme="minorHAnsi"/>
                <w:b/>
                <w:sz w:val="18"/>
                <w:szCs w:val="18"/>
              </w:rPr>
            </w:pPr>
          </w:p>
        </w:tc>
        <w:tc>
          <w:tcPr>
            <w:tcW w:w="1464" w:type="dxa"/>
            <w:shd w:val="clear" w:color="auto" w:fill="auto"/>
            <w:tcMar>
              <w:top w:w="58" w:type="dxa"/>
              <w:bottom w:w="58" w:type="dxa"/>
            </w:tcMar>
            <w:vAlign w:val="center"/>
          </w:tcPr>
          <w:p w:rsidR="001E0E83" w:rsidRPr="00094A0C" w:rsidRDefault="001E0E83" w:rsidP="002370F7">
            <w:pPr>
              <w:adjustRightInd/>
              <w:spacing w:after="0" w:line="240" w:lineRule="auto"/>
              <w:textAlignment w:val="auto"/>
              <w:rPr>
                <w:rFonts w:asciiTheme="minorHAnsi" w:eastAsia="Calibri" w:hAnsiTheme="minorHAnsi"/>
                <w:sz w:val="18"/>
                <w:szCs w:val="18"/>
              </w:rPr>
            </w:pPr>
            <w:r w:rsidRPr="00094A0C">
              <w:rPr>
                <w:rFonts w:asciiTheme="minorHAnsi" w:eastAsia="Calibri" w:hAnsiTheme="minorHAnsi"/>
                <w:sz w:val="18"/>
                <w:szCs w:val="18"/>
              </w:rPr>
              <w:t>ACP + Gas</w:t>
            </w:r>
          </w:p>
        </w:tc>
        <w:tc>
          <w:tcPr>
            <w:tcW w:w="1157"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35.3</w:t>
            </w:r>
          </w:p>
        </w:tc>
        <w:tc>
          <w:tcPr>
            <w:tcW w:w="1330"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30.6</w:t>
            </w:r>
          </w:p>
        </w:tc>
        <w:tc>
          <w:tcPr>
            <w:tcW w:w="1599"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131%</w:t>
            </w:r>
          </w:p>
        </w:tc>
        <w:tc>
          <w:tcPr>
            <w:tcW w:w="1685"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154%</w:t>
            </w:r>
          </w:p>
        </w:tc>
        <w:tc>
          <w:tcPr>
            <w:tcW w:w="1512"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45%</w:t>
            </w:r>
          </w:p>
        </w:tc>
        <w:tc>
          <w:tcPr>
            <w:tcW w:w="1512"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54%</w:t>
            </w:r>
          </w:p>
        </w:tc>
      </w:tr>
      <w:tr w:rsidR="001E0E83" w:rsidRPr="00094A0C" w:rsidTr="001E0E83">
        <w:trPr>
          <w:jc w:val="center"/>
        </w:trPr>
        <w:tc>
          <w:tcPr>
            <w:tcW w:w="1980" w:type="dxa"/>
            <w:vMerge/>
            <w:shd w:val="clear" w:color="auto" w:fill="DBE5F1" w:themeFill="accent1" w:themeFillTint="33"/>
            <w:tcMar>
              <w:top w:w="58" w:type="dxa"/>
              <w:bottom w:w="58" w:type="dxa"/>
            </w:tcMar>
            <w:vAlign w:val="center"/>
          </w:tcPr>
          <w:p w:rsidR="001E0E83" w:rsidRPr="001E0E83" w:rsidRDefault="001E0E83" w:rsidP="002370F7">
            <w:pPr>
              <w:adjustRightInd/>
              <w:spacing w:after="0" w:line="240" w:lineRule="auto"/>
              <w:textAlignment w:val="auto"/>
              <w:rPr>
                <w:rFonts w:asciiTheme="minorHAnsi" w:eastAsia="Calibri" w:hAnsiTheme="minorHAnsi"/>
                <w:b/>
                <w:sz w:val="18"/>
                <w:szCs w:val="18"/>
              </w:rPr>
            </w:pPr>
          </w:p>
        </w:tc>
        <w:tc>
          <w:tcPr>
            <w:tcW w:w="1464" w:type="dxa"/>
            <w:shd w:val="clear" w:color="auto" w:fill="auto"/>
            <w:tcMar>
              <w:top w:w="58" w:type="dxa"/>
              <w:bottom w:w="58" w:type="dxa"/>
            </w:tcMar>
            <w:vAlign w:val="center"/>
          </w:tcPr>
          <w:p w:rsidR="001E0E83" w:rsidRPr="00094A0C" w:rsidRDefault="001E0E83" w:rsidP="002370F7">
            <w:pPr>
              <w:adjustRightInd/>
              <w:spacing w:after="0" w:line="240" w:lineRule="auto"/>
              <w:textAlignment w:val="auto"/>
              <w:rPr>
                <w:rFonts w:asciiTheme="minorHAnsi" w:eastAsia="Calibri" w:hAnsiTheme="minorHAnsi"/>
                <w:sz w:val="18"/>
                <w:szCs w:val="18"/>
              </w:rPr>
            </w:pPr>
            <w:r w:rsidRPr="00094A0C">
              <w:rPr>
                <w:rFonts w:asciiTheme="minorHAnsi" w:eastAsia="Calibri" w:hAnsiTheme="minorHAnsi"/>
                <w:sz w:val="18"/>
                <w:szCs w:val="18"/>
              </w:rPr>
              <w:t>RPS + Geo Renew</w:t>
            </w:r>
          </w:p>
        </w:tc>
        <w:tc>
          <w:tcPr>
            <w:tcW w:w="1157"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30.2</w:t>
            </w:r>
          </w:p>
        </w:tc>
        <w:tc>
          <w:tcPr>
            <w:tcW w:w="1330"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26.0</w:t>
            </w:r>
          </w:p>
        </w:tc>
        <w:tc>
          <w:tcPr>
            <w:tcW w:w="1599"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112%</w:t>
            </w:r>
          </w:p>
        </w:tc>
        <w:tc>
          <w:tcPr>
            <w:tcW w:w="1685"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131%</w:t>
            </w:r>
          </w:p>
        </w:tc>
        <w:tc>
          <w:tcPr>
            <w:tcW w:w="1512"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38%</w:t>
            </w:r>
          </w:p>
        </w:tc>
        <w:tc>
          <w:tcPr>
            <w:tcW w:w="1512"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46%</w:t>
            </w:r>
          </w:p>
        </w:tc>
      </w:tr>
      <w:tr w:rsidR="001E0E83" w:rsidRPr="00094A0C" w:rsidTr="001E0E83">
        <w:trPr>
          <w:jc w:val="center"/>
        </w:trPr>
        <w:tc>
          <w:tcPr>
            <w:tcW w:w="1980" w:type="dxa"/>
            <w:vMerge w:val="restart"/>
            <w:shd w:val="clear" w:color="auto" w:fill="auto"/>
            <w:tcMar>
              <w:top w:w="58" w:type="dxa"/>
              <w:bottom w:w="58" w:type="dxa"/>
            </w:tcMar>
            <w:vAlign w:val="center"/>
          </w:tcPr>
          <w:p w:rsidR="001E0E83" w:rsidRPr="001E0E83" w:rsidRDefault="001E0E83" w:rsidP="002370F7">
            <w:pPr>
              <w:adjustRightInd/>
              <w:spacing w:after="0" w:line="240" w:lineRule="auto"/>
              <w:textAlignment w:val="auto"/>
              <w:rPr>
                <w:rFonts w:asciiTheme="minorHAnsi" w:eastAsia="Calibri" w:hAnsiTheme="minorHAnsi"/>
                <w:b/>
                <w:sz w:val="18"/>
                <w:szCs w:val="18"/>
              </w:rPr>
            </w:pPr>
            <w:r w:rsidRPr="001E0E83">
              <w:rPr>
                <w:rFonts w:asciiTheme="minorHAnsi" w:eastAsia="Calibri" w:hAnsiTheme="minorHAnsi"/>
                <w:b/>
                <w:sz w:val="18"/>
                <w:szCs w:val="18"/>
              </w:rPr>
              <w:t>2025 Constrained</w:t>
            </w:r>
          </w:p>
        </w:tc>
        <w:tc>
          <w:tcPr>
            <w:tcW w:w="1464" w:type="dxa"/>
            <w:shd w:val="clear" w:color="auto" w:fill="DBE5F1" w:themeFill="accent1" w:themeFillTint="33"/>
            <w:tcMar>
              <w:top w:w="58" w:type="dxa"/>
              <w:bottom w:w="58" w:type="dxa"/>
            </w:tcMar>
            <w:vAlign w:val="center"/>
          </w:tcPr>
          <w:p w:rsidR="001E0E83" w:rsidRPr="00094A0C" w:rsidRDefault="001E0E83" w:rsidP="002370F7">
            <w:pPr>
              <w:adjustRightInd/>
              <w:spacing w:after="0" w:line="240" w:lineRule="auto"/>
              <w:textAlignment w:val="auto"/>
              <w:rPr>
                <w:rFonts w:asciiTheme="minorHAnsi" w:eastAsia="Calibri" w:hAnsiTheme="minorHAnsi"/>
                <w:sz w:val="18"/>
                <w:szCs w:val="18"/>
              </w:rPr>
            </w:pPr>
            <w:r w:rsidRPr="00094A0C">
              <w:rPr>
                <w:rFonts w:asciiTheme="minorHAnsi" w:eastAsia="Calibri" w:hAnsiTheme="minorHAnsi"/>
                <w:sz w:val="18"/>
                <w:szCs w:val="18"/>
              </w:rPr>
              <w:t>RPS + Gas</w:t>
            </w:r>
          </w:p>
        </w:tc>
        <w:tc>
          <w:tcPr>
            <w:tcW w:w="1157"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33.0</w:t>
            </w:r>
          </w:p>
        </w:tc>
        <w:tc>
          <w:tcPr>
            <w:tcW w:w="1330"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28.6</w:t>
            </w:r>
          </w:p>
        </w:tc>
        <w:tc>
          <w:tcPr>
            <w:tcW w:w="1599"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123%</w:t>
            </w:r>
          </w:p>
        </w:tc>
        <w:tc>
          <w:tcPr>
            <w:tcW w:w="1685"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144%</w:t>
            </w:r>
          </w:p>
        </w:tc>
        <w:tc>
          <w:tcPr>
            <w:tcW w:w="1512"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42%</w:t>
            </w:r>
          </w:p>
        </w:tc>
        <w:tc>
          <w:tcPr>
            <w:tcW w:w="1512"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51%</w:t>
            </w:r>
          </w:p>
        </w:tc>
      </w:tr>
      <w:tr w:rsidR="001E0E83" w:rsidRPr="00094A0C" w:rsidTr="001E0E83">
        <w:trPr>
          <w:jc w:val="center"/>
        </w:trPr>
        <w:tc>
          <w:tcPr>
            <w:tcW w:w="1980" w:type="dxa"/>
            <w:vMerge/>
            <w:shd w:val="clear" w:color="auto" w:fill="auto"/>
            <w:tcMar>
              <w:top w:w="58" w:type="dxa"/>
              <w:bottom w:w="58" w:type="dxa"/>
            </w:tcMar>
            <w:vAlign w:val="center"/>
          </w:tcPr>
          <w:p w:rsidR="001E0E83" w:rsidRPr="001E0E83" w:rsidRDefault="001E0E83" w:rsidP="002370F7">
            <w:pPr>
              <w:spacing w:after="0" w:line="240" w:lineRule="auto"/>
              <w:rPr>
                <w:rFonts w:asciiTheme="minorHAnsi" w:eastAsia="Calibri" w:hAnsiTheme="minorHAnsi"/>
                <w:b/>
                <w:sz w:val="18"/>
                <w:szCs w:val="18"/>
              </w:rPr>
            </w:pPr>
          </w:p>
        </w:tc>
        <w:tc>
          <w:tcPr>
            <w:tcW w:w="1464" w:type="dxa"/>
            <w:shd w:val="clear" w:color="auto" w:fill="DBE5F1" w:themeFill="accent1" w:themeFillTint="33"/>
            <w:tcMar>
              <w:top w:w="58" w:type="dxa"/>
              <w:bottom w:w="58" w:type="dxa"/>
            </w:tcMar>
            <w:vAlign w:val="center"/>
          </w:tcPr>
          <w:p w:rsidR="001E0E83" w:rsidRPr="00094A0C" w:rsidRDefault="001E0E83" w:rsidP="002370F7">
            <w:pPr>
              <w:adjustRightInd/>
              <w:spacing w:after="0" w:line="240" w:lineRule="auto"/>
              <w:textAlignment w:val="auto"/>
              <w:rPr>
                <w:rFonts w:asciiTheme="minorHAnsi" w:eastAsia="Calibri" w:hAnsiTheme="minorHAnsi"/>
                <w:sz w:val="18"/>
                <w:szCs w:val="18"/>
              </w:rPr>
            </w:pPr>
            <w:r w:rsidRPr="00094A0C">
              <w:rPr>
                <w:rFonts w:asciiTheme="minorHAnsi" w:eastAsia="Calibri" w:hAnsiTheme="minorHAnsi"/>
                <w:sz w:val="18"/>
                <w:szCs w:val="18"/>
              </w:rPr>
              <w:t>ISO Queue</w:t>
            </w:r>
          </w:p>
        </w:tc>
        <w:tc>
          <w:tcPr>
            <w:tcW w:w="1157"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31.5</w:t>
            </w:r>
          </w:p>
        </w:tc>
        <w:tc>
          <w:tcPr>
            <w:tcW w:w="1330"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27.3</w:t>
            </w:r>
          </w:p>
        </w:tc>
        <w:tc>
          <w:tcPr>
            <w:tcW w:w="1599"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117%</w:t>
            </w:r>
          </w:p>
        </w:tc>
        <w:tc>
          <w:tcPr>
            <w:tcW w:w="1685"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137%</w:t>
            </w:r>
          </w:p>
        </w:tc>
        <w:tc>
          <w:tcPr>
            <w:tcW w:w="1512"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40%</w:t>
            </w:r>
          </w:p>
        </w:tc>
        <w:tc>
          <w:tcPr>
            <w:tcW w:w="1512"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48%</w:t>
            </w:r>
          </w:p>
        </w:tc>
      </w:tr>
      <w:tr w:rsidR="001E0E83" w:rsidRPr="00094A0C" w:rsidTr="001E0E83">
        <w:trPr>
          <w:jc w:val="center"/>
        </w:trPr>
        <w:tc>
          <w:tcPr>
            <w:tcW w:w="1980" w:type="dxa"/>
            <w:vMerge/>
            <w:shd w:val="clear" w:color="auto" w:fill="auto"/>
            <w:tcMar>
              <w:top w:w="58" w:type="dxa"/>
              <w:bottom w:w="58" w:type="dxa"/>
            </w:tcMar>
            <w:vAlign w:val="center"/>
          </w:tcPr>
          <w:p w:rsidR="001E0E83" w:rsidRPr="001E0E83" w:rsidRDefault="001E0E83" w:rsidP="002370F7">
            <w:pPr>
              <w:spacing w:after="0" w:line="240" w:lineRule="auto"/>
              <w:rPr>
                <w:rFonts w:asciiTheme="minorHAnsi" w:eastAsia="Calibri" w:hAnsiTheme="minorHAnsi"/>
                <w:b/>
                <w:sz w:val="18"/>
                <w:szCs w:val="18"/>
              </w:rPr>
            </w:pPr>
          </w:p>
        </w:tc>
        <w:tc>
          <w:tcPr>
            <w:tcW w:w="1464" w:type="dxa"/>
            <w:shd w:val="clear" w:color="auto" w:fill="DBE5F1" w:themeFill="accent1" w:themeFillTint="33"/>
            <w:tcMar>
              <w:top w:w="58" w:type="dxa"/>
              <w:bottom w:w="58" w:type="dxa"/>
            </w:tcMar>
            <w:vAlign w:val="center"/>
          </w:tcPr>
          <w:p w:rsidR="001E0E83" w:rsidRPr="00094A0C" w:rsidRDefault="001E0E83" w:rsidP="002370F7">
            <w:pPr>
              <w:adjustRightInd/>
              <w:spacing w:after="0" w:line="240" w:lineRule="auto"/>
              <w:textAlignment w:val="auto"/>
              <w:rPr>
                <w:rFonts w:asciiTheme="minorHAnsi" w:eastAsia="Calibri" w:hAnsiTheme="minorHAnsi"/>
                <w:sz w:val="18"/>
                <w:szCs w:val="18"/>
              </w:rPr>
            </w:pPr>
            <w:r w:rsidRPr="00094A0C">
              <w:rPr>
                <w:rFonts w:asciiTheme="minorHAnsi" w:eastAsia="Calibri" w:hAnsiTheme="minorHAnsi"/>
                <w:sz w:val="18"/>
                <w:szCs w:val="18"/>
              </w:rPr>
              <w:t>Renew Plus</w:t>
            </w:r>
          </w:p>
        </w:tc>
        <w:tc>
          <w:tcPr>
            <w:tcW w:w="1157"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21.7</w:t>
            </w:r>
          </w:p>
        </w:tc>
        <w:tc>
          <w:tcPr>
            <w:tcW w:w="1330"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17.9</w:t>
            </w:r>
          </w:p>
        </w:tc>
        <w:tc>
          <w:tcPr>
            <w:tcW w:w="1599"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77%</w:t>
            </w:r>
          </w:p>
        </w:tc>
        <w:tc>
          <w:tcPr>
            <w:tcW w:w="1685"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90%</w:t>
            </w:r>
          </w:p>
        </w:tc>
        <w:tc>
          <w:tcPr>
            <w:tcW w:w="1512"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26%</w:t>
            </w:r>
          </w:p>
        </w:tc>
        <w:tc>
          <w:tcPr>
            <w:tcW w:w="1512"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32%</w:t>
            </w:r>
          </w:p>
        </w:tc>
      </w:tr>
      <w:tr w:rsidR="001E0E83" w:rsidRPr="00094A0C" w:rsidTr="001E0E83">
        <w:trPr>
          <w:jc w:val="center"/>
        </w:trPr>
        <w:tc>
          <w:tcPr>
            <w:tcW w:w="1980" w:type="dxa"/>
            <w:vMerge/>
            <w:shd w:val="clear" w:color="auto" w:fill="auto"/>
            <w:tcMar>
              <w:top w:w="58" w:type="dxa"/>
              <w:bottom w:w="58" w:type="dxa"/>
            </w:tcMar>
            <w:vAlign w:val="center"/>
          </w:tcPr>
          <w:p w:rsidR="001E0E83" w:rsidRPr="001E0E83" w:rsidRDefault="001E0E83" w:rsidP="002370F7">
            <w:pPr>
              <w:spacing w:after="0" w:line="240" w:lineRule="auto"/>
              <w:rPr>
                <w:rFonts w:asciiTheme="minorHAnsi" w:eastAsia="Calibri" w:hAnsiTheme="minorHAnsi"/>
                <w:b/>
                <w:sz w:val="18"/>
                <w:szCs w:val="18"/>
              </w:rPr>
            </w:pPr>
          </w:p>
        </w:tc>
        <w:tc>
          <w:tcPr>
            <w:tcW w:w="1464" w:type="dxa"/>
            <w:shd w:val="clear" w:color="auto" w:fill="DBE5F1" w:themeFill="accent1" w:themeFillTint="33"/>
            <w:tcMar>
              <w:top w:w="58" w:type="dxa"/>
              <w:bottom w:w="58" w:type="dxa"/>
            </w:tcMar>
            <w:vAlign w:val="center"/>
          </w:tcPr>
          <w:p w:rsidR="001E0E83" w:rsidRPr="00094A0C" w:rsidRDefault="001E0E83" w:rsidP="002370F7">
            <w:pPr>
              <w:adjustRightInd/>
              <w:spacing w:after="0" w:line="240" w:lineRule="auto"/>
              <w:textAlignment w:val="auto"/>
              <w:rPr>
                <w:rFonts w:asciiTheme="minorHAnsi" w:eastAsia="Calibri" w:hAnsiTheme="minorHAnsi"/>
                <w:sz w:val="18"/>
                <w:szCs w:val="18"/>
              </w:rPr>
            </w:pPr>
            <w:r w:rsidRPr="00094A0C">
              <w:rPr>
                <w:rFonts w:asciiTheme="minorHAnsi" w:eastAsia="Calibri" w:hAnsiTheme="minorHAnsi"/>
                <w:sz w:val="18"/>
                <w:szCs w:val="18"/>
              </w:rPr>
              <w:t>No Retire</w:t>
            </w:r>
          </w:p>
        </w:tc>
        <w:tc>
          <w:tcPr>
            <w:tcW w:w="1157"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38.4</w:t>
            </w:r>
          </w:p>
        </w:tc>
        <w:tc>
          <w:tcPr>
            <w:tcW w:w="1330"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33.8</w:t>
            </w:r>
          </w:p>
        </w:tc>
        <w:tc>
          <w:tcPr>
            <w:tcW w:w="1599"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145%</w:t>
            </w:r>
          </w:p>
        </w:tc>
        <w:tc>
          <w:tcPr>
            <w:tcW w:w="1685"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170%</w:t>
            </w:r>
          </w:p>
        </w:tc>
        <w:tc>
          <w:tcPr>
            <w:tcW w:w="1512"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49%</w:t>
            </w:r>
          </w:p>
        </w:tc>
        <w:tc>
          <w:tcPr>
            <w:tcW w:w="1512"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60%</w:t>
            </w:r>
          </w:p>
        </w:tc>
      </w:tr>
      <w:tr w:rsidR="001E0E83" w:rsidRPr="00094A0C" w:rsidTr="001E0E83">
        <w:trPr>
          <w:jc w:val="center"/>
        </w:trPr>
        <w:tc>
          <w:tcPr>
            <w:tcW w:w="1980" w:type="dxa"/>
            <w:vMerge/>
            <w:shd w:val="clear" w:color="auto" w:fill="auto"/>
            <w:tcMar>
              <w:top w:w="58" w:type="dxa"/>
              <w:bottom w:w="58" w:type="dxa"/>
            </w:tcMar>
            <w:vAlign w:val="center"/>
          </w:tcPr>
          <w:p w:rsidR="001E0E83" w:rsidRPr="001E0E83" w:rsidRDefault="001E0E83" w:rsidP="002370F7">
            <w:pPr>
              <w:spacing w:after="0" w:line="240" w:lineRule="auto"/>
              <w:rPr>
                <w:rFonts w:asciiTheme="minorHAnsi" w:eastAsia="Calibri" w:hAnsiTheme="minorHAnsi"/>
                <w:b/>
                <w:sz w:val="18"/>
                <w:szCs w:val="18"/>
              </w:rPr>
            </w:pPr>
          </w:p>
        </w:tc>
        <w:tc>
          <w:tcPr>
            <w:tcW w:w="1464" w:type="dxa"/>
            <w:shd w:val="clear" w:color="auto" w:fill="DBE5F1" w:themeFill="accent1" w:themeFillTint="33"/>
            <w:tcMar>
              <w:top w:w="58" w:type="dxa"/>
              <w:bottom w:w="58" w:type="dxa"/>
            </w:tcMar>
            <w:vAlign w:val="center"/>
          </w:tcPr>
          <w:p w:rsidR="001E0E83" w:rsidRPr="00094A0C" w:rsidRDefault="001E0E83" w:rsidP="002370F7">
            <w:pPr>
              <w:adjustRightInd/>
              <w:spacing w:after="0" w:line="240" w:lineRule="auto"/>
              <w:textAlignment w:val="auto"/>
              <w:rPr>
                <w:rFonts w:asciiTheme="minorHAnsi" w:eastAsia="Calibri" w:hAnsiTheme="minorHAnsi"/>
                <w:sz w:val="18"/>
                <w:szCs w:val="18"/>
              </w:rPr>
            </w:pPr>
            <w:r w:rsidRPr="00094A0C">
              <w:rPr>
                <w:rFonts w:asciiTheme="minorHAnsi" w:eastAsia="Calibri" w:hAnsiTheme="minorHAnsi"/>
                <w:sz w:val="18"/>
                <w:szCs w:val="18"/>
              </w:rPr>
              <w:t>ACP + Gas</w:t>
            </w:r>
          </w:p>
        </w:tc>
        <w:tc>
          <w:tcPr>
            <w:tcW w:w="1157"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35.2</w:t>
            </w:r>
          </w:p>
        </w:tc>
        <w:tc>
          <w:tcPr>
            <w:tcW w:w="1330"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30.6</w:t>
            </w:r>
          </w:p>
        </w:tc>
        <w:tc>
          <w:tcPr>
            <w:tcW w:w="1599"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131%</w:t>
            </w:r>
          </w:p>
        </w:tc>
        <w:tc>
          <w:tcPr>
            <w:tcW w:w="1685"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154%</w:t>
            </w:r>
          </w:p>
        </w:tc>
        <w:tc>
          <w:tcPr>
            <w:tcW w:w="1512"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45%</w:t>
            </w:r>
          </w:p>
        </w:tc>
        <w:tc>
          <w:tcPr>
            <w:tcW w:w="1512"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54%</w:t>
            </w:r>
          </w:p>
        </w:tc>
      </w:tr>
      <w:tr w:rsidR="001E0E83" w:rsidRPr="00094A0C" w:rsidTr="001E0E83">
        <w:trPr>
          <w:jc w:val="center"/>
        </w:trPr>
        <w:tc>
          <w:tcPr>
            <w:tcW w:w="1980" w:type="dxa"/>
            <w:vMerge/>
            <w:shd w:val="clear" w:color="auto" w:fill="auto"/>
            <w:tcMar>
              <w:top w:w="58" w:type="dxa"/>
              <w:bottom w:w="58" w:type="dxa"/>
            </w:tcMar>
            <w:vAlign w:val="center"/>
          </w:tcPr>
          <w:p w:rsidR="001E0E83" w:rsidRPr="001E0E83" w:rsidRDefault="001E0E83" w:rsidP="002370F7">
            <w:pPr>
              <w:adjustRightInd/>
              <w:spacing w:after="0" w:line="240" w:lineRule="auto"/>
              <w:textAlignment w:val="auto"/>
              <w:rPr>
                <w:rFonts w:asciiTheme="minorHAnsi" w:eastAsia="Calibri" w:hAnsiTheme="minorHAnsi"/>
                <w:b/>
                <w:sz w:val="18"/>
                <w:szCs w:val="18"/>
              </w:rPr>
            </w:pPr>
          </w:p>
        </w:tc>
        <w:tc>
          <w:tcPr>
            <w:tcW w:w="1464" w:type="dxa"/>
            <w:shd w:val="clear" w:color="auto" w:fill="DBE5F1" w:themeFill="accent1" w:themeFillTint="33"/>
            <w:tcMar>
              <w:top w:w="58" w:type="dxa"/>
              <w:bottom w:w="58" w:type="dxa"/>
            </w:tcMar>
            <w:vAlign w:val="center"/>
          </w:tcPr>
          <w:p w:rsidR="001E0E83" w:rsidRPr="00094A0C" w:rsidRDefault="001E0E83" w:rsidP="002370F7">
            <w:pPr>
              <w:adjustRightInd/>
              <w:spacing w:after="0" w:line="240" w:lineRule="auto"/>
              <w:textAlignment w:val="auto"/>
              <w:rPr>
                <w:rFonts w:asciiTheme="minorHAnsi" w:eastAsia="Calibri" w:hAnsiTheme="minorHAnsi"/>
                <w:sz w:val="18"/>
                <w:szCs w:val="18"/>
              </w:rPr>
            </w:pPr>
            <w:r w:rsidRPr="00094A0C">
              <w:rPr>
                <w:rFonts w:asciiTheme="minorHAnsi" w:eastAsia="Calibri" w:hAnsiTheme="minorHAnsi"/>
                <w:sz w:val="18"/>
                <w:szCs w:val="18"/>
              </w:rPr>
              <w:t>RPS + Geo Renew</w:t>
            </w:r>
          </w:p>
        </w:tc>
        <w:tc>
          <w:tcPr>
            <w:tcW w:w="1157"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30.3</w:t>
            </w:r>
          </w:p>
        </w:tc>
        <w:tc>
          <w:tcPr>
            <w:tcW w:w="1330"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26.1</w:t>
            </w:r>
          </w:p>
        </w:tc>
        <w:tc>
          <w:tcPr>
            <w:tcW w:w="1599"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112%</w:t>
            </w:r>
          </w:p>
        </w:tc>
        <w:tc>
          <w:tcPr>
            <w:tcW w:w="1685"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131%</w:t>
            </w:r>
          </w:p>
        </w:tc>
        <w:tc>
          <w:tcPr>
            <w:tcW w:w="1512"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38%</w:t>
            </w:r>
          </w:p>
        </w:tc>
        <w:tc>
          <w:tcPr>
            <w:tcW w:w="1512"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46%</w:t>
            </w:r>
          </w:p>
        </w:tc>
      </w:tr>
      <w:tr w:rsidR="001E0E83" w:rsidRPr="00094A0C" w:rsidTr="001E0E83">
        <w:trPr>
          <w:jc w:val="center"/>
        </w:trPr>
        <w:tc>
          <w:tcPr>
            <w:tcW w:w="1980" w:type="dxa"/>
            <w:vMerge w:val="restart"/>
            <w:shd w:val="clear" w:color="auto" w:fill="DBE5F1" w:themeFill="accent1" w:themeFillTint="33"/>
            <w:tcMar>
              <w:top w:w="58" w:type="dxa"/>
              <w:bottom w:w="58" w:type="dxa"/>
            </w:tcMar>
            <w:vAlign w:val="center"/>
          </w:tcPr>
          <w:p w:rsidR="001E0E83" w:rsidRPr="001E0E83" w:rsidRDefault="001E0E83" w:rsidP="002370F7">
            <w:pPr>
              <w:adjustRightInd/>
              <w:spacing w:after="0" w:line="240" w:lineRule="auto"/>
              <w:textAlignment w:val="auto"/>
              <w:rPr>
                <w:rFonts w:asciiTheme="minorHAnsi" w:eastAsia="Calibri" w:hAnsiTheme="minorHAnsi"/>
                <w:b/>
                <w:sz w:val="18"/>
                <w:szCs w:val="18"/>
              </w:rPr>
            </w:pPr>
            <w:r w:rsidRPr="001E0E83">
              <w:rPr>
                <w:rFonts w:asciiTheme="minorHAnsi" w:eastAsia="Calibri" w:hAnsiTheme="minorHAnsi"/>
                <w:b/>
                <w:sz w:val="18"/>
                <w:szCs w:val="18"/>
              </w:rPr>
              <w:t>2030 Unconstrained</w:t>
            </w:r>
          </w:p>
        </w:tc>
        <w:tc>
          <w:tcPr>
            <w:tcW w:w="1464" w:type="dxa"/>
            <w:shd w:val="clear" w:color="auto" w:fill="auto"/>
            <w:tcMar>
              <w:top w:w="58" w:type="dxa"/>
              <w:bottom w:w="58" w:type="dxa"/>
            </w:tcMar>
            <w:vAlign w:val="center"/>
          </w:tcPr>
          <w:p w:rsidR="001E0E83" w:rsidRPr="00094A0C" w:rsidRDefault="001E0E83" w:rsidP="002370F7">
            <w:pPr>
              <w:adjustRightInd/>
              <w:spacing w:after="0" w:line="240" w:lineRule="auto"/>
              <w:textAlignment w:val="auto"/>
              <w:rPr>
                <w:rFonts w:asciiTheme="minorHAnsi" w:eastAsia="Calibri" w:hAnsiTheme="minorHAnsi"/>
                <w:sz w:val="18"/>
                <w:szCs w:val="18"/>
              </w:rPr>
            </w:pPr>
            <w:r w:rsidRPr="00094A0C">
              <w:rPr>
                <w:rFonts w:asciiTheme="minorHAnsi" w:eastAsia="Calibri" w:hAnsiTheme="minorHAnsi"/>
                <w:sz w:val="18"/>
                <w:szCs w:val="18"/>
              </w:rPr>
              <w:t>RPS + Gas</w:t>
            </w:r>
          </w:p>
        </w:tc>
        <w:tc>
          <w:tcPr>
            <w:tcW w:w="1157"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34.0</w:t>
            </w:r>
          </w:p>
        </w:tc>
        <w:tc>
          <w:tcPr>
            <w:tcW w:w="1330"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29.3</w:t>
            </w:r>
          </w:p>
        </w:tc>
        <w:tc>
          <w:tcPr>
            <w:tcW w:w="1599"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147%</w:t>
            </w:r>
          </w:p>
        </w:tc>
        <w:tc>
          <w:tcPr>
            <w:tcW w:w="1685"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220%</w:t>
            </w:r>
          </w:p>
        </w:tc>
        <w:tc>
          <w:tcPr>
            <w:tcW w:w="1512"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50%</w:t>
            </w:r>
          </w:p>
        </w:tc>
        <w:tc>
          <w:tcPr>
            <w:tcW w:w="1512"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75%</w:t>
            </w:r>
          </w:p>
        </w:tc>
      </w:tr>
      <w:tr w:rsidR="001E0E83" w:rsidRPr="00094A0C" w:rsidTr="001E0E83">
        <w:trPr>
          <w:jc w:val="center"/>
        </w:trPr>
        <w:tc>
          <w:tcPr>
            <w:tcW w:w="1980" w:type="dxa"/>
            <w:vMerge/>
            <w:shd w:val="clear" w:color="auto" w:fill="DBE5F1" w:themeFill="accent1" w:themeFillTint="33"/>
            <w:tcMar>
              <w:top w:w="58" w:type="dxa"/>
              <w:bottom w:w="58" w:type="dxa"/>
            </w:tcMar>
            <w:vAlign w:val="center"/>
          </w:tcPr>
          <w:p w:rsidR="001E0E83" w:rsidRPr="001E0E83" w:rsidRDefault="001E0E83" w:rsidP="002370F7">
            <w:pPr>
              <w:adjustRightInd/>
              <w:spacing w:after="0" w:line="240" w:lineRule="auto"/>
              <w:textAlignment w:val="auto"/>
              <w:rPr>
                <w:rFonts w:asciiTheme="minorHAnsi" w:eastAsia="Calibri" w:hAnsiTheme="minorHAnsi"/>
                <w:b/>
                <w:sz w:val="18"/>
                <w:szCs w:val="18"/>
              </w:rPr>
            </w:pPr>
          </w:p>
        </w:tc>
        <w:tc>
          <w:tcPr>
            <w:tcW w:w="1464" w:type="dxa"/>
            <w:shd w:val="clear" w:color="auto" w:fill="auto"/>
            <w:tcMar>
              <w:top w:w="58" w:type="dxa"/>
              <w:bottom w:w="58" w:type="dxa"/>
            </w:tcMar>
            <w:vAlign w:val="center"/>
          </w:tcPr>
          <w:p w:rsidR="001E0E83" w:rsidRPr="00094A0C" w:rsidRDefault="001E0E83" w:rsidP="002370F7">
            <w:pPr>
              <w:adjustRightInd/>
              <w:spacing w:after="0" w:line="240" w:lineRule="auto"/>
              <w:textAlignment w:val="auto"/>
              <w:rPr>
                <w:rFonts w:asciiTheme="minorHAnsi" w:eastAsia="Calibri" w:hAnsiTheme="minorHAnsi"/>
                <w:sz w:val="18"/>
                <w:szCs w:val="18"/>
              </w:rPr>
            </w:pPr>
            <w:r w:rsidRPr="00094A0C">
              <w:rPr>
                <w:rFonts w:asciiTheme="minorHAnsi" w:eastAsia="Calibri" w:hAnsiTheme="minorHAnsi"/>
                <w:sz w:val="18"/>
                <w:szCs w:val="18"/>
              </w:rPr>
              <w:t>ISO Queue</w:t>
            </w:r>
          </w:p>
        </w:tc>
        <w:tc>
          <w:tcPr>
            <w:tcW w:w="1157"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18.2</w:t>
            </w:r>
          </w:p>
        </w:tc>
        <w:tc>
          <w:tcPr>
            <w:tcW w:w="1330"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15.4</w:t>
            </w:r>
          </w:p>
        </w:tc>
        <w:tc>
          <w:tcPr>
            <w:tcW w:w="1599"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77%</w:t>
            </w:r>
          </w:p>
        </w:tc>
        <w:tc>
          <w:tcPr>
            <w:tcW w:w="1685"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116%</w:t>
            </w:r>
          </w:p>
        </w:tc>
        <w:tc>
          <w:tcPr>
            <w:tcW w:w="1512"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26%</w:t>
            </w:r>
          </w:p>
        </w:tc>
        <w:tc>
          <w:tcPr>
            <w:tcW w:w="1512"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39%</w:t>
            </w:r>
          </w:p>
        </w:tc>
      </w:tr>
      <w:tr w:rsidR="001E0E83" w:rsidRPr="00094A0C" w:rsidTr="001E0E83">
        <w:trPr>
          <w:jc w:val="center"/>
        </w:trPr>
        <w:tc>
          <w:tcPr>
            <w:tcW w:w="1980" w:type="dxa"/>
            <w:vMerge/>
            <w:shd w:val="clear" w:color="auto" w:fill="DBE5F1" w:themeFill="accent1" w:themeFillTint="33"/>
            <w:tcMar>
              <w:top w:w="58" w:type="dxa"/>
              <w:bottom w:w="58" w:type="dxa"/>
            </w:tcMar>
            <w:vAlign w:val="center"/>
          </w:tcPr>
          <w:p w:rsidR="001E0E83" w:rsidRPr="001E0E83" w:rsidRDefault="001E0E83" w:rsidP="002370F7">
            <w:pPr>
              <w:adjustRightInd/>
              <w:spacing w:after="0" w:line="240" w:lineRule="auto"/>
              <w:textAlignment w:val="auto"/>
              <w:rPr>
                <w:rFonts w:asciiTheme="minorHAnsi" w:eastAsia="Calibri" w:hAnsiTheme="minorHAnsi"/>
                <w:b/>
                <w:sz w:val="18"/>
                <w:szCs w:val="18"/>
              </w:rPr>
            </w:pPr>
          </w:p>
        </w:tc>
        <w:tc>
          <w:tcPr>
            <w:tcW w:w="1464" w:type="dxa"/>
            <w:shd w:val="clear" w:color="auto" w:fill="auto"/>
            <w:tcMar>
              <w:top w:w="58" w:type="dxa"/>
              <w:bottom w:w="58" w:type="dxa"/>
            </w:tcMar>
            <w:vAlign w:val="center"/>
          </w:tcPr>
          <w:p w:rsidR="001E0E83" w:rsidRPr="00094A0C" w:rsidRDefault="001E0E83" w:rsidP="002370F7">
            <w:pPr>
              <w:adjustRightInd/>
              <w:spacing w:after="0" w:line="240" w:lineRule="auto"/>
              <w:textAlignment w:val="auto"/>
              <w:rPr>
                <w:rFonts w:asciiTheme="minorHAnsi" w:eastAsia="Calibri" w:hAnsiTheme="minorHAnsi"/>
                <w:sz w:val="18"/>
                <w:szCs w:val="18"/>
              </w:rPr>
            </w:pPr>
            <w:r w:rsidRPr="00094A0C">
              <w:rPr>
                <w:rFonts w:asciiTheme="minorHAnsi" w:eastAsia="Calibri" w:hAnsiTheme="minorHAnsi"/>
                <w:sz w:val="18"/>
                <w:szCs w:val="18"/>
              </w:rPr>
              <w:t>Renew Plus</w:t>
            </w:r>
          </w:p>
        </w:tc>
        <w:tc>
          <w:tcPr>
            <w:tcW w:w="1157"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13.1</w:t>
            </w:r>
          </w:p>
        </w:tc>
        <w:tc>
          <w:tcPr>
            <w:tcW w:w="1330"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10.1</w:t>
            </w:r>
          </w:p>
        </w:tc>
        <w:tc>
          <w:tcPr>
            <w:tcW w:w="1599"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51%</w:t>
            </w:r>
          </w:p>
        </w:tc>
        <w:tc>
          <w:tcPr>
            <w:tcW w:w="1685"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76%</w:t>
            </w:r>
          </w:p>
        </w:tc>
        <w:tc>
          <w:tcPr>
            <w:tcW w:w="1512"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17%</w:t>
            </w:r>
          </w:p>
        </w:tc>
        <w:tc>
          <w:tcPr>
            <w:tcW w:w="1512"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26%</w:t>
            </w:r>
          </w:p>
        </w:tc>
      </w:tr>
      <w:tr w:rsidR="001E0E83" w:rsidRPr="00094A0C" w:rsidTr="001E0E83">
        <w:trPr>
          <w:jc w:val="center"/>
        </w:trPr>
        <w:tc>
          <w:tcPr>
            <w:tcW w:w="1980" w:type="dxa"/>
            <w:vMerge/>
            <w:shd w:val="clear" w:color="auto" w:fill="DBE5F1" w:themeFill="accent1" w:themeFillTint="33"/>
            <w:tcMar>
              <w:top w:w="58" w:type="dxa"/>
              <w:bottom w:w="58" w:type="dxa"/>
            </w:tcMar>
            <w:vAlign w:val="center"/>
          </w:tcPr>
          <w:p w:rsidR="001E0E83" w:rsidRPr="001E0E83" w:rsidRDefault="001E0E83" w:rsidP="002370F7">
            <w:pPr>
              <w:adjustRightInd/>
              <w:spacing w:after="0" w:line="240" w:lineRule="auto"/>
              <w:textAlignment w:val="auto"/>
              <w:rPr>
                <w:rFonts w:asciiTheme="minorHAnsi" w:eastAsia="Calibri" w:hAnsiTheme="minorHAnsi"/>
                <w:b/>
                <w:sz w:val="18"/>
                <w:szCs w:val="18"/>
              </w:rPr>
            </w:pPr>
          </w:p>
        </w:tc>
        <w:tc>
          <w:tcPr>
            <w:tcW w:w="1464" w:type="dxa"/>
            <w:shd w:val="clear" w:color="auto" w:fill="auto"/>
            <w:tcMar>
              <w:top w:w="58" w:type="dxa"/>
              <w:bottom w:w="58" w:type="dxa"/>
            </w:tcMar>
            <w:vAlign w:val="center"/>
          </w:tcPr>
          <w:p w:rsidR="001E0E83" w:rsidRPr="00094A0C" w:rsidRDefault="001E0E83" w:rsidP="002370F7">
            <w:pPr>
              <w:adjustRightInd/>
              <w:spacing w:after="0" w:line="240" w:lineRule="auto"/>
              <w:textAlignment w:val="auto"/>
              <w:rPr>
                <w:rFonts w:asciiTheme="minorHAnsi" w:eastAsia="Calibri" w:hAnsiTheme="minorHAnsi"/>
                <w:sz w:val="18"/>
                <w:szCs w:val="18"/>
              </w:rPr>
            </w:pPr>
            <w:r w:rsidRPr="00094A0C">
              <w:rPr>
                <w:rFonts w:asciiTheme="minorHAnsi" w:eastAsia="Calibri" w:hAnsiTheme="minorHAnsi"/>
                <w:sz w:val="18"/>
                <w:szCs w:val="18"/>
              </w:rPr>
              <w:t>No Retire</w:t>
            </w:r>
          </w:p>
        </w:tc>
        <w:tc>
          <w:tcPr>
            <w:tcW w:w="1157"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40.9</w:t>
            </w:r>
          </w:p>
        </w:tc>
        <w:tc>
          <w:tcPr>
            <w:tcW w:w="1330"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36.2</w:t>
            </w:r>
          </w:p>
        </w:tc>
        <w:tc>
          <w:tcPr>
            <w:tcW w:w="1599"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182%</w:t>
            </w:r>
          </w:p>
        </w:tc>
        <w:tc>
          <w:tcPr>
            <w:tcW w:w="1685"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272%</w:t>
            </w:r>
          </w:p>
        </w:tc>
        <w:tc>
          <w:tcPr>
            <w:tcW w:w="1512"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62%</w:t>
            </w:r>
          </w:p>
        </w:tc>
        <w:tc>
          <w:tcPr>
            <w:tcW w:w="1512"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93%</w:t>
            </w:r>
          </w:p>
        </w:tc>
      </w:tr>
      <w:tr w:rsidR="001E0E83" w:rsidRPr="00094A0C" w:rsidTr="001E0E83">
        <w:trPr>
          <w:jc w:val="center"/>
        </w:trPr>
        <w:tc>
          <w:tcPr>
            <w:tcW w:w="1980" w:type="dxa"/>
            <w:vMerge/>
            <w:shd w:val="clear" w:color="auto" w:fill="DBE5F1" w:themeFill="accent1" w:themeFillTint="33"/>
            <w:tcMar>
              <w:top w:w="58" w:type="dxa"/>
              <w:bottom w:w="58" w:type="dxa"/>
            </w:tcMar>
            <w:vAlign w:val="center"/>
          </w:tcPr>
          <w:p w:rsidR="001E0E83" w:rsidRPr="001E0E83" w:rsidRDefault="001E0E83" w:rsidP="002370F7">
            <w:pPr>
              <w:adjustRightInd/>
              <w:spacing w:after="0" w:line="240" w:lineRule="auto"/>
              <w:textAlignment w:val="auto"/>
              <w:rPr>
                <w:rFonts w:asciiTheme="minorHAnsi" w:eastAsia="Calibri" w:hAnsiTheme="minorHAnsi"/>
                <w:b/>
                <w:sz w:val="18"/>
                <w:szCs w:val="18"/>
              </w:rPr>
            </w:pPr>
          </w:p>
        </w:tc>
        <w:tc>
          <w:tcPr>
            <w:tcW w:w="1464" w:type="dxa"/>
            <w:shd w:val="clear" w:color="auto" w:fill="auto"/>
            <w:tcMar>
              <w:top w:w="58" w:type="dxa"/>
              <w:bottom w:w="58" w:type="dxa"/>
            </w:tcMar>
            <w:vAlign w:val="center"/>
          </w:tcPr>
          <w:p w:rsidR="001E0E83" w:rsidRPr="00094A0C" w:rsidRDefault="001E0E83" w:rsidP="002370F7">
            <w:pPr>
              <w:adjustRightInd/>
              <w:spacing w:after="0" w:line="240" w:lineRule="auto"/>
              <w:textAlignment w:val="auto"/>
              <w:rPr>
                <w:rFonts w:asciiTheme="minorHAnsi" w:eastAsia="Calibri" w:hAnsiTheme="minorHAnsi"/>
                <w:sz w:val="18"/>
                <w:szCs w:val="18"/>
              </w:rPr>
            </w:pPr>
            <w:r w:rsidRPr="00094A0C">
              <w:rPr>
                <w:rFonts w:asciiTheme="minorHAnsi" w:eastAsia="Calibri" w:hAnsiTheme="minorHAnsi"/>
                <w:sz w:val="18"/>
                <w:szCs w:val="18"/>
              </w:rPr>
              <w:t>ACP + Gas</w:t>
            </w:r>
          </w:p>
        </w:tc>
        <w:tc>
          <w:tcPr>
            <w:tcW w:w="1157"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37.6</w:t>
            </w:r>
          </w:p>
        </w:tc>
        <w:tc>
          <w:tcPr>
            <w:tcW w:w="1330"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32.8</w:t>
            </w:r>
          </w:p>
        </w:tc>
        <w:tc>
          <w:tcPr>
            <w:tcW w:w="1599"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165%</w:t>
            </w:r>
          </w:p>
        </w:tc>
        <w:tc>
          <w:tcPr>
            <w:tcW w:w="1685"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247%</w:t>
            </w:r>
          </w:p>
        </w:tc>
        <w:tc>
          <w:tcPr>
            <w:tcW w:w="1512"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56%</w:t>
            </w:r>
          </w:p>
        </w:tc>
        <w:tc>
          <w:tcPr>
            <w:tcW w:w="1512"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84%</w:t>
            </w:r>
          </w:p>
        </w:tc>
      </w:tr>
      <w:tr w:rsidR="001E0E83" w:rsidRPr="00094A0C" w:rsidTr="001E0E83">
        <w:trPr>
          <w:jc w:val="center"/>
        </w:trPr>
        <w:tc>
          <w:tcPr>
            <w:tcW w:w="1980" w:type="dxa"/>
            <w:vMerge/>
            <w:shd w:val="clear" w:color="auto" w:fill="DBE5F1" w:themeFill="accent1" w:themeFillTint="33"/>
            <w:tcMar>
              <w:top w:w="58" w:type="dxa"/>
              <w:bottom w:w="58" w:type="dxa"/>
            </w:tcMar>
            <w:vAlign w:val="center"/>
          </w:tcPr>
          <w:p w:rsidR="001E0E83" w:rsidRPr="001E0E83" w:rsidRDefault="001E0E83" w:rsidP="002370F7">
            <w:pPr>
              <w:adjustRightInd/>
              <w:spacing w:after="0" w:line="240" w:lineRule="auto"/>
              <w:textAlignment w:val="auto"/>
              <w:rPr>
                <w:rFonts w:asciiTheme="minorHAnsi" w:eastAsia="Calibri" w:hAnsiTheme="minorHAnsi"/>
                <w:b/>
                <w:sz w:val="18"/>
                <w:szCs w:val="18"/>
              </w:rPr>
            </w:pPr>
          </w:p>
        </w:tc>
        <w:tc>
          <w:tcPr>
            <w:tcW w:w="1464" w:type="dxa"/>
            <w:shd w:val="clear" w:color="auto" w:fill="auto"/>
            <w:tcMar>
              <w:top w:w="58" w:type="dxa"/>
              <w:bottom w:w="58" w:type="dxa"/>
            </w:tcMar>
            <w:vAlign w:val="center"/>
          </w:tcPr>
          <w:p w:rsidR="001E0E83" w:rsidRPr="00094A0C" w:rsidRDefault="001E0E83" w:rsidP="002370F7">
            <w:pPr>
              <w:adjustRightInd/>
              <w:spacing w:after="0" w:line="240" w:lineRule="auto"/>
              <w:textAlignment w:val="auto"/>
              <w:rPr>
                <w:rFonts w:asciiTheme="minorHAnsi" w:eastAsia="Calibri" w:hAnsiTheme="minorHAnsi"/>
                <w:sz w:val="18"/>
                <w:szCs w:val="18"/>
              </w:rPr>
            </w:pPr>
            <w:r w:rsidRPr="00094A0C">
              <w:rPr>
                <w:rFonts w:asciiTheme="minorHAnsi" w:eastAsia="Calibri" w:hAnsiTheme="minorHAnsi"/>
                <w:sz w:val="18"/>
                <w:szCs w:val="18"/>
              </w:rPr>
              <w:t>RPS + Geo Renew</w:t>
            </w:r>
          </w:p>
        </w:tc>
        <w:tc>
          <w:tcPr>
            <w:tcW w:w="1157"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16.3</w:t>
            </w:r>
          </w:p>
        </w:tc>
        <w:tc>
          <w:tcPr>
            <w:tcW w:w="1330"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13.8</w:t>
            </w:r>
          </w:p>
        </w:tc>
        <w:tc>
          <w:tcPr>
            <w:tcW w:w="1599"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69%</w:t>
            </w:r>
          </w:p>
        </w:tc>
        <w:tc>
          <w:tcPr>
            <w:tcW w:w="1685"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104%</w:t>
            </w:r>
          </w:p>
        </w:tc>
        <w:tc>
          <w:tcPr>
            <w:tcW w:w="1512"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24%</w:t>
            </w:r>
          </w:p>
        </w:tc>
        <w:tc>
          <w:tcPr>
            <w:tcW w:w="1512" w:type="dxa"/>
            <w:shd w:val="clear" w:color="auto" w:fill="auto"/>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35%</w:t>
            </w:r>
          </w:p>
        </w:tc>
      </w:tr>
      <w:tr w:rsidR="001E0E83" w:rsidRPr="00094A0C" w:rsidTr="001E0E83">
        <w:trPr>
          <w:jc w:val="center"/>
        </w:trPr>
        <w:tc>
          <w:tcPr>
            <w:tcW w:w="1980" w:type="dxa"/>
            <w:vMerge w:val="restart"/>
            <w:shd w:val="clear" w:color="auto" w:fill="auto"/>
            <w:tcMar>
              <w:top w:w="58" w:type="dxa"/>
              <w:bottom w:w="58" w:type="dxa"/>
            </w:tcMar>
            <w:vAlign w:val="center"/>
          </w:tcPr>
          <w:p w:rsidR="001E0E83" w:rsidRPr="001E0E83" w:rsidRDefault="001E0E83" w:rsidP="002370F7">
            <w:pPr>
              <w:adjustRightInd/>
              <w:spacing w:after="0" w:line="240" w:lineRule="auto"/>
              <w:textAlignment w:val="auto"/>
              <w:rPr>
                <w:rFonts w:asciiTheme="minorHAnsi" w:eastAsia="Calibri" w:hAnsiTheme="minorHAnsi"/>
                <w:b/>
                <w:sz w:val="18"/>
                <w:szCs w:val="18"/>
              </w:rPr>
            </w:pPr>
            <w:r w:rsidRPr="001E0E83">
              <w:rPr>
                <w:rFonts w:asciiTheme="minorHAnsi" w:eastAsia="Calibri" w:hAnsiTheme="minorHAnsi"/>
                <w:b/>
                <w:sz w:val="18"/>
                <w:szCs w:val="18"/>
              </w:rPr>
              <w:t>2030 Constrained</w:t>
            </w:r>
          </w:p>
        </w:tc>
        <w:tc>
          <w:tcPr>
            <w:tcW w:w="1464" w:type="dxa"/>
            <w:shd w:val="clear" w:color="auto" w:fill="DBE5F1" w:themeFill="accent1" w:themeFillTint="33"/>
            <w:tcMar>
              <w:top w:w="58" w:type="dxa"/>
              <w:bottom w:w="58" w:type="dxa"/>
            </w:tcMar>
            <w:vAlign w:val="center"/>
          </w:tcPr>
          <w:p w:rsidR="001E0E83" w:rsidRPr="00094A0C" w:rsidRDefault="001E0E83" w:rsidP="002370F7">
            <w:pPr>
              <w:adjustRightInd/>
              <w:spacing w:after="0" w:line="240" w:lineRule="auto"/>
              <w:textAlignment w:val="auto"/>
              <w:rPr>
                <w:rFonts w:asciiTheme="minorHAnsi" w:eastAsia="Calibri" w:hAnsiTheme="minorHAnsi"/>
                <w:sz w:val="18"/>
                <w:szCs w:val="18"/>
              </w:rPr>
            </w:pPr>
            <w:r w:rsidRPr="00094A0C">
              <w:rPr>
                <w:rFonts w:asciiTheme="minorHAnsi" w:eastAsia="Calibri" w:hAnsiTheme="minorHAnsi"/>
                <w:sz w:val="18"/>
                <w:szCs w:val="18"/>
              </w:rPr>
              <w:t>RPS + Gas</w:t>
            </w:r>
          </w:p>
        </w:tc>
        <w:tc>
          <w:tcPr>
            <w:tcW w:w="1157"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34.8</w:t>
            </w:r>
          </w:p>
        </w:tc>
        <w:tc>
          <w:tcPr>
            <w:tcW w:w="1330"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30.3</w:t>
            </w:r>
          </w:p>
        </w:tc>
        <w:tc>
          <w:tcPr>
            <w:tcW w:w="1599"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152%</w:t>
            </w:r>
          </w:p>
        </w:tc>
        <w:tc>
          <w:tcPr>
            <w:tcW w:w="1685"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228%</w:t>
            </w:r>
          </w:p>
        </w:tc>
        <w:tc>
          <w:tcPr>
            <w:tcW w:w="1512"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52%</w:t>
            </w:r>
          </w:p>
        </w:tc>
        <w:tc>
          <w:tcPr>
            <w:tcW w:w="1512"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77%</w:t>
            </w:r>
          </w:p>
        </w:tc>
      </w:tr>
      <w:tr w:rsidR="001E0E83" w:rsidRPr="00094A0C" w:rsidTr="001E0E83">
        <w:trPr>
          <w:jc w:val="center"/>
        </w:trPr>
        <w:tc>
          <w:tcPr>
            <w:tcW w:w="1980" w:type="dxa"/>
            <w:vMerge/>
            <w:shd w:val="clear" w:color="auto" w:fill="auto"/>
            <w:tcMar>
              <w:top w:w="58" w:type="dxa"/>
              <w:bottom w:w="58" w:type="dxa"/>
            </w:tcMar>
            <w:vAlign w:val="center"/>
          </w:tcPr>
          <w:p w:rsidR="001E0E83" w:rsidRPr="00094A0C" w:rsidRDefault="001E0E83" w:rsidP="002370F7">
            <w:pPr>
              <w:adjustRightInd/>
              <w:spacing w:after="0" w:line="240" w:lineRule="auto"/>
              <w:textAlignment w:val="auto"/>
              <w:rPr>
                <w:rFonts w:asciiTheme="minorHAnsi" w:eastAsia="Calibri" w:hAnsiTheme="minorHAnsi"/>
                <w:sz w:val="18"/>
                <w:szCs w:val="18"/>
              </w:rPr>
            </w:pPr>
          </w:p>
        </w:tc>
        <w:tc>
          <w:tcPr>
            <w:tcW w:w="1464" w:type="dxa"/>
            <w:shd w:val="clear" w:color="auto" w:fill="DBE5F1" w:themeFill="accent1" w:themeFillTint="33"/>
            <w:tcMar>
              <w:top w:w="58" w:type="dxa"/>
              <w:bottom w:w="58" w:type="dxa"/>
            </w:tcMar>
            <w:vAlign w:val="center"/>
          </w:tcPr>
          <w:p w:rsidR="001E0E83" w:rsidRPr="00094A0C" w:rsidRDefault="001E0E83" w:rsidP="002370F7">
            <w:pPr>
              <w:adjustRightInd/>
              <w:spacing w:after="0" w:line="240" w:lineRule="auto"/>
              <w:textAlignment w:val="auto"/>
              <w:rPr>
                <w:rFonts w:asciiTheme="minorHAnsi" w:eastAsia="Calibri" w:hAnsiTheme="minorHAnsi"/>
                <w:sz w:val="18"/>
                <w:szCs w:val="18"/>
              </w:rPr>
            </w:pPr>
            <w:r w:rsidRPr="00094A0C">
              <w:rPr>
                <w:rFonts w:asciiTheme="minorHAnsi" w:eastAsia="Calibri" w:hAnsiTheme="minorHAnsi"/>
                <w:sz w:val="18"/>
                <w:szCs w:val="18"/>
              </w:rPr>
              <w:t>ISO Queue</w:t>
            </w:r>
          </w:p>
        </w:tc>
        <w:tc>
          <w:tcPr>
            <w:tcW w:w="1157"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28.1</w:t>
            </w:r>
          </w:p>
        </w:tc>
        <w:tc>
          <w:tcPr>
            <w:tcW w:w="1330"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24.1</w:t>
            </w:r>
          </w:p>
        </w:tc>
        <w:tc>
          <w:tcPr>
            <w:tcW w:w="1599"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121%</w:t>
            </w:r>
          </w:p>
        </w:tc>
        <w:tc>
          <w:tcPr>
            <w:tcW w:w="1685"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181%</w:t>
            </w:r>
          </w:p>
        </w:tc>
        <w:tc>
          <w:tcPr>
            <w:tcW w:w="1512"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41%</w:t>
            </w:r>
          </w:p>
        </w:tc>
        <w:tc>
          <w:tcPr>
            <w:tcW w:w="1512"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62%</w:t>
            </w:r>
          </w:p>
        </w:tc>
      </w:tr>
      <w:tr w:rsidR="001E0E83" w:rsidRPr="00094A0C" w:rsidTr="001E0E83">
        <w:trPr>
          <w:jc w:val="center"/>
        </w:trPr>
        <w:tc>
          <w:tcPr>
            <w:tcW w:w="1980" w:type="dxa"/>
            <w:vMerge/>
            <w:shd w:val="clear" w:color="auto" w:fill="auto"/>
            <w:tcMar>
              <w:top w:w="58" w:type="dxa"/>
              <w:bottom w:w="58" w:type="dxa"/>
            </w:tcMar>
            <w:vAlign w:val="center"/>
          </w:tcPr>
          <w:p w:rsidR="001E0E83" w:rsidRPr="00094A0C" w:rsidRDefault="001E0E83" w:rsidP="002370F7">
            <w:pPr>
              <w:adjustRightInd/>
              <w:spacing w:after="0" w:line="240" w:lineRule="auto"/>
              <w:textAlignment w:val="auto"/>
              <w:rPr>
                <w:rFonts w:asciiTheme="minorHAnsi" w:eastAsia="Calibri" w:hAnsiTheme="minorHAnsi"/>
                <w:sz w:val="18"/>
                <w:szCs w:val="18"/>
              </w:rPr>
            </w:pPr>
          </w:p>
        </w:tc>
        <w:tc>
          <w:tcPr>
            <w:tcW w:w="1464" w:type="dxa"/>
            <w:shd w:val="clear" w:color="auto" w:fill="DBE5F1" w:themeFill="accent1" w:themeFillTint="33"/>
            <w:tcMar>
              <w:top w:w="58" w:type="dxa"/>
              <w:bottom w:w="58" w:type="dxa"/>
            </w:tcMar>
            <w:vAlign w:val="center"/>
          </w:tcPr>
          <w:p w:rsidR="001E0E83" w:rsidRPr="00094A0C" w:rsidRDefault="001E0E83" w:rsidP="002370F7">
            <w:pPr>
              <w:adjustRightInd/>
              <w:spacing w:after="0" w:line="240" w:lineRule="auto"/>
              <w:textAlignment w:val="auto"/>
              <w:rPr>
                <w:rFonts w:asciiTheme="minorHAnsi" w:eastAsia="Calibri" w:hAnsiTheme="minorHAnsi"/>
                <w:sz w:val="18"/>
                <w:szCs w:val="18"/>
              </w:rPr>
            </w:pPr>
            <w:r w:rsidRPr="00094A0C">
              <w:rPr>
                <w:rFonts w:asciiTheme="minorHAnsi" w:eastAsia="Calibri" w:hAnsiTheme="minorHAnsi"/>
                <w:sz w:val="18"/>
                <w:szCs w:val="18"/>
              </w:rPr>
              <w:t>Renew Plus</w:t>
            </w:r>
          </w:p>
        </w:tc>
        <w:tc>
          <w:tcPr>
            <w:tcW w:w="1157"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14.3</w:t>
            </w:r>
          </w:p>
        </w:tc>
        <w:tc>
          <w:tcPr>
            <w:tcW w:w="1330"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11.1</w:t>
            </w:r>
          </w:p>
        </w:tc>
        <w:tc>
          <w:tcPr>
            <w:tcW w:w="1599"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56%</w:t>
            </w:r>
          </w:p>
        </w:tc>
        <w:tc>
          <w:tcPr>
            <w:tcW w:w="1685"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83%</w:t>
            </w:r>
          </w:p>
        </w:tc>
        <w:tc>
          <w:tcPr>
            <w:tcW w:w="1512"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19%</w:t>
            </w:r>
          </w:p>
        </w:tc>
        <w:tc>
          <w:tcPr>
            <w:tcW w:w="1512"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28%</w:t>
            </w:r>
          </w:p>
        </w:tc>
      </w:tr>
      <w:tr w:rsidR="001E0E83" w:rsidRPr="00094A0C" w:rsidTr="001E0E83">
        <w:trPr>
          <w:jc w:val="center"/>
        </w:trPr>
        <w:tc>
          <w:tcPr>
            <w:tcW w:w="1980" w:type="dxa"/>
            <w:vMerge/>
            <w:shd w:val="clear" w:color="auto" w:fill="auto"/>
            <w:tcMar>
              <w:top w:w="58" w:type="dxa"/>
              <w:bottom w:w="58" w:type="dxa"/>
            </w:tcMar>
            <w:vAlign w:val="center"/>
          </w:tcPr>
          <w:p w:rsidR="001E0E83" w:rsidRPr="00094A0C" w:rsidRDefault="001E0E83" w:rsidP="002370F7">
            <w:pPr>
              <w:adjustRightInd/>
              <w:spacing w:after="0" w:line="240" w:lineRule="auto"/>
              <w:textAlignment w:val="auto"/>
              <w:rPr>
                <w:rFonts w:asciiTheme="minorHAnsi" w:eastAsia="Calibri" w:hAnsiTheme="minorHAnsi"/>
                <w:sz w:val="18"/>
                <w:szCs w:val="18"/>
              </w:rPr>
            </w:pPr>
          </w:p>
        </w:tc>
        <w:tc>
          <w:tcPr>
            <w:tcW w:w="1464" w:type="dxa"/>
            <w:shd w:val="clear" w:color="auto" w:fill="DBE5F1" w:themeFill="accent1" w:themeFillTint="33"/>
            <w:tcMar>
              <w:top w:w="58" w:type="dxa"/>
              <w:bottom w:w="58" w:type="dxa"/>
            </w:tcMar>
            <w:vAlign w:val="center"/>
          </w:tcPr>
          <w:p w:rsidR="001E0E83" w:rsidRPr="00094A0C" w:rsidRDefault="001E0E83" w:rsidP="002370F7">
            <w:pPr>
              <w:adjustRightInd/>
              <w:spacing w:after="0" w:line="240" w:lineRule="auto"/>
              <w:textAlignment w:val="auto"/>
              <w:rPr>
                <w:rFonts w:asciiTheme="minorHAnsi" w:eastAsia="Calibri" w:hAnsiTheme="minorHAnsi"/>
                <w:sz w:val="18"/>
                <w:szCs w:val="18"/>
              </w:rPr>
            </w:pPr>
            <w:r w:rsidRPr="00094A0C">
              <w:rPr>
                <w:rFonts w:asciiTheme="minorHAnsi" w:eastAsia="Calibri" w:hAnsiTheme="minorHAnsi"/>
                <w:sz w:val="18"/>
                <w:szCs w:val="18"/>
              </w:rPr>
              <w:t>No Retire</w:t>
            </w:r>
          </w:p>
        </w:tc>
        <w:tc>
          <w:tcPr>
            <w:tcW w:w="1157"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40.8</w:t>
            </w:r>
          </w:p>
        </w:tc>
        <w:tc>
          <w:tcPr>
            <w:tcW w:w="1330"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36.1</w:t>
            </w:r>
          </w:p>
        </w:tc>
        <w:tc>
          <w:tcPr>
            <w:tcW w:w="1599"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181%</w:t>
            </w:r>
          </w:p>
        </w:tc>
        <w:tc>
          <w:tcPr>
            <w:tcW w:w="1685"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271%</w:t>
            </w:r>
          </w:p>
        </w:tc>
        <w:tc>
          <w:tcPr>
            <w:tcW w:w="1512"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62%</w:t>
            </w:r>
          </w:p>
        </w:tc>
        <w:tc>
          <w:tcPr>
            <w:tcW w:w="1512"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92%</w:t>
            </w:r>
          </w:p>
        </w:tc>
      </w:tr>
      <w:tr w:rsidR="001E0E83" w:rsidRPr="00094A0C" w:rsidTr="001E0E83">
        <w:trPr>
          <w:jc w:val="center"/>
        </w:trPr>
        <w:tc>
          <w:tcPr>
            <w:tcW w:w="1980" w:type="dxa"/>
            <w:vMerge/>
            <w:shd w:val="clear" w:color="auto" w:fill="auto"/>
            <w:tcMar>
              <w:top w:w="58" w:type="dxa"/>
              <w:bottom w:w="58" w:type="dxa"/>
            </w:tcMar>
            <w:vAlign w:val="center"/>
          </w:tcPr>
          <w:p w:rsidR="001E0E83" w:rsidRPr="00094A0C" w:rsidRDefault="001E0E83" w:rsidP="002370F7">
            <w:pPr>
              <w:adjustRightInd/>
              <w:spacing w:after="0" w:line="240" w:lineRule="auto"/>
              <w:textAlignment w:val="auto"/>
              <w:rPr>
                <w:rFonts w:asciiTheme="minorHAnsi" w:eastAsia="Calibri" w:hAnsiTheme="minorHAnsi"/>
                <w:sz w:val="18"/>
                <w:szCs w:val="18"/>
              </w:rPr>
            </w:pPr>
          </w:p>
        </w:tc>
        <w:tc>
          <w:tcPr>
            <w:tcW w:w="1464" w:type="dxa"/>
            <w:shd w:val="clear" w:color="auto" w:fill="DBE5F1" w:themeFill="accent1" w:themeFillTint="33"/>
            <w:tcMar>
              <w:top w:w="58" w:type="dxa"/>
              <w:bottom w:w="58" w:type="dxa"/>
            </w:tcMar>
            <w:vAlign w:val="center"/>
          </w:tcPr>
          <w:p w:rsidR="001E0E83" w:rsidRPr="00094A0C" w:rsidRDefault="001E0E83" w:rsidP="002370F7">
            <w:pPr>
              <w:adjustRightInd/>
              <w:spacing w:after="0" w:line="240" w:lineRule="auto"/>
              <w:textAlignment w:val="auto"/>
              <w:rPr>
                <w:rFonts w:asciiTheme="minorHAnsi" w:eastAsia="Calibri" w:hAnsiTheme="minorHAnsi"/>
                <w:sz w:val="18"/>
                <w:szCs w:val="18"/>
              </w:rPr>
            </w:pPr>
            <w:r w:rsidRPr="00094A0C">
              <w:rPr>
                <w:rFonts w:asciiTheme="minorHAnsi" w:eastAsia="Calibri" w:hAnsiTheme="minorHAnsi"/>
                <w:sz w:val="18"/>
                <w:szCs w:val="18"/>
              </w:rPr>
              <w:t>ACP + Gas</w:t>
            </w:r>
          </w:p>
        </w:tc>
        <w:tc>
          <w:tcPr>
            <w:tcW w:w="1157"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37.5</w:t>
            </w:r>
          </w:p>
        </w:tc>
        <w:tc>
          <w:tcPr>
            <w:tcW w:w="1330"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32.7</w:t>
            </w:r>
          </w:p>
        </w:tc>
        <w:tc>
          <w:tcPr>
            <w:tcW w:w="1599"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165%</w:t>
            </w:r>
          </w:p>
        </w:tc>
        <w:tc>
          <w:tcPr>
            <w:tcW w:w="1685"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246%</w:t>
            </w:r>
          </w:p>
        </w:tc>
        <w:tc>
          <w:tcPr>
            <w:tcW w:w="1512"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56%</w:t>
            </w:r>
          </w:p>
        </w:tc>
        <w:tc>
          <w:tcPr>
            <w:tcW w:w="1512"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84%</w:t>
            </w:r>
          </w:p>
        </w:tc>
      </w:tr>
      <w:tr w:rsidR="001E0E83" w:rsidRPr="00094A0C" w:rsidTr="001E0E83">
        <w:trPr>
          <w:jc w:val="center"/>
        </w:trPr>
        <w:tc>
          <w:tcPr>
            <w:tcW w:w="1980" w:type="dxa"/>
            <w:vMerge/>
            <w:shd w:val="clear" w:color="auto" w:fill="auto"/>
            <w:tcMar>
              <w:top w:w="58" w:type="dxa"/>
              <w:bottom w:w="58" w:type="dxa"/>
            </w:tcMar>
            <w:vAlign w:val="center"/>
          </w:tcPr>
          <w:p w:rsidR="001E0E83" w:rsidRPr="00094A0C" w:rsidRDefault="001E0E83" w:rsidP="002370F7">
            <w:pPr>
              <w:adjustRightInd/>
              <w:spacing w:after="0" w:line="240" w:lineRule="auto"/>
              <w:textAlignment w:val="auto"/>
              <w:rPr>
                <w:rFonts w:asciiTheme="minorHAnsi" w:eastAsia="Calibri" w:hAnsiTheme="minorHAnsi"/>
                <w:sz w:val="18"/>
                <w:szCs w:val="18"/>
              </w:rPr>
            </w:pPr>
          </w:p>
        </w:tc>
        <w:tc>
          <w:tcPr>
            <w:tcW w:w="1464" w:type="dxa"/>
            <w:shd w:val="clear" w:color="auto" w:fill="DBE5F1" w:themeFill="accent1" w:themeFillTint="33"/>
            <w:tcMar>
              <w:top w:w="58" w:type="dxa"/>
              <w:bottom w:w="58" w:type="dxa"/>
            </w:tcMar>
            <w:vAlign w:val="center"/>
          </w:tcPr>
          <w:p w:rsidR="001E0E83" w:rsidRPr="00094A0C" w:rsidRDefault="001E0E83" w:rsidP="002370F7">
            <w:pPr>
              <w:adjustRightInd/>
              <w:spacing w:after="0" w:line="240" w:lineRule="auto"/>
              <w:textAlignment w:val="auto"/>
              <w:rPr>
                <w:rFonts w:asciiTheme="minorHAnsi" w:eastAsia="Calibri" w:hAnsiTheme="minorHAnsi"/>
                <w:sz w:val="18"/>
                <w:szCs w:val="18"/>
              </w:rPr>
            </w:pPr>
            <w:r w:rsidRPr="00094A0C">
              <w:rPr>
                <w:rFonts w:asciiTheme="minorHAnsi" w:eastAsia="Calibri" w:hAnsiTheme="minorHAnsi"/>
                <w:sz w:val="18"/>
                <w:szCs w:val="18"/>
              </w:rPr>
              <w:t>RPS + Geo Renew</w:t>
            </w:r>
          </w:p>
        </w:tc>
        <w:tc>
          <w:tcPr>
            <w:tcW w:w="1157"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18.6</w:t>
            </w:r>
          </w:p>
        </w:tc>
        <w:tc>
          <w:tcPr>
            <w:tcW w:w="1330"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15.8</w:t>
            </w:r>
          </w:p>
        </w:tc>
        <w:tc>
          <w:tcPr>
            <w:tcW w:w="1599"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79%</w:t>
            </w:r>
          </w:p>
        </w:tc>
        <w:tc>
          <w:tcPr>
            <w:tcW w:w="1685"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119%</w:t>
            </w:r>
          </w:p>
        </w:tc>
        <w:tc>
          <w:tcPr>
            <w:tcW w:w="1512"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27%</w:t>
            </w:r>
          </w:p>
        </w:tc>
        <w:tc>
          <w:tcPr>
            <w:tcW w:w="1512" w:type="dxa"/>
            <w:shd w:val="clear" w:color="auto" w:fill="DBE5F1" w:themeFill="accent1" w:themeFillTint="33"/>
            <w:tcMar>
              <w:top w:w="58" w:type="dxa"/>
              <w:left w:w="58" w:type="dxa"/>
              <w:bottom w:w="58" w:type="dxa"/>
              <w:right w:w="288" w:type="dxa"/>
            </w:tcMar>
            <w:vAlign w:val="center"/>
          </w:tcPr>
          <w:p w:rsidR="001E0E83" w:rsidRPr="00094A0C" w:rsidRDefault="001E0E83" w:rsidP="002370F7">
            <w:pPr>
              <w:adjustRightInd/>
              <w:spacing w:after="0" w:line="240" w:lineRule="auto"/>
              <w:jc w:val="right"/>
              <w:textAlignment w:val="auto"/>
              <w:rPr>
                <w:rFonts w:asciiTheme="minorHAnsi" w:eastAsia="Calibri" w:hAnsiTheme="minorHAnsi"/>
                <w:sz w:val="18"/>
                <w:szCs w:val="18"/>
              </w:rPr>
            </w:pPr>
            <w:r w:rsidRPr="00094A0C">
              <w:rPr>
                <w:rFonts w:asciiTheme="minorHAnsi" w:eastAsia="Calibri" w:hAnsiTheme="minorHAnsi"/>
                <w:sz w:val="18"/>
                <w:szCs w:val="18"/>
              </w:rPr>
              <w:t>40%</w:t>
            </w:r>
          </w:p>
        </w:tc>
      </w:tr>
    </w:tbl>
    <w:p w:rsidR="007A0500" w:rsidRDefault="007A0500" w:rsidP="00094A0C"/>
    <w:p w:rsidR="005507B4" w:rsidRDefault="005507B4">
      <w:pPr>
        <w:rPr>
          <w:b/>
        </w:rPr>
        <w:sectPr w:rsidR="005507B4" w:rsidSect="002370F7">
          <w:footerReference w:type="default" r:id="rId71"/>
          <w:pgSz w:w="15840" w:h="12240" w:orient="landscape" w:code="1"/>
          <w:pgMar w:top="450" w:right="1440" w:bottom="1260" w:left="1440" w:header="720" w:footer="720" w:gutter="0"/>
          <w:cols w:space="720"/>
          <w:docGrid w:linePitch="360"/>
        </w:sectPr>
      </w:pPr>
    </w:p>
    <w:p w:rsidR="0053379A" w:rsidRDefault="00DB4653" w:rsidP="00AF716F">
      <w:pPr>
        <w:pStyle w:val="Heading3"/>
      </w:pPr>
      <w:bookmarkStart w:id="365" w:name="_Toc486406008"/>
      <w:r>
        <w:lastRenderedPageBreak/>
        <w:t xml:space="preserve">Other </w:t>
      </w:r>
      <w:r w:rsidR="0053379A">
        <w:t>Emis</w:t>
      </w:r>
      <w:r>
        <w:t>sions</w:t>
      </w:r>
      <w:bookmarkEnd w:id="365"/>
      <w:r>
        <w:t xml:space="preserve"> </w:t>
      </w:r>
    </w:p>
    <w:p w:rsidR="00DB4653" w:rsidRDefault="00083AEC" w:rsidP="002370F7">
      <w:pPr>
        <w:autoSpaceDE w:val="0"/>
        <w:autoSpaceDN w:val="0"/>
        <w:textAlignment w:val="auto"/>
        <w:rPr>
          <w:rFonts w:cs="Arial"/>
          <w:color w:val="000000"/>
          <w:szCs w:val="20"/>
        </w:rPr>
      </w:pPr>
      <w:r>
        <w:rPr>
          <w:rFonts w:cs="Arial"/>
          <w:color w:val="000000"/>
          <w:szCs w:val="20"/>
        </w:rPr>
        <w:t>In Scenario 4, c</w:t>
      </w:r>
      <w:r w:rsidR="0053379A" w:rsidRPr="003F00E6">
        <w:rPr>
          <w:rFonts w:cs="Arial"/>
          <w:color w:val="000000"/>
          <w:szCs w:val="20"/>
        </w:rPr>
        <w:t xml:space="preserve">oal is competitive with </w:t>
      </w:r>
      <w:r>
        <w:rPr>
          <w:rFonts w:cs="Arial"/>
          <w:color w:val="000000"/>
          <w:szCs w:val="20"/>
        </w:rPr>
        <w:t>natural gas combined-cycle units</w:t>
      </w:r>
      <w:r w:rsidR="0053379A" w:rsidRPr="003F00E6">
        <w:rPr>
          <w:rFonts w:cs="Arial"/>
          <w:color w:val="000000"/>
          <w:szCs w:val="20"/>
        </w:rPr>
        <w:t xml:space="preserve">, which lowers </w:t>
      </w:r>
      <w:r w:rsidR="0053379A">
        <w:rPr>
          <w:rFonts w:cs="Arial"/>
          <w:color w:val="000000"/>
          <w:szCs w:val="20"/>
        </w:rPr>
        <w:t xml:space="preserve">the </w:t>
      </w:r>
      <w:r w:rsidR="0053379A" w:rsidRPr="003F00E6">
        <w:rPr>
          <w:rFonts w:cs="Arial"/>
          <w:color w:val="000000"/>
          <w:szCs w:val="20"/>
        </w:rPr>
        <w:t>use of natural gas but increases emissions</w:t>
      </w:r>
      <w:r w:rsidR="0053379A">
        <w:rPr>
          <w:rFonts w:cs="Arial"/>
          <w:color w:val="000000"/>
          <w:szCs w:val="20"/>
        </w:rPr>
        <w:t xml:space="preserve">. </w:t>
      </w:r>
      <w:r w:rsidR="0053379A" w:rsidRPr="003F00E6">
        <w:rPr>
          <w:rFonts w:cs="Arial"/>
          <w:color w:val="000000"/>
          <w:szCs w:val="20"/>
        </w:rPr>
        <w:t>SO</w:t>
      </w:r>
      <w:r w:rsidR="0053379A" w:rsidRPr="00867C82">
        <w:rPr>
          <w:rFonts w:cs="Arial"/>
          <w:color w:val="000000"/>
          <w:szCs w:val="20"/>
          <w:vertAlign w:val="subscript"/>
        </w:rPr>
        <w:t>2</w:t>
      </w:r>
      <w:r w:rsidR="0053379A" w:rsidRPr="003F00E6">
        <w:rPr>
          <w:rFonts w:cs="Arial"/>
          <w:color w:val="000000"/>
          <w:szCs w:val="20"/>
        </w:rPr>
        <w:t xml:space="preserve"> emissions are approximately 8,000 short tons for Scenario 4 and under</w:t>
      </w:r>
      <w:r w:rsidR="0053379A">
        <w:rPr>
          <w:rFonts w:cs="Arial"/>
          <w:color w:val="000000"/>
          <w:szCs w:val="20"/>
        </w:rPr>
        <w:t xml:space="preserve"> </w:t>
      </w:r>
      <w:r w:rsidR="0053379A" w:rsidRPr="003F00E6">
        <w:rPr>
          <w:rFonts w:cs="Arial"/>
          <w:color w:val="000000"/>
          <w:szCs w:val="20"/>
        </w:rPr>
        <w:t>2,</w:t>
      </w:r>
      <w:r w:rsidR="00692162" w:rsidRPr="003F00E6">
        <w:rPr>
          <w:rFonts w:cs="Arial"/>
          <w:color w:val="000000"/>
          <w:szCs w:val="20"/>
        </w:rPr>
        <w:t>500</w:t>
      </w:r>
      <w:r w:rsidR="00692162">
        <w:rPr>
          <w:rFonts w:cs="Arial"/>
          <w:color w:val="000000"/>
          <w:szCs w:val="20"/>
        </w:rPr>
        <w:t> </w:t>
      </w:r>
      <w:r w:rsidR="0053379A" w:rsidRPr="003F00E6">
        <w:rPr>
          <w:rFonts w:cs="Arial"/>
          <w:color w:val="000000"/>
          <w:szCs w:val="20"/>
        </w:rPr>
        <w:t>short tons for all other cases</w:t>
      </w:r>
      <w:r w:rsidR="0053379A">
        <w:rPr>
          <w:rFonts w:cs="Arial"/>
          <w:color w:val="000000"/>
          <w:szCs w:val="20"/>
        </w:rPr>
        <w:t xml:space="preserve">. </w:t>
      </w:r>
    </w:p>
    <w:p w:rsidR="00E976C7" w:rsidRPr="007F5623" w:rsidRDefault="00E976C7" w:rsidP="001E0E83">
      <w:pPr>
        <w:pStyle w:val="Heading3"/>
      </w:pPr>
      <w:bookmarkStart w:id="366" w:name="_Toc486406009"/>
      <w:r w:rsidRPr="007F5623">
        <w:t>Spilled Renewable Resource Energy</w:t>
      </w:r>
      <w:bookmarkEnd w:id="366"/>
      <w:r w:rsidRPr="007F5623">
        <w:t xml:space="preserve"> </w:t>
      </w:r>
    </w:p>
    <w:p w:rsidR="00E976C7" w:rsidRDefault="00E976C7" w:rsidP="00E976C7">
      <w:r w:rsidRPr="00BE5DAE">
        <w:t>Table 6-</w:t>
      </w:r>
      <w:r w:rsidR="00FD43B1" w:rsidRPr="007F5623">
        <w:t>22</w:t>
      </w:r>
      <w:r w:rsidRPr="00BE5DAE">
        <w:t xml:space="preserve"> shows the total amount of spilled renewable resource energy, including photovoltaics, onshore</w:t>
      </w:r>
      <w:r>
        <w:t xml:space="preserve"> wind, offshore wind, New England hydro, and imports on existing and new ties from Québec and the Maritimes assumed to be supplied by hydroelectric energy. The highest amount of renewable spillage occurs in Scenario 2 (transmission constrained) at 29,913 GWh</w:t>
      </w:r>
      <w:r w:rsidR="00873FFE">
        <w:t>,</w:t>
      </w:r>
      <w:r>
        <w:t xml:space="preserve"> or 37% of all renewable production. Most of the spillage is the direct result of transmission constraints in Maine, especially north of the Surowiec South Interface. Relieving the Surowiec South and Orrington South interfaces allows the delivery of renewable energy to the load centers in southern New England. A small amount of renewables, however, are spilled when renewable plus nuclear supply exceeds load consumption in the unconstrained transmission cases, especially Scenario 3 in 2030.</w:t>
      </w:r>
    </w:p>
    <w:p w:rsidR="00E976C7" w:rsidRDefault="00E976C7" w:rsidP="00E41122">
      <w:pPr>
        <w:pStyle w:val="Caption"/>
        <w:keepNext w:val="0"/>
        <w:keepLines w:val="0"/>
        <w:jc w:val="center"/>
      </w:pPr>
      <w:r>
        <w:t xml:space="preserve">Table </w:t>
      </w:r>
      <w:fldSimple w:instr=" STYLEREF 1 \s ">
        <w:r w:rsidR="00873FFE">
          <w:rPr>
            <w:noProof/>
          </w:rPr>
          <w:t>6</w:t>
        </w:r>
      </w:fldSimple>
      <w:r>
        <w:t>-</w:t>
      </w:r>
      <w:r w:rsidR="00FD43B1">
        <w:t>22</w:t>
      </w:r>
      <w:r>
        <w:br/>
      </w:r>
      <w:r w:rsidRPr="006012E0">
        <w:t xml:space="preserve">Total Amount of </w:t>
      </w:r>
      <w:r w:rsidRPr="005507B4">
        <w:t>“</w:t>
      </w:r>
      <w:r w:rsidRPr="006012E0">
        <w:t>Spilled</w:t>
      </w:r>
      <w:r w:rsidRPr="005507B4">
        <w:t>”</w:t>
      </w:r>
      <w:r w:rsidRPr="006012E0">
        <w:t xml:space="preserve"> Renewable Resource Energy, 2025 and 2030</w:t>
      </w:r>
      <w:r>
        <w:br/>
        <w:t>(Unconstrained and Constrained Cases)</w:t>
      </w:r>
      <w:r w:rsidR="00C26A3A">
        <w:t xml:space="preserve"> </w:t>
      </w:r>
      <w:r>
        <w:t>(GWh, %)</w:t>
      </w:r>
    </w:p>
    <w:tbl>
      <w:tblPr>
        <w:tblW w:w="104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4A0" w:firstRow="1" w:lastRow="0" w:firstColumn="1" w:lastColumn="0" w:noHBand="0" w:noVBand="1"/>
      </w:tblPr>
      <w:tblGrid>
        <w:gridCol w:w="1718"/>
        <w:gridCol w:w="846"/>
        <w:gridCol w:w="1080"/>
        <w:gridCol w:w="775"/>
        <w:gridCol w:w="1061"/>
        <w:gridCol w:w="1401"/>
        <w:gridCol w:w="930"/>
        <w:gridCol w:w="1401"/>
        <w:gridCol w:w="1235"/>
      </w:tblGrid>
      <w:tr w:rsidR="00C26A3A" w:rsidRPr="00C26A3A" w:rsidTr="00E41122">
        <w:trPr>
          <w:cantSplit/>
          <w:tblHeader/>
          <w:jc w:val="center"/>
        </w:trPr>
        <w:tc>
          <w:tcPr>
            <w:tcW w:w="1718" w:type="dxa"/>
            <w:shd w:val="clear" w:color="auto" w:fill="0070C0"/>
            <w:tcMar>
              <w:top w:w="14" w:type="dxa"/>
              <w:bottom w:w="14" w:type="dxa"/>
            </w:tcMar>
            <w:vAlign w:val="center"/>
          </w:tcPr>
          <w:p w:rsidR="00C26A3A" w:rsidRPr="00C26A3A" w:rsidRDefault="00C26A3A" w:rsidP="00E41122">
            <w:pPr>
              <w:adjustRightInd/>
              <w:spacing w:before="40" w:after="40" w:line="240" w:lineRule="auto"/>
              <w:jc w:val="center"/>
              <w:textAlignment w:val="auto"/>
              <w:rPr>
                <w:rFonts w:asciiTheme="minorHAnsi" w:eastAsia="Calibri" w:hAnsiTheme="minorHAnsi"/>
                <w:b/>
                <w:color w:val="FFFFFF" w:themeColor="background1"/>
                <w:sz w:val="18"/>
                <w:szCs w:val="18"/>
              </w:rPr>
            </w:pPr>
            <w:r w:rsidRPr="00C26A3A">
              <w:rPr>
                <w:rFonts w:asciiTheme="minorHAnsi" w:eastAsia="Calibri" w:hAnsiTheme="minorHAnsi"/>
                <w:b/>
                <w:color w:val="FFFFFF" w:themeColor="background1"/>
                <w:sz w:val="18"/>
                <w:szCs w:val="18"/>
              </w:rPr>
              <w:t>Transmission and Year</w:t>
            </w:r>
          </w:p>
        </w:tc>
        <w:tc>
          <w:tcPr>
            <w:tcW w:w="846" w:type="dxa"/>
            <w:shd w:val="clear" w:color="auto" w:fill="0070C0"/>
            <w:tcMar>
              <w:top w:w="14" w:type="dxa"/>
              <w:bottom w:w="14" w:type="dxa"/>
            </w:tcMar>
            <w:vAlign w:val="center"/>
          </w:tcPr>
          <w:p w:rsidR="00C26A3A" w:rsidRPr="00C26A3A" w:rsidRDefault="00C26A3A" w:rsidP="00E41122">
            <w:pPr>
              <w:adjustRightInd/>
              <w:spacing w:before="40" w:after="40" w:line="240" w:lineRule="auto"/>
              <w:jc w:val="center"/>
              <w:textAlignment w:val="auto"/>
              <w:rPr>
                <w:rFonts w:asciiTheme="minorHAnsi" w:eastAsia="Calibri" w:hAnsiTheme="minorHAnsi"/>
                <w:b/>
                <w:color w:val="FFFFFF" w:themeColor="background1"/>
                <w:sz w:val="18"/>
                <w:szCs w:val="18"/>
              </w:rPr>
            </w:pPr>
            <w:r w:rsidRPr="00C26A3A">
              <w:rPr>
                <w:rFonts w:asciiTheme="minorHAnsi" w:eastAsia="Calibri" w:hAnsiTheme="minorHAnsi"/>
                <w:b/>
                <w:color w:val="FFFFFF" w:themeColor="background1"/>
                <w:sz w:val="18"/>
                <w:szCs w:val="18"/>
              </w:rPr>
              <w:t>Scenario</w:t>
            </w:r>
          </w:p>
        </w:tc>
        <w:tc>
          <w:tcPr>
            <w:tcW w:w="1080" w:type="dxa"/>
            <w:shd w:val="clear" w:color="auto" w:fill="0070C0"/>
            <w:tcMar>
              <w:top w:w="14" w:type="dxa"/>
              <w:bottom w:w="14" w:type="dxa"/>
            </w:tcMar>
            <w:vAlign w:val="center"/>
          </w:tcPr>
          <w:p w:rsidR="00C26A3A" w:rsidRPr="00C26A3A" w:rsidRDefault="00C26A3A" w:rsidP="00E41122">
            <w:pPr>
              <w:adjustRightInd/>
              <w:spacing w:before="40" w:after="40" w:line="240" w:lineRule="auto"/>
              <w:jc w:val="center"/>
              <w:textAlignment w:val="auto"/>
              <w:rPr>
                <w:rFonts w:asciiTheme="minorHAnsi" w:eastAsia="Calibri" w:hAnsiTheme="minorHAnsi"/>
                <w:b/>
                <w:color w:val="FFFFFF" w:themeColor="background1"/>
                <w:sz w:val="18"/>
                <w:szCs w:val="18"/>
              </w:rPr>
            </w:pPr>
            <w:r w:rsidRPr="00C26A3A">
              <w:rPr>
                <w:rFonts w:asciiTheme="minorHAnsi" w:hAnsiTheme="minorHAnsi"/>
                <w:b/>
                <w:color w:val="FFFFFF" w:themeColor="background1"/>
                <w:sz w:val="18"/>
                <w:szCs w:val="18"/>
              </w:rPr>
              <w:t>Renewable Energy Profile (GWh)</w:t>
            </w:r>
          </w:p>
        </w:tc>
        <w:tc>
          <w:tcPr>
            <w:tcW w:w="775" w:type="dxa"/>
            <w:shd w:val="clear" w:color="auto" w:fill="0070C0"/>
            <w:tcMar>
              <w:top w:w="14" w:type="dxa"/>
              <w:bottom w:w="14" w:type="dxa"/>
            </w:tcMar>
            <w:vAlign w:val="center"/>
          </w:tcPr>
          <w:p w:rsidR="00C26A3A" w:rsidRPr="00C26A3A" w:rsidRDefault="00C26A3A" w:rsidP="00E41122">
            <w:pPr>
              <w:adjustRightInd/>
              <w:spacing w:before="40" w:after="40" w:line="240" w:lineRule="auto"/>
              <w:jc w:val="center"/>
              <w:textAlignment w:val="auto"/>
              <w:rPr>
                <w:rFonts w:asciiTheme="minorHAnsi" w:eastAsia="Calibri" w:hAnsiTheme="minorHAnsi"/>
                <w:b/>
                <w:color w:val="FFFFFF" w:themeColor="background1"/>
                <w:sz w:val="18"/>
                <w:szCs w:val="18"/>
              </w:rPr>
            </w:pPr>
            <w:r w:rsidRPr="00C26A3A">
              <w:rPr>
                <w:rFonts w:asciiTheme="minorHAnsi" w:hAnsiTheme="minorHAnsi"/>
                <w:b/>
                <w:color w:val="FFFFFF" w:themeColor="background1"/>
                <w:sz w:val="18"/>
                <w:szCs w:val="18"/>
              </w:rPr>
              <w:t>Total Spilled (GWh)</w:t>
            </w:r>
          </w:p>
        </w:tc>
        <w:tc>
          <w:tcPr>
            <w:tcW w:w="1061" w:type="dxa"/>
            <w:shd w:val="clear" w:color="auto" w:fill="0070C0"/>
            <w:tcMar>
              <w:top w:w="14" w:type="dxa"/>
              <w:bottom w:w="14" w:type="dxa"/>
            </w:tcMar>
            <w:vAlign w:val="center"/>
          </w:tcPr>
          <w:p w:rsidR="00C26A3A" w:rsidRPr="00C26A3A" w:rsidRDefault="00C26A3A" w:rsidP="00E41122">
            <w:pPr>
              <w:adjustRightInd/>
              <w:spacing w:before="40" w:after="40" w:line="240" w:lineRule="auto"/>
              <w:jc w:val="center"/>
              <w:textAlignment w:val="auto"/>
              <w:rPr>
                <w:rFonts w:asciiTheme="minorHAnsi" w:eastAsia="Calibri" w:hAnsiTheme="minorHAnsi"/>
                <w:b/>
                <w:color w:val="FFFFFF" w:themeColor="background1"/>
                <w:sz w:val="18"/>
                <w:szCs w:val="18"/>
              </w:rPr>
            </w:pPr>
            <w:r w:rsidRPr="00C26A3A">
              <w:rPr>
                <w:rFonts w:asciiTheme="minorHAnsi" w:hAnsiTheme="minorHAnsi"/>
                <w:b/>
                <w:color w:val="FFFFFF" w:themeColor="background1"/>
                <w:sz w:val="18"/>
                <w:szCs w:val="18"/>
              </w:rPr>
              <w:t>% of Total Renewable Spilled (%)</w:t>
            </w:r>
          </w:p>
        </w:tc>
        <w:tc>
          <w:tcPr>
            <w:tcW w:w="1401" w:type="dxa"/>
            <w:shd w:val="clear" w:color="auto" w:fill="0070C0"/>
            <w:tcMar>
              <w:top w:w="14" w:type="dxa"/>
              <w:bottom w:w="14" w:type="dxa"/>
            </w:tcMar>
            <w:vAlign w:val="center"/>
          </w:tcPr>
          <w:p w:rsidR="00C26A3A" w:rsidRPr="00C26A3A" w:rsidRDefault="00C26A3A" w:rsidP="00E41122">
            <w:pPr>
              <w:adjustRightInd/>
              <w:spacing w:before="40" w:after="40" w:line="240" w:lineRule="auto"/>
              <w:jc w:val="center"/>
              <w:textAlignment w:val="auto"/>
              <w:rPr>
                <w:rFonts w:asciiTheme="minorHAnsi" w:eastAsia="Calibri" w:hAnsiTheme="minorHAnsi"/>
                <w:b/>
                <w:color w:val="FFFFFF" w:themeColor="background1"/>
                <w:sz w:val="18"/>
                <w:szCs w:val="18"/>
              </w:rPr>
            </w:pPr>
            <w:r w:rsidRPr="00C26A3A">
              <w:rPr>
                <w:rFonts w:asciiTheme="minorHAnsi" w:hAnsiTheme="minorHAnsi"/>
                <w:b/>
                <w:color w:val="FFFFFF" w:themeColor="background1"/>
                <w:sz w:val="18"/>
                <w:szCs w:val="18"/>
              </w:rPr>
              <w:t>Total Spilled Due to Transmission Constraints (GWh)</w:t>
            </w:r>
          </w:p>
        </w:tc>
        <w:tc>
          <w:tcPr>
            <w:tcW w:w="930" w:type="dxa"/>
            <w:shd w:val="clear" w:color="auto" w:fill="0070C0"/>
            <w:tcMar>
              <w:top w:w="14" w:type="dxa"/>
              <w:bottom w:w="14" w:type="dxa"/>
            </w:tcMar>
            <w:vAlign w:val="center"/>
          </w:tcPr>
          <w:p w:rsidR="00C26A3A" w:rsidRPr="00C26A3A" w:rsidRDefault="00C26A3A" w:rsidP="00E41122">
            <w:pPr>
              <w:adjustRightInd/>
              <w:spacing w:before="40" w:after="40" w:line="240" w:lineRule="auto"/>
              <w:jc w:val="center"/>
              <w:textAlignment w:val="auto"/>
              <w:rPr>
                <w:rFonts w:asciiTheme="minorHAnsi" w:eastAsia="Calibri" w:hAnsiTheme="minorHAnsi"/>
                <w:b/>
                <w:color w:val="FFFFFF" w:themeColor="background1"/>
                <w:sz w:val="18"/>
                <w:szCs w:val="18"/>
              </w:rPr>
            </w:pPr>
            <w:r w:rsidRPr="00C26A3A">
              <w:rPr>
                <w:rFonts w:asciiTheme="minorHAnsi" w:hAnsiTheme="minorHAnsi"/>
                <w:b/>
                <w:color w:val="FFFFFF" w:themeColor="background1"/>
                <w:sz w:val="18"/>
                <w:szCs w:val="18"/>
              </w:rPr>
              <w:t>Total Spilled North of Surowiec South (GWh)</w:t>
            </w:r>
          </w:p>
        </w:tc>
        <w:tc>
          <w:tcPr>
            <w:tcW w:w="1401" w:type="dxa"/>
            <w:shd w:val="clear" w:color="auto" w:fill="0070C0"/>
            <w:tcMar>
              <w:top w:w="14" w:type="dxa"/>
              <w:bottom w:w="14" w:type="dxa"/>
            </w:tcMar>
            <w:vAlign w:val="center"/>
          </w:tcPr>
          <w:p w:rsidR="00C26A3A" w:rsidRPr="00C26A3A" w:rsidRDefault="00C26A3A" w:rsidP="00E41122">
            <w:pPr>
              <w:adjustRightInd/>
              <w:spacing w:before="40" w:after="40" w:line="240" w:lineRule="auto"/>
              <w:jc w:val="center"/>
              <w:textAlignment w:val="auto"/>
              <w:rPr>
                <w:rFonts w:asciiTheme="minorHAnsi" w:eastAsia="Calibri" w:hAnsiTheme="minorHAnsi"/>
                <w:b/>
                <w:color w:val="FFFFFF" w:themeColor="background1"/>
                <w:sz w:val="18"/>
                <w:szCs w:val="18"/>
              </w:rPr>
            </w:pPr>
            <w:r w:rsidRPr="00C26A3A">
              <w:rPr>
                <w:rFonts w:asciiTheme="minorHAnsi" w:hAnsiTheme="minorHAnsi"/>
                <w:b/>
                <w:color w:val="FFFFFF" w:themeColor="background1"/>
                <w:sz w:val="18"/>
                <w:szCs w:val="18"/>
              </w:rPr>
              <w:t>Total Renewable Spilled North of Surowiec South (GWh)</w:t>
            </w:r>
          </w:p>
        </w:tc>
        <w:tc>
          <w:tcPr>
            <w:tcW w:w="1235" w:type="dxa"/>
            <w:shd w:val="clear" w:color="auto" w:fill="0070C0"/>
            <w:tcMar>
              <w:top w:w="14" w:type="dxa"/>
              <w:bottom w:w="14" w:type="dxa"/>
            </w:tcMar>
            <w:vAlign w:val="center"/>
          </w:tcPr>
          <w:p w:rsidR="00C26A3A" w:rsidRPr="00C26A3A" w:rsidRDefault="00C26A3A" w:rsidP="00E41122">
            <w:pPr>
              <w:adjustRightInd/>
              <w:spacing w:before="40" w:after="40" w:line="240" w:lineRule="auto"/>
              <w:jc w:val="center"/>
              <w:textAlignment w:val="auto"/>
              <w:rPr>
                <w:rFonts w:asciiTheme="minorHAnsi" w:eastAsia="Calibri" w:hAnsiTheme="minorHAnsi"/>
                <w:b/>
                <w:color w:val="FFFFFF" w:themeColor="background1"/>
                <w:sz w:val="18"/>
                <w:szCs w:val="18"/>
              </w:rPr>
            </w:pPr>
            <w:r w:rsidRPr="00C26A3A">
              <w:rPr>
                <w:rFonts w:asciiTheme="minorHAnsi" w:hAnsiTheme="minorHAnsi"/>
                <w:b/>
                <w:color w:val="FFFFFF" w:themeColor="background1"/>
                <w:sz w:val="18"/>
                <w:szCs w:val="18"/>
              </w:rPr>
              <w:t>% of Total Renewable Spilled North of Surowiec South (%)</w:t>
            </w:r>
          </w:p>
        </w:tc>
      </w:tr>
      <w:tr w:rsidR="00C26A3A" w:rsidRPr="00C26A3A" w:rsidTr="00C26A3A">
        <w:trPr>
          <w:jc w:val="center"/>
        </w:trPr>
        <w:tc>
          <w:tcPr>
            <w:tcW w:w="1718" w:type="dxa"/>
            <w:vMerge w:val="restart"/>
            <w:shd w:val="clear" w:color="auto" w:fill="auto"/>
            <w:tcMar>
              <w:top w:w="14" w:type="dxa"/>
              <w:bottom w:w="14" w:type="dxa"/>
            </w:tcMar>
            <w:vAlign w:val="center"/>
          </w:tcPr>
          <w:p w:rsidR="00C26A3A" w:rsidRPr="00C26A3A" w:rsidRDefault="00C26A3A" w:rsidP="00E41122">
            <w:pPr>
              <w:adjustRightInd/>
              <w:spacing w:before="40" w:after="40" w:line="240" w:lineRule="auto"/>
              <w:jc w:val="center"/>
              <w:textAlignment w:val="auto"/>
              <w:rPr>
                <w:rFonts w:asciiTheme="minorHAnsi" w:eastAsia="Calibri" w:hAnsiTheme="minorHAnsi"/>
                <w:b/>
                <w:sz w:val="18"/>
                <w:szCs w:val="18"/>
              </w:rPr>
            </w:pPr>
            <w:r w:rsidRPr="00C26A3A">
              <w:rPr>
                <w:rFonts w:asciiTheme="minorHAnsi" w:eastAsia="Calibri" w:hAnsiTheme="minorHAnsi"/>
                <w:b/>
                <w:sz w:val="18"/>
                <w:szCs w:val="18"/>
              </w:rPr>
              <w:t>2025 Constrained</w:t>
            </w:r>
          </w:p>
        </w:tc>
        <w:tc>
          <w:tcPr>
            <w:tcW w:w="846" w:type="dxa"/>
            <w:shd w:val="clear" w:color="auto" w:fill="auto"/>
            <w:tcMar>
              <w:top w:w="14" w:type="dxa"/>
              <w:bottom w:w="1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eastAsia="Calibri" w:hAnsiTheme="minorHAnsi"/>
                <w:sz w:val="18"/>
                <w:szCs w:val="18"/>
              </w:rPr>
              <w:t>RPS + Gas</w:t>
            </w:r>
          </w:p>
        </w:tc>
        <w:tc>
          <w:tcPr>
            <w:tcW w:w="1080"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36,256</w:t>
            </w:r>
          </w:p>
        </w:tc>
        <w:tc>
          <w:tcPr>
            <w:tcW w:w="775"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1,481</w:t>
            </w:r>
          </w:p>
        </w:tc>
        <w:tc>
          <w:tcPr>
            <w:tcW w:w="1061"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4.09%</w:t>
            </w:r>
          </w:p>
        </w:tc>
        <w:tc>
          <w:tcPr>
            <w:tcW w:w="1401"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1,451</w:t>
            </w:r>
          </w:p>
        </w:tc>
        <w:tc>
          <w:tcPr>
            <w:tcW w:w="930"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1,475</w:t>
            </w:r>
          </w:p>
        </w:tc>
        <w:tc>
          <w:tcPr>
            <w:tcW w:w="1401"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1,454</w:t>
            </w:r>
          </w:p>
        </w:tc>
        <w:tc>
          <w:tcPr>
            <w:tcW w:w="1235"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99.61%</w:t>
            </w:r>
          </w:p>
        </w:tc>
      </w:tr>
      <w:tr w:rsidR="00C26A3A" w:rsidRPr="00C26A3A" w:rsidTr="00C26A3A">
        <w:trPr>
          <w:jc w:val="center"/>
        </w:trPr>
        <w:tc>
          <w:tcPr>
            <w:tcW w:w="1718" w:type="dxa"/>
            <w:vMerge/>
            <w:shd w:val="clear" w:color="auto" w:fill="auto"/>
            <w:tcMar>
              <w:top w:w="14" w:type="dxa"/>
              <w:bottom w:w="14" w:type="dxa"/>
            </w:tcMar>
            <w:vAlign w:val="center"/>
          </w:tcPr>
          <w:p w:rsidR="00C26A3A" w:rsidRPr="00C26A3A" w:rsidRDefault="00C26A3A" w:rsidP="00E41122">
            <w:pPr>
              <w:spacing w:before="40" w:after="40" w:line="240" w:lineRule="auto"/>
              <w:jc w:val="center"/>
              <w:rPr>
                <w:rFonts w:asciiTheme="minorHAnsi" w:eastAsia="Calibri" w:hAnsiTheme="minorHAnsi"/>
                <w:b/>
                <w:sz w:val="18"/>
                <w:szCs w:val="18"/>
              </w:rPr>
            </w:pPr>
          </w:p>
        </w:tc>
        <w:tc>
          <w:tcPr>
            <w:tcW w:w="846" w:type="dxa"/>
            <w:shd w:val="clear" w:color="auto" w:fill="auto"/>
            <w:tcMar>
              <w:top w:w="14" w:type="dxa"/>
              <w:bottom w:w="1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eastAsia="Calibri" w:hAnsiTheme="minorHAnsi"/>
                <w:sz w:val="18"/>
                <w:szCs w:val="18"/>
              </w:rPr>
              <w:t>ISO Queue</w:t>
            </w:r>
          </w:p>
        </w:tc>
        <w:tc>
          <w:tcPr>
            <w:tcW w:w="1080"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39,022</w:t>
            </w:r>
          </w:p>
        </w:tc>
        <w:tc>
          <w:tcPr>
            <w:tcW w:w="775"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3,996</w:t>
            </w:r>
          </w:p>
        </w:tc>
        <w:tc>
          <w:tcPr>
            <w:tcW w:w="1061"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10.24%</w:t>
            </w:r>
          </w:p>
        </w:tc>
        <w:tc>
          <w:tcPr>
            <w:tcW w:w="1401"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3,811</w:t>
            </w:r>
          </w:p>
        </w:tc>
        <w:tc>
          <w:tcPr>
            <w:tcW w:w="930"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3,968</w:t>
            </w:r>
          </w:p>
        </w:tc>
        <w:tc>
          <w:tcPr>
            <w:tcW w:w="1401"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3,842</w:t>
            </w:r>
          </w:p>
        </w:tc>
        <w:tc>
          <w:tcPr>
            <w:tcW w:w="1235"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99.29%</w:t>
            </w:r>
          </w:p>
        </w:tc>
      </w:tr>
      <w:tr w:rsidR="00C26A3A" w:rsidRPr="00C26A3A" w:rsidTr="00C26A3A">
        <w:trPr>
          <w:jc w:val="center"/>
        </w:trPr>
        <w:tc>
          <w:tcPr>
            <w:tcW w:w="1718" w:type="dxa"/>
            <w:vMerge/>
            <w:shd w:val="clear" w:color="auto" w:fill="auto"/>
            <w:tcMar>
              <w:top w:w="14" w:type="dxa"/>
              <w:bottom w:w="14" w:type="dxa"/>
            </w:tcMar>
            <w:vAlign w:val="center"/>
          </w:tcPr>
          <w:p w:rsidR="00C26A3A" w:rsidRPr="00C26A3A" w:rsidRDefault="00C26A3A" w:rsidP="00E41122">
            <w:pPr>
              <w:spacing w:before="40" w:after="40" w:line="240" w:lineRule="auto"/>
              <w:jc w:val="center"/>
              <w:rPr>
                <w:rFonts w:asciiTheme="minorHAnsi" w:eastAsia="Calibri" w:hAnsiTheme="minorHAnsi"/>
                <w:b/>
                <w:sz w:val="18"/>
                <w:szCs w:val="18"/>
              </w:rPr>
            </w:pPr>
          </w:p>
        </w:tc>
        <w:tc>
          <w:tcPr>
            <w:tcW w:w="846" w:type="dxa"/>
            <w:shd w:val="clear" w:color="auto" w:fill="auto"/>
            <w:tcMar>
              <w:top w:w="14" w:type="dxa"/>
              <w:bottom w:w="1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eastAsia="Calibri" w:hAnsiTheme="minorHAnsi"/>
                <w:sz w:val="18"/>
                <w:szCs w:val="18"/>
              </w:rPr>
              <w:t>Renew Plus</w:t>
            </w:r>
          </w:p>
        </w:tc>
        <w:tc>
          <w:tcPr>
            <w:tcW w:w="1080"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55,748</w:t>
            </w:r>
          </w:p>
        </w:tc>
        <w:tc>
          <w:tcPr>
            <w:tcW w:w="775"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3,329</w:t>
            </w:r>
          </w:p>
        </w:tc>
        <w:tc>
          <w:tcPr>
            <w:tcW w:w="1061"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5.97%</w:t>
            </w:r>
          </w:p>
        </w:tc>
        <w:tc>
          <w:tcPr>
            <w:tcW w:w="1401"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2,897</w:t>
            </w:r>
          </w:p>
        </w:tc>
        <w:tc>
          <w:tcPr>
            <w:tcW w:w="930"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3,136</w:t>
            </w:r>
          </w:p>
        </w:tc>
        <w:tc>
          <w:tcPr>
            <w:tcW w:w="1401"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3,043</w:t>
            </w:r>
          </w:p>
        </w:tc>
        <w:tc>
          <w:tcPr>
            <w:tcW w:w="1235"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94.21%</w:t>
            </w:r>
          </w:p>
        </w:tc>
      </w:tr>
      <w:tr w:rsidR="00C26A3A" w:rsidRPr="00C26A3A" w:rsidTr="00C26A3A">
        <w:trPr>
          <w:jc w:val="center"/>
        </w:trPr>
        <w:tc>
          <w:tcPr>
            <w:tcW w:w="1718" w:type="dxa"/>
            <w:vMerge/>
            <w:shd w:val="clear" w:color="auto" w:fill="auto"/>
            <w:tcMar>
              <w:top w:w="14" w:type="dxa"/>
              <w:bottom w:w="14" w:type="dxa"/>
            </w:tcMar>
            <w:vAlign w:val="center"/>
          </w:tcPr>
          <w:p w:rsidR="00C26A3A" w:rsidRPr="00C26A3A" w:rsidRDefault="00C26A3A" w:rsidP="00E41122">
            <w:pPr>
              <w:spacing w:before="40" w:after="40" w:line="240" w:lineRule="auto"/>
              <w:jc w:val="center"/>
              <w:rPr>
                <w:rFonts w:asciiTheme="minorHAnsi" w:eastAsia="Calibri" w:hAnsiTheme="minorHAnsi"/>
                <w:b/>
                <w:sz w:val="18"/>
                <w:szCs w:val="18"/>
              </w:rPr>
            </w:pPr>
          </w:p>
        </w:tc>
        <w:tc>
          <w:tcPr>
            <w:tcW w:w="846" w:type="dxa"/>
            <w:shd w:val="clear" w:color="auto" w:fill="auto"/>
            <w:tcMar>
              <w:top w:w="14" w:type="dxa"/>
              <w:bottom w:w="1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eastAsia="Calibri" w:hAnsiTheme="minorHAnsi"/>
                <w:sz w:val="18"/>
                <w:szCs w:val="18"/>
              </w:rPr>
              <w:t>No Retire</w:t>
            </w:r>
          </w:p>
        </w:tc>
        <w:tc>
          <w:tcPr>
            <w:tcW w:w="1080"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32,119</w:t>
            </w:r>
          </w:p>
        </w:tc>
        <w:tc>
          <w:tcPr>
            <w:tcW w:w="775"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9</w:t>
            </w:r>
          </w:p>
        </w:tc>
        <w:tc>
          <w:tcPr>
            <w:tcW w:w="1061"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0.03%</w:t>
            </w:r>
          </w:p>
        </w:tc>
        <w:tc>
          <w:tcPr>
            <w:tcW w:w="1401"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4</w:t>
            </w:r>
          </w:p>
        </w:tc>
        <w:tc>
          <w:tcPr>
            <w:tcW w:w="930"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8</w:t>
            </w:r>
          </w:p>
        </w:tc>
        <w:tc>
          <w:tcPr>
            <w:tcW w:w="1401"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4</w:t>
            </w:r>
          </w:p>
        </w:tc>
        <w:tc>
          <w:tcPr>
            <w:tcW w:w="1235"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90.88%</w:t>
            </w:r>
          </w:p>
        </w:tc>
      </w:tr>
      <w:tr w:rsidR="00C26A3A" w:rsidRPr="00C26A3A" w:rsidTr="00C26A3A">
        <w:trPr>
          <w:jc w:val="center"/>
        </w:trPr>
        <w:tc>
          <w:tcPr>
            <w:tcW w:w="1718" w:type="dxa"/>
            <w:vMerge/>
            <w:shd w:val="clear" w:color="auto" w:fill="auto"/>
            <w:tcMar>
              <w:top w:w="14" w:type="dxa"/>
              <w:bottom w:w="14" w:type="dxa"/>
            </w:tcMar>
            <w:vAlign w:val="center"/>
          </w:tcPr>
          <w:p w:rsidR="00C26A3A" w:rsidRPr="00C26A3A" w:rsidRDefault="00C26A3A" w:rsidP="00E41122">
            <w:pPr>
              <w:spacing w:before="40" w:after="40" w:line="240" w:lineRule="auto"/>
              <w:jc w:val="center"/>
              <w:rPr>
                <w:rFonts w:asciiTheme="minorHAnsi" w:eastAsia="Calibri" w:hAnsiTheme="minorHAnsi"/>
                <w:b/>
                <w:sz w:val="18"/>
                <w:szCs w:val="18"/>
              </w:rPr>
            </w:pPr>
          </w:p>
        </w:tc>
        <w:tc>
          <w:tcPr>
            <w:tcW w:w="846" w:type="dxa"/>
            <w:shd w:val="clear" w:color="auto" w:fill="auto"/>
            <w:tcMar>
              <w:top w:w="14" w:type="dxa"/>
              <w:bottom w:w="1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eastAsia="Calibri" w:hAnsiTheme="minorHAnsi"/>
                <w:sz w:val="18"/>
                <w:szCs w:val="18"/>
              </w:rPr>
              <w:t>ACP + Gas</w:t>
            </w:r>
          </w:p>
        </w:tc>
        <w:tc>
          <w:tcPr>
            <w:tcW w:w="1080"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32,121</w:t>
            </w:r>
          </w:p>
        </w:tc>
        <w:tc>
          <w:tcPr>
            <w:tcW w:w="775"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7</w:t>
            </w:r>
          </w:p>
        </w:tc>
        <w:tc>
          <w:tcPr>
            <w:tcW w:w="1061"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0.02%</w:t>
            </w:r>
          </w:p>
        </w:tc>
        <w:tc>
          <w:tcPr>
            <w:tcW w:w="1401"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4</w:t>
            </w:r>
          </w:p>
        </w:tc>
        <w:tc>
          <w:tcPr>
            <w:tcW w:w="930"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6</w:t>
            </w:r>
          </w:p>
        </w:tc>
        <w:tc>
          <w:tcPr>
            <w:tcW w:w="1401"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4</w:t>
            </w:r>
          </w:p>
        </w:tc>
        <w:tc>
          <w:tcPr>
            <w:tcW w:w="1235"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80.73%</w:t>
            </w:r>
          </w:p>
        </w:tc>
      </w:tr>
      <w:tr w:rsidR="00C26A3A" w:rsidRPr="00C26A3A" w:rsidTr="00C26A3A">
        <w:trPr>
          <w:jc w:val="center"/>
        </w:trPr>
        <w:tc>
          <w:tcPr>
            <w:tcW w:w="1718" w:type="dxa"/>
            <w:vMerge/>
            <w:shd w:val="clear" w:color="auto" w:fill="auto"/>
            <w:tcMar>
              <w:top w:w="14" w:type="dxa"/>
              <w:bottom w:w="14" w:type="dxa"/>
            </w:tcMar>
            <w:vAlign w:val="center"/>
          </w:tcPr>
          <w:p w:rsidR="00C26A3A" w:rsidRPr="00C26A3A" w:rsidRDefault="00C26A3A" w:rsidP="00E41122">
            <w:pPr>
              <w:adjustRightInd/>
              <w:spacing w:before="40" w:after="40" w:line="240" w:lineRule="auto"/>
              <w:jc w:val="center"/>
              <w:textAlignment w:val="auto"/>
              <w:rPr>
                <w:rFonts w:asciiTheme="minorHAnsi" w:eastAsia="Calibri" w:hAnsiTheme="minorHAnsi"/>
                <w:b/>
                <w:sz w:val="18"/>
                <w:szCs w:val="18"/>
              </w:rPr>
            </w:pPr>
          </w:p>
        </w:tc>
        <w:tc>
          <w:tcPr>
            <w:tcW w:w="846" w:type="dxa"/>
            <w:shd w:val="clear" w:color="auto" w:fill="auto"/>
            <w:tcMar>
              <w:top w:w="14" w:type="dxa"/>
              <w:bottom w:w="1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eastAsia="Calibri" w:hAnsiTheme="minorHAnsi"/>
                <w:sz w:val="18"/>
                <w:szCs w:val="18"/>
              </w:rPr>
              <w:t>RPS + Geo Renew</w:t>
            </w:r>
          </w:p>
        </w:tc>
        <w:tc>
          <w:tcPr>
            <w:tcW w:w="1080"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42,379</w:t>
            </w:r>
          </w:p>
        </w:tc>
        <w:tc>
          <w:tcPr>
            <w:tcW w:w="775"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764</w:t>
            </w:r>
          </w:p>
        </w:tc>
        <w:tc>
          <w:tcPr>
            <w:tcW w:w="1061"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1.80%</w:t>
            </w:r>
          </w:p>
        </w:tc>
        <w:tc>
          <w:tcPr>
            <w:tcW w:w="1401"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662</w:t>
            </w:r>
          </w:p>
        </w:tc>
        <w:tc>
          <w:tcPr>
            <w:tcW w:w="930"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722</w:t>
            </w:r>
          </w:p>
        </w:tc>
        <w:tc>
          <w:tcPr>
            <w:tcW w:w="1401"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654</w:t>
            </w:r>
          </w:p>
        </w:tc>
        <w:tc>
          <w:tcPr>
            <w:tcW w:w="1235"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94.61%</w:t>
            </w:r>
          </w:p>
        </w:tc>
      </w:tr>
      <w:tr w:rsidR="00C26A3A" w:rsidRPr="00C26A3A" w:rsidTr="00C26A3A">
        <w:trPr>
          <w:jc w:val="center"/>
        </w:trPr>
        <w:tc>
          <w:tcPr>
            <w:tcW w:w="1718" w:type="dxa"/>
            <w:vMerge w:val="restart"/>
            <w:shd w:val="clear" w:color="auto" w:fill="DBE5F1" w:themeFill="accent1" w:themeFillTint="33"/>
            <w:tcMar>
              <w:top w:w="14" w:type="dxa"/>
              <w:bottom w:w="14" w:type="dxa"/>
            </w:tcMar>
            <w:vAlign w:val="center"/>
          </w:tcPr>
          <w:p w:rsidR="00C26A3A" w:rsidRPr="00C26A3A" w:rsidRDefault="00C26A3A" w:rsidP="00E41122">
            <w:pPr>
              <w:adjustRightInd/>
              <w:spacing w:before="40" w:after="40" w:line="240" w:lineRule="auto"/>
              <w:jc w:val="center"/>
              <w:textAlignment w:val="auto"/>
              <w:rPr>
                <w:rFonts w:asciiTheme="minorHAnsi" w:eastAsia="Calibri" w:hAnsiTheme="minorHAnsi"/>
                <w:b/>
                <w:sz w:val="18"/>
                <w:szCs w:val="18"/>
              </w:rPr>
            </w:pPr>
            <w:r w:rsidRPr="00C26A3A">
              <w:rPr>
                <w:rFonts w:asciiTheme="minorHAnsi" w:eastAsia="Calibri" w:hAnsiTheme="minorHAnsi"/>
                <w:b/>
                <w:sz w:val="18"/>
                <w:szCs w:val="18"/>
              </w:rPr>
              <w:t>2030 Constrained</w:t>
            </w:r>
          </w:p>
        </w:tc>
        <w:tc>
          <w:tcPr>
            <w:tcW w:w="846" w:type="dxa"/>
            <w:shd w:val="clear" w:color="auto" w:fill="DBE5F1" w:themeFill="accent1" w:themeFillTint="33"/>
            <w:tcMar>
              <w:top w:w="14" w:type="dxa"/>
              <w:bottom w:w="1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eastAsia="Calibri" w:hAnsiTheme="minorHAnsi"/>
                <w:sz w:val="18"/>
                <w:szCs w:val="18"/>
              </w:rPr>
              <w:t>RPS + Gas</w:t>
            </w:r>
          </w:p>
        </w:tc>
        <w:tc>
          <w:tcPr>
            <w:tcW w:w="1080"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38,152</w:t>
            </w:r>
          </w:p>
        </w:tc>
        <w:tc>
          <w:tcPr>
            <w:tcW w:w="775"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3,035</w:t>
            </w:r>
          </w:p>
        </w:tc>
        <w:tc>
          <w:tcPr>
            <w:tcW w:w="1061"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7.96%</w:t>
            </w:r>
          </w:p>
        </w:tc>
        <w:tc>
          <w:tcPr>
            <w:tcW w:w="1401"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3,026</w:t>
            </w:r>
          </w:p>
        </w:tc>
        <w:tc>
          <w:tcPr>
            <w:tcW w:w="930"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3,033</w:t>
            </w:r>
          </w:p>
        </w:tc>
        <w:tc>
          <w:tcPr>
            <w:tcW w:w="1401"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3,028</w:t>
            </w:r>
          </w:p>
        </w:tc>
        <w:tc>
          <w:tcPr>
            <w:tcW w:w="1235"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99.93%</w:t>
            </w:r>
          </w:p>
        </w:tc>
      </w:tr>
      <w:tr w:rsidR="00C26A3A" w:rsidRPr="00C26A3A" w:rsidTr="00C26A3A">
        <w:trPr>
          <w:jc w:val="center"/>
        </w:trPr>
        <w:tc>
          <w:tcPr>
            <w:tcW w:w="1718" w:type="dxa"/>
            <w:vMerge/>
            <w:shd w:val="clear" w:color="auto" w:fill="DBE5F1" w:themeFill="accent1" w:themeFillTint="33"/>
            <w:tcMar>
              <w:top w:w="14" w:type="dxa"/>
              <w:bottom w:w="14" w:type="dxa"/>
            </w:tcMar>
            <w:vAlign w:val="center"/>
          </w:tcPr>
          <w:p w:rsidR="00C26A3A" w:rsidRPr="00C26A3A" w:rsidRDefault="00C26A3A" w:rsidP="00E41122">
            <w:pPr>
              <w:spacing w:before="40" w:after="40" w:line="240" w:lineRule="auto"/>
              <w:jc w:val="center"/>
              <w:rPr>
                <w:rFonts w:asciiTheme="minorHAnsi" w:eastAsia="Calibri" w:hAnsiTheme="minorHAnsi"/>
                <w:b/>
                <w:sz w:val="18"/>
                <w:szCs w:val="18"/>
              </w:rPr>
            </w:pPr>
          </w:p>
        </w:tc>
        <w:tc>
          <w:tcPr>
            <w:tcW w:w="846" w:type="dxa"/>
            <w:shd w:val="clear" w:color="auto" w:fill="DBE5F1" w:themeFill="accent1" w:themeFillTint="33"/>
            <w:tcMar>
              <w:top w:w="14" w:type="dxa"/>
              <w:bottom w:w="1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eastAsia="Calibri" w:hAnsiTheme="minorHAnsi"/>
                <w:sz w:val="18"/>
                <w:szCs w:val="18"/>
              </w:rPr>
              <w:t>ISO Queue</w:t>
            </w:r>
          </w:p>
        </w:tc>
        <w:tc>
          <w:tcPr>
            <w:tcW w:w="1080"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50,649</w:t>
            </w:r>
          </w:p>
        </w:tc>
        <w:tc>
          <w:tcPr>
            <w:tcW w:w="775"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29,821</w:t>
            </w:r>
          </w:p>
        </w:tc>
        <w:tc>
          <w:tcPr>
            <w:tcW w:w="1061"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58.88%</w:t>
            </w:r>
          </w:p>
        </w:tc>
        <w:tc>
          <w:tcPr>
            <w:tcW w:w="1401"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21,128</w:t>
            </w:r>
          </w:p>
        </w:tc>
        <w:tc>
          <w:tcPr>
            <w:tcW w:w="930"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29,717</w:t>
            </w:r>
          </w:p>
        </w:tc>
        <w:tc>
          <w:tcPr>
            <w:tcW w:w="1401"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24,885</w:t>
            </w:r>
          </w:p>
        </w:tc>
        <w:tc>
          <w:tcPr>
            <w:tcW w:w="1235"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99.65%</w:t>
            </w:r>
          </w:p>
        </w:tc>
      </w:tr>
      <w:tr w:rsidR="00C26A3A" w:rsidRPr="00C26A3A" w:rsidTr="00C26A3A">
        <w:trPr>
          <w:jc w:val="center"/>
        </w:trPr>
        <w:tc>
          <w:tcPr>
            <w:tcW w:w="1718" w:type="dxa"/>
            <w:vMerge/>
            <w:shd w:val="clear" w:color="auto" w:fill="DBE5F1" w:themeFill="accent1" w:themeFillTint="33"/>
            <w:tcMar>
              <w:top w:w="14" w:type="dxa"/>
              <w:bottom w:w="14" w:type="dxa"/>
            </w:tcMar>
            <w:vAlign w:val="center"/>
          </w:tcPr>
          <w:p w:rsidR="00C26A3A" w:rsidRPr="00C26A3A" w:rsidRDefault="00C26A3A" w:rsidP="00E41122">
            <w:pPr>
              <w:spacing w:before="40" w:after="40" w:line="240" w:lineRule="auto"/>
              <w:jc w:val="center"/>
              <w:rPr>
                <w:rFonts w:asciiTheme="minorHAnsi" w:eastAsia="Calibri" w:hAnsiTheme="minorHAnsi"/>
                <w:b/>
                <w:sz w:val="18"/>
                <w:szCs w:val="18"/>
              </w:rPr>
            </w:pPr>
          </w:p>
        </w:tc>
        <w:tc>
          <w:tcPr>
            <w:tcW w:w="846" w:type="dxa"/>
            <w:shd w:val="clear" w:color="auto" w:fill="DBE5F1" w:themeFill="accent1" w:themeFillTint="33"/>
            <w:tcMar>
              <w:top w:w="14" w:type="dxa"/>
              <w:bottom w:w="1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eastAsia="Calibri" w:hAnsiTheme="minorHAnsi"/>
                <w:sz w:val="18"/>
                <w:szCs w:val="18"/>
              </w:rPr>
              <w:t>Renew Plus</w:t>
            </w:r>
          </w:p>
        </w:tc>
        <w:tc>
          <w:tcPr>
            <w:tcW w:w="1080"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66,776</w:t>
            </w:r>
          </w:p>
        </w:tc>
        <w:tc>
          <w:tcPr>
            <w:tcW w:w="775"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20,103</w:t>
            </w:r>
          </w:p>
        </w:tc>
        <w:tc>
          <w:tcPr>
            <w:tcW w:w="1061"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30.10%</w:t>
            </w:r>
          </w:p>
        </w:tc>
        <w:tc>
          <w:tcPr>
            <w:tcW w:w="1401"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2,974</w:t>
            </w:r>
          </w:p>
        </w:tc>
        <w:tc>
          <w:tcPr>
            <w:tcW w:w="930"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5,030</w:t>
            </w:r>
          </w:p>
        </w:tc>
        <w:tc>
          <w:tcPr>
            <w:tcW w:w="1401"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3,480</w:t>
            </w:r>
          </w:p>
        </w:tc>
        <w:tc>
          <w:tcPr>
            <w:tcW w:w="1235"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25.02%</w:t>
            </w:r>
          </w:p>
        </w:tc>
      </w:tr>
      <w:tr w:rsidR="00C26A3A" w:rsidRPr="00C26A3A" w:rsidTr="00C26A3A">
        <w:trPr>
          <w:jc w:val="center"/>
        </w:trPr>
        <w:tc>
          <w:tcPr>
            <w:tcW w:w="1718" w:type="dxa"/>
            <w:vMerge/>
            <w:shd w:val="clear" w:color="auto" w:fill="DBE5F1" w:themeFill="accent1" w:themeFillTint="33"/>
            <w:tcMar>
              <w:top w:w="14" w:type="dxa"/>
              <w:bottom w:w="14" w:type="dxa"/>
            </w:tcMar>
            <w:vAlign w:val="center"/>
          </w:tcPr>
          <w:p w:rsidR="00C26A3A" w:rsidRPr="00C26A3A" w:rsidRDefault="00C26A3A" w:rsidP="00E41122">
            <w:pPr>
              <w:spacing w:before="40" w:after="40" w:line="240" w:lineRule="auto"/>
              <w:jc w:val="center"/>
              <w:rPr>
                <w:rFonts w:asciiTheme="minorHAnsi" w:eastAsia="Calibri" w:hAnsiTheme="minorHAnsi"/>
                <w:b/>
                <w:sz w:val="18"/>
                <w:szCs w:val="18"/>
              </w:rPr>
            </w:pPr>
          </w:p>
        </w:tc>
        <w:tc>
          <w:tcPr>
            <w:tcW w:w="846" w:type="dxa"/>
            <w:shd w:val="clear" w:color="auto" w:fill="DBE5F1" w:themeFill="accent1" w:themeFillTint="33"/>
            <w:tcMar>
              <w:top w:w="14" w:type="dxa"/>
              <w:bottom w:w="1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eastAsia="Calibri" w:hAnsiTheme="minorHAnsi"/>
                <w:sz w:val="18"/>
                <w:szCs w:val="18"/>
              </w:rPr>
              <w:t>No Retire</w:t>
            </w:r>
          </w:p>
        </w:tc>
        <w:tc>
          <w:tcPr>
            <w:tcW w:w="1080"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33,013</w:t>
            </w:r>
          </w:p>
        </w:tc>
        <w:tc>
          <w:tcPr>
            <w:tcW w:w="775"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8</w:t>
            </w:r>
          </w:p>
        </w:tc>
        <w:tc>
          <w:tcPr>
            <w:tcW w:w="1061"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0.03%</w:t>
            </w:r>
          </w:p>
        </w:tc>
        <w:tc>
          <w:tcPr>
            <w:tcW w:w="1401"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w:t>
            </w:r>
          </w:p>
        </w:tc>
        <w:tc>
          <w:tcPr>
            <w:tcW w:w="930"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7</w:t>
            </w:r>
          </w:p>
        </w:tc>
        <w:tc>
          <w:tcPr>
            <w:tcW w:w="1401"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w:t>
            </w:r>
          </w:p>
        </w:tc>
        <w:tc>
          <w:tcPr>
            <w:tcW w:w="1235"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84.98%</w:t>
            </w:r>
          </w:p>
        </w:tc>
      </w:tr>
      <w:tr w:rsidR="00C26A3A" w:rsidRPr="00C26A3A" w:rsidTr="00C26A3A">
        <w:trPr>
          <w:jc w:val="center"/>
        </w:trPr>
        <w:tc>
          <w:tcPr>
            <w:tcW w:w="1718" w:type="dxa"/>
            <w:vMerge/>
            <w:shd w:val="clear" w:color="auto" w:fill="DBE5F1" w:themeFill="accent1" w:themeFillTint="33"/>
            <w:tcMar>
              <w:top w:w="14" w:type="dxa"/>
              <w:bottom w:w="14" w:type="dxa"/>
            </w:tcMar>
            <w:vAlign w:val="center"/>
          </w:tcPr>
          <w:p w:rsidR="00C26A3A" w:rsidRPr="00C26A3A" w:rsidRDefault="00C26A3A" w:rsidP="00E41122">
            <w:pPr>
              <w:spacing w:before="40" w:after="40" w:line="240" w:lineRule="auto"/>
              <w:jc w:val="center"/>
              <w:rPr>
                <w:rFonts w:asciiTheme="minorHAnsi" w:eastAsia="Calibri" w:hAnsiTheme="minorHAnsi"/>
                <w:b/>
                <w:sz w:val="18"/>
                <w:szCs w:val="18"/>
              </w:rPr>
            </w:pPr>
          </w:p>
        </w:tc>
        <w:tc>
          <w:tcPr>
            <w:tcW w:w="846" w:type="dxa"/>
            <w:shd w:val="clear" w:color="auto" w:fill="DBE5F1" w:themeFill="accent1" w:themeFillTint="33"/>
            <w:tcMar>
              <w:top w:w="14" w:type="dxa"/>
              <w:bottom w:w="1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eastAsia="Calibri" w:hAnsiTheme="minorHAnsi"/>
                <w:sz w:val="18"/>
                <w:szCs w:val="18"/>
              </w:rPr>
              <w:t>ACP + Gas</w:t>
            </w:r>
          </w:p>
        </w:tc>
        <w:tc>
          <w:tcPr>
            <w:tcW w:w="1080"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33,017</w:t>
            </w:r>
          </w:p>
        </w:tc>
        <w:tc>
          <w:tcPr>
            <w:tcW w:w="775"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5</w:t>
            </w:r>
          </w:p>
        </w:tc>
        <w:tc>
          <w:tcPr>
            <w:tcW w:w="1061"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0.01%</w:t>
            </w:r>
          </w:p>
        </w:tc>
        <w:tc>
          <w:tcPr>
            <w:tcW w:w="1401"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2</w:t>
            </w:r>
          </w:p>
        </w:tc>
        <w:tc>
          <w:tcPr>
            <w:tcW w:w="930"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w:t>
            </w:r>
          </w:p>
        </w:tc>
        <w:tc>
          <w:tcPr>
            <w:tcW w:w="1401"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2</w:t>
            </w:r>
          </w:p>
        </w:tc>
        <w:tc>
          <w:tcPr>
            <w:tcW w:w="1235"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74.32%</w:t>
            </w:r>
          </w:p>
        </w:tc>
      </w:tr>
      <w:tr w:rsidR="00C26A3A" w:rsidRPr="00C26A3A" w:rsidTr="00C26A3A">
        <w:trPr>
          <w:jc w:val="center"/>
        </w:trPr>
        <w:tc>
          <w:tcPr>
            <w:tcW w:w="1718" w:type="dxa"/>
            <w:vMerge/>
            <w:shd w:val="clear" w:color="auto" w:fill="DBE5F1" w:themeFill="accent1" w:themeFillTint="33"/>
            <w:tcMar>
              <w:top w:w="14" w:type="dxa"/>
              <w:bottom w:w="14" w:type="dxa"/>
            </w:tcMar>
            <w:vAlign w:val="center"/>
          </w:tcPr>
          <w:p w:rsidR="00C26A3A" w:rsidRPr="00C26A3A" w:rsidRDefault="00C26A3A" w:rsidP="00E41122">
            <w:pPr>
              <w:adjustRightInd/>
              <w:spacing w:before="40" w:after="40" w:line="240" w:lineRule="auto"/>
              <w:jc w:val="center"/>
              <w:textAlignment w:val="auto"/>
              <w:rPr>
                <w:rFonts w:asciiTheme="minorHAnsi" w:eastAsia="Calibri" w:hAnsiTheme="minorHAnsi"/>
                <w:b/>
                <w:sz w:val="18"/>
                <w:szCs w:val="18"/>
              </w:rPr>
            </w:pPr>
          </w:p>
        </w:tc>
        <w:tc>
          <w:tcPr>
            <w:tcW w:w="846" w:type="dxa"/>
            <w:shd w:val="clear" w:color="auto" w:fill="DBE5F1" w:themeFill="accent1" w:themeFillTint="33"/>
            <w:tcMar>
              <w:top w:w="14" w:type="dxa"/>
              <w:bottom w:w="1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eastAsia="Calibri" w:hAnsiTheme="minorHAnsi"/>
                <w:sz w:val="18"/>
                <w:szCs w:val="18"/>
              </w:rPr>
              <w:t>RPS + Geo Renew</w:t>
            </w:r>
          </w:p>
        </w:tc>
        <w:tc>
          <w:tcPr>
            <w:tcW w:w="1080"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70,638</w:t>
            </w:r>
          </w:p>
        </w:tc>
        <w:tc>
          <w:tcPr>
            <w:tcW w:w="775"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13,928</w:t>
            </w:r>
          </w:p>
        </w:tc>
        <w:tc>
          <w:tcPr>
            <w:tcW w:w="1061"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19.72%</w:t>
            </w:r>
          </w:p>
        </w:tc>
        <w:tc>
          <w:tcPr>
            <w:tcW w:w="1401"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5,174</w:t>
            </w:r>
          </w:p>
        </w:tc>
        <w:tc>
          <w:tcPr>
            <w:tcW w:w="930"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11,254</w:t>
            </w:r>
          </w:p>
        </w:tc>
        <w:tc>
          <w:tcPr>
            <w:tcW w:w="1401"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6,456</w:t>
            </w:r>
          </w:p>
        </w:tc>
        <w:tc>
          <w:tcPr>
            <w:tcW w:w="1235"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80.80%</w:t>
            </w:r>
          </w:p>
        </w:tc>
      </w:tr>
      <w:tr w:rsidR="00C26A3A" w:rsidRPr="00C26A3A" w:rsidTr="00C26A3A">
        <w:trPr>
          <w:jc w:val="center"/>
        </w:trPr>
        <w:tc>
          <w:tcPr>
            <w:tcW w:w="1718" w:type="dxa"/>
            <w:vMerge w:val="restart"/>
            <w:shd w:val="clear" w:color="auto" w:fill="auto"/>
            <w:tcMar>
              <w:top w:w="14" w:type="dxa"/>
              <w:bottom w:w="14" w:type="dxa"/>
            </w:tcMar>
            <w:vAlign w:val="center"/>
          </w:tcPr>
          <w:p w:rsidR="00C26A3A" w:rsidRPr="00C26A3A" w:rsidRDefault="00C26A3A" w:rsidP="00E41122">
            <w:pPr>
              <w:adjustRightInd/>
              <w:spacing w:before="40" w:after="40" w:line="240" w:lineRule="auto"/>
              <w:jc w:val="center"/>
              <w:textAlignment w:val="auto"/>
              <w:rPr>
                <w:rFonts w:asciiTheme="minorHAnsi" w:eastAsia="Calibri" w:hAnsiTheme="minorHAnsi"/>
                <w:b/>
                <w:sz w:val="18"/>
                <w:szCs w:val="18"/>
              </w:rPr>
            </w:pPr>
            <w:r w:rsidRPr="00C26A3A">
              <w:rPr>
                <w:rFonts w:asciiTheme="minorHAnsi" w:eastAsia="Calibri" w:hAnsiTheme="minorHAnsi"/>
                <w:b/>
                <w:sz w:val="18"/>
                <w:szCs w:val="18"/>
              </w:rPr>
              <w:lastRenderedPageBreak/>
              <w:t>2025 Unconstrained</w:t>
            </w:r>
          </w:p>
        </w:tc>
        <w:tc>
          <w:tcPr>
            <w:tcW w:w="846" w:type="dxa"/>
            <w:shd w:val="clear" w:color="auto" w:fill="auto"/>
            <w:tcMar>
              <w:top w:w="14" w:type="dxa"/>
              <w:bottom w:w="1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eastAsia="Calibri" w:hAnsiTheme="minorHAnsi"/>
                <w:sz w:val="18"/>
                <w:szCs w:val="18"/>
              </w:rPr>
              <w:t>RPS + Gas</w:t>
            </w:r>
          </w:p>
        </w:tc>
        <w:tc>
          <w:tcPr>
            <w:tcW w:w="1080"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37,707</w:t>
            </w:r>
          </w:p>
        </w:tc>
        <w:tc>
          <w:tcPr>
            <w:tcW w:w="775"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31</w:t>
            </w:r>
          </w:p>
        </w:tc>
        <w:tc>
          <w:tcPr>
            <w:tcW w:w="1061"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0.08%</w:t>
            </w:r>
          </w:p>
        </w:tc>
        <w:tc>
          <w:tcPr>
            <w:tcW w:w="1401" w:type="dxa"/>
            <w:shd w:val="clear" w:color="auto" w:fill="auto"/>
            <w:tcMar>
              <w:top w:w="14" w:type="dxa"/>
              <w:left w:w="115" w:type="dxa"/>
              <w:bottom w:w="14" w:type="dxa"/>
              <w:right w:w="14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hAnsiTheme="minorHAnsi"/>
                <w:sz w:val="18"/>
                <w:szCs w:val="18"/>
              </w:rPr>
              <w:t>Unconstrained reference</w:t>
            </w:r>
          </w:p>
        </w:tc>
        <w:tc>
          <w:tcPr>
            <w:tcW w:w="930"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21</w:t>
            </w:r>
          </w:p>
        </w:tc>
        <w:tc>
          <w:tcPr>
            <w:tcW w:w="1401" w:type="dxa"/>
            <w:shd w:val="clear" w:color="auto" w:fill="auto"/>
            <w:tcMar>
              <w:top w:w="14" w:type="dxa"/>
              <w:left w:w="115" w:type="dxa"/>
              <w:bottom w:w="14" w:type="dxa"/>
              <w:right w:w="14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hAnsiTheme="minorHAnsi"/>
                <w:sz w:val="18"/>
                <w:szCs w:val="18"/>
              </w:rPr>
              <w:t>Unconstrained reference</w:t>
            </w:r>
          </w:p>
        </w:tc>
        <w:tc>
          <w:tcPr>
            <w:tcW w:w="1235"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68.72%</w:t>
            </w:r>
          </w:p>
        </w:tc>
      </w:tr>
      <w:tr w:rsidR="00C26A3A" w:rsidRPr="00C26A3A" w:rsidTr="00C26A3A">
        <w:trPr>
          <w:jc w:val="center"/>
        </w:trPr>
        <w:tc>
          <w:tcPr>
            <w:tcW w:w="1718" w:type="dxa"/>
            <w:vMerge/>
            <w:shd w:val="clear" w:color="auto" w:fill="auto"/>
            <w:tcMar>
              <w:top w:w="14" w:type="dxa"/>
              <w:bottom w:w="14" w:type="dxa"/>
            </w:tcMar>
            <w:vAlign w:val="center"/>
          </w:tcPr>
          <w:p w:rsidR="00C26A3A" w:rsidRPr="00C26A3A" w:rsidRDefault="00C26A3A" w:rsidP="00E41122">
            <w:pPr>
              <w:spacing w:before="40" w:after="40" w:line="240" w:lineRule="auto"/>
              <w:jc w:val="center"/>
              <w:rPr>
                <w:rFonts w:asciiTheme="minorHAnsi" w:eastAsia="Calibri" w:hAnsiTheme="minorHAnsi"/>
                <w:b/>
                <w:sz w:val="18"/>
                <w:szCs w:val="18"/>
              </w:rPr>
            </w:pPr>
          </w:p>
        </w:tc>
        <w:tc>
          <w:tcPr>
            <w:tcW w:w="846" w:type="dxa"/>
            <w:shd w:val="clear" w:color="auto" w:fill="auto"/>
            <w:tcMar>
              <w:top w:w="14" w:type="dxa"/>
              <w:bottom w:w="1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eastAsia="Calibri" w:hAnsiTheme="minorHAnsi"/>
                <w:sz w:val="18"/>
                <w:szCs w:val="18"/>
              </w:rPr>
              <w:t>ISO Queue</w:t>
            </w:r>
          </w:p>
        </w:tc>
        <w:tc>
          <w:tcPr>
            <w:tcW w:w="1080"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42,833</w:t>
            </w:r>
          </w:p>
        </w:tc>
        <w:tc>
          <w:tcPr>
            <w:tcW w:w="775"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185</w:t>
            </w:r>
          </w:p>
        </w:tc>
        <w:tc>
          <w:tcPr>
            <w:tcW w:w="1061"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0.43%</w:t>
            </w:r>
          </w:p>
        </w:tc>
        <w:tc>
          <w:tcPr>
            <w:tcW w:w="1401" w:type="dxa"/>
            <w:shd w:val="clear" w:color="auto" w:fill="auto"/>
            <w:tcMar>
              <w:top w:w="14" w:type="dxa"/>
              <w:left w:w="115" w:type="dxa"/>
              <w:bottom w:w="14" w:type="dxa"/>
              <w:right w:w="14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hAnsiTheme="minorHAnsi"/>
                <w:sz w:val="18"/>
                <w:szCs w:val="18"/>
              </w:rPr>
              <w:t>Unconstrained reference</w:t>
            </w:r>
          </w:p>
        </w:tc>
        <w:tc>
          <w:tcPr>
            <w:tcW w:w="930"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126</w:t>
            </w:r>
          </w:p>
        </w:tc>
        <w:tc>
          <w:tcPr>
            <w:tcW w:w="1401" w:type="dxa"/>
            <w:shd w:val="clear" w:color="auto" w:fill="auto"/>
            <w:tcMar>
              <w:top w:w="14" w:type="dxa"/>
              <w:left w:w="115" w:type="dxa"/>
              <w:bottom w:w="14" w:type="dxa"/>
              <w:right w:w="14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hAnsiTheme="minorHAnsi"/>
                <w:sz w:val="18"/>
                <w:szCs w:val="18"/>
              </w:rPr>
              <w:t>Unconstrained reference</w:t>
            </w:r>
          </w:p>
        </w:tc>
        <w:tc>
          <w:tcPr>
            <w:tcW w:w="1235"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68.05%</w:t>
            </w:r>
          </w:p>
        </w:tc>
      </w:tr>
      <w:tr w:rsidR="00C26A3A" w:rsidRPr="00C26A3A" w:rsidTr="00C26A3A">
        <w:trPr>
          <w:jc w:val="center"/>
        </w:trPr>
        <w:tc>
          <w:tcPr>
            <w:tcW w:w="1718" w:type="dxa"/>
            <w:vMerge/>
            <w:shd w:val="clear" w:color="auto" w:fill="auto"/>
            <w:tcMar>
              <w:top w:w="14" w:type="dxa"/>
              <w:bottom w:w="14" w:type="dxa"/>
            </w:tcMar>
            <w:vAlign w:val="center"/>
          </w:tcPr>
          <w:p w:rsidR="00C26A3A" w:rsidRPr="00C26A3A" w:rsidRDefault="00C26A3A" w:rsidP="00E41122">
            <w:pPr>
              <w:spacing w:before="40" w:after="40" w:line="240" w:lineRule="auto"/>
              <w:jc w:val="center"/>
              <w:rPr>
                <w:rFonts w:asciiTheme="minorHAnsi" w:eastAsia="Calibri" w:hAnsiTheme="minorHAnsi"/>
                <w:b/>
                <w:sz w:val="18"/>
                <w:szCs w:val="18"/>
              </w:rPr>
            </w:pPr>
          </w:p>
        </w:tc>
        <w:tc>
          <w:tcPr>
            <w:tcW w:w="846" w:type="dxa"/>
            <w:shd w:val="clear" w:color="auto" w:fill="auto"/>
            <w:tcMar>
              <w:top w:w="14" w:type="dxa"/>
              <w:bottom w:w="1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eastAsia="Calibri" w:hAnsiTheme="minorHAnsi"/>
                <w:sz w:val="18"/>
                <w:szCs w:val="18"/>
              </w:rPr>
              <w:t>Renew Plus</w:t>
            </w:r>
          </w:p>
        </w:tc>
        <w:tc>
          <w:tcPr>
            <w:tcW w:w="1080"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58,645</w:t>
            </w:r>
          </w:p>
        </w:tc>
        <w:tc>
          <w:tcPr>
            <w:tcW w:w="775"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432</w:t>
            </w:r>
          </w:p>
        </w:tc>
        <w:tc>
          <w:tcPr>
            <w:tcW w:w="1061"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0.74%</w:t>
            </w:r>
          </w:p>
        </w:tc>
        <w:tc>
          <w:tcPr>
            <w:tcW w:w="1401" w:type="dxa"/>
            <w:shd w:val="clear" w:color="auto" w:fill="auto"/>
            <w:tcMar>
              <w:top w:w="14" w:type="dxa"/>
              <w:left w:w="115" w:type="dxa"/>
              <w:bottom w:w="14" w:type="dxa"/>
              <w:right w:w="14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hAnsiTheme="minorHAnsi"/>
                <w:sz w:val="18"/>
                <w:szCs w:val="18"/>
              </w:rPr>
              <w:t>Unconstrained reference</w:t>
            </w:r>
          </w:p>
        </w:tc>
        <w:tc>
          <w:tcPr>
            <w:tcW w:w="930"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93</w:t>
            </w:r>
          </w:p>
        </w:tc>
        <w:tc>
          <w:tcPr>
            <w:tcW w:w="1401" w:type="dxa"/>
            <w:shd w:val="clear" w:color="auto" w:fill="auto"/>
            <w:tcMar>
              <w:top w:w="14" w:type="dxa"/>
              <w:left w:w="115" w:type="dxa"/>
              <w:bottom w:w="14" w:type="dxa"/>
              <w:right w:w="14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hAnsiTheme="minorHAnsi"/>
                <w:sz w:val="18"/>
                <w:szCs w:val="18"/>
              </w:rPr>
              <w:t>Unconstrained reference</w:t>
            </w:r>
          </w:p>
        </w:tc>
        <w:tc>
          <w:tcPr>
            <w:tcW w:w="1235"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21.52%</w:t>
            </w:r>
          </w:p>
        </w:tc>
      </w:tr>
      <w:tr w:rsidR="00C26A3A" w:rsidRPr="00C26A3A" w:rsidTr="00C26A3A">
        <w:trPr>
          <w:jc w:val="center"/>
        </w:trPr>
        <w:tc>
          <w:tcPr>
            <w:tcW w:w="1718" w:type="dxa"/>
            <w:vMerge/>
            <w:shd w:val="clear" w:color="auto" w:fill="auto"/>
            <w:tcMar>
              <w:top w:w="14" w:type="dxa"/>
              <w:bottom w:w="14" w:type="dxa"/>
            </w:tcMar>
            <w:vAlign w:val="center"/>
          </w:tcPr>
          <w:p w:rsidR="00C26A3A" w:rsidRPr="00C26A3A" w:rsidRDefault="00C26A3A" w:rsidP="00E41122">
            <w:pPr>
              <w:spacing w:before="40" w:after="40" w:line="240" w:lineRule="auto"/>
              <w:jc w:val="center"/>
              <w:rPr>
                <w:rFonts w:asciiTheme="minorHAnsi" w:eastAsia="Calibri" w:hAnsiTheme="minorHAnsi"/>
                <w:b/>
                <w:sz w:val="18"/>
                <w:szCs w:val="18"/>
              </w:rPr>
            </w:pPr>
          </w:p>
        </w:tc>
        <w:tc>
          <w:tcPr>
            <w:tcW w:w="846" w:type="dxa"/>
            <w:shd w:val="clear" w:color="auto" w:fill="auto"/>
            <w:tcMar>
              <w:top w:w="14" w:type="dxa"/>
              <w:bottom w:w="1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eastAsia="Calibri" w:hAnsiTheme="minorHAnsi"/>
                <w:sz w:val="18"/>
                <w:szCs w:val="18"/>
              </w:rPr>
              <w:t>No Retire</w:t>
            </w:r>
          </w:p>
        </w:tc>
        <w:tc>
          <w:tcPr>
            <w:tcW w:w="1080"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32,123</w:t>
            </w:r>
          </w:p>
        </w:tc>
        <w:tc>
          <w:tcPr>
            <w:tcW w:w="775"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5</w:t>
            </w:r>
          </w:p>
        </w:tc>
        <w:tc>
          <w:tcPr>
            <w:tcW w:w="1061"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0.02%</w:t>
            </w:r>
          </w:p>
        </w:tc>
        <w:tc>
          <w:tcPr>
            <w:tcW w:w="1401" w:type="dxa"/>
            <w:shd w:val="clear" w:color="auto" w:fill="auto"/>
            <w:tcMar>
              <w:top w:w="14" w:type="dxa"/>
              <w:left w:w="115" w:type="dxa"/>
              <w:bottom w:w="14" w:type="dxa"/>
              <w:right w:w="14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hAnsiTheme="minorHAnsi"/>
                <w:sz w:val="18"/>
                <w:szCs w:val="18"/>
              </w:rPr>
              <w:t>Unconstrained reference</w:t>
            </w:r>
          </w:p>
        </w:tc>
        <w:tc>
          <w:tcPr>
            <w:tcW w:w="930"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5</w:t>
            </w:r>
          </w:p>
        </w:tc>
        <w:tc>
          <w:tcPr>
            <w:tcW w:w="1401" w:type="dxa"/>
            <w:shd w:val="clear" w:color="auto" w:fill="auto"/>
            <w:tcMar>
              <w:top w:w="14" w:type="dxa"/>
              <w:left w:w="115" w:type="dxa"/>
              <w:bottom w:w="14" w:type="dxa"/>
              <w:right w:w="14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hAnsiTheme="minorHAnsi"/>
                <w:sz w:val="18"/>
                <w:szCs w:val="18"/>
              </w:rPr>
              <w:t>Unconstrained reference</w:t>
            </w:r>
          </w:p>
        </w:tc>
        <w:tc>
          <w:tcPr>
            <w:tcW w:w="1235"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86.64%</w:t>
            </w:r>
          </w:p>
        </w:tc>
      </w:tr>
      <w:tr w:rsidR="00C26A3A" w:rsidRPr="00C26A3A" w:rsidTr="00C26A3A">
        <w:trPr>
          <w:jc w:val="center"/>
        </w:trPr>
        <w:tc>
          <w:tcPr>
            <w:tcW w:w="1718" w:type="dxa"/>
            <w:vMerge/>
            <w:shd w:val="clear" w:color="auto" w:fill="auto"/>
            <w:tcMar>
              <w:top w:w="14" w:type="dxa"/>
              <w:bottom w:w="14" w:type="dxa"/>
            </w:tcMar>
            <w:vAlign w:val="center"/>
          </w:tcPr>
          <w:p w:rsidR="00C26A3A" w:rsidRPr="00C26A3A" w:rsidRDefault="00C26A3A" w:rsidP="00E41122">
            <w:pPr>
              <w:spacing w:before="40" w:after="40" w:line="240" w:lineRule="auto"/>
              <w:jc w:val="center"/>
              <w:rPr>
                <w:rFonts w:asciiTheme="minorHAnsi" w:eastAsia="Calibri" w:hAnsiTheme="minorHAnsi"/>
                <w:b/>
                <w:sz w:val="18"/>
                <w:szCs w:val="18"/>
              </w:rPr>
            </w:pPr>
          </w:p>
        </w:tc>
        <w:tc>
          <w:tcPr>
            <w:tcW w:w="846" w:type="dxa"/>
            <w:shd w:val="clear" w:color="auto" w:fill="auto"/>
            <w:tcMar>
              <w:top w:w="14" w:type="dxa"/>
              <w:bottom w:w="1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eastAsia="Calibri" w:hAnsiTheme="minorHAnsi"/>
                <w:sz w:val="18"/>
                <w:szCs w:val="18"/>
              </w:rPr>
              <w:t>ACP + Gas</w:t>
            </w:r>
          </w:p>
        </w:tc>
        <w:tc>
          <w:tcPr>
            <w:tcW w:w="1080"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32,125</w:t>
            </w:r>
          </w:p>
        </w:tc>
        <w:tc>
          <w:tcPr>
            <w:tcW w:w="775"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w:t>
            </w:r>
          </w:p>
        </w:tc>
        <w:tc>
          <w:tcPr>
            <w:tcW w:w="1061"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0.01%</w:t>
            </w:r>
          </w:p>
        </w:tc>
        <w:tc>
          <w:tcPr>
            <w:tcW w:w="1401" w:type="dxa"/>
            <w:shd w:val="clear" w:color="auto" w:fill="auto"/>
            <w:tcMar>
              <w:top w:w="14" w:type="dxa"/>
              <w:left w:w="115" w:type="dxa"/>
              <w:bottom w:w="14" w:type="dxa"/>
              <w:right w:w="14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hAnsiTheme="minorHAnsi"/>
                <w:sz w:val="18"/>
                <w:szCs w:val="18"/>
              </w:rPr>
              <w:t>Unconstrained reference</w:t>
            </w:r>
          </w:p>
        </w:tc>
        <w:tc>
          <w:tcPr>
            <w:tcW w:w="930"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2</w:t>
            </w:r>
          </w:p>
        </w:tc>
        <w:tc>
          <w:tcPr>
            <w:tcW w:w="1401" w:type="dxa"/>
            <w:shd w:val="clear" w:color="auto" w:fill="auto"/>
            <w:tcMar>
              <w:top w:w="14" w:type="dxa"/>
              <w:left w:w="115" w:type="dxa"/>
              <w:bottom w:w="14" w:type="dxa"/>
              <w:right w:w="14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hAnsiTheme="minorHAnsi"/>
                <w:sz w:val="18"/>
                <w:szCs w:val="18"/>
              </w:rPr>
              <w:t>Unconstrained reference</w:t>
            </w:r>
          </w:p>
        </w:tc>
        <w:tc>
          <w:tcPr>
            <w:tcW w:w="1235"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66.54%</w:t>
            </w:r>
          </w:p>
        </w:tc>
      </w:tr>
      <w:tr w:rsidR="00C26A3A" w:rsidRPr="00C26A3A" w:rsidTr="00C26A3A">
        <w:trPr>
          <w:jc w:val="center"/>
        </w:trPr>
        <w:tc>
          <w:tcPr>
            <w:tcW w:w="1718" w:type="dxa"/>
            <w:vMerge/>
            <w:shd w:val="clear" w:color="auto" w:fill="auto"/>
            <w:tcMar>
              <w:top w:w="14" w:type="dxa"/>
              <w:bottom w:w="14" w:type="dxa"/>
            </w:tcMar>
            <w:vAlign w:val="center"/>
          </w:tcPr>
          <w:p w:rsidR="00C26A3A" w:rsidRPr="00C26A3A" w:rsidRDefault="00C26A3A" w:rsidP="00E41122">
            <w:pPr>
              <w:adjustRightInd/>
              <w:spacing w:before="40" w:after="40" w:line="240" w:lineRule="auto"/>
              <w:jc w:val="center"/>
              <w:textAlignment w:val="auto"/>
              <w:rPr>
                <w:rFonts w:asciiTheme="minorHAnsi" w:eastAsia="Calibri" w:hAnsiTheme="minorHAnsi"/>
                <w:b/>
                <w:sz w:val="18"/>
                <w:szCs w:val="18"/>
              </w:rPr>
            </w:pPr>
          </w:p>
        </w:tc>
        <w:tc>
          <w:tcPr>
            <w:tcW w:w="846" w:type="dxa"/>
            <w:shd w:val="clear" w:color="auto" w:fill="auto"/>
            <w:tcMar>
              <w:top w:w="14" w:type="dxa"/>
              <w:bottom w:w="1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eastAsia="Calibri" w:hAnsiTheme="minorHAnsi"/>
                <w:sz w:val="18"/>
                <w:szCs w:val="18"/>
              </w:rPr>
              <w:t>RPS + Geo Renew</w:t>
            </w:r>
          </w:p>
        </w:tc>
        <w:tc>
          <w:tcPr>
            <w:tcW w:w="1080"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43,041</w:t>
            </w:r>
          </w:p>
        </w:tc>
        <w:tc>
          <w:tcPr>
            <w:tcW w:w="775"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102</w:t>
            </w:r>
          </w:p>
        </w:tc>
        <w:tc>
          <w:tcPr>
            <w:tcW w:w="1061"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0.24%</w:t>
            </w:r>
          </w:p>
        </w:tc>
        <w:tc>
          <w:tcPr>
            <w:tcW w:w="1401" w:type="dxa"/>
            <w:shd w:val="clear" w:color="auto" w:fill="auto"/>
            <w:tcMar>
              <w:top w:w="14" w:type="dxa"/>
              <w:left w:w="115" w:type="dxa"/>
              <w:bottom w:w="14" w:type="dxa"/>
              <w:right w:w="14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hAnsiTheme="minorHAnsi"/>
                <w:sz w:val="18"/>
                <w:szCs w:val="18"/>
              </w:rPr>
              <w:t>Unconstrained reference</w:t>
            </w:r>
          </w:p>
        </w:tc>
        <w:tc>
          <w:tcPr>
            <w:tcW w:w="930"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68</w:t>
            </w:r>
          </w:p>
        </w:tc>
        <w:tc>
          <w:tcPr>
            <w:tcW w:w="1401" w:type="dxa"/>
            <w:shd w:val="clear" w:color="auto" w:fill="auto"/>
            <w:tcMar>
              <w:top w:w="14" w:type="dxa"/>
              <w:left w:w="115" w:type="dxa"/>
              <w:bottom w:w="14" w:type="dxa"/>
              <w:right w:w="14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hAnsiTheme="minorHAnsi"/>
                <w:sz w:val="18"/>
                <w:szCs w:val="18"/>
              </w:rPr>
              <w:t>Unconstrained reference</w:t>
            </w:r>
          </w:p>
        </w:tc>
        <w:tc>
          <w:tcPr>
            <w:tcW w:w="1235" w:type="dxa"/>
            <w:shd w:val="clear" w:color="auto" w:fill="auto"/>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67.34%</w:t>
            </w:r>
          </w:p>
        </w:tc>
      </w:tr>
      <w:tr w:rsidR="00C26A3A" w:rsidRPr="00C26A3A" w:rsidTr="00C26A3A">
        <w:trPr>
          <w:jc w:val="center"/>
        </w:trPr>
        <w:tc>
          <w:tcPr>
            <w:tcW w:w="1718" w:type="dxa"/>
            <w:vMerge w:val="restart"/>
            <w:shd w:val="clear" w:color="auto" w:fill="DBE5F1" w:themeFill="accent1" w:themeFillTint="33"/>
            <w:tcMar>
              <w:top w:w="14" w:type="dxa"/>
              <w:bottom w:w="14" w:type="dxa"/>
            </w:tcMar>
            <w:vAlign w:val="center"/>
          </w:tcPr>
          <w:p w:rsidR="00C26A3A" w:rsidRPr="00C26A3A" w:rsidRDefault="00C26A3A" w:rsidP="00E41122">
            <w:pPr>
              <w:adjustRightInd/>
              <w:spacing w:before="40" w:after="40" w:line="240" w:lineRule="auto"/>
              <w:jc w:val="center"/>
              <w:textAlignment w:val="auto"/>
              <w:rPr>
                <w:rFonts w:asciiTheme="minorHAnsi" w:eastAsia="Calibri" w:hAnsiTheme="minorHAnsi"/>
                <w:b/>
                <w:sz w:val="18"/>
                <w:szCs w:val="18"/>
              </w:rPr>
            </w:pPr>
            <w:r w:rsidRPr="00C26A3A">
              <w:rPr>
                <w:rFonts w:asciiTheme="minorHAnsi" w:eastAsia="Calibri" w:hAnsiTheme="minorHAnsi"/>
                <w:b/>
                <w:sz w:val="18"/>
                <w:szCs w:val="18"/>
              </w:rPr>
              <w:t>2030 Unconstrained</w:t>
            </w:r>
          </w:p>
        </w:tc>
        <w:tc>
          <w:tcPr>
            <w:tcW w:w="846" w:type="dxa"/>
            <w:shd w:val="clear" w:color="auto" w:fill="DBE5F1" w:themeFill="accent1" w:themeFillTint="33"/>
            <w:tcMar>
              <w:top w:w="14" w:type="dxa"/>
              <w:bottom w:w="1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eastAsia="Calibri" w:hAnsiTheme="minorHAnsi"/>
                <w:sz w:val="18"/>
                <w:szCs w:val="18"/>
              </w:rPr>
              <w:t>RPS + Gas</w:t>
            </w:r>
          </w:p>
        </w:tc>
        <w:tc>
          <w:tcPr>
            <w:tcW w:w="1080"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41,178</w:t>
            </w:r>
          </w:p>
        </w:tc>
        <w:tc>
          <w:tcPr>
            <w:tcW w:w="775"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10</w:t>
            </w:r>
          </w:p>
        </w:tc>
        <w:tc>
          <w:tcPr>
            <w:tcW w:w="1061"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0.02%</w:t>
            </w:r>
          </w:p>
        </w:tc>
        <w:tc>
          <w:tcPr>
            <w:tcW w:w="1401" w:type="dxa"/>
            <w:shd w:val="clear" w:color="auto" w:fill="DBE5F1" w:themeFill="accent1" w:themeFillTint="33"/>
            <w:tcMar>
              <w:top w:w="14" w:type="dxa"/>
              <w:left w:w="115" w:type="dxa"/>
              <w:bottom w:w="14" w:type="dxa"/>
              <w:right w:w="14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hAnsiTheme="minorHAnsi"/>
                <w:sz w:val="18"/>
                <w:szCs w:val="18"/>
              </w:rPr>
              <w:t>Unconstrained reference</w:t>
            </w:r>
          </w:p>
        </w:tc>
        <w:tc>
          <w:tcPr>
            <w:tcW w:w="930"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5</w:t>
            </w:r>
          </w:p>
        </w:tc>
        <w:tc>
          <w:tcPr>
            <w:tcW w:w="1401" w:type="dxa"/>
            <w:shd w:val="clear" w:color="auto" w:fill="DBE5F1" w:themeFill="accent1" w:themeFillTint="33"/>
            <w:tcMar>
              <w:top w:w="14" w:type="dxa"/>
              <w:left w:w="115" w:type="dxa"/>
              <w:bottom w:w="14" w:type="dxa"/>
              <w:right w:w="14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hAnsiTheme="minorHAnsi"/>
                <w:sz w:val="18"/>
                <w:szCs w:val="18"/>
              </w:rPr>
              <w:t>Unconstrained reference</w:t>
            </w:r>
          </w:p>
        </w:tc>
        <w:tc>
          <w:tcPr>
            <w:tcW w:w="1235"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49.51%</w:t>
            </w:r>
          </w:p>
        </w:tc>
      </w:tr>
      <w:tr w:rsidR="00C26A3A" w:rsidRPr="00C26A3A" w:rsidTr="00C26A3A">
        <w:trPr>
          <w:jc w:val="center"/>
        </w:trPr>
        <w:tc>
          <w:tcPr>
            <w:tcW w:w="1718" w:type="dxa"/>
            <w:vMerge/>
            <w:shd w:val="clear" w:color="auto" w:fill="DBE5F1" w:themeFill="accent1" w:themeFillTint="33"/>
            <w:tcMar>
              <w:top w:w="14" w:type="dxa"/>
              <w:bottom w:w="14" w:type="dxa"/>
            </w:tcMar>
            <w:vAlign w:val="center"/>
          </w:tcPr>
          <w:p w:rsidR="00C26A3A" w:rsidRPr="00C26A3A" w:rsidRDefault="00C26A3A" w:rsidP="00E41122">
            <w:pPr>
              <w:spacing w:before="40" w:after="40" w:line="240" w:lineRule="auto"/>
              <w:jc w:val="center"/>
              <w:rPr>
                <w:rFonts w:asciiTheme="minorHAnsi" w:eastAsia="Calibri" w:hAnsiTheme="minorHAnsi"/>
                <w:sz w:val="18"/>
                <w:szCs w:val="18"/>
              </w:rPr>
            </w:pPr>
          </w:p>
        </w:tc>
        <w:tc>
          <w:tcPr>
            <w:tcW w:w="846" w:type="dxa"/>
            <w:shd w:val="clear" w:color="auto" w:fill="DBE5F1" w:themeFill="accent1" w:themeFillTint="33"/>
            <w:tcMar>
              <w:top w:w="14" w:type="dxa"/>
              <w:bottom w:w="1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eastAsia="Calibri" w:hAnsiTheme="minorHAnsi"/>
                <w:sz w:val="18"/>
                <w:szCs w:val="18"/>
              </w:rPr>
              <w:t>ISO Queue</w:t>
            </w:r>
          </w:p>
        </w:tc>
        <w:tc>
          <w:tcPr>
            <w:tcW w:w="1080"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71,777</w:t>
            </w:r>
          </w:p>
        </w:tc>
        <w:tc>
          <w:tcPr>
            <w:tcW w:w="775"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8,693</w:t>
            </w:r>
          </w:p>
        </w:tc>
        <w:tc>
          <w:tcPr>
            <w:tcW w:w="1061"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12.11%</w:t>
            </w:r>
          </w:p>
        </w:tc>
        <w:tc>
          <w:tcPr>
            <w:tcW w:w="1401" w:type="dxa"/>
            <w:shd w:val="clear" w:color="auto" w:fill="DBE5F1" w:themeFill="accent1" w:themeFillTint="33"/>
            <w:tcMar>
              <w:top w:w="14" w:type="dxa"/>
              <w:left w:w="115" w:type="dxa"/>
              <w:bottom w:w="14" w:type="dxa"/>
              <w:right w:w="14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hAnsiTheme="minorHAnsi"/>
                <w:sz w:val="18"/>
                <w:szCs w:val="18"/>
              </w:rPr>
              <w:t>Unconstrained reference</w:t>
            </w:r>
          </w:p>
        </w:tc>
        <w:tc>
          <w:tcPr>
            <w:tcW w:w="930"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4,833</w:t>
            </w:r>
          </w:p>
        </w:tc>
        <w:tc>
          <w:tcPr>
            <w:tcW w:w="1401" w:type="dxa"/>
            <w:shd w:val="clear" w:color="auto" w:fill="DBE5F1" w:themeFill="accent1" w:themeFillTint="33"/>
            <w:tcMar>
              <w:top w:w="14" w:type="dxa"/>
              <w:left w:w="115" w:type="dxa"/>
              <w:bottom w:w="14" w:type="dxa"/>
              <w:right w:w="14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hAnsiTheme="minorHAnsi"/>
                <w:sz w:val="18"/>
                <w:szCs w:val="18"/>
              </w:rPr>
              <w:t>Unconstrained reference</w:t>
            </w:r>
          </w:p>
        </w:tc>
        <w:tc>
          <w:tcPr>
            <w:tcW w:w="1235"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55.59%</w:t>
            </w:r>
          </w:p>
        </w:tc>
      </w:tr>
      <w:tr w:rsidR="00C26A3A" w:rsidRPr="00C26A3A" w:rsidTr="00C26A3A">
        <w:trPr>
          <w:jc w:val="center"/>
        </w:trPr>
        <w:tc>
          <w:tcPr>
            <w:tcW w:w="1718" w:type="dxa"/>
            <w:vMerge/>
            <w:shd w:val="clear" w:color="auto" w:fill="DBE5F1" w:themeFill="accent1" w:themeFillTint="33"/>
            <w:tcMar>
              <w:top w:w="14" w:type="dxa"/>
              <w:bottom w:w="14" w:type="dxa"/>
            </w:tcMar>
            <w:vAlign w:val="center"/>
          </w:tcPr>
          <w:p w:rsidR="00C26A3A" w:rsidRPr="00C26A3A" w:rsidRDefault="00C26A3A" w:rsidP="00E41122">
            <w:pPr>
              <w:spacing w:before="40" w:after="40" w:line="240" w:lineRule="auto"/>
              <w:jc w:val="center"/>
              <w:rPr>
                <w:rFonts w:asciiTheme="minorHAnsi" w:eastAsia="Calibri" w:hAnsiTheme="minorHAnsi"/>
                <w:sz w:val="18"/>
                <w:szCs w:val="18"/>
              </w:rPr>
            </w:pPr>
          </w:p>
        </w:tc>
        <w:tc>
          <w:tcPr>
            <w:tcW w:w="846" w:type="dxa"/>
            <w:shd w:val="clear" w:color="auto" w:fill="DBE5F1" w:themeFill="accent1" w:themeFillTint="33"/>
            <w:tcMar>
              <w:top w:w="14" w:type="dxa"/>
              <w:bottom w:w="1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eastAsia="Calibri" w:hAnsiTheme="minorHAnsi"/>
                <w:sz w:val="18"/>
                <w:szCs w:val="18"/>
              </w:rPr>
              <w:t>Renew Plus</w:t>
            </w:r>
          </w:p>
        </w:tc>
        <w:tc>
          <w:tcPr>
            <w:tcW w:w="1080"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69,750</w:t>
            </w:r>
          </w:p>
        </w:tc>
        <w:tc>
          <w:tcPr>
            <w:tcW w:w="775"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17,129</w:t>
            </w:r>
          </w:p>
        </w:tc>
        <w:tc>
          <w:tcPr>
            <w:tcW w:w="1061"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24.56%</w:t>
            </w:r>
          </w:p>
        </w:tc>
        <w:tc>
          <w:tcPr>
            <w:tcW w:w="1401" w:type="dxa"/>
            <w:shd w:val="clear" w:color="auto" w:fill="DBE5F1" w:themeFill="accent1" w:themeFillTint="33"/>
            <w:tcMar>
              <w:top w:w="14" w:type="dxa"/>
              <w:left w:w="115" w:type="dxa"/>
              <w:bottom w:w="14" w:type="dxa"/>
              <w:right w:w="14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hAnsiTheme="minorHAnsi"/>
                <w:sz w:val="18"/>
                <w:szCs w:val="18"/>
              </w:rPr>
              <w:t>Unconstrained reference</w:t>
            </w:r>
          </w:p>
        </w:tc>
        <w:tc>
          <w:tcPr>
            <w:tcW w:w="930"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1,550</w:t>
            </w:r>
          </w:p>
        </w:tc>
        <w:tc>
          <w:tcPr>
            <w:tcW w:w="1401" w:type="dxa"/>
            <w:shd w:val="clear" w:color="auto" w:fill="DBE5F1" w:themeFill="accent1" w:themeFillTint="33"/>
            <w:tcMar>
              <w:top w:w="14" w:type="dxa"/>
              <w:left w:w="115" w:type="dxa"/>
              <w:bottom w:w="14" w:type="dxa"/>
              <w:right w:w="14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hAnsiTheme="minorHAnsi"/>
                <w:sz w:val="18"/>
                <w:szCs w:val="18"/>
              </w:rPr>
              <w:t>Unconstrained reference</w:t>
            </w:r>
          </w:p>
        </w:tc>
        <w:tc>
          <w:tcPr>
            <w:tcW w:w="1235"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9.05%</w:t>
            </w:r>
          </w:p>
        </w:tc>
      </w:tr>
      <w:tr w:rsidR="00C26A3A" w:rsidRPr="00C26A3A" w:rsidTr="00C26A3A">
        <w:trPr>
          <w:jc w:val="center"/>
        </w:trPr>
        <w:tc>
          <w:tcPr>
            <w:tcW w:w="1718" w:type="dxa"/>
            <w:vMerge/>
            <w:shd w:val="clear" w:color="auto" w:fill="DBE5F1" w:themeFill="accent1" w:themeFillTint="33"/>
            <w:tcMar>
              <w:top w:w="14" w:type="dxa"/>
              <w:bottom w:w="14" w:type="dxa"/>
            </w:tcMar>
            <w:vAlign w:val="center"/>
          </w:tcPr>
          <w:p w:rsidR="00C26A3A" w:rsidRPr="00C26A3A" w:rsidRDefault="00C26A3A" w:rsidP="00E41122">
            <w:pPr>
              <w:spacing w:before="40" w:after="40" w:line="240" w:lineRule="auto"/>
              <w:jc w:val="center"/>
              <w:rPr>
                <w:rFonts w:asciiTheme="minorHAnsi" w:eastAsia="Calibri" w:hAnsiTheme="minorHAnsi"/>
                <w:sz w:val="18"/>
                <w:szCs w:val="18"/>
              </w:rPr>
            </w:pPr>
          </w:p>
        </w:tc>
        <w:tc>
          <w:tcPr>
            <w:tcW w:w="846" w:type="dxa"/>
            <w:shd w:val="clear" w:color="auto" w:fill="DBE5F1" w:themeFill="accent1" w:themeFillTint="33"/>
            <w:tcMar>
              <w:top w:w="14" w:type="dxa"/>
              <w:bottom w:w="1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eastAsia="Calibri" w:hAnsiTheme="minorHAnsi"/>
                <w:sz w:val="18"/>
                <w:szCs w:val="18"/>
              </w:rPr>
              <w:t>No Retire</w:t>
            </w:r>
          </w:p>
        </w:tc>
        <w:tc>
          <w:tcPr>
            <w:tcW w:w="1080"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33,016</w:t>
            </w:r>
          </w:p>
        </w:tc>
        <w:tc>
          <w:tcPr>
            <w:tcW w:w="775"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5</w:t>
            </w:r>
          </w:p>
        </w:tc>
        <w:tc>
          <w:tcPr>
            <w:tcW w:w="1061"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0.02%</w:t>
            </w:r>
          </w:p>
        </w:tc>
        <w:tc>
          <w:tcPr>
            <w:tcW w:w="1401" w:type="dxa"/>
            <w:shd w:val="clear" w:color="auto" w:fill="DBE5F1" w:themeFill="accent1" w:themeFillTint="33"/>
            <w:tcMar>
              <w:top w:w="14" w:type="dxa"/>
              <w:left w:w="115" w:type="dxa"/>
              <w:bottom w:w="14" w:type="dxa"/>
              <w:right w:w="14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hAnsiTheme="minorHAnsi"/>
                <w:sz w:val="18"/>
                <w:szCs w:val="18"/>
              </w:rPr>
              <w:t>Unconstrained reference</w:t>
            </w:r>
          </w:p>
        </w:tc>
        <w:tc>
          <w:tcPr>
            <w:tcW w:w="930"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4</w:t>
            </w:r>
          </w:p>
        </w:tc>
        <w:tc>
          <w:tcPr>
            <w:tcW w:w="1401" w:type="dxa"/>
            <w:shd w:val="clear" w:color="auto" w:fill="DBE5F1" w:themeFill="accent1" w:themeFillTint="33"/>
            <w:tcMar>
              <w:top w:w="14" w:type="dxa"/>
              <w:left w:w="115" w:type="dxa"/>
              <w:bottom w:w="14" w:type="dxa"/>
              <w:right w:w="14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hAnsiTheme="minorHAnsi"/>
                <w:sz w:val="18"/>
                <w:szCs w:val="18"/>
              </w:rPr>
              <w:t>Unconstrained reference</w:t>
            </w:r>
          </w:p>
        </w:tc>
        <w:tc>
          <w:tcPr>
            <w:tcW w:w="1235"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70.49%</w:t>
            </w:r>
          </w:p>
        </w:tc>
      </w:tr>
      <w:tr w:rsidR="00C26A3A" w:rsidRPr="00C26A3A" w:rsidTr="00C26A3A">
        <w:trPr>
          <w:jc w:val="center"/>
        </w:trPr>
        <w:tc>
          <w:tcPr>
            <w:tcW w:w="1718" w:type="dxa"/>
            <w:vMerge/>
            <w:shd w:val="clear" w:color="auto" w:fill="DBE5F1" w:themeFill="accent1" w:themeFillTint="33"/>
            <w:tcMar>
              <w:top w:w="14" w:type="dxa"/>
              <w:bottom w:w="14" w:type="dxa"/>
            </w:tcMar>
            <w:vAlign w:val="center"/>
          </w:tcPr>
          <w:p w:rsidR="00C26A3A" w:rsidRPr="00C26A3A" w:rsidRDefault="00C26A3A" w:rsidP="00E41122">
            <w:pPr>
              <w:spacing w:before="40" w:after="40" w:line="240" w:lineRule="auto"/>
              <w:jc w:val="center"/>
              <w:rPr>
                <w:rFonts w:asciiTheme="minorHAnsi" w:eastAsia="Calibri" w:hAnsiTheme="minorHAnsi"/>
                <w:sz w:val="18"/>
                <w:szCs w:val="18"/>
              </w:rPr>
            </w:pPr>
          </w:p>
        </w:tc>
        <w:tc>
          <w:tcPr>
            <w:tcW w:w="846" w:type="dxa"/>
            <w:shd w:val="clear" w:color="auto" w:fill="DBE5F1" w:themeFill="accent1" w:themeFillTint="33"/>
            <w:tcMar>
              <w:top w:w="14" w:type="dxa"/>
              <w:bottom w:w="1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eastAsia="Calibri" w:hAnsiTheme="minorHAnsi"/>
                <w:sz w:val="18"/>
                <w:szCs w:val="18"/>
              </w:rPr>
              <w:t>ACP + Gas</w:t>
            </w:r>
          </w:p>
        </w:tc>
        <w:tc>
          <w:tcPr>
            <w:tcW w:w="1080"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33,019</w:t>
            </w:r>
          </w:p>
        </w:tc>
        <w:tc>
          <w:tcPr>
            <w:tcW w:w="775"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w:t>
            </w:r>
          </w:p>
        </w:tc>
        <w:tc>
          <w:tcPr>
            <w:tcW w:w="1061"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0.01%</w:t>
            </w:r>
          </w:p>
        </w:tc>
        <w:tc>
          <w:tcPr>
            <w:tcW w:w="1401" w:type="dxa"/>
            <w:shd w:val="clear" w:color="auto" w:fill="DBE5F1" w:themeFill="accent1" w:themeFillTint="33"/>
            <w:tcMar>
              <w:top w:w="14" w:type="dxa"/>
              <w:left w:w="115" w:type="dxa"/>
              <w:bottom w:w="14" w:type="dxa"/>
              <w:right w:w="14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hAnsiTheme="minorHAnsi"/>
                <w:sz w:val="18"/>
                <w:szCs w:val="18"/>
              </w:rPr>
              <w:t>Unconstrained reference</w:t>
            </w:r>
          </w:p>
        </w:tc>
        <w:tc>
          <w:tcPr>
            <w:tcW w:w="930"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1</w:t>
            </w:r>
          </w:p>
        </w:tc>
        <w:tc>
          <w:tcPr>
            <w:tcW w:w="1401" w:type="dxa"/>
            <w:shd w:val="clear" w:color="auto" w:fill="DBE5F1" w:themeFill="accent1" w:themeFillTint="33"/>
            <w:tcMar>
              <w:top w:w="14" w:type="dxa"/>
              <w:left w:w="115" w:type="dxa"/>
              <w:bottom w:w="14" w:type="dxa"/>
              <w:right w:w="14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hAnsiTheme="minorHAnsi"/>
                <w:sz w:val="18"/>
                <w:szCs w:val="18"/>
              </w:rPr>
              <w:t>Unconstrained reference</w:t>
            </w:r>
          </w:p>
        </w:tc>
        <w:tc>
          <w:tcPr>
            <w:tcW w:w="1235"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57.56%</w:t>
            </w:r>
          </w:p>
        </w:tc>
      </w:tr>
      <w:tr w:rsidR="00C26A3A" w:rsidRPr="00C26A3A" w:rsidTr="00C26A3A">
        <w:trPr>
          <w:jc w:val="center"/>
        </w:trPr>
        <w:tc>
          <w:tcPr>
            <w:tcW w:w="1718" w:type="dxa"/>
            <w:vMerge/>
            <w:shd w:val="clear" w:color="auto" w:fill="DBE5F1" w:themeFill="accent1" w:themeFillTint="33"/>
            <w:tcMar>
              <w:top w:w="14" w:type="dxa"/>
              <w:bottom w:w="14" w:type="dxa"/>
            </w:tcMar>
            <w:vAlign w:val="center"/>
          </w:tcPr>
          <w:p w:rsidR="00C26A3A" w:rsidRPr="00C26A3A" w:rsidRDefault="00C26A3A" w:rsidP="00E41122">
            <w:pPr>
              <w:adjustRightInd/>
              <w:spacing w:before="40" w:after="40" w:line="240" w:lineRule="auto"/>
              <w:jc w:val="center"/>
              <w:textAlignment w:val="auto"/>
              <w:rPr>
                <w:rFonts w:asciiTheme="minorHAnsi" w:eastAsia="Calibri" w:hAnsiTheme="minorHAnsi"/>
                <w:sz w:val="18"/>
                <w:szCs w:val="18"/>
              </w:rPr>
            </w:pPr>
          </w:p>
        </w:tc>
        <w:tc>
          <w:tcPr>
            <w:tcW w:w="846" w:type="dxa"/>
            <w:shd w:val="clear" w:color="auto" w:fill="DBE5F1" w:themeFill="accent1" w:themeFillTint="33"/>
            <w:tcMar>
              <w:top w:w="14" w:type="dxa"/>
              <w:bottom w:w="1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eastAsia="Calibri" w:hAnsiTheme="minorHAnsi"/>
                <w:sz w:val="18"/>
                <w:szCs w:val="18"/>
              </w:rPr>
              <w:t>RPS + Geo Renew</w:t>
            </w:r>
          </w:p>
        </w:tc>
        <w:tc>
          <w:tcPr>
            <w:tcW w:w="1080"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37,707</w:t>
            </w:r>
          </w:p>
        </w:tc>
        <w:tc>
          <w:tcPr>
            <w:tcW w:w="775"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31</w:t>
            </w:r>
          </w:p>
        </w:tc>
        <w:tc>
          <w:tcPr>
            <w:tcW w:w="1061"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0.08%</w:t>
            </w:r>
          </w:p>
        </w:tc>
        <w:tc>
          <w:tcPr>
            <w:tcW w:w="1401" w:type="dxa"/>
            <w:shd w:val="clear" w:color="auto" w:fill="DBE5F1" w:themeFill="accent1" w:themeFillTint="33"/>
            <w:tcMar>
              <w:top w:w="14" w:type="dxa"/>
              <w:left w:w="115" w:type="dxa"/>
              <w:bottom w:w="14" w:type="dxa"/>
              <w:right w:w="14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hAnsiTheme="minorHAnsi"/>
                <w:sz w:val="18"/>
                <w:szCs w:val="18"/>
              </w:rPr>
              <w:t>Unconstrained reference</w:t>
            </w:r>
          </w:p>
        </w:tc>
        <w:tc>
          <w:tcPr>
            <w:tcW w:w="930"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21</w:t>
            </w:r>
          </w:p>
        </w:tc>
        <w:tc>
          <w:tcPr>
            <w:tcW w:w="1401" w:type="dxa"/>
            <w:shd w:val="clear" w:color="auto" w:fill="DBE5F1" w:themeFill="accent1" w:themeFillTint="33"/>
            <w:tcMar>
              <w:top w:w="14" w:type="dxa"/>
              <w:left w:w="115" w:type="dxa"/>
              <w:bottom w:w="14" w:type="dxa"/>
              <w:right w:w="144" w:type="dxa"/>
            </w:tcMar>
            <w:vAlign w:val="center"/>
          </w:tcPr>
          <w:p w:rsidR="00C26A3A" w:rsidRPr="00C26A3A" w:rsidRDefault="00C26A3A" w:rsidP="00E41122">
            <w:pPr>
              <w:adjustRightInd/>
              <w:spacing w:before="40" w:after="40" w:line="240" w:lineRule="auto"/>
              <w:textAlignment w:val="auto"/>
              <w:rPr>
                <w:rFonts w:asciiTheme="minorHAnsi" w:eastAsia="Calibri" w:hAnsiTheme="minorHAnsi"/>
                <w:sz w:val="18"/>
                <w:szCs w:val="18"/>
              </w:rPr>
            </w:pPr>
            <w:r w:rsidRPr="00C26A3A">
              <w:rPr>
                <w:rFonts w:asciiTheme="minorHAnsi" w:hAnsiTheme="minorHAnsi"/>
                <w:sz w:val="18"/>
                <w:szCs w:val="18"/>
              </w:rPr>
              <w:t>Unconstrained reference</w:t>
            </w:r>
          </w:p>
        </w:tc>
        <w:tc>
          <w:tcPr>
            <w:tcW w:w="1235" w:type="dxa"/>
            <w:shd w:val="clear" w:color="auto" w:fill="DBE5F1" w:themeFill="accent1" w:themeFillTint="33"/>
            <w:tcMar>
              <w:top w:w="14" w:type="dxa"/>
              <w:left w:w="0" w:type="dxa"/>
              <w:bottom w:w="14" w:type="dxa"/>
              <w:right w:w="144" w:type="dxa"/>
            </w:tcMar>
            <w:vAlign w:val="center"/>
          </w:tcPr>
          <w:p w:rsidR="00C26A3A" w:rsidRPr="00C26A3A" w:rsidRDefault="00C26A3A" w:rsidP="00E41122">
            <w:pPr>
              <w:adjustRightInd/>
              <w:spacing w:before="40" w:after="40" w:line="240" w:lineRule="auto"/>
              <w:jc w:val="right"/>
              <w:textAlignment w:val="auto"/>
              <w:rPr>
                <w:rFonts w:asciiTheme="minorHAnsi" w:eastAsia="Calibri" w:hAnsiTheme="minorHAnsi"/>
                <w:sz w:val="18"/>
                <w:szCs w:val="18"/>
              </w:rPr>
            </w:pPr>
            <w:r w:rsidRPr="00C26A3A">
              <w:rPr>
                <w:rFonts w:asciiTheme="minorHAnsi" w:hAnsiTheme="minorHAnsi"/>
                <w:sz w:val="18"/>
                <w:szCs w:val="18"/>
              </w:rPr>
              <w:t>68.72%</w:t>
            </w:r>
          </w:p>
        </w:tc>
      </w:tr>
    </w:tbl>
    <w:p w:rsidR="00E976C7" w:rsidRDefault="00E976C7" w:rsidP="002370F7">
      <w:pPr>
        <w:autoSpaceDE w:val="0"/>
        <w:autoSpaceDN w:val="0"/>
        <w:textAlignment w:val="auto"/>
        <w:rPr>
          <w:b/>
          <w:bCs/>
        </w:rPr>
      </w:pPr>
    </w:p>
    <w:p w:rsidR="00203623" w:rsidRDefault="001044B2" w:rsidP="007F5623">
      <w:pPr>
        <w:rPr>
          <w:b/>
          <w:bCs/>
        </w:rPr>
      </w:pPr>
      <w:r w:rsidRPr="00BE5DAE">
        <w:t>Table 6-</w:t>
      </w:r>
      <w:r w:rsidRPr="007F5623">
        <w:t>22</w:t>
      </w:r>
      <w:r w:rsidRPr="00BE5DAE">
        <w:t xml:space="preserve"> </w:t>
      </w:r>
      <w:r w:rsidR="00203623" w:rsidRPr="007F5623">
        <w:t xml:space="preserve">also shows the need for control systems to spill renewable energy from wind, hydro, and import </w:t>
      </w:r>
      <w:r w:rsidR="00203623" w:rsidRPr="001044B2">
        <w:t xml:space="preserve">resources for the unconstrained cases (see Section </w:t>
      </w:r>
      <w:r w:rsidRPr="001044B2">
        <w:fldChar w:fldCharType="begin"/>
      </w:r>
      <w:r w:rsidRPr="001044B2">
        <w:instrText xml:space="preserve"> REF _Ref487200524 \r \h </w:instrText>
      </w:r>
      <w:r>
        <w:instrText xml:space="preserve"> \* MERGEFORMAT </w:instrText>
      </w:r>
      <w:r w:rsidRPr="001044B2">
        <w:fldChar w:fldCharType="separate"/>
      </w:r>
      <w:r w:rsidRPr="001044B2">
        <w:t>6.2</w:t>
      </w:r>
      <w:r w:rsidRPr="001044B2">
        <w:fldChar w:fldCharType="end"/>
      </w:r>
      <w:r w:rsidRPr="001044B2">
        <w:t xml:space="preserve">; </w:t>
      </w:r>
      <w:r w:rsidRPr="001044B2">
        <w:fldChar w:fldCharType="begin"/>
      </w:r>
      <w:r w:rsidRPr="001044B2">
        <w:instrText xml:space="preserve"> REF _Ref480885500 \h </w:instrText>
      </w:r>
      <w:r>
        <w:instrText xml:space="preserve"> \* MERGEFORMAT </w:instrText>
      </w:r>
      <w:r w:rsidRPr="001044B2">
        <w:fldChar w:fldCharType="separate"/>
      </w:r>
      <w:r w:rsidRPr="001044B2">
        <w:t xml:space="preserve">Figure </w:t>
      </w:r>
      <w:r w:rsidRPr="001044B2">
        <w:rPr>
          <w:noProof/>
        </w:rPr>
        <w:t>6</w:t>
      </w:r>
      <w:r w:rsidRPr="001044B2">
        <w:noBreakHyphen/>
      </w:r>
      <w:r w:rsidRPr="001044B2">
        <w:rPr>
          <w:noProof/>
        </w:rPr>
        <w:t>16</w:t>
      </w:r>
      <w:r w:rsidRPr="001044B2">
        <w:fldChar w:fldCharType="end"/>
      </w:r>
      <w:r w:rsidRPr="001044B2">
        <w:t xml:space="preserve"> ). </w:t>
      </w:r>
      <w:r w:rsidR="00203623" w:rsidRPr="00E976C7">
        <w:t xml:space="preserve">Storage may operate differently than in the past system. The large-scale development of variable energy resources also poses operating challenges </w:t>
      </w:r>
      <w:r w:rsidR="00203623" w:rsidRPr="001044B2">
        <w:t>for regulation, ramping, and reserves. As discussed in</w:t>
      </w:r>
      <w:r w:rsidRPr="001044B2">
        <w:t xml:space="preserve"> Section</w:t>
      </w:r>
      <w:r w:rsidR="00203623" w:rsidRPr="001044B2">
        <w:t xml:space="preserve"> </w:t>
      </w:r>
      <w:r w:rsidRPr="001044B2">
        <w:fldChar w:fldCharType="begin"/>
      </w:r>
      <w:r w:rsidRPr="001044B2">
        <w:instrText xml:space="preserve"> REF _Ref480889374 \r \h </w:instrText>
      </w:r>
      <w:r>
        <w:instrText xml:space="preserve"> \* MERGEFORMAT </w:instrText>
      </w:r>
      <w:r w:rsidRPr="001044B2">
        <w:fldChar w:fldCharType="separate"/>
      </w:r>
      <w:r w:rsidRPr="001044B2">
        <w:t>7.2</w:t>
      </w:r>
      <w:r w:rsidRPr="001044B2">
        <w:fldChar w:fldCharType="end"/>
      </w:r>
      <w:r w:rsidR="00203623" w:rsidRPr="001044B2">
        <w:t>, Phase II of this Scenario Analysis</w:t>
      </w:r>
      <w:r w:rsidR="00203623" w:rsidRPr="00E976C7">
        <w:t xml:space="preserve"> will analyze these issues.</w:t>
      </w:r>
      <w:r w:rsidR="00203623" w:rsidRPr="00E976C7">
        <w:rPr>
          <w:highlight w:val="yellow"/>
        </w:rPr>
        <w:t xml:space="preserve"> </w:t>
      </w:r>
    </w:p>
    <w:p w:rsidR="00803F1A" w:rsidRDefault="00803F1A" w:rsidP="002F71DB">
      <w:pPr>
        <w:pStyle w:val="Heading1"/>
      </w:pPr>
      <w:r>
        <w:lastRenderedPageBreak/>
        <w:br/>
      </w:r>
      <w:bookmarkStart w:id="367" w:name="_Ref166224595"/>
      <w:bookmarkStart w:id="368" w:name="_Toc173682315"/>
      <w:bookmarkStart w:id="369" w:name="_Ref462056355"/>
      <w:bookmarkStart w:id="370" w:name="_Ref476319046"/>
      <w:bookmarkStart w:id="371" w:name="_Toc486406010"/>
      <w:r w:rsidR="00AB524E">
        <w:t xml:space="preserve">Summary, </w:t>
      </w:r>
      <w:r>
        <w:t>Conclusions</w:t>
      </w:r>
      <w:bookmarkEnd w:id="367"/>
      <w:bookmarkEnd w:id="368"/>
      <w:r w:rsidR="00AB524E">
        <w:t xml:space="preserve">, </w:t>
      </w:r>
      <w:r>
        <w:t>and Next Steps</w:t>
      </w:r>
      <w:bookmarkEnd w:id="369"/>
      <w:bookmarkEnd w:id="370"/>
      <w:bookmarkEnd w:id="371"/>
      <w:r>
        <w:t xml:space="preserve"> </w:t>
      </w:r>
    </w:p>
    <w:p w:rsidR="00803F1A" w:rsidRDefault="00803F1A" w:rsidP="00803F1A">
      <w:r w:rsidRPr="006E0F6E">
        <w:t xml:space="preserve">This section summarizes some of the main results and conclusions of the </w:t>
      </w:r>
      <w:r w:rsidR="006E0F6E">
        <w:t xml:space="preserve">2016 NEPOOL </w:t>
      </w:r>
      <w:r w:rsidRPr="006E0F6E">
        <w:t>Scenario Analysis</w:t>
      </w:r>
      <w:r w:rsidR="006E0F6E">
        <w:t xml:space="preserve"> </w:t>
      </w:r>
      <w:r w:rsidR="006E0F6E" w:rsidRPr="007175D2">
        <w:t xml:space="preserve">assessing </w:t>
      </w:r>
      <w:r w:rsidR="006E0F6E" w:rsidRPr="001E1293">
        <w:t>the effects of public policies on the future electric power system</w:t>
      </w:r>
      <w:r w:rsidR="00083AEC">
        <w:t xml:space="preserve"> in New England</w:t>
      </w:r>
      <w:r w:rsidRPr="007175D2">
        <w:t xml:space="preserve">. </w:t>
      </w:r>
      <w:r w:rsidR="00C72C28">
        <w:t>T</w:t>
      </w:r>
      <w:r w:rsidRPr="006E0F6E">
        <w:t xml:space="preserve">he stakeholder process provided valuable input, including the review of the scope of work, assumptions, </w:t>
      </w:r>
      <w:r w:rsidR="006E0F6E" w:rsidRPr="006E0F6E">
        <w:t xml:space="preserve">methodology, </w:t>
      </w:r>
      <w:r w:rsidRPr="006E0F6E">
        <w:t xml:space="preserve">and draft </w:t>
      </w:r>
      <w:r w:rsidR="006E0F6E" w:rsidRPr="006E0F6E">
        <w:t xml:space="preserve">and final </w:t>
      </w:r>
      <w:r w:rsidRPr="006E0F6E">
        <w:t>results. Th</w:t>
      </w:r>
      <w:r w:rsidR="006E0F6E" w:rsidRPr="006E0F6E">
        <w:t>is</w:t>
      </w:r>
      <w:r w:rsidRPr="006E0F6E">
        <w:t xml:space="preserve"> report</w:t>
      </w:r>
      <w:r w:rsidR="006E0F6E" w:rsidRPr="006E0F6E">
        <w:t>,</w:t>
      </w:r>
      <w:r w:rsidRPr="006E0F6E">
        <w:t xml:space="preserve"> </w:t>
      </w:r>
      <w:r w:rsidR="006E0F6E" w:rsidRPr="006E0F6E">
        <w:t xml:space="preserve">plus posted </w:t>
      </w:r>
      <w:r w:rsidRPr="00435329">
        <w:t>data</w:t>
      </w:r>
      <w:r w:rsidR="00B17631" w:rsidRPr="00435329">
        <w:t xml:space="preserve">, </w:t>
      </w:r>
      <w:r w:rsidR="00435329" w:rsidRPr="00435329">
        <w:t>tables</w:t>
      </w:r>
      <w:r w:rsidR="00B17631" w:rsidRPr="00435329">
        <w:t>,</w:t>
      </w:r>
      <w:r w:rsidRPr="00435329">
        <w:t xml:space="preserve"> and spreadsheet</w:t>
      </w:r>
      <w:r w:rsidRPr="000773BE">
        <w:t>s</w:t>
      </w:r>
      <w:r w:rsidR="006E0F6E" w:rsidRPr="000773BE">
        <w:t>,</w:t>
      </w:r>
      <w:r w:rsidR="006E0F6E" w:rsidRPr="006E0F6E">
        <w:t xml:space="preserve"> </w:t>
      </w:r>
      <w:r w:rsidRPr="006E0F6E">
        <w:t xml:space="preserve">should </w:t>
      </w:r>
      <w:r w:rsidR="006E0F6E">
        <w:t xml:space="preserve">assist </w:t>
      </w:r>
      <w:r w:rsidRPr="006E0F6E">
        <w:t xml:space="preserve">stakeholders </w:t>
      </w:r>
      <w:r w:rsidR="006E0F6E">
        <w:t xml:space="preserve">in </w:t>
      </w:r>
      <w:r w:rsidRPr="006E0F6E">
        <w:t>develop</w:t>
      </w:r>
      <w:r w:rsidR="006E0F6E">
        <w:t xml:space="preserve">ing </w:t>
      </w:r>
      <w:r w:rsidRPr="006E0F6E">
        <w:t>their own conclusions</w:t>
      </w:r>
      <w:r w:rsidR="006E0F6E">
        <w:t xml:space="preserve">. </w:t>
      </w:r>
    </w:p>
    <w:p w:rsidR="0086695D" w:rsidRDefault="0086695D" w:rsidP="001E1293">
      <w:pPr>
        <w:pStyle w:val="Heading2"/>
      </w:pPr>
      <w:bookmarkStart w:id="372" w:name="_Toc486406011"/>
      <w:r>
        <w:t>Key Observations</w:t>
      </w:r>
      <w:bookmarkEnd w:id="372"/>
    </w:p>
    <w:p w:rsidR="00AB524E" w:rsidRDefault="00083AEC" w:rsidP="00AB524E">
      <w:r>
        <w:t xml:space="preserve">The NEPOOL </w:t>
      </w:r>
      <w:r w:rsidR="00AB524E">
        <w:t>Scenario Analysis provides many insights into system performance that can inform stakeholders. Disparities</w:t>
      </w:r>
      <w:r w:rsidR="0085003C">
        <w:t xml:space="preserve"> of results</w:t>
      </w:r>
      <w:r w:rsidR="00AB524E">
        <w:t xml:space="preserve"> among the cases appear more evident in 2030 as result of the larger differences in the resource mixes than for 2025. Key observat</w:t>
      </w:r>
      <w:r w:rsidR="00C72F49">
        <w:t>i</w:t>
      </w:r>
      <w:r w:rsidR="00AB524E">
        <w:t xml:space="preserve">ons are as follows: </w:t>
      </w:r>
    </w:p>
    <w:p w:rsidR="00AB524E" w:rsidRDefault="00AB524E" w:rsidP="00AB524E">
      <w:pPr>
        <w:pStyle w:val="ListParagraph"/>
        <w:numPr>
          <w:ilvl w:val="0"/>
          <w:numId w:val="40"/>
        </w:numPr>
      </w:pPr>
      <w:r>
        <w:t>In many ways</w:t>
      </w:r>
      <w:r w:rsidR="00083AEC">
        <w:t>,</w:t>
      </w:r>
      <w:r>
        <w:t xml:space="preserve"> </w:t>
      </w:r>
      <w:r w:rsidR="00083AEC">
        <w:t xml:space="preserve">the </w:t>
      </w:r>
      <w:r w:rsidR="00C72F49">
        <w:t xml:space="preserve">results </w:t>
      </w:r>
      <w:r w:rsidR="00083AEC">
        <w:t xml:space="preserve">for </w:t>
      </w:r>
      <w:r>
        <w:t xml:space="preserve">Scenarios 1, 4, and 5 </w:t>
      </w:r>
      <w:r w:rsidR="000773BE" w:rsidRPr="00D65EB4">
        <w:t xml:space="preserve">(RPSs + Gas, No Retirements beyond FCA #10, and ACPs + Gas) </w:t>
      </w:r>
      <w:r>
        <w:t>are similar to each other. Scenario 1, however, can physically meet regional RPS goals even without major transmission expansion to relieve congestion.</w:t>
      </w:r>
    </w:p>
    <w:p w:rsidR="00AB524E" w:rsidRDefault="00AB524E" w:rsidP="00AB524E">
      <w:pPr>
        <w:pStyle w:val="ListParagraph"/>
        <w:numPr>
          <w:ilvl w:val="0"/>
          <w:numId w:val="40"/>
        </w:numPr>
      </w:pPr>
      <w:r>
        <w:t xml:space="preserve">Scenarios 2, 3, and 6 </w:t>
      </w:r>
      <w:r w:rsidR="000773BE">
        <w:t>(ISO Queue,</w:t>
      </w:r>
      <w:r w:rsidR="000773BE" w:rsidRPr="000773BE">
        <w:t xml:space="preserve"> </w:t>
      </w:r>
      <w:r w:rsidR="000773BE">
        <w:t xml:space="preserve">Renewables Plus, and RPSs + Geodiverse Renewables) </w:t>
      </w:r>
      <w:r>
        <w:t xml:space="preserve">are very different from </w:t>
      </w:r>
      <w:r w:rsidR="009E7433">
        <w:t>Scenarios 1, 4</w:t>
      </w:r>
      <w:r w:rsidR="00C55428">
        <w:t>, a</w:t>
      </w:r>
      <w:r w:rsidR="009E7433">
        <w:t>nd 5</w:t>
      </w:r>
      <w:r>
        <w:t xml:space="preserve"> </w:t>
      </w:r>
      <w:r w:rsidR="009E7433">
        <w:t xml:space="preserve">because they reflect significantly more </w:t>
      </w:r>
      <w:r w:rsidR="00C55428">
        <w:t xml:space="preserve">expansion of </w:t>
      </w:r>
      <w:r w:rsidR="009E7433">
        <w:t>renewable resource</w:t>
      </w:r>
      <w:r w:rsidR="00C55428">
        <w:t>s</w:t>
      </w:r>
      <w:r w:rsidR="009E7433">
        <w:t>. The large</w:t>
      </w:r>
      <w:r w:rsidR="00C55428">
        <w:t>-</w:t>
      </w:r>
      <w:r w:rsidR="009E7433">
        <w:t xml:space="preserve">scale addition of renewable resources </w:t>
      </w:r>
      <w:r>
        <w:t>present</w:t>
      </w:r>
      <w:r w:rsidR="009E7433">
        <w:t>s</w:t>
      </w:r>
      <w:r>
        <w:t xml:space="preserve"> a number of technical and market issues that would need to be addressed</w:t>
      </w:r>
      <w:r w:rsidR="009E7B29">
        <w:t xml:space="preserve">. </w:t>
      </w:r>
    </w:p>
    <w:p w:rsidR="00AB524E" w:rsidRDefault="00AB524E" w:rsidP="00AB524E">
      <w:pPr>
        <w:pStyle w:val="ListParagraph"/>
        <w:numPr>
          <w:ilvl w:val="0"/>
          <w:numId w:val="40"/>
        </w:numPr>
      </w:pPr>
      <w:r>
        <w:t>The large</w:t>
      </w:r>
      <w:r w:rsidR="00C55428">
        <w:t>-</w:t>
      </w:r>
      <w:r>
        <w:t xml:space="preserve">scale development of renewable resources decreases production costs, LSE </w:t>
      </w:r>
      <w:r w:rsidR="00C55428">
        <w:t>e</w:t>
      </w:r>
      <w:r>
        <w:t xml:space="preserve">nergy </w:t>
      </w:r>
      <w:r w:rsidR="00C55428">
        <w:t>e</w:t>
      </w:r>
      <w:r>
        <w:t xml:space="preserve">xpenses, and emissions. However, the </w:t>
      </w:r>
      <w:r w:rsidR="009E7433">
        <w:t>t</w:t>
      </w:r>
      <w:r>
        <w:t xml:space="preserve">otal </w:t>
      </w:r>
      <w:r w:rsidR="00C55428">
        <w:t>r</w:t>
      </w:r>
      <w:r w:rsidR="009E7433">
        <w:t xml:space="preserve">elative </w:t>
      </w:r>
      <w:r w:rsidR="00C55428">
        <w:t>a</w:t>
      </w:r>
      <w:r>
        <w:t xml:space="preserve">nnual </w:t>
      </w:r>
      <w:r w:rsidR="00C55428">
        <w:t>r</w:t>
      </w:r>
      <w:r>
        <w:t xml:space="preserve">esource </w:t>
      </w:r>
      <w:r w:rsidR="00C55428">
        <w:t>c</w:t>
      </w:r>
      <w:r>
        <w:t xml:space="preserve">ost would be considerably higher </w:t>
      </w:r>
      <w:r w:rsidR="009E7433">
        <w:t>for Scenarios 2,</w:t>
      </w:r>
      <w:r w:rsidR="00C55428">
        <w:t xml:space="preserve"> </w:t>
      </w:r>
      <w:r w:rsidR="009E7433">
        <w:t xml:space="preserve">3, and 6 than </w:t>
      </w:r>
      <w:r w:rsidR="00C55428">
        <w:t xml:space="preserve">for Scenarios </w:t>
      </w:r>
      <w:r w:rsidR="009E7433">
        <w:t>1, 4, and 5</w:t>
      </w:r>
      <w:r w:rsidR="009E7B29">
        <w:t xml:space="preserve">. </w:t>
      </w:r>
      <w:r w:rsidR="009E7433">
        <w:t xml:space="preserve">The higher costs </w:t>
      </w:r>
      <w:r>
        <w:t>result f</w:t>
      </w:r>
      <w:r w:rsidR="009E7433">
        <w:t>rom</w:t>
      </w:r>
      <w:r>
        <w:t xml:space="preserve"> higher capital costs for resource expansion and transmission development for integrating wind resources in northern New England. </w:t>
      </w:r>
    </w:p>
    <w:p w:rsidR="00AB524E" w:rsidRDefault="00AB524E" w:rsidP="00AB524E">
      <w:pPr>
        <w:pStyle w:val="ListParagraph"/>
        <w:numPr>
          <w:ilvl w:val="0"/>
          <w:numId w:val="40"/>
        </w:numPr>
      </w:pPr>
      <w:r>
        <w:t>Across all scenarios</w:t>
      </w:r>
      <w:r w:rsidR="00C55428">
        <w:t>,</w:t>
      </w:r>
      <w:r>
        <w:t xml:space="preserve"> resource revenues from the energy market are insufficient to cover the</w:t>
      </w:r>
      <w:r w:rsidR="00DF2E08">
        <w:t xml:space="preserve"> </w:t>
      </w:r>
      <w:r>
        <w:t>fixed costs</w:t>
      </w:r>
      <w:r w:rsidR="00AB2953">
        <w:t xml:space="preserve"> of new resources</w:t>
      </w:r>
      <w:r w:rsidR="00DF2E08">
        <w:t xml:space="preserve">, and </w:t>
      </w:r>
      <w:r w:rsidR="00AB2953">
        <w:t xml:space="preserve">they </w:t>
      </w:r>
      <w:r>
        <w:t xml:space="preserve">would require other sources of income to remain economically </w:t>
      </w:r>
      <w:r w:rsidRPr="00410D5D">
        <w:t>viable</w:t>
      </w:r>
      <w:r w:rsidR="009E7B29" w:rsidRPr="00410D5D">
        <w:t xml:space="preserve">. </w:t>
      </w:r>
      <w:r w:rsidR="00DF2E08" w:rsidRPr="00410D5D">
        <w:t>Adding t</w:t>
      </w:r>
      <w:r w:rsidRPr="00410D5D">
        <w:t>he large</w:t>
      </w:r>
      <w:r w:rsidR="00C55428" w:rsidRPr="00410D5D">
        <w:t>-</w:t>
      </w:r>
      <w:r w:rsidRPr="00410D5D">
        <w:t>scale development of renewable resource</w:t>
      </w:r>
      <w:r w:rsidR="0076114A" w:rsidRPr="00410D5D">
        <w:t>s</w:t>
      </w:r>
      <w:r w:rsidR="00940C16" w:rsidRPr="00410D5D">
        <w:t>,</w:t>
      </w:r>
      <w:r w:rsidRPr="00410D5D">
        <w:t xml:space="preserve"> </w:t>
      </w:r>
      <w:r w:rsidR="00940C16" w:rsidRPr="00410D5D">
        <w:t>with zero or near</w:t>
      </w:r>
      <w:r w:rsidR="00C55428" w:rsidRPr="00410D5D">
        <w:t>-</w:t>
      </w:r>
      <w:r w:rsidR="00940C16" w:rsidRPr="00410D5D">
        <w:t xml:space="preserve">zero energy production costs, to the system resource mix </w:t>
      </w:r>
      <w:r w:rsidR="00DF2E08" w:rsidRPr="00410D5D">
        <w:t xml:space="preserve">would </w:t>
      </w:r>
      <w:r w:rsidRPr="00410D5D">
        <w:t>further depress energy market revenues</w:t>
      </w:r>
      <w:r w:rsidR="0076114A" w:rsidRPr="00410D5D">
        <w:t xml:space="preserve"> to new resources</w:t>
      </w:r>
      <w:r w:rsidR="009E7B29">
        <w:t xml:space="preserve">. </w:t>
      </w:r>
    </w:p>
    <w:p w:rsidR="00AB524E" w:rsidRDefault="00C55428" w:rsidP="00AB524E">
      <w:pPr>
        <w:pStyle w:val="ListParagraph"/>
        <w:numPr>
          <w:ilvl w:val="0"/>
          <w:numId w:val="40"/>
        </w:numPr>
      </w:pPr>
      <w:r>
        <w:t>T</w:t>
      </w:r>
      <w:r w:rsidR="00AB524E">
        <w:t>he retirement of resources and the large</w:t>
      </w:r>
      <w:r>
        <w:t>-</w:t>
      </w:r>
      <w:r w:rsidR="00AB524E">
        <w:t>scale development of renewable resources in northern New England</w:t>
      </w:r>
      <w:r>
        <w:t xml:space="preserve"> could trigger investment in the transmission system and special controls</w:t>
      </w:r>
      <w:r w:rsidR="00AB524E">
        <w:t xml:space="preserve">. </w:t>
      </w:r>
      <w:r w:rsidR="00510C51">
        <w:t>More generally, t</w:t>
      </w:r>
      <w:r w:rsidR="00AB524E">
        <w:t>he large</w:t>
      </w:r>
      <w:r>
        <w:t>-</w:t>
      </w:r>
      <w:r w:rsidR="00AB524E">
        <w:t xml:space="preserve">scale development of inverter-based </w:t>
      </w:r>
      <w:r w:rsidR="00510C51">
        <w:t xml:space="preserve">resources </w:t>
      </w:r>
      <w:r w:rsidR="00F01E3B">
        <w:t xml:space="preserve">throughout the system </w:t>
      </w:r>
      <w:r w:rsidR="00510C51">
        <w:t>poses major</w:t>
      </w:r>
      <w:r w:rsidR="00AB524E">
        <w:t xml:space="preserve"> challenges </w:t>
      </w:r>
      <w:r w:rsidR="00510C51">
        <w:t xml:space="preserve">that </w:t>
      </w:r>
      <w:r>
        <w:t xml:space="preserve">the technical community </w:t>
      </w:r>
      <w:r w:rsidR="00510C51">
        <w:t>must</w:t>
      </w:r>
      <w:r>
        <w:t xml:space="preserve"> </w:t>
      </w:r>
      <w:r w:rsidR="00510C51">
        <w:t xml:space="preserve">address. </w:t>
      </w:r>
    </w:p>
    <w:p w:rsidR="00AB524E" w:rsidRDefault="00AB524E" w:rsidP="00AB524E">
      <w:pPr>
        <w:pStyle w:val="ListParagraph"/>
        <w:numPr>
          <w:ilvl w:val="0"/>
          <w:numId w:val="40"/>
        </w:numPr>
      </w:pPr>
      <w:r>
        <w:t>Across all scenarios</w:t>
      </w:r>
      <w:r w:rsidR="00C55428">
        <w:t>,</w:t>
      </w:r>
      <w:r>
        <w:t xml:space="preserve"> natural gas remains on the margin </w:t>
      </w:r>
      <w:r w:rsidR="00C55428">
        <w:t xml:space="preserve">most </w:t>
      </w:r>
      <w:r>
        <w:t>of the time</w:t>
      </w:r>
      <w:r w:rsidR="009E7B29">
        <w:t xml:space="preserve">. </w:t>
      </w:r>
    </w:p>
    <w:p w:rsidR="00AB524E" w:rsidRDefault="00AB524E" w:rsidP="00AB524E">
      <w:pPr>
        <w:pStyle w:val="ListParagraph"/>
        <w:numPr>
          <w:ilvl w:val="0"/>
          <w:numId w:val="40"/>
        </w:numPr>
      </w:pPr>
      <w:r>
        <w:t>Meeting RGGI targets will be challenging without the large</w:t>
      </w:r>
      <w:r w:rsidR="00C55428">
        <w:t>-</w:t>
      </w:r>
      <w:r>
        <w:t>scale development of renewable resources.</w:t>
      </w:r>
    </w:p>
    <w:p w:rsidR="00F01E3B" w:rsidRDefault="00AB524E" w:rsidP="00F01E3B">
      <w:pPr>
        <w:pStyle w:val="ListParagraph"/>
        <w:numPr>
          <w:ilvl w:val="0"/>
          <w:numId w:val="40"/>
        </w:numPr>
      </w:pPr>
      <w:r>
        <w:t>Resource development near New England’s load centers in southern New England minimizes the need for transmission expansion. Potential offshore wind resources are in electrically favorable locations.</w:t>
      </w:r>
      <w:r w:rsidR="00F01E3B">
        <w:t xml:space="preserve"> Their interconnection to strategic locations in southern New England minimizes the need for other transmission expansion. </w:t>
      </w:r>
    </w:p>
    <w:p w:rsidR="00374696" w:rsidRPr="00102744" w:rsidRDefault="00C55428" w:rsidP="00102744">
      <w:pPr>
        <w:pStyle w:val="ListParagraph"/>
        <w:numPr>
          <w:ilvl w:val="0"/>
          <w:numId w:val="40"/>
        </w:numPr>
        <w:spacing w:after="240"/>
      </w:pPr>
      <w:r w:rsidRPr="00102744">
        <w:lastRenderedPageBreak/>
        <w:t>The i</w:t>
      </w:r>
      <w:r w:rsidR="00AB524E" w:rsidRPr="00102744">
        <w:t>ncreased use of storage levelizes LMPs</w:t>
      </w:r>
      <w:r w:rsidR="00510C51" w:rsidRPr="00102744">
        <w:t>, but this</w:t>
      </w:r>
      <w:r w:rsidR="00AB524E" w:rsidRPr="00102744">
        <w:t xml:space="preserve"> also reduces revenues to storage resources. The large</w:t>
      </w:r>
      <w:r w:rsidRPr="00102744">
        <w:t>-</w:t>
      </w:r>
      <w:r w:rsidR="00AB524E" w:rsidRPr="00102744">
        <w:t>scale development of variable resources could change the historical times that storage resources charge and discharge</w:t>
      </w:r>
      <w:r w:rsidR="009E7B29" w:rsidRPr="00102744">
        <w:t>.</w:t>
      </w:r>
    </w:p>
    <w:p w:rsidR="00D93D1D" w:rsidRPr="0086695D" w:rsidRDefault="00D93D1D" w:rsidP="0053379A">
      <w:pPr>
        <w:pStyle w:val="Heading2"/>
      </w:pPr>
      <w:bookmarkStart w:id="373" w:name="_Ref480889374"/>
      <w:bookmarkStart w:id="374" w:name="_Toc486406012"/>
      <w:r w:rsidRPr="0086695D">
        <w:t xml:space="preserve">Next </w:t>
      </w:r>
      <w:r w:rsidR="006E0F6E" w:rsidRPr="0086695D">
        <w:t>S</w:t>
      </w:r>
      <w:r w:rsidRPr="0086695D">
        <w:t>teps</w:t>
      </w:r>
      <w:bookmarkEnd w:id="373"/>
      <w:bookmarkEnd w:id="374"/>
    </w:p>
    <w:p w:rsidR="00D93D1D" w:rsidRDefault="00D93D1D" w:rsidP="00D93D1D">
      <w:r>
        <w:t xml:space="preserve">Phase II </w:t>
      </w:r>
      <w:r w:rsidR="006E0F6E">
        <w:t>of the NEPOOL Scenario Analysis</w:t>
      </w:r>
      <w:r w:rsidR="0063026C">
        <w:t xml:space="preserve">, to be conducted in 2017, </w:t>
      </w:r>
      <w:r>
        <w:t xml:space="preserve">will </w:t>
      </w:r>
      <w:r w:rsidR="006E0F6E">
        <w:t xml:space="preserve">assess </w:t>
      </w:r>
      <w:r w:rsidR="0063026C">
        <w:t>the operability of the system associated with the scenarios analyzed during Phase I of the study. S</w:t>
      </w:r>
      <w:r>
        <w:t xml:space="preserve">everal </w:t>
      </w:r>
      <w:r w:rsidR="002F5886">
        <w:t xml:space="preserve">additional metrics of </w:t>
      </w:r>
      <w:r>
        <w:t>market and operational issues</w:t>
      </w:r>
      <w:r w:rsidR="0063026C">
        <w:t xml:space="preserve"> will be analyzed</w:t>
      </w:r>
      <w:r w:rsidR="006E0F6E">
        <w:t>:</w:t>
      </w:r>
    </w:p>
    <w:p w:rsidR="007175D2" w:rsidRPr="001E1293" w:rsidRDefault="001C1700" w:rsidP="001C1700">
      <w:pPr>
        <w:numPr>
          <w:ilvl w:val="0"/>
          <w:numId w:val="31"/>
        </w:numPr>
        <w:spacing w:after="120"/>
      </w:pPr>
      <w:r w:rsidRPr="001E1293">
        <w:t>N</w:t>
      </w:r>
      <w:r w:rsidR="00F01E3B" w:rsidRPr="001E1293">
        <w:t>atural gas system deliverability issues</w:t>
      </w:r>
      <w:r w:rsidRPr="001E1293">
        <w:t xml:space="preserve"> (i.e., the adequacy of the New England natural gas transportation system to support the natural gas fuel requirements)</w:t>
      </w:r>
    </w:p>
    <w:p w:rsidR="00D93D1D" w:rsidRPr="001E1293" w:rsidRDefault="001C1700" w:rsidP="001C1700">
      <w:pPr>
        <w:numPr>
          <w:ilvl w:val="0"/>
          <w:numId w:val="31"/>
        </w:numPr>
        <w:spacing w:after="120"/>
      </w:pPr>
      <w:r w:rsidRPr="001E1293">
        <w:t>R</w:t>
      </w:r>
      <w:r w:rsidR="00D93D1D" w:rsidRPr="001E1293">
        <w:t>epresentative Forward Capacity Auction clearing prices for several scenarios</w:t>
      </w:r>
    </w:p>
    <w:p w:rsidR="002F5886" w:rsidRPr="001E1293" w:rsidRDefault="001C1700" w:rsidP="001C1700">
      <w:pPr>
        <w:numPr>
          <w:ilvl w:val="0"/>
          <w:numId w:val="31"/>
        </w:numPr>
        <w:spacing w:after="120"/>
      </w:pPr>
      <w:r w:rsidRPr="001E1293">
        <w:t xml:space="preserve">System operational issues to quantify the amounts of </w:t>
      </w:r>
      <w:r w:rsidR="00D93D1D" w:rsidRPr="001E1293">
        <w:t>intrahour ramping, regulation, and reserve requirements</w:t>
      </w:r>
    </w:p>
    <w:p w:rsidR="002F5886" w:rsidRPr="001E1293" w:rsidRDefault="002F5886" w:rsidP="001C1700">
      <w:pPr>
        <w:numPr>
          <w:ilvl w:val="1"/>
          <w:numId w:val="31"/>
        </w:numPr>
        <w:spacing w:after="120"/>
      </w:pPr>
      <w:r w:rsidRPr="001E1293">
        <w:t>Unit commitment and dispatch issues under light-load conditions</w:t>
      </w:r>
    </w:p>
    <w:p w:rsidR="00D93D1D" w:rsidRPr="001E1293" w:rsidRDefault="002F5886" w:rsidP="001E1293">
      <w:pPr>
        <w:numPr>
          <w:ilvl w:val="1"/>
          <w:numId w:val="31"/>
        </w:numPr>
      </w:pPr>
      <w:r w:rsidRPr="001E1293">
        <w:t>Hours whe</w:t>
      </w:r>
      <w:r w:rsidR="001C1700">
        <w:t>n</w:t>
      </w:r>
      <w:r w:rsidRPr="001E1293">
        <w:t xml:space="preserve"> the spinning reserve requirements are not met</w:t>
      </w:r>
    </w:p>
    <w:p w:rsidR="00261C5F" w:rsidRPr="007175D2" w:rsidRDefault="00261C5F" w:rsidP="00261C5F">
      <w:r w:rsidRPr="001E1293">
        <w:t>As requested by stakeholders, the ISO will run a series of sensitivity analyses that will vary the parameters used in the sets of assumptions, thus capturing a wider array of inputs and generating a broader set of results for each scenario. Each sensitivity analysis will run additional simulations by varying, for example, the assumptions regarding fossil fuel prices, the mix of resources, unit retirements, costs of CO</w:t>
      </w:r>
      <w:r w:rsidRPr="001E1293">
        <w:rPr>
          <w:vertAlign w:val="subscript"/>
        </w:rPr>
        <w:t>2</w:t>
      </w:r>
      <w:r w:rsidRPr="001E1293">
        <w:t xml:space="preserve"> emission allowances, and imports available from neighboring regions.</w:t>
      </w:r>
      <w:r w:rsidRPr="007175D2">
        <w:t xml:space="preserve"> </w:t>
      </w:r>
    </w:p>
    <w:p w:rsidR="00746EB9" w:rsidRPr="001E1293" w:rsidRDefault="00E914B6" w:rsidP="00746EB9">
      <w:r w:rsidRPr="001E1293">
        <w:t>In support of clustering queue</w:t>
      </w:r>
      <w:r w:rsidR="001C1700">
        <w:t>-</w:t>
      </w:r>
      <w:r w:rsidRPr="001E1293">
        <w:t>interconnection resources, t</w:t>
      </w:r>
      <w:r w:rsidR="00746EB9" w:rsidRPr="001E1293">
        <w:t xml:space="preserve">he ISO </w:t>
      </w:r>
      <w:r w:rsidR="002F5886" w:rsidRPr="001E1293">
        <w:t xml:space="preserve">also </w:t>
      </w:r>
      <w:r w:rsidR="00746EB9" w:rsidRPr="001E1293">
        <w:t xml:space="preserve">will identify transmission infrastructure that can be added to interconnect requested generation in Maine as part of the </w:t>
      </w:r>
      <w:r w:rsidR="00746EB9" w:rsidRPr="001E1293">
        <w:rPr>
          <w:i/>
        </w:rPr>
        <w:t>2016 Maine Resource Interconnection Study</w:t>
      </w:r>
      <w:r w:rsidR="00746EB9" w:rsidRPr="001E1293">
        <w:t>.</w:t>
      </w:r>
      <w:r w:rsidR="00746EB9" w:rsidRPr="001E1293">
        <w:rPr>
          <w:rStyle w:val="FootnoteReference"/>
        </w:rPr>
        <w:footnoteReference w:id="72"/>
      </w:r>
      <w:r w:rsidR="00746EB9" w:rsidRPr="007175D2">
        <w:t xml:space="preserve"> </w:t>
      </w:r>
      <w:r w:rsidR="00746EB9" w:rsidRPr="001E1293">
        <w:t>The study will assess the following metrics but not for any wind plant collection systems:</w:t>
      </w:r>
    </w:p>
    <w:p w:rsidR="00746EB9" w:rsidRPr="001E1293" w:rsidRDefault="00746EB9" w:rsidP="00746EB9">
      <w:pPr>
        <w:pStyle w:val="BulletedList"/>
        <w:spacing w:after="120"/>
      </w:pPr>
      <w:r w:rsidRPr="001E1293">
        <w:t>Quantity of generation (MW) that could interconnect</w:t>
      </w:r>
    </w:p>
    <w:p w:rsidR="00746EB9" w:rsidRPr="001E1293" w:rsidRDefault="00746EB9" w:rsidP="00746EB9">
      <w:pPr>
        <w:pStyle w:val="BulletedList"/>
        <w:spacing w:after="120"/>
      </w:pPr>
      <w:r w:rsidRPr="001E1293">
        <w:t>Order-of-magnitude cost of the transmission infrastructure</w:t>
      </w:r>
    </w:p>
    <w:p w:rsidR="00746EB9" w:rsidRPr="001E1293" w:rsidRDefault="00746EB9" w:rsidP="00746EB9">
      <w:pPr>
        <w:pStyle w:val="BulletedList"/>
      </w:pPr>
      <w:r w:rsidRPr="001E1293">
        <w:t>Expected time to construct</w:t>
      </w:r>
    </w:p>
    <w:p w:rsidR="00532809" w:rsidRPr="00675A2D" w:rsidRDefault="00F01E3B" w:rsidP="00873FFE">
      <w:pPr>
        <w:pStyle w:val="BulletedList"/>
        <w:numPr>
          <w:ilvl w:val="0"/>
          <w:numId w:val="0"/>
        </w:numPr>
      </w:pPr>
      <w:r w:rsidRPr="007175D2">
        <w:t>Similar to</w:t>
      </w:r>
      <w:r w:rsidR="00746EB9" w:rsidRPr="007175D2">
        <w:t xml:space="preserve"> the 2016 NEPOOL Scenario Analysis, stakeholders can </w:t>
      </w:r>
      <w:r w:rsidR="00E914B6" w:rsidRPr="007175D2">
        <w:t xml:space="preserve">develop their own assumptions and </w:t>
      </w:r>
      <w:r w:rsidR="00E914B6" w:rsidRPr="001E1293">
        <w:t xml:space="preserve">analyze </w:t>
      </w:r>
      <w:r w:rsidR="00E914B6" w:rsidRPr="001C1700">
        <w:t>results</w:t>
      </w:r>
      <w:r w:rsidR="009E7B29">
        <w:t xml:space="preserve">. </w:t>
      </w:r>
      <w:r w:rsidR="00E914B6" w:rsidRPr="001C1700">
        <w:t>For example, stakeholders can develop</w:t>
      </w:r>
      <w:r w:rsidR="00746EB9" w:rsidRPr="001C1700">
        <w:t xml:space="preserve"> annual carrying charges, which can </w:t>
      </w:r>
      <w:r w:rsidR="004D70FA">
        <w:t>be reflected in</w:t>
      </w:r>
      <w:r w:rsidR="00746EB9" w:rsidRPr="001C1700">
        <w:t xml:space="preserve"> the </w:t>
      </w:r>
      <w:r w:rsidR="00746EB9" w:rsidRPr="001E1293">
        <w:t>generation cost metrics to obtain total investment costs.</w:t>
      </w:r>
      <w:r w:rsidR="001C1700" w:rsidRPr="001E1293">
        <w:t xml:space="preserve"> </w:t>
      </w:r>
      <w:r w:rsidR="007175D2" w:rsidRPr="001E1293">
        <w:t>The results of the Phase II efforts will be published during 2017</w:t>
      </w:r>
      <w:r w:rsidR="009E7B29" w:rsidRPr="001E1293">
        <w:t>.</w:t>
      </w:r>
    </w:p>
    <w:sectPr w:rsidR="00532809" w:rsidRPr="00675A2D" w:rsidSect="00995AFE">
      <w:footerReference w:type="default" r:id="rId72"/>
      <w:pgSz w:w="12240" w:h="15840" w:code="1"/>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2699F7F" w15:done="0"/>
  <w15:commentEx w15:paraId="29187FE3" w15:done="0"/>
  <w15:commentEx w15:paraId="11842195" w15:done="0"/>
  <w15:commentEx w15:paraId="15091804" w15:done="0"/>
  <w15:commentEx w15:paraId="0A31BB42" w15:done="0"/>
  <w15:commentEx w15:paraId="0B2552D0" w15:done="0"/>
  <w15:commentEx w15:paraId="7BF7D362" w15:done="0"/>
  <w15:commentEx w15:paraId="6D755634" w15:done="0"/>
  <w15:commentEx w15:paraId="3F8D5B70" w15:done="0"/>
  <w15:commentEx w15:paraId="00590E06" w15:done="0"/>
  <w15:commentEx w15:paraId="6A36FB67" w15:done="0"/>
  <w15:commentEx w15:paraId="5A578871" w15:done="0"/>
  <w15:commentEx w15:paraId="6E9FD0C2" w15:done="0"/>
  <w15:commentEx w15:paraId="0418A229" w15:done="0"/>
  <w15:commentEx w15:paraId="40119FCA" w15:done="0"/>
  <w15:commentEx w15:paraId="17F37413" w15:done="0"/>
  <w15:commentEx w15:paraId="1B902253" w15:done="0"/>
  <w15:commentEx w15:paraId="4DA64B3D" w15:done="0"/>
  <w15:commentEx w15:paraId="476072A3" w15:done="0"/>
  <w15:commentEx w15:paraId="517B553D" w15:done="0"/>
  <w15:commentEx w15:paraId="27B3DBEA" w15:done="0"/>
  <w15:commentEx w15:paraId="3A0879FF" w15:done="0"/>
  <w15:commentEx w15:paraId="723D0B3E" w15:done="0"/>
  <w15:commentEx w15:paraId="37FCC552" w15:done="0"/>
  <w15:commentEx w15:paraId="3A410E9A" w15:done="0"/>
  <w15:commentEx w15:paraId="047F344C" w15:done="0"/>
  <w15:commentEx w15:paraId="42C654F1" w15:done="0"/>
  <w15:commentEx w15:paraId="4DB57625" w15:done="0"/>
  <w15:commentEx w15:paraId="1FACD65D" w15:done="0"/>
  <w15:commentEx w15:paraId="44A86382" w15:done="0"/>
  <w15:commentEx w15:paraId="0AFE5523" w15:done="0"/>
  <w15:commentEx w15:paraId="5A14CA33" w15:done="0"/>
  <w15:commentEx w15:paraId="6A9DDFFD" w15:done="0"/>
  <w15:commentEx w15:paraId="45A6E878" w15:done="0"/>
  <w15:commentEx w15:paraId="2F310B3A" w15:done="0"/>
  <w15:commentEx w15:paraId="762E657E" w15:done="0"/>
  <w15:commentEx w15:paraId="0BF85C0F" w15:done="0"/>
  <w15:commentEx w15:paraId="6CF890A7" w15:done="0"/>
  <w15:commentEx w15:paraId="16D23681" w15:done="0"/>
  <w15:commentEx w15:paraId="1981B2A1" w15:done="0"/>
  <w15:commentEx w15:paraId="1921103A" w15:done="0"/>
  <w15:commentEx w15:paraId="4E58A0B3" w15:done="0"/>
  <w15:commentEx w15:paraId="6294D387" w15:done="0"/>
  <w15:commentEx w15:paraId="50EE461C" w15:done="0"/>
  <w15:commentEx w15:paraId="51D05163" w15:done="0"/>
  <w15:commentEx w15:paraId="1687E95A" w15:done="0"/>
  <w15:commentEx w15:paraId="770FE68D" w15:done="0"/>
  <w15:commentEx w15:paraId="380CACA7" w15:done="0"/>
  <w15:commentEx w15:paraId="59485F34" w15:done="0"/>
  <w15:commentEx w15:paraId="4879343E" w15:done="0"/>
  <w15:commentEx w15:paraId="117E6C1E" w15:done="0"/>
  <w15:commentEx w15:paraId="76DCF2E7" w15:done="0"/>
  <w15:commentEx w15:paraId="155F7145" w15:done="0"/>
  <w15:commentEx w15:paraId="09892688" w15:done="0"/>
  <w15:commentEx w15:paraId="6D97E74D" w15:done="0"/>
  <w15:commentEx w15:paraId="77916224" w15:done="0"/>
  <w15:commentEx w15:paraId="1F6EF1F2" w15:done="0"/>
  <w15:commentEx w15:paraId="7E4495EB" w15:done="0"/>
  <w15:commentEx w15:paraId="6CD528A5" w15:done="0"/>
  <w15:commentEx w15:paraId="21751DB1" w15:done="0"/>
  <w15:commentEx w15:paraId="2CBDF59E" w15:done="0"/>
  <w15:commentEx w15:paraId="0A6340C1" w15:done="0"/>
  <w15:commentEx w15:paraId="1CB7DF4B" w15:done="0"/>
  <w15:commentEx w15:paraId="54FDF60B" w15:done="0"/>
  <w15:commentEx w15:paraId="5CB650BD" w15:done="0"/>
  <w15:commentEx w15:paraId="09CD1652" w15:done="0"/>
  <w15:commentEx w15:paraId="29D1CC2C" w15:done="0"/>
  <w15:commentEx w15:paraId="70928D5F" w15:done="0"/>
  <w15:commentEx w15:paraId="44EEAC87" w15:done="0"/>
  <w15:commentEx w15:paraId="2B107B35" w15:done="0"/>
  <w15:commentEx w15:paraId="32537BBE" w15:done="0"/>
  <w15:commentEx w15:paraId="47BEF98C" w15:done="0"/>
  <w15:commentEx w15:paraId="04783B51" w15:done="0"/>
  <w15:commentEx w15:paraId="13884288" w15:done="0"/>
  <w15:commentEx w15:paraId="744BED40" w15:done="0"/>
  <w15:commentEx w15:paraId="6D6D2668" w15:done="0"/>
  <w15:commentEx w15:paraId="0B6DF7FE" w15:done="0"/>
  <w15:commentEx w15:paraId="3C7B5BF0" w15:done="0"/>
  <w15:commentEx w15:paraId="14CF75B0" w15:done="0"/>
  <w15:commentEx w15:paraId="75E28D11" w15:done="0"/>
  <w15:commentEx w15:paraId="0F4AC4DB" w15:done="0"/>
  <w15:commentEx w15:paraId="426ECCD1" w15:done="0"/>
  <w15:commentEx w15:paraId="2FB43DCD" w15:done="0"/>
  <w15:commentEx w15:paraId="30B3AD14" w15:done="0"/>
  <w15:commentEx w15:paraId="7803964E" w15:done="0"/>
  <w15:commentEx w15:paraId="6452DDB6" w15:done="0"/>
  <w15:commentEx w15:paraId="5A1072C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5DC7" w:rsidRDefault="00505DC7">
      <w:r>
        <w:separator/>
      </w:r>
    </w:p>
    <w:p w:rsidR="00505DC7" w:rsidRDefault="00505DC7"/>
    <w:p w:rsidR="00505DC7" w:rsidRDefault="00505DC7"/>
    <w:p w:rsidR="00505DC7" w:rsidRDefault="00505DC7"/>
    <w:p w:rsidR="00505DC7" w:rsidRDefault="00505DC7"/>
    <w:p w:rsidR="00505DC7" w:rsidRDefault="00505DC7"/>
    <w:p w:rsidR="00505DC7" w:rsidRDefault="00505DC7"/>
    <w:p w:rsidR="00505DC7" w:rsidRDefault="00505DC7"/>
    <w:p w:rsidR="00505DC7" w:rsidRDefault="00505DC7"/>
    <w:p w:rsidR="00505DC7" w:rsidRDefault="00505DC7"/>
    <w:p w:rsidR="00505DC7" w:rsidRDefault="00505DC7"/>
    <w:p w:rsidR="00505DC7" w:rsidRDefault="00505DC7"/>
    <w:p w:rsidR="00505DC7" w:rsidRDefault="00505DC7"/>
    <w:p w:rsidR="00505DC7" w:rsidRDefault="00505DC7"/>
    <w:p w:rsidR="00505DC7" w:rsidRDefault="00505DC7"/>
    <w:p w:rsidR="00505DC7" w:rsidRDefault="00505DC7"/>
    <w:p w:rsidR="00505DC7" w:rsidRDefault="00505DC7"/>
    <w:p w:rsidR="00505DC7" w:rsidRDefault="00505DC7"/>
    <w:p w:rsidR="00505DC7" w:rsidRDefault="00505DC7"/>
    <w:p w:rsidR="00505DC7" w:rsidRDefault="00505DC7"/>
    <w:p w:rsidR="00505DC7" w:rsidRDefault="00505DC7"/>
    <w:p w:rsidR="00505DC7" w:rsidRDefault="00505DC7"/>
    <w:p w:rsidR="00505DC7" w:rsidRDefault="00505DC7"/>
    <w:p w:rsidR="00505DC7" w:rsidRDefault="00505DC7"/>
  </w:endnote>
  <w:endnote w:type="continuationSeparator" w:id="0">
    <w:p w:rsidR="00505DC7" w:rsidRDefault="00505DC7">
      <w:r>
        <w:continuationSeparator/>
      </w:r>
    </w:p>
    <w:p w:rsidR="00505DC7" w:rsidRDefault="00505DC7"/>
    <w:p w:rsidR="00505DC7" w:rsidRDefault="00505DC7"/>
    <w:p w:rsidR="00505DC7" w:rsidRDefault="00505DC7"/>
    <w:p w:rsidR="00505DC7" w:rsidRDefault="00505DC7"/>
    <w:p w:rsidR="00505DC7" w:rsidRDefault="00505DC7"/>
    <w:p w:rsidR="00505DC7" w:rsidRDefault="00505DC7"/>
    <w:p w:rsidR="00505DC7" w:rsidRDefault="00505DC7"/>
    <w:p w:rsidR="00505DC7" w:rsidRDefault="00505DC7"/>
    <w:p w:rsidR="00505DC7" w:rsidRDefault="00505DC7"/>
    <w:p w:rsidR="00505DC7" w:rsidRDefault="00505DC7"/>
    <w:p w:rsidR="00505DC7" w:rsidRDefault="00505DC7"/>
    <w:p w:rsidR="00505DC7" w:rsidRDefault="00505DC7"/>
    <w:p w:rsidR="00505DC7" w:rsidRDefault="00505DC7"/>
    <w:p w:rsidR="00505DC7" w:rsidRDefault="00505DC7"/>
    <w:p w:rsidR="00505DC7" w:rsidRDefault="00505DC7"/>
    <w:p w:rsidR="00505DC7" w:rsidRDefault="00505DC7"/>
    <w:p w:rsidR="00505DC7" w:rsidRDefault="00505DC7"/>
    <w:p w:rsidR="00505DC7" w:rsidRDefault="00505DC7"/>
    <w:p w:rsidR="00505DC7" w:rsidRDefault="00505DC7"/>
    <w:p w:rsidR="00505DC7" w:rsidRDefault="00505DC7"/>
    <w:p w:rsidR="00505DC7" w:rsidRDefault="00505DC7"/>
    <w:p w:rsidR="00505DC7" w:rsidRDefault="00505DC7"/>
    <w:p w:rsidR="00505DC7" w:rsidRDefault="00505D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hitney-Book">
    <w:altName w:val="Whitney Book"/>
    <w:panose1 w:val="00000000000000000000"/>
    <w:charset w:val="4D"/>
    <w:family w:val="auto"/>
    <w:notTrueType/>
    <w:pitch w:val="default"/>
    <w:sig w:usb0="00000003" w:usb1="00000000" w:usb2="00000000" w:usb3="00000000" w:csb0="00000001" w:csb1="00000000"/>
  </w:font>
  <w:font w:name="OpenSans-Bold">
    <w:altName w:val="Open Sans"/>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85B" w:rsidRDefault="0020385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CD5" w:rsidRPr="004A6A8C" w:rsidRDefault="00954CD5" w:rsidP="004A6A8C">
    <w:pPr>
      <w:tabs>
        <w:tab w:val="center" w:pos="4680"/>
        <w:tab w:val="right" w:pos="9360"/>
      </w:tabs>
      <w:adjustRightInd/>
      <w:spacing w:after="0" w:line="240" w:lineRule="auto"/>
      <w:textAlignment w:val="auto"/>
      <w:rPr>
        <w:rFonts w:eastAsia="Calibri"/>
        <w:noProof/>
        <w:sz w:val="16"/>
        <w:szCs w:val="16"/>
      </w:rPr>
    </w:pPr>
    <w:r>
      <w:rPr>
        <w:rFonts w:eastAsia="Calibri"/>
        <w:i/>
        <w:sz w:val="16"/>
        <w:szCs w:val="16"/>
      </w:rPr>
      <w:t xml:space="preserve">Draft </w:t>
    </w:r>
    <w:r w:rsidRPr="004A6A8C">
      <w:rPr>
        <w:rFonts w:eastAsia="Calibri"/>
        <w:i/>
        <w:sz w:val="16"/>
        <w:szCs w:val="16"/>
      </w:rPr>
      <w:t>NEPOOL Scenario Analysis</w:t>
    </w:r>
    <w:r w:rsidRPr="004A6A8C">
      <w:rPr>
        <w:rFonts w:eastAsia="Calibri"/>
        <w:i/>
        <w:sz w:val="16"/>
        <w:szCs w:val="16"/>
      </w:rPr>
      <w:tab/>
    </w:r>
    <w:r w:rsidRPr="004A6A8C">
      <w:rPr>
        <w:rFonts w:eastAsia="Calibri"/>
        <w:i/>
        <w:sz w:val="16"/>
        <w:szCs w:val="16"/>
      </w:rPr>
      <w:tab/>
    </w:r>
    <w:r>
      <w:rPr>
        <w:rFonts w:eastAsia="Calibri"/>
        <w:i/>
        <w:sz w:val="16"/>
        <w:szCs w:val="16"/>
      </w:rPr>
      <w:tab/>
    </w:r>
    <w:r>
      <w:rPr>
        <w:rFonts w:eastAsia="Calibri"/>
        <w:i/>
        <w:sz w:val="16"/>
        <w:szCs w:val="16"/>
      </w:rPr>
      <w:tab/>
    </w:r>
    <w:r>
      <w:rPr>
        <w:rFonts w:eastAsia="Calibri"/>
        <w:i/>
        <w:sz w:val="16"/>
        <w:szCs w:val="16"/>
      </w:rPr>
      <w:tab/>
    </w:r>
    <w:r>
      <w:rPr>
        <w:rFonts w:eastAsia="Calibri"/>
        <w:i/>
        <w:sz w:val="16"/>
        <w:szCs w:val="16"/>
      </w:rPr>
      <w:tab/>
      <w:t xml:space="preserve">     </w:t>
    </w:r>
    <w:r w:rsidRPr="004A6A8C">
      <w:rPr>
        <w:rFonts w:eastAsia="Calibri"/>
        <w:sz w:val="16"/>
        <w:szCs w:val="16"/>
      </w:rPr>
      <w:t xml:space="preserve">page </w:t>
    </w:r>
    <w:r w:rsidRPr="004A6A8C">
      <w:rPr>
        <w:rFonts w:eastAsia="Calibri"/>
        <w:sz w:val="16"/>
        <w:szCs w:val="16"/>
      </w:rPr>
      <w:fldChar w:fldCharType="begin"/>
    </w:r>
    <w:r w:rsidRPr="004A6A8C">
      <w:rPr>
        <w:rFonts w:eastAsia="Calibri"/>
        <w:sz w:val="16"/>
        <w:szCs w:val="16"/>
      </w:rPr>
      <w:instrText xml:space="preserve"> PAGE   \* MERGEFORMAT </w:instrText>
    </w:r>
    <w:r w:rsidRPr="004A6A8C">
      <w:rPr>
        <w:rFonts w:eastAsia="Calibri"/>
        <w:sz w:val="16"/>
        <w:szCs w:val="16"/>
      </w:rPr>
      <w:fldChar w:fldCharType="separate"/>
    </w:r>
    <w:r w:rsidR="0020385B">
      <w:rPr>
        <w:rFonts w:eastAsia="Calibri"/>
        <w:noProof/>
        <w:sz w:val="16"/>
        <w:szCs w:val="16"/>
      </w:rPr>
      <w:t>33</w:t>
    </w:r>
    <w:r w:rsidRPr="004A6A8C">
      <w:rPr>
        <w:rFonts w:eastAsia="Calibri"/>
        <w:noProof/>
        <w:sz w:val="16"/>
        <w:szCs w:val="16"/>
      </w:rPr>
      <w:fldChar w:fldCharType="end"/>
    </w:r>
  </w:p>
  <w:p w:rsidR="00954CD5" w:rsidRPr="004A6A8C" w:rsidRDefault="00954CD5" w:rsidP="006A34F3">
    <w:pPr>
      <w:tabs>
        <w:tab w:val="center" w:pos="4680"/>
        <w:tab w:val="right" w:pos="9360"/>
      </w:tabs>
      <w:adjustRightInd/>
      <w:spacing w:after="0" w:line="240" w:lineRule="auto"/>
      <w:jc w:val="center"/>
      <w:textAlignment w:val="auto"/>
      <w:rPr>
        <w:rFonts w:eastAsia="Calibri"/>
        <w:sz w:val="16"/>
        <w:szCs w:val="16"/>
      </w:rPr>
    </w:pPr>
    <w:r w:rsidRPr="00954CD5">
      <w:rPr>
        <w:rFonts w:eastAsia="Calibri"/>
        <w:sz w:val="16"/>
        <w:szCs w:val="16"/>
      </w:rPr>
      <w:t xml:space="preserve">ISO-NE </w:t>
    </w:r>
    <w:r w:rsidRPr="00FF48CE">
      <w:rPr>
        <w:rFonts w:eastAsia="Calibri"/>
        <w:sz w:val="16"/>
        <w:szCs w:val="16"/>
      </w:rPr>
      <w:t>PUBLIC</w:t>
    </w:r>
    <w:r w:rsidRPr="00954CD5">
      <w:rPr>
        <w:rFonts w:eastAsia="Calibri"/>
        <w:sz w:val="16"/>
        <w:szCs w:val="16"/>
      </w:rPr>
      <w:t xml:space="preserve"> </w:t>
    </w:r>
    <w:r w:rsidRPr="004C3378">
      <w:rPr>
        <w:rFonts w:eastAsia="Calibri"/>
        <w:sz w:val="16"/>
        <w:szCs w:val="16"/>
      </w:rPr>
      <w:t>USE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CD5" w:rsidRPr="004A6A8C" w:rsidRDefault="00954CD5" w:rsidP="004A6A8C">
    <w:pPr>
      <w:tabs>
        <w:tab w:val="center" w:pos="4680"/>
        <w:tab w:val="right" w:pos="9360"/>
      </w:tabs>
      <w:adjustRightInd/>
      <w:spacing w:after="0" w:line="240" w:lineRule="auto"/>
      <w:textAlignment w:val="auto"/>
      <w:rPr>
        <w:rFonts w:eastAsia="Calibri"/>
        <w:noProof/>
        <w:sz w:val="16"/>
        <w:szCs w:val="16"/>
      </w:rPr>
    </w:pPr>
    <w:r>
      <w:rPr>
        <w:rFonts w:eastAsia="Calibri"/>
        <w:i/>
        <w:sz w:val="16"/>
        <w:szCs w:val="16"/>
      </w:rPr>
      <w:t xml:space="preserve">Draft </w:t>
    </w:r>
    <w:r w:rsidRPr="004A6A8C">
      <w:rPr>
        <w:rFonts w:eastAsia="Calibri"/>
        <w:i/>
        <w:sz w:val="16"/>
        <w:szCs w:val="16"/>
      </w:rPr>
      <w:t>NEPOOL Scenario Analysis</w:t>
    </w:r>
    <w:r w:rsidRPr="004A6A8C">
      <w:rPr>
        <w:rFonts w:eastAsia="Calibri"/>
        <w:i/>
        <w:sz w:val="16"/>
        <w:szCs w:val="16"/>
      </w:rPr>
      <w:tab/>
    </w:r>
    <w:r w:rsidRPr="004A6A8C">
      <w:rPr>
        <w:rFonts w:eastAsia="Calibri"/>
        <w:i/>
        <w:sz w:val="16"/>
        <w:szCs w:val="16"/>
      </w:rPr>
      <w:tab/>
    </w:r>
    <w:r w:rsidRPr="004A6A8C">
      <w:rPr>
        <w:rFonts w:eastAsia="Calibri"/>
        <w:sz w:val="16"/>
        <w:szCs w:val="16"/>
      </w:rPr>
      <w:t xml:space="preserve">page </w:t>
    </w:r>
    <w:r w:rsidRPr="004A6A8C">
      <w:rPr>
        <w:rFonts w:eastAsia="Calibri"/>
        <w:sz w:val="16"/>
        <w:szCs w:val="16"/>
      </w:rPr>
      <w:fldChar w:fldCharType="begin"/>
    </w:r>
    <w:r w:rsidRPr="004A6A8C">
      <w:rPr>
        <w:rFonts w:eastAsia="Calibri"/>
        <w:sz w:val="16"/>
        <w:szCs w:val="16"/>
      </w:rPr>
      <w:instrText xml:space="preserve"> PAGE   \* MERGEFORMAT </w:instrText>
    </w:r>
    <w:r w:rsidRPr="004A6A8C">
      <w:rPr>
        <w:rFonts w:eastAsia="Calibri"/>
        <w:sz w:val="16"/>
        <w:szCs w:val="16"/>
      </w:rPr>
      <w:fldChar w:fldCharType="separate"/>
    </w:r>
    <w:r w:rsidR="0020385B">
      <w:rPr>
        <w:rFonts w:eastAsia="Calibri"/>
        <w:noProof/>
        <w:sz w:val="16"/>
        <w:szCs w:val="16"/>
      </w:rPr>
      <w:t>49</w:t>
    </w:r>
    <w:r w:rsidRPr="004A6A8C">
      <w:rPr>
        <w:rFonts w:eastAsia="Calibri"/>
        <w:noProof/>
        <w:sz w:val="16"/>
        <w:szCs w:val="16"/>
      </w:rPr>
      <w:fldChar w:fldCharType="end"/>
    </w:r>
  </w:p>
  <w:p w:rsidR="00954CD5" w:rsidRPr="004A6A8C" w:rsidRDefault="00954CD5" w:rsidP="004A6A8C">
    <w:pPr>
      <w:tabs>
        <w:tab w:val="center" w:pos="4680"/>
        <w:tab w:val="right" w:pos="9360"/>
      </w:tabs>
      <w:adjustRightInd/>
      <w:spacing w:after="0" w:line="240" w:lineRule="auto"/>
      <w:textAlignment w:val="auto"/>
      <w:rPr>
        <w:rFonts w:eastAsia="Calibri"/>
        <w:sz w:val="16"/>
        <w:szCs w:val="16"/>
      </w:rPr>
    </w:pPr>
    <w:r w:rsidRPr="004A6A8C">
      <w:rPr>
        <w:rFonts w:eastAsia="Calibri"/>
        <w:sz w:val="16"/>
        <w:szCs w:val="16"/>
      </w:rPr>
      <w:tab/>
      <w:t xml:space="preserve">ISO-NE </w:t>
    </w:r>
    <w:r>
      <w:rPr>
        <w:rFonts w:eastAsia="Calibri"/>
        <w:sz w:val="16"/>
        <w:szCs w:val="16"/>
      </w:rPr>
      <w:t>PUBLIC</w:t>
    </w:r>
    <w:r w:rsidRPr="004A6A8C">
      <w:rPr>
        <w:rFonts w:eastAsia="Calibri"/>
        <w:sz w:val="16"/>
        <w:szCs w:val="16"/>
      </w:rPr>
      <w:t xml:space="preserve"> USE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CD5" w:rsidRPr="004A6A8C" w:rsidRDefault="00954CD5" w:rsidP="004A6A8C">
    <w:pPr>
      <w:tabs>
        <w:tab w:val="center" w:pos="4680"/>
        <w:tab w:val="right" w:pos="9360"/>
      </w:tabs>
      <w:adjustRightInd/>
      <w:spacing w:after="0" w:line="240" w:lineRule="auto"/>
      <w:textAlignment w:val="auto"/>
      <w:rPr>
        <w:rFonts w:eastAsia="Calibri"/>
        <w:noProof/>
        <w:sz w:val="16"/>
        <w:szCs w:val="16"/>
      </w:rPr>
    </w:pPr>
    <w:r>
      <w:rPr>
        <w:rFonts w:eastAsia="Calibri"/>
        <w:i/>
        <w:sz w:val="16"/>
        <w:szCs w:val="16"/>
      </w:rPr>
      <w:t xml:space="preserve">Draft </w:t>
    </w:r>
    <w:r w:rsidRPr="004A6A8C">
      <w:rPr>
        <w:rFonts w:eastAsia="Calibri"/>
        <w:i/>
        <w:sz w:val="16"/>
        <w:szCs w:val="16"/>
      </w:rPr>
      <w:t>NEPOOL Scenario Analysis</w:t>
    </w:r>
    <w:r w:rsidRPr="004A6A8C">
      <w:rPr>
        <w:rFonts w:eastAsia="Calibri"/>
        <w:i/>
        <w:sz w:val="16"/>
        <w:szCs w:val="16"/>
      </w:rPr>
      <w:tab/>
    </w:r>
    <w:r w:rsidRPr="004A6A8C">
      <w:rPr>
        <w:rFonts w:eastAsia="Calibri"/>
        <w:i/>
        <w:sz w:val="16"/>
        <w:szCs w:val="16"/>
      </w:rPr>
      <w:tab/>
    </w:r>
    <w:r>
      <w:rPr>
        <w:rFonts w:eastAsia="Calibri"/>
        <w:i/>
        <w:sz w:val="16"/>
        <w:szCs w:val="16"/>
      </w:rPr>
      <w:tab/>
    </w:r>
    <w:r>
      <w:rPr>
        <w:rFonts w:eastAsia="Calibri"/>
        <w:i/>
        <w:sz w:val="16"/>
        <w:szCs w:val="16"/>
      </w:rPr>
      <w:tab/>
    </w:r>
    <w:r>
      <w:rPr>
        <w:rFonts w:eastAsia="Calibri"/>
        <w:i/>
        <w:sz w:val="16"/>
        <w:szCs w:val="16"/>
      </w:rPr>
      <w:tab/>
    </w:r>
    <w:r>
      <w:rPr>
        <w:rFonts w:eastAsia="Calibri"/>
        <w:i/>
        <w:sz w:val="16"/>
        <w:szCs w:val="16"/>
      </w:rPr>
      <w:tab/>
      <w:t xml:space="preserve">     </w:t>
    </w:r>
    <w:r w:rsidRPr="004A6A8C">
      <w:rPr>
        <w:rFonts w:eastAsia="Calibri"/>
        <w:sz w:val="16"/>
        <w:szCs w:val="16"/>
      </w:rPr>
      <w:t xml:space="preserve">page </w:t>
    </w:r>
    <w:r w:rsidRPr="004A6A8C">
      <w:rPr>
        <w:rFonts w:eastAsia="Calibri"/>
        <w:sz w:val="16"/>
        <w:szCs w:val="16"/>
      </w:rPr>
      <w:fldChar w:fldCharType="begin"/>
    </w:r>
    <w:r w:rsidRPr="004A6A8C">
      <w:rPr>
        <w:rFonts w:eastAsia="Calibri"/>
        <w:sz w:val="16"/>
        <w:szCs w:val="16"/>
      </w:rPr>
      <w:instrText xml:space="preserve"> PAGE   \* MERGEFORMAT </w:instrText>
    </w:r>
    <w:r w:rsidRPr="004A6A8C">
      <w:rPr>
        <w:rFonts w:eastAsia="Calibri"/>
        <w:sz w:val="16"/>
        <w:szCs w:val="16"/>
      </w:rPr>
      <w:fldChar w:fldCharType="separate"/>
    </w:r>
    <w:r w:rsidR="0020385B">
      <w:rPr>
        <w:rFonts w:eastAsia="Calibri"/>
        <w:noProof/>
        <w:sz w:val="16"/>
        <w:szCs w:val="16"/>
      </w:rPr>
      <w:t>51</w:t>
    </w:r>
    <w:r w:rsidRPr="004A6A8C">
      <w:rPr>
        <w:rFonts w:eastAsia="Calibri"/>
        <w:noProof/>
        <w:sz w:val="16"/>
        <w:szCs w:val="16"/>
      </w:rPr>
      <w:fldChar w:fldCharType="end"/>
    </w:r>
  </w:p>
  <w:p w:rsidR="00954CD5" w:rsidRPr="004A6A8C" w:rsidRDefault="00954CD5" w:rsidP="006A34F3">
    <w:pPr>
      <w:tabs>
        <w:tab w:val="center" w:pos="4680"/>
        <w:tab w:val="right" w:pos="9360"/>
      </w:tabs>
      <w:adjustRightInd/>
      <w:spacing w:after="0" w:line="240" w:lineRule="auto"/>
      <w:jc w:val="center"/>
      <w:textAlignment w:val="auto"/>
      <w:rPr>
        <w:rFonts w:eastAsia="Calibri"/>
        <w:sz w:val="16"/>
        <w:szCs w:val="16"/>
      </w:rPr>
    </w:pPr>
    <w:r w:rsidRPr="004A6A8C">
      <w:rPr>
        <w:rFonts w:eastAsia="Calibri"/>
        <w:sz w:val="16"/>
        <w:szCs w:val="16"/>
      </w:rPr>
      <w:t xml:space="preserve">ISO-NE </w:t>
    </w:r>
    <w:r>
      <w:rPr>
        <w:rFonts w:eastAsia="Calibri"/>
        <w:sz w:val="16"/>
        <w:szCs w:val="16"/>
      </w:rPr>
      <w:t>PUBLIC</w:t>
    </w:r>
    <w:r w:rsidRPr="004A6A8C">
      <w:rPr>
        <w:rFonts w:eastAsia="Calibri"/>
        <w:sz w:val="16"/>
        <w:szCs w:val="16"/>
      </w:rPr>
      <w:t xml:space="preserve"> USE</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CD5" w:rsidRPr="004A6A8C" w:rsidRDefault="00954CD5" w:rsidP="004A6A8C">
    <w:pPr>
      <w:tabs>
        <w:tab w:val="center" w:pos="4680"/>
        <w:tab w:val="right" w:pos="9360"/>
      </w:tabs>
      <w:adjustRightInd/>
      <w:spacing w:after="0" w:line="240" w:lineRule="auto"/>
      <w:textAlignment w:val="auto"/>
      <w:rPr>
        <w:rFonts w:eastAsia="Calibri"/>
        <w:noProof/>
        <w:sz w:val="16"/>
        <w:szCs w:val="16"/>
      </w:rPr>
    </w:pPr>
    <w:r>
      <w:rPr>
        <w:rFonts w:eastAsia="Calibri"/>
        <w:i/>
        <w:sz w:val="16"/>
        <w:szCs w:val="16"/>
      </w:rPr>
      <w:t xml:space="preserve">Draft </w:t>
    </w:r>
    <w:r w:rsidRPr="004A6A8C">
      <w:rPr>
        <w:rFonts w:eastAsia="Calibri"/>
        <w:i/>
        <w:sz w:val="16"/>
        <w:szCs w:val="16"/>
      </w:rPr>
      <w:t>NEPOOL Scenario Analysis</w:t>
    </w:r>
    <w:r w:rsidRPr="004A6A8C">
      <w:rPr>
        <w:rFonts w:eastAsia="Calibri"/>
        <w:i/>
        <w:sz w:val="16"/>
        <w:szCs w:val="16"/>
      </w:rPr>
      <w:tab/>
    </w:r>
    <w:r w:rsidRPr="004A6A8C">
      <w:rPr>
        <w:rFonts w:eastAsia="Calibri"/>
        <w:i/>
        <w:sz w:val="16"/>
        <w:szCs w:val="16"/>
      </w:rPr>
      <w:tab/>
    </w:r>
    <w:r w:rsidRPr="004A6A8C">
      <w:rPr>
        <w:rFonts w:eastAsia="Calibri"/>
        <w:sz w:val="16"/>
        <w:szCs w:val="16"/>
      </w:rPr>
      <w:t xml:space="preserve">page </w:t>
    </w:r>
    <w:r w:rsidRPr="004A6A8C">
      <w:rPr>
        <w:rFonts w:eastAsia="Calibri"/>
        <w:sz w:val="16"/>
        <w:szCs w:val="16"/>
      </w:rPr>
      <w:fldChar w:fldCharType="begin"/>
    </w:r>
    <w:r w:rsidRPr="004A6A8C">
      <w:rPr>
        <w:rFonts w:eastAsia="Calibri"/>
        <w:sz w:val="16"/>
        <w:szCs w:val="16"/>
      </w:rPr>
      <w:instrText xml:space="preserve"> PAGE   \* MERGEFORMAT </w:instrText>
    </w:r>
    <w:r w:rsidRPr="004A6A8C">
      <w:rPr>
        <w:rFonts w:eastAsia="Calibri"/>
        <w:sz w:val="16"/>
        <w:szCs w:val="16"/>
      </w:rPr>
      <w:fldChar w:fldCharType="separate"/>
    </w:r>
    <w:r w:rsidR="0020385B">
      <w:rPr>
        <w:rFonts w:eastAsia="Calibri"/>
        <w:noProof/>
        <w:sz w:val="16"/>
        <w:szCs w:val="16"/>
      </w:rPr>
      <w:t>90</w:t>
    </w:r>
    <w:r w:rsidRPr="004A6A8C">
      <w:rPr>
        <w:rFonts w:eastAsia="Calibri"/>
        <w:noProof/>
        <w:sz w:val="16"/>
        <w:szCs w:val="16"/>
      </w:rPr>
      <w:fldChar w:fldCharType="end"/>
    </w:r>
  </w:p>
  <w:p w:rsidR="00954CD5" w:rsidRPr="004A6A8C" w:rsidRDefault="00954CD5" w:rsidP="004A6A8C">
    <w:pPr>
      <w:tabs>
        <w:tab w:val="center" w:pos="4680"/>
        <w:tab w:val="right" w:pos="9360"/>
      </w:tabs>
      <w:adjustRightInd/>
      <w:spacing w:after="0" w:line="240" w:lineRule="auto"/>
      <w:textAlignment w:val="auto"/>
      <w:rPr>
        <w:rFonts w:eastAsia="Calibri"/>
        <w:sz w:val="16"/>
        <w:szCs w:val="16"/>
      </w:rPr>
    </w:pPr>
    <w:r w:rsidRPr="004A6A8C">
      <w:rPr>
        <w:rFonts w:eastAsia="Calibri"/>
        <w:sz w:val="16"/>
        <w:szCs w:val="16"/>
      </w:rPr>
      <w:tab/>
      <w:t xml:space="preserve">ISO-NE </w:t>
    </w:r>
    <w:r>
      <w:rPr>
        <w:rFonts w:eastAsia="Calibri"/>
        <w:sz w:val="16"/>
        <w:szCs w:val="16"/>
      </w:rPr>
      <w:t>PUBLIC</w:t>
    </w:r>
    <w:r w:rsidRPr="004A6A8C">
      <w:rPr>
        <w:rFonts w:eastAsia="Calibri"/>
        <w:sz w:val="16"/>
        <w:szCs w:val="16"/>
      </w:rPr>
      <w:t xml:space="preserve"> USE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CD5" w:rsidRPr="004A6A8C" w:rsidRDefault="00954CD5" w:rsidP="004A6A8C">
    <w:pPr>
      <w:tabs>
        <w:tab w:val="center" w:pos="4680"/>
        <w:tab w:val="right" w:pos="9360"/>
      </w:tabs>
      <w:adjustRightInd/>
      <w:spacing w:after="0" w:line="240" w:lineRule="auto"/>
      <w:textAlignment w:val="auto"/>
      <w:rPr>
        <w:rFonts w:eastAsia="Calibri"/>
        <w:noProof/>
        <w:sz w:val="16"/>
        <w:szCs w:val="16"/>
      </w:rPr>
    </w:pPr>
    <w:r>
      <w:rPr>
        <w:rFonts w:eastAsia="Calibri"/>
        <w:i/>
        <w:sz w:val="16"/>
        <w:szCs w:val="16"/>
      </w:rPr>
      <w:t xml:space="preserve">Draft </w:t>
    </w:r>
    <w:r w:rsidRPr="004A6A8C">
      <w:rPr>
        <w:rFonts w:eastAsia="Calibri"/>
        <w:i/>
        <w:sz w:val="16"/>
        <w:szCs w:val="16"/>
      </w:rPr>
      <w:t>NEPOOL Scenario Analysis</w:t>
    </w:r>
    <w:r w:rsidRPr="004A6A8C">
      <w:rPr>
        <w:rFonts w:eastAsia="Calibri"/>
        <w:i/>
        <w:sz w:val="16"/>
        <w:szCs w:val="16"/>
      </w:rPr>
      <w:tab/>
    </w:r>
    <w:r w:rsidRPr="004A6A8C">
      <w:rPr>
        <w:rFonts w:eastAsia="Calibri"/>
        <w:i/>
        <w:sz w:val="16"/>
        <w:szCs w:val="16"/>
      </w:rPr>
      <w:tab/>
    </w:r>
    <w:r>
      <w:rPr>
        <w:rFonts w:eastAsia="Calibri"/>
        <w:i/>
        <w:sz w:val="16"/>
        <w:szCs w:val="16"/>
      </w:rPr>
      <w:tab/>
    </w:r>
    <w:r>
      <w:rPr>
        <w:rFonts w:eastAsia="Calibri"/>
        <w:i/>
        <w:sz w:val="16"/>
        <w:szCs w:val="16"/>
      </w:rPr>
      <w:tab/>
    </w:r>
    <w:r>
      <w:rPr>
        <w:rFonts w:eastAsia="Calibri"/>
        <w:i/>
        <w:sz w:val="16"/>
        <w:szCs w:val="16"/>
      </w:rPr>
      <w:tab/>
    </w:r>
    <w:r>
      <w:rPr>
        <w:rFonts w:eastAsia="Calibri"/>
        <w:i/>
        <w:sz w:val="16"/>
        <w:szCs w:val="16"/>
      </w:rPr>
      <w:tab/>
      <w:t xml:space="preserve">     </w:t>
    </w:r>
    <w:r w:rsidRPr="004A6A8C">
      <w:rPr>
        <w:rFonts w:eastAsia="Calibri"/>
        <w:sz w:val="16"/>
        <w:szCs w:val="16"/>
      </w:rPr>
      <w:t xml:space="preserve">page </w:t>
    </w:r>
    <w:r w:rsidRPr="004A6A8C">
      <w:rPr>
        <w:rFonts w:eastAsia="Calibri"/>
        <w:sz w:val="16"/>
        <w:szCs w:val="16"/>
      </w:rPr>
      <w:fldChar w:fldCharType="begin"/>
    </w:r>
    <w:r w:rsidRPr="004A6A8C">
      <w:rPr>
        <w:rFonts w:eastAsia="Calibri"/>
        <w:sz w:val="16"/>
        <w:szCs w:val="16"/>
      </w:rPr>
      <w:instrText xml:space="preserve"> PAGE   \* MERGEFORMAT </w:instrText>
    </w:r>
    <w:r w:rsidRPr="004A6A8C">
      <w:rPr>
        <w:rFonts w:eastAsia="Calibri"/>
        <w:sz w:val="16"/>
        <w:szCs w:val="16"/>
      </w:rPr>
      <w:fldChar w:fldCharType="separate"/>
    </w:r>
    <w:r w:rsidR="0020385B">
      <w:rPr>
        <w:rFonts w:eastAsia="Calibri"/>
        <w:noProof/>
        <w:sz w:val="16"/>
        <w:szCs w:val="16"/>
      </w:rPr>
      <w:t>92</w:t>
    </w:r>
    <w:r w:rsidRPr="004A6A8C">
      <w:rPr>
        <w:rFonts w:eastAsia="Calibri"/>
        <w:noProof/>
        <w:sz w:val="16"/>
        <w:szCs w:val="16"/>
      </w:rPr>
      <w:fldChar w:fldCharType="end"/>
    </w:r>
  </w:p>
  <w:p w:rsidR="00954CD5" w:rsidRPr="004A6A8C" w:rsidRDefault="00954CD5" w:rsidP="006A34F3">
    <w:pPr>
      <w:tabs>
        <w:tab w:val="center" w:pos="4680"/>
        <w:tab w:val="right" w:pos="9360"/>
      </w:tabs>
      <w:adjustRightInd/>
      <w:spacing w:after="0" w:line="240" w:lineRule="auto"/>
      <w:jc w:val="center"/>
      <w:textAlignment w:val="auto"/>
      <w:rPr>
        <w:rFonts w:eastAsia="Calibri"/>
        <w:sz w:val="16"/>
        <w:szCs w:val="16"/>
      </w:rPr>
    </w:pPr>
    <w:r w:rsidRPr="004A6A8C">
      <w:rPr>
        <w:rFonts w:eastAsia="Calibri"/>
        <w:sz w:val="16"/>
        <w:szCs w:val="16"/>
      </w:rPr>
      <w:t xml:space="preserve">ISO-NE </w:t>
    </w:r>
    <w:r>
      <w:rPr>
        <w:rFonts w:eastAsia="Calibri"/>
        <w:sz w:val="16"/>
        <w:szCs w:val="16"/>
      </w:rPr>
      <w:t>PUBLIC</w:t>
    </w:r>
    <w:r w:rsidRPr="004A6A8C">
      <w:rPr>
        <w:rFonts w:eastAsia="Calibri"/>
        <w:sz w:val="16"/>
        <w:szCs w:val="16"/>
      </w:rPr>
      <w:t xml:space="preserve"> USE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CD5" w:rsidRPr="004A6A8C" w:rsidRDefault="00954CD5" w:rsidP="004A6A8C">
    <w:pPr>
      <w:tabs>
        <w:tab w:val="center" w:pos="4680"/>
        <w:tab w:val="right" w:pos="9360"/>
      </w:tabs>
      <w:adjustRightInd/>
      <w:spacing w:after="0" w:line="240" w:lineRule="auto"/>
      <w:textAlignment w:val="auto"/>
      <w:rPr>
        <w:rFonts w:eastAsia="Calibri"/>
        <w:noProof/>
        <w:sz w:val="16"/>
        <w:szCs w:val="16"/>
      </w:rPr>
    </w:pPr>
    <w:r>
      <w:rPr>
        <w:rFonts w:eastAsia="Calibri"/>
        <w:i/>
        <w:sz w:val="16"/>
        <w:szCs w:val="16"/>
      </w:rPr>
      <w:t xml:space="preserve">Draft </w:t>
    </w:r>
    <w:r w:rsidRPr="004A6A8C">
      <w:rPr>
        <w:rFonts w:eastAsia="Calibri"/>
        <w:i/>
        <w:sz w:val="16"/>
        <w:szCs w:val="16"/>
      </w:rPr>
      <w:t>NEPOOL Scenario Analysis</w:t>
    </w:r>
    <w:r w:rsidRPr="004A6A8C">
      <w:rPr>
        <w:rFonts w:eastAsia="Calibri"/>
        <w:i/>
        <w:sz w:val="16"/>
        <w:szCs w:val="16"/>
      </w:rPr>
      <w:tab/>
    </w:r>
    <w:r w:rsidRPr="004A6A8C">
      <w:rPr>
        <w:rFonts w:eastAsia="Calibri"/>
        <w:i/>
        <w:sz w:val="16"/>
        <w:szCs w:val="16"/>
      </w:rPr>
      <w:tab/>
    </w:r>
    <w:r w:rsidRPr="004A6A8C">
      <w:rPr>
        <w:rFonts w:eastAsia="Calibri"/>
        <w:sz w:val="16"/>
        <w:szCs w:val="16"/>
      </w:rPr>
      <w:t xml:space="preserve">page </w:t>
    </w:r>
    <w:r w:rsidRPr="004A6A8C">
      <w:rPr>
        <w:rFonts w:eastAsia="Calibri"/>
        <w:sz w:val="16"/>
        <w:szCs w:val="16"/>
      </w:rPr>
      <w:fldChar w:fldCharType="begin"/>
    </w:r>
    <w:r w:rsidRPr="004A6A8C">
      <w:rPr>
        <w:rFonts w:eastAsia="Calibri"/>
        <w:sz w:val="16"/>
        <w:szCs w:val="16"/>
      </w:rPr>
      <w:instrText xml:space="preserve"> PAGE   \* MERGEFORMAT </w:instrText>
    </w:r>
    <w:r w:rsidRPr="004A6A8C">
      <w:rPr>
        <w:rFonts w:eastAsia="Calibri"/>
        <w:sz w:val="16"/>
        <w:szCs w:val="16"/>
      </w:rPr>
      <w:fldChar w:fldCharType="separate"/>
    </w:r>
    <w:r w:rsidR="0020385B">
      <w:rPr>
        <w:rFonts w:eastAsia="Calibri"/>
        <w:noProof/>
        <w:sz w:val="16"/>
        <w:szCs w:val="16"/>
      </w:rPr>
      <w:t>96</w:t>
    </w:r>
    <w:r w:rsidRPr="004A6A8C">
      <w:rPr>
        <w:rFonts w:eastAsia="Calibri"/>
        <w:noProof/>
        <w:sz w:val="16"/>
        <w:szCs w:val="16"/>
      </w:rPr>
      <w:fldChar w:fldCharType="end"/>
    </w:r>
  </w:p>
  <w:p w:rsidR="00954CD5" w:rsidRPr="004A6A8C" w:rsidRDefault="00954CD5" w:rsidP="004A6A8C">
    <w:pPr>
      <w:tabs>
        <w:tab w:val="center" w:pos="4680"/>
        <w:tab w:val="right" w:pos="9360"/>
      </w:tabs>
      <w:adjustRightInd/>
      <w:spacing w:after="0" w:line="240" w:lineRule="auto"/>
      <w:textAlignment w:val="auto"/>
      <w:rPr>
        <w:rFonts w:eastAsia="Calibri"/>
        <w:sz w:val="16"/>
        <w:szCs w:val="16"/>
      </w:rPr>
    </w:pPr>
    <w:r w:rsidRPr="004A6A8C">
      <w:rPr>
        <w:rFonts w:eastAsia="Calibri"/>
        <w:sz w:val="16"/>
        <w:szCs w:val="16"/>
      </w:rPr>
      <w:tab/>
      <w:t xml:space="preserve">ISO-NE </w:t>
    </w:r>
    <w:r>
      <w:rPr>
        <w:rFonts w:eastAsia="Calibri"/>
        <w:sz w:val="16"/>
        <w:szCs w:val="16"/>
      </w:rPr>
      <w:t>PUBLIC</w:t>
    </w:r>
    <w:r w:rsidRPr="004A6A8C">
      <w:rPr>
        <w:rFonts w:eastAsia="Calibri"/>
        <w:sz w:val="16"/>
        <w:szCs w:val="16"/>
      </w:rPr>
      <w:t xml:space="preserve"> USE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85B" w:rsidRDefault="0020385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CD5" w:rsidRDefault="00954CD5" w:rsidP="00D400DB">
    <w:pPr>
      <w:tabs>
        <w:tab w:val="center" w:pos="4680"/>
        <w:tab w:val="right" w:pos="9360"/>
      </w:tabs>
      <w:spacing w:after="0" w:line="240"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CD5" w:rsidRPr="00AB7EAC" w:rsidRDefault="00954CD5" w:rsidP="00954CD5">
    <w:pPr>
      <w:tabs>
        <w:tab w:val="center" w:pos="4680"/>
        <w:tab w:val="right" w:pos="9360"/>
      </w:tabs>
      <w:adjustRightInd/>
      <w:spacing w:after="0" w:line="240" w:lineRule="auto"/>
      <w:textAlignment w:val="auto"/>
      <w:rPr>
        <w:rFonts w:eastAsia="Calibri"/>
        <w:noProof/>
        <w:sz w:val="16"/>
        <w:szCs w:val="16"/>
      </w:rPr>
    </w:pPr>
    <w:r w:rsidRPr="00AB7EAC">
      <w:rPr>
        <w:rFonts w:eastAsia="Calibri"/>
        <w:i/>
        <w:sz w:val="16"/>
        <w:szCs w:val="16"/>
      </w:rPr>
      <w:t>Draft NEPOOL Scenario Analysis</w:t>
    </w:r>
    <w:r w:rsidRPr="00AB7EAC">
      <w:rPr>
        <w:rFonts w:eastAsia="Calibri"/>
        <w:i/>
        <w:sz w:val="16"/>
        <w:szCs w:val="16"/>
      </w:rPr>
      <w:tab/>
    </w:r>
    <w:r w:rsidRPr="00AB7EAC">
      <w:rPr>
        <w:rFonts w:eastAsia="Calibri"/>
        <w:i/>
        <w:sz w:val="16"/>
        <w:szCs w:val="16"/>
      </w:rPr>
      <w:tab/>
    </w:r>
    <w:r w:rsidRPr="00AB7EAC">
      <w:rPr>
        <w:rFonts w:eastAsia="Calibri"/>
        <w:sz w:val="16"/>
        <w:szCs w:val="16"/>
      </w:rPr>
      <w:t xml:space="preserve">page </w:t>
    </w:r>
    <w:r w:rsidRPr="00AB7EAC">
      <w:rPr>
        <w:rFonts w:eastAsia="Calibri"/>
        <w:sz w:val="16"/>
        <w:szCs w:val="16"/>
      </w:rPr>
      <w:fldChar w:fldCharType="begin"/>
    </w:r>
    <w:r w:rsidRPr="00AB7EAC">
      <w:rPr>
        <w:rFonts w:eastAsia="Calibri"/>
        <w:sz w:val="16"/>
        <w:szCs w:val="16"/>
      </w:rPr>
      <w:instrText xml:space="preserve"> PAGE   \* MERGEFORMAT </w:instrText>
    </w:r>
    <w:r w:rsidRPr="00AB7EAC">
      <w:rPr>
        <w:rFonts w:eastAsia="Calibri"/>
        <w:sz w:val="16"/>
        <w:szCs w:val="16"/>
      </w:rPr>
      <w:fldChar w:fldCharType="separate"/>
    </w:r>
    <w:r w:rsidR="0020385B">
      <w:rPr>
        <w:rFonts w:eastAsia="Calibri"/>
        <w:noProof/>
        <w:sz w:val="16"/>
        <w:szCs w:val="16"/>
      </w:rPr>
      <w:t>ii</w:t>
    </w:r>
    <w:r w:rsidRPr="00AB7EAC">
      <w:rPr>
        <w:rFonts w:eastAsia="Calibri"/>
        <w:noProof/>
        <w:sz w:val="16"/>
        <w:szCs w:val="16"/>
      </w:rPr>
      <w:fldChar w:fldCharType="end"/>
    </w:r>
  </w:p>
  <w:p w:rsidR="00954CD5" w:rsidRDefault="00954CD5" w:rsidP="00954CD5">
    <w:pPr>
      <w:pStyle w:val="Footer"/>
    </w:pPr>
    <w:r w:rsidRPr="00AB7EAC">
      <w:rPr>
        <w:rFonts w:eastAsia="Calibri"/>
        <w:sz w:val="16"/>
        <w:szCs w:val="16"/>
      </w:rPr>
      <w:tab/>
      <w:t xml:space="preserve">ISO-NE </w:t>
    </w:r>
    <w:r>
      <w:rPr>
        <w:rFonts w:eastAsia="Calibri"/>
        <w:sz w:val="16"/>
        <w:szCs w:val="16"/>
      </w:rPr>
      <w:t>PUBLIC</w:t>
    </w:r>
    <w:r w:rsidRPr="00AB7EAC">
      <w:rPr>
        <w:rFonts w:eastAsia="Calibri"/>
        <w:sz w:val="16"/>
        <w:szCs w:val="16"/>
      </w:rPr>
      <w:t xml:space="preserve"> USE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CD5" w:rsidRPr="00AB7EAC" w:rsidRDefault="00954CD5" w:rsidP="009E28C2">
    <w:pPr>
      <w:tabs>
        <w:tab w:val="center" w:pos="4680"/>
        <w:tab w:val="right" w:pos="9360"/>
      </w:tabs>
      <w:adjustRightInd/>
      <w:spacing w:after="0" w:line="240" w:lineRule="auto"/>
      <w:textAlignment w:val="auto"/>
      <w:rPr>
        <w:rFonts w:eastAsia="Calibri"/>
        <w:noProof/>
        <w:sz w:val="16"/>
        <w:szCs w:val="16"/>
      </w:rPr>
    </w:pPr>
    <w:r w:rsidRPr="00AB7EAC">
      <w:rPr>
        <w:rFonts w:eastAsia="Calibri"/>
        <w:i/>
        <w:sz w:val="16"/>
        <w:szCs w:val="16"/>
      </w:rPr>
      <w:t>Draft NEPOOL Scenario Analysis</w:t>
    </w:r>
    <w:r w:rsidRPr="00AB7EAC">
      <w:rPr>
        <w:rFonts w:eastAsia="Calibri"/>
        <w:i/>
        <w:sz w:val="16"/>
        <w:szCs w:val="16"/>
      </w:rPr>
      <w:tab/>
    </w:r>
    <w:r w:rsidRPr="00AB7EAC">
      <w:rPr>
        <w:rFonts w:eastAsia="Calibri"/>
        <w:i/>
        <w:sz w:val="16"/>
        <w:szCs w:val="16"/>
      </w:rPr>
      <w:tab/>
    </w:r>
    <w:r w:rsidRPr="00AB7EAC">
      <w:rPr>
        <w:rFonts w:eastAsia="Calibri"/>
        <w:sz w:val="16"/>
        <w:szCs w:val="16"/>
      </w:rPr>
      <w:t xml:space="preserve">page </w:t>
    </w:r>
    <w:r w:rsidRPr="00AB7EAC">
      <w:rPr>
        <w:rFonts w:eastAsia="Calibri"/>
        <w:sz w:val="16"/>
        <w:szCs w:val="16"/>
      </w:rPr>
      <w:fldChar w:fldCharType="begin"/>
    </w:r>
    <w:r w:rsidRPr="00AB7EAC">
      <w:rPr>
        <w:rFonts w:eastAsia="Calibri"/>
        <w:sz w:val="16"/>
        <w:szCs w:val="16"/>
      </w:rPr>
      <w:instrText xml:space="preserve"> PAGE   \* MERGEFORMAT </w:instrText>
    </w:r>
    <w:r w:rsidRPr="00AB7EAC">
      <w:rPr>
        <w:rFonts w:eastAsia="Calibri"/>
        <w:sz w:val="16"/>
        <w:szCs w:val="16"/>
      </w:rPr>
      <w:fldChar w:fldCharType="separate"/>
    </w:r>
    <w:r w:rsidR="0020385B">
      <w:rPr>
        <w:rFonts w:eastAsia="Calibri"/>
        <w:noProof/>
        <w:sz w:val="16"/>
        <w:szCs w:val="16"/>
      </w:rPr>
      <w:t>xii</w:t>
    </w:r>
    <w:r w:rsidRPr="00AB7EAC">
      <w:rPr>
        <w:rFonts w:eastAsia="Calibri"/>
        <w:noProof/>
        <w:sz w:val="16"/>
        <w:szCs w:val="16"/>
      </w:rPr>
      <w:fldChar w:fldCharType="end"/>
    </w:r>
  </w:p>
  <w:p w:rsidR="00954CD5" w:rsidRPr="00E1050A" w:rsidRDefault="00954CD5" w:rsidP="009E28C2">
    <w:pPr>
      <w:tabs>
        <w:tab w:val="center" w:pos="4680"/>
        <w:tab w:val="right" w:pos="9360"/>
      </w:tabs>
      <w:adjustRightInd/>
      <w:spacing w:after="0" w:line="240" w:lineRule="auto"/>
      <w:textAlignment w:val="auto"/>
      <w:rPr>
        <w:rFonts w:eastAsia="Calibri"/>
        <w:sz w:val="16"/>
        <w:szCs w:val="16"/>
      </w:rPr>
    </w:pPr>
    <w:r w:rsidRPr="00AB7EAC">
      <w:rPr>
        <w:rFonts w:eastAsia="Calibri"/>
        <w:sz w:val="16"/>
        <w:szCs w:val="16"/>
      </w:rPr>
      <w:tab/>
      <w:t xml:space="preserve">ISO-NE </w:t>
    </w:r>
    <w:r>
      <w:rPr>
        <w:rFonts w:eastAsia="Calibri"/>
        <w:sz w:val="16"/>
        <w:szCs w:val="16"/>
      </w:rPr>
      <w:t>PUBLIC</w:t>
    </w:r>
    <w:r w:rsidRPr="00AB7EAC">
      <w:rPr>
        <w:rFonts w:eastAsia="Calibri"/>
        <w:sz w:val="16"/>
        <w:szCs w:val="16"/>
      </w:rPr>
      <w:t xml:space="preserve"> USE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CD5" w:rsidRPr="004A6A8C" w:rsidRDefault="00954CD5" w:rsidP="004A6A8C">
    <w:pPr>
      <w:tabs>
        <w:tab w:val="center" w:pos="4680"/>
        <w:tab w:val="right" w:pos="9360"/>
      </w:tabs>
      <w:adjustRightInd/>
      <w:spacing w:after="0" w:line="240" w:lineRule="auto"/>
      <w:textAlignment w:val="auto"/>
      <w:rPr>
        <w:rFonts w:eastAsia="Calibri"/>
        <w:noProof/>
        <w:sz w:val="16"/>
        <w:szCs w:val="16"/>
      </w:rPr>
    </w:pPr>
    <w:r>
      <w:rPr>
        <w:rFonts w:eastAsia="Calibri"/>
        <w:i/>
        <w:sz w:val="16"/>
        <w:szCs w:val="16"/>
      </w:rPr>
      <w:t xml:space="preserve">Draft </w:t>
    </w:r>
    <w:r w:rsidRPr="004A6A8C">
      <w:rPr>
        <w:rFonts w:eastAsia="Calibri"/>
        <w:i/>
        <w:sz w:val="16"/>
        <w:szCs w:val="16"/>
      </w:rPr>
      <w:t>NEPOOL Scenario Analysis</w:t>
    </w:r>
    <w:r w:rsidRPr="004A6A8C">
      <w:rPr>
        <w:rFonts w:eastAsia="Calibri"/>
        <w:i/>
        <w:sz w:val="16"/>
        <w:szCs w:val="16"/>
      </w:rPr>
      <w:tab/>
    </w:r>
    <w:r w:rsidRPr="004A6A8C">
      <w:rPr>
        <w:rFonts w:eastAsia="Calibri"/>
        <w:i/>
        <w:sz w:val="16"/>
        <w:szCs w:val="16"/>
      </w:rPr>
      <w:tab/>
    </w:r>
    <w:r w:rsidRPr="004A6A8C">
      <w:rPr>
        <w:rFonts w:eastAsia="Calibri"/>
        <w:sz w:val="16"/>
        <w:szCs w:val="16"/>
      </w:rPr>
      <w:t xml:space="preserve">page </w:t>
    </w:r>
    <w:r w:rsidRPr="004A6A8C">
      <w:rPr>
        <w:rFonts w:eastAsia="Calibri"/>
        <w:sz w:val="16"/>
        <w:szCs w:val="16"/>
      </w:rPr>
      <w:fldChar w:fldCharType="begin"/>
    </w:r>
    <w:r w:rsidRPr="004A6A8C">
      <w:rPr>
        <w:rFonts w:eastAsia="Calibri"/>
        <w:sz w:val="16"/>
        <w:szCs w:val="16"/>
      </w:rPr>
      <w:instrText xml:space="preserve"> PAGE   \* MERGEFORMAT </w:instrText>
    </w:r>
    <w:r w:rsidRPr="004A6A8C">
      <w:rPr>
        <w:rFonts w:eastAsia="Calibri"/>
        <w:sz w:val="16"/>
        <w:szCs w:val="16"/>
      </w:rPr>
      <w:fldChar w:fldCharType="separate"/>
    </w:r>
    <w:r w:rsidR="0020385B">
      <w:rPr>
        <w:rFonts w:eastAsia="Calibri"/>
        <w:noProof/>
        <w:sz w:val="16"/>
        <w:szCs w:val="16"/>
      </w:rPr>
      <w:t>12</w:t>
    </w:r>
    <w:r w:rsidRPr="004A6A8C">
      <w:rPr>
        <w:rFonts w:eastAsia="Calibri"/>
        <w:noProof/>
        <w:sz w:val="16"/>
        <w:szCs w:val="16"/>
      </w:rPr>
      <w:fldChar w:fldCharType="end"/>
    </w:r>
  </w:p>
  <w:p w:rsidR="00954CD5" w:rsidRPr="004A6A8C" w:rsidRDefault="00954CD5" w:rsidP="004A6A8C">
    <w:pPr>
      <w:tabs>
        <w:tab w:val="center" w:pos="4680"/>
        <w:tab w:val="right" w:pos="9360"/>
      </w:tabs>
      <w:adjustRightInd/>
      <w:spacing w:after="0" w:line="240" w:lineRule="auto"/>
      <w:textAlignment w:val="auto"/>
      <w:rPr>
        <w:rFonts w:eastAsia="Calibri"/>
        <w:sz w:val="16"/>
        <w:szCs w:val="16"/>
      </w:rPr>
    </w:pPr>
    <w:r w:rsidRPr="004A6A8C">
      <w:rPr>
        <w:rFonts w:eastAsia="Calibri"/>
        <w:sz w:val="16"/>
        <w:szCs w:val="16"/>
      </w:rPr>
      <w:tab/>
      <w:t xml:space="preserve">ISO-NE </w:t>
    </w:r>
    <w:r>
      <w:rPr>
        <w:rFonts w:eastAsia="Calibri"/>
        <w:sz w:val="16"/>
        <w:szCs w:val="16"/>
      </w:rPr>
      <w:t>PUBLIC</w:t>
    </w:r>
    <w:r w:rsidRPr="004A6A8C">
      <w:rPr>
        <w:rFonts w:eastAsia="Calibri"/>
        <w:sz w:val="16"/>
        <w:szCs w:val="16"/>
      </w:rPr>
      <w:t xml:space="preserve"> USE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CD5" w:rsidRPr="00AB7EAC" w:rsidRDefault="00954CD5" w:rsidP="004A6A8C">
    <w:pPr>
      <w:tabs>
        <w:tab w:val="center" w:pos="4680"/>
        <w:tab w:val="right" w:pos="9360"/>
      </w:tabs>
      <w:adjustRightInd/>
      <w:spacing w:after="0" w:line="240" w:lineRule="auto"/>
      <w:textAlignment w:val="auto"/>
      <w:rPr>
        <w:rFonts w:eastAsia="Calibri"/>
        <w:noProof/>
        <w:sz w:val="16"/>
        <w:szCs w:val="16"/>
      </w:rPr>
    </w:pPr>
    <w:r>
      <w:rPr>
        <w:rFonts w:eastAsia="Calibri"/>
        <w:i/>
        <w:sz w:val="16"/>
        <w:szCs w:val="16"/>
      </w:rPr>
      <w:t xml:space="preserve">Draft </w:t>
    </w:r>
    <w:r w:rsidRPr="00AB7EAC">
      <w:rPr>
        <w:rFonts w:eastAsia="Calibri"/>
        <w:i/>
        <w:sz w:val="16"/>
        <w:szCs w:val="16"/>
      </w:rPr>
      <w:t>NEPOOL Scenario Analysis</w:t>
    </w:r>
    <w:r w:rsidRPr="00AB7EAC">
      <w:rPr>
        <w:rFonts w:eastAsia="Calibri"/>
        <w:i/>
        <w:sz w:val="16"/>
        <w:szCs w:val="16"/>
      </w:rPr>
      <w:tab/>
    </w:r>
    <w:r w:rsidRPr="00AB7EAC">
      <w:rPr>
        <w:rFonts w:eastAsia="Calibri"/>
        <w:i/>
        <w:sz w:val="16"/>
        <w:szCs w:val="16"/>
      </w:rPr>
      <w:tab/>
    </w:r>
    <w:r w:rsidRPr="00AB7EAC">
      <w:rPr>
        <w:rFonts w:eastAsia="Calibri"/>
        <w:sz w:val="16"/>
        <w:szCs w:val="16"/>
      </w:rPr>
      <w:t xml:space="preserve">page </w:t>
    </w:r>
    <w:r w:rsidRPr="00AB7EAC">
      <w:rPr>
        <w:rFonts w:eastAsia="Calibri"/>
        <w:sz w:val="16"/>
        <w:szCs w:val="16"/>
      </w:rPr>
      <w:fldChar w:fldCharType="begin"/>
    </w:r>
    <w:r w:rsidRPr="00AB7EAC">
      <w:rPr>
        <w:rFonts w:eastAsia="Calibri"/>
        <w:sz w:val="16"/>
        <w:szCs w:val="16"/>
      </w:rPr>
      <w:instrText xml:space="preserve"> PAGE   \* MERGEFORMAT </w:instrText>
    </w:r>
    <w:r w:rsidRPr="00AB7EAC">
      <w:rPr>
        <w:rFonts w:eastAsia="Calibri"/>
        <w:sz w:val="16"/>
        <w:szCs w:val="16"/>
      </w:rPr>
      <w:fldChar w:fldCharType="separate"/>
    </w:r>
    <w:r w:rsidR="0020385B">
      <w:rPr>
        <w:rFonts w:eastAsia="Calibri"/>
        <w:noProof/>
        <w:sz w:val="16"/>
        <w:szCs w:val="16"/>
      </w:rPr>
      <w:t>26</w:t>
    </w:r>
    <w:r w:rsidRPr="00AB7EAC">
      <w:rPr>
        <w:rFonts w:eastAsia="Calibri"/>
        <w:noProof/>
        <w:sz w:val="16"/>
        <w:szCs w:val="16"/>
      </w:rPr>
      <w:fldChar w:fldCharType="end"/>
    </w:r>
  </w:p>
  <w:p w:rsidR="00954CD5" w:rsidRPr="00237772" w:rsidRDefault="00954CD5" w:rsidP="00237772">
    <w:pPr>
      <w:tabs>
        <w:tab w:val="center" w:pos="4680"/>
        <w:tab w:val="right" w:pos="9360"/>
      </w:tabs>
      <w:adjustRightInd/>
      <w:spacing w:after="0" w:line="240" w:lineRule="auto"/>
      <w:textAlignment w:val="auto"/>
      <w:rPr>
        <w:rFonts w:eastAsia="Calibri"/>
        <w:sz w:val="16"/>
        <w:szCs w:val="16"/>
      </w:rPr>
    </w:pPr>
    <w:r w:rsidRPr="00AB7EAC">
      <w:rPr>
        <w:rFonts w:eastAsia="Calibri"/>
        <w:sz w:val="16"/>
        <w:szCs w:val="16"/>
      </w:rPr>
      <w:tab/>
      <w:t xml:space="preserve">ISO-NE </w:t>
    </w:r>
    <w:r>
      <w:rPr>
        <w:rFonts w:eastAsia="Calibri"/>
        <w:sz w:val="16"/>
        <w:szCs w:val="16"/>
      </w:rPr>
      <w:t>PUBLIC</w:t>
    </w:r>
    <w:r w:rsidRPr="00AB7EAC">
      <w:rPr>
        <w:rFonts w:eastAsia="Calibri"/>
        <w:sz w:val="16"/>
        <w:szCs w:val="16"/>
      </w:rPr>
      <w:t xml:space="preserve"> USE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CD5" w:rsidRPr="00A3069E" w:rsidRDefault="00954CD5" w:rsidP="00A3069E">
    <w:pPr>
      <w:tabs>
        <w:tab w:val="center" w:pos="4680"/>
        <w:tab w:val="right" w:pos="9360"/>
      </w:tabs>
      <w:adjustRightInd/>
      <w:spacing w:after="0" w:line="240" w:lineRule="auto"/>
      <w:ind w:right="-990"/>
      <w:textAlignment w:val="auto"/>
      <w:rPr>
        <w:rFonts w:eastAsia="Calibri"/>
        <w:noProof/>
        <w:sz w:val="16"/>
        <w:szCs w:val="16"/>
      </w:rPr>
    </w:pPr>
    <w:r w:rsidRPr="00A3069E">
      <w:rPr>
        <w:rFonts w:eastAsia="Calibri"/>
        <w:i/>
        <w:sz w:val="16"/>
        <w:szCs w:val="16"/>
      </w:rPr>
      <w:t>Draft NEPOOL Scenario Analysis</w:t>
    </w:r>
    <w:r w:rsidRPr="00A3069E">
      <w:rPr>
        <w:rFonts w:eastAsia="Calibri"/>
        <w:i/>
        <w:sz w:val="16"/>
        <w:szCs w:val="16"/>
      </w:rPr>
      <w:tab/>
    </w:r>
    <w:r w:rsidRPr="00A3069E">
      <w:rPr>
        <w:rFonts w:eastAsia="Calibri"/>
        <w:i/>
        <w:sz w:val="16"/>
        <w:szCs w:val="16"/>
      </w:rPr>
      <w:tab/>
    </w:r>
    <w:r w:rsidRPr="00A3069E">
      <w:rPr>
        <w:rFonts w:eastAsia="Calibri"/>
        <w:i/>
        <w:sz w:val="16"/>
        <w:szCs w:val="16"/>
      </w:rPr>
      <w:tab/>
    </w:r>
    <w:r w:rsidRPr="00A3069E">
      <w:rPr>
        <w:rFonts w:eastAsia="Calibri"/>
        <w:i/>
        <w:sz w:val="16"/>
        <w:szCs w:val="16"/>
      </w:rPr>
      <w:tab/>
    </w:r>
    <w:r w:rsidRPr="00A3069E">
      <w:rPr>
        <w:rFonts w:eastAsia="Calibri"/>
        <w:i/>
        <w:sz w:val="16"/>
        <w:szCs w:val="16"/>
      </w:rPr>
      <w:tab/>
    </w:r>
    <w:r w:rsidRPr="00A3069E">
      <w:rPr>
        <w:rFonts w:eastAsia="Calibri"/>
        <w:i/>
        <w:sz w:val="16"/>
        <w:szCs w:val="16"/>
      </w:rPr>
      <w:tab/>
    </w:r>
    <w:r w:rsidRPr="00A3069E">
      <w:rPr>
        <w:rFonts w:eastAsia="Calibri"/>
        <w:i/>
        <w:sz w:val="16"/>
        <w:szCs w:val="16"/>
      </w:rPr>
      <w:tab/>
    </w:r>
    <w:r w:rsidRPr="00A3069E">
      <w:rPr>
        <w:rFonts w:eastAsia="Calibri"/>
        <w:sz w:val="16"/>
        <w:szCs w:val="16"/>
      </w:rPr>
      <w:t xml:space="preserve">page </w:t>
    </w:r>
    <w:r w:rsidRPr="00A3069E">
      <w:rPr>
        <w:rFonts w:eastAsia="Calibri"/>
        <w:sz w:val="16"/>
        <w:szCs w:val="16"/>
      </w:rPr>
      <w:fldChar w:fldCharType="begin"/>
    </w:r>
    <w:r w:rsidRPr="00A3069E">
      <w:rPr>
        <w:rFonts w:eastAsia="Calibri"/>
        <w:sz w:val="16"/>
        <w:szCs w:val="16"/>
      </w:rPr>
      <w:instrText xml:space="preserve"> PAGE   \* MERGEFORMAT </w:instrText>
    </w:r>
    <w:r w:rsidRPr="00A3069E">
      <w:rPr>
        <w:rFonts w:eastAsia="Calibri"/>
        <w:sz w:val="16"/>
        <w:szCs w:val="16"/>
      </w:rPr>
      <w:fldChar w:fldCharType="separate"/>
    </w:r>
    <w:r w:rsidR="0020385B">
      <w:rPr>
        <w:rFonts w:eastAsia="Calibri"/>
        <w:noProof/>
        <w:sz w:val="16"/>
        <w:szCs w:val="16"/>
      </w:rPr>
      <w:t>28</w:t>
    </w:r>
    <w:r w:rsidRPr="00A3069E">
      <w:rPr>
        <w:rFonts w:eastAsia="Calibri"/>
        <w:noProof/>
        <w:sz w:val="16"/>
        <w:szCs w:val="16"/>
      </w:rPr>
      <w:fldChar w:fldCharType="end"/>
    </w:r>
  </w:p>
  <w:p w:rsidR="00954CD5" w:rsidRPr="004A6A8C" w:rsidRDefault="00954CD5" w:rsidP="00A3069E">
    <w:pPr>
      <w:tabs>
        <w:tab w:val="center" w:pos="4680"/>
        <w:tab w:val="right" w:pos="9360"/>
      </w:tabs>
      <w:adjustRightInd/>
      <w:spacing w:after="0" w:line="240" w:lineRule="auto"/>
      <w:jc w:val="center"/>
      <w:textAlignment w:val="auto"/>
      <w:rPr>
        <w:rFonts w:eastAsia="Calibri"/>
        <w:sz w:val="16"/>
        <w:szCs w:val="16"/>
      </w:rPr>
    </w:pPr>
    <w:r w:rsidRPr="00A3069E">
      <w:rPr>
        <w:rFonts w:eastAsia="Calibri"/>
        <w:sz w:val="16"/>
        <w:szCs w:val="16"/>
      </w:rPr>
      <w:t xml:space="preserve">ISO-NE </w:t>
    </w:r>
    <w:r>
      <w:rPr>
        <w:rFonts w:eastAsia="Calibri"/>
        <w:sz w:val="16"/>
        <w:szCs w:val="16"/>
      </w:rPr>
      <w:t>PUBLIC</w:t>
    </w:r>
    <w:r w:rsidRPr="00A3069E">
      <w:rPr>
        <w:rFonts w:eastAsia="Calibri"/>
        <w:sz w:val="16"/>
        <w:szCs w:val="16"/>
      </w:rPr>
      <w:t xml:space="preserve"> USE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CD5" w:rsidRPr="004A6A8C" w:rsidRDefault="00954CD5" w:rsidP="004A6A8C">
    <w:pPr>
      <w:tabs>
        <w:tab w:val="center" w:pos="4680"/>
        <w:tab w:val="right" w:pos="9360"/>
      </w:tabs>
      <w:adjustRightInd/>
      <w:spacing w:after="0" w:line="240" w:lineRule="auto"/>
      <w:textAlignment w:val="auto"/>
      <w:rPr>
        <w:rFonts w:eastAsia="Calibri"/>
        <w:noProof/>
        <w:sz w:val="16"/>
        <w:szCs w:val="16"/>
      </w:rPr>
    </w:pPr>
    <w:r>
      <w:rPr>
        <w:rFonts w:eastAsia="Calibri"/>
        <w:i/>
        <w:sz w:val="16"/>
        <w:szCs w:val="16"/>
      </w:rPr>
      <w:t xml:space="preserve">Draft </w:t>
    </w:r>
    <w:r w:rsidRPr="004A6A8C">
      <w:rPr>
        <w:rFonts w:eastAsia="Calibri"/>
        <w:i/>
        <w:sz w:val="16"/>
        <w:szCs w:val="16"/>
      </w:rPr>
      <w:t>NEPOOL Scenario Analysis</w:t>
    </w:r>
    <w:r w:rsidRPr="004A6A8C">
      <w:rPr>
        <w:rFonts w:eastAsia="Calibri"/>
        <w:i/>
        <w:sz w:val="16"/>
        <w:szCs w:val="16"/>
      </w:rPr>
      <w:tab/>
    </w:r>
    <w:r w:rsidRPr="004A6A8C">
      <w:rPr>
        <w:rFonts w:eastAsia="Calibri"/>
        <w:i/>
        <w:sz w:val="16"/>
        <w:szCs w:val="16"/>
      </w:rPr>
      <w:tab/>
    </w:r>
    <w:r w:rsidRPr="004A6A8C">
      <w:rPr>
        <w:rFonts w:eastAsia="Calibri"/>
        <w:sz w:val="16"/>
        <w:szCs w:val="16"/>
      </w:rPr>
      <w:t xml:space="preserve">page </w:t>
    </w:r>
    <w:r w:rsidRPr="004A6A8C">
      <w:rPr>
        <w:rFonts w:eastAsia="Calibri"/>
        <w:sz w:val="16"/>
        <w:szCs w:val="16"/>
      </w:rPr>
      <w:fldChar w:fldCharType="begin"/>
    </w:r>
    <w:r w:rsidRPr="004A6A8C">
      <w:rPr>
        <w:rFonts w:eastAsia="Calibri"/>
        <w:sz w:val="16"/>
        <w:szCs w:val="16"/>
      </w:rPr>
      <w:instrText xml:space="preserve"> PAGE   \* MERGEFORMAT </w:instrText>
    </w:r>
    <w:r w:rsidRPr="004A6A8C">
      <w:rPr>
        <w:rFonts w:eastAsia="Calibri"/>
        <w:sz w:val="16"/>
        <w:szCs w:val="16"/>
      </w:rPr>
      <w:fldChar w:fldCharType="separate"/>
    </w:r>
    <w:r w:rsidR="0020385B">
      <w:rPr>
        <w:rFonts w:eastAsia="Calibri"/>
        <w:noProof/>
        <w:sz w:val="16"/>
        <w:szCs w:val="16"/>
      </w:rPr>
      <w:t>32</w:t>
    </w:r>
    <w:r w:rsidRPr="004A6A8C">
      <w:rPr>
        <w:rFonts w:eastAsia="Calibri"/>
        <w:noProof/>
        <w:sz w:val="16"/>
        <w:szCs w:val="16"/>
      </w:rPr>
      <w:fldChar w:fldCharType="end"/>
    </w:r>
  </w:p>
  <w:p w:rsidR="00954CD5" w:rsidRPr="004A6A8C" w:rsidRDefault="00954CD5" w:rsidP="004A6A8C">
    <w:pPr>
      <w:tabs>
        <w:tab w:val="center" w:pos="4680"/>
        <w:tab w:val="right" w:pos="9360"/>
      </w:tabs>
      <w:adjustRightInd/>
      <w:spacing w:after="0" w:line="240" w:lineRule="auto"/>
      <w:textAlignment w:val="auto"/>
      <w:rPr>
        <w:rFonts w:eastAsia="Calibri"/>
        <w:sz w:val="16"/>
        <w:szCs w:val="16"/>
      </w:rPr>
    </w:pPr>
    <w:r w:rsidRPr="004A6A8C">
      <w:rPr>
        <w:rFonts w:eastAsia="Calibri"/>
        <w:sz w:val="16"/>
        <w:szCs w:val="16"/>
      </w:rPr>
      <w:tab/>
      <w:t xml:space="preserve">ISO-NE </w:t>
    </w:r>
    <w:r>
      <w:rPr>
        <w:rFonts w:eastAsia="Calibri"/>
        <w:sz w:val="16"/>
        <w:szCs w:val="16"/>
      </w:rPr>
      <w:t>PUBLIC</w:t>
    </w:r>
    <w:r w:rsidRPr="004A6A8C">
      <w:rPr>
        <w:rFonts w:eastAsia="Calibri"/>
        <w:sz w:val="16"/>
        <w:szCs w:val="16"/>
      </w:rPr>
      <w:t xml:space="preserve"> USE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5DC7" w:rsidRDefault="00505DC7">
      <w:r>
        <w:separator/>
      </w:r>
    </w:p>
  </w:footnote>
  <w:footnote w:type="continuationSeparator" w:id="0">
    <w:p w:rsidR="00505DC7" w:rsidRDefault="00505DC7">
      <w:r>
        <w:continuationSeparator/>
      </w:r>
    </w:p>
  </w:footnote>
  <w:footnote w:type="continuationNotice" w:id="1">
    <w:p w:rsidR="00505DC7" w:rsidRDefault="00505DC7">
      <w:pPr>
        <w:pStyle w:val="Footer"/>
      </w:pPr>
    </w:p>
  </w:footnote>
  <w:footnote w:id="2">
    <w:p w:rsidR="00954CD5" w:rsidRPr="004F24B6" w:rsidRDefault="00954CD5" w:rsidP="008D4799">
      <w:pPr>
        <w:pStyle w:val="FootnoteText"/>
      </w:pPr>
      <w:r w:rsidRPr="009C2B5B">
        <w:rPr>
          <w:rStyle w:val="FootnoteReference"/>
        </w:rPr>
        <w:footnoteRef/>
      </w:r>
      <w:r w:rsidRPr="009C2B5B">
        <w:t xml:space="preserve"> </w:t>
      </w:r>
      <w:r w:rsidRPr="009C2B5B">
        <w:rPr>
          <w:i/>
        </w:rPr>
        <w:t>ISO New England Inc. Transmission, Markets, and Services Tariff</w:t>
      </w:r>
      <w:r w:rsidRPr="009C2B5B">
        <w:t xml:space="preserve"> (ISO tariff), Section II, </w:t>
      </w:r>
      <w:r w:rsidRPr="009C2B5B">
        <w:rPr>
          <w:i/>
        </w:rPr>
        <w:t>Open Access Transmission Tariff</w:t>
      </w:r>
      <w:r w:rsidRPr="009C2B5B">
        <w:t xml:space="preserve">, Attachment K, “Regional System Planning Process” (April 6, 2016), </w:t>
      </w:r>
      <w:hyperlink r:id="rId1" w:history="1">
        <w:r w:rsidRPr="009C2B5B">
          <w:rPr>
            <w:rStyle w:val="Hyperlink"/>
          </w:rPr>
          <w:t>https://www.iso-ne.com/static-assets/documents/regulatory/tariff/sect_2/oatt/sect_ii.pdf</w:t>
        </w:r>
      </w:hyperlink>
      <w:r w:rsidRPr="009C2B5B">
        <w:rPr>
          <w:rStyle w:val="Hyperlink"/>
        </w:rPr>
        <w:t>.</w:t>
      </w:r>
      <w:r w:rsidRPr="009C2B5B">
        <w:t xml:space="preserve"> </w:t>
      </w:r>
      <w:r w:rsidRPr="009C2B5B">
        <w:rPr>
          <w:i/>
        </w:rPr>
        <w:t>Stakeholder Process for Submitting Economic Study Requests</w:t>
      </w:r>
      <w:r w:rsidRPr="009C2B5B">
        <w:t xml:space="preserve">. PAC presentation (February 17, 2016), </w:t>
      </w:r>
      <w:hyperlink r:id="rId2" w:history="1">
        <w:r w:rsidRPr="004F24B6">
          <w:rPr>
            <w:rStyle w:val="Hyperlink"/>
          </w:rPr>
          <w:t>https://www.iso-ne.com/static-assets/documents/2016/02/a2_stakeholder_process_for_submission_of_2016_economic_study_requests.pdf</w:t>
        </w:r>
      </w:hyperlink>
      <w:r w:rsidRPr="004F24B6">
        <w:t>.</w:t>
      </w:r>
      <w:r>
        <w:t xml:space="preserve"> NEPOOL, “NEPOOL Scenario Analysis Proposal 2016: Implications of Public Policy on ISO-NE Market Design, Reliability, Resource Metrics, Costs, Emissions, System Operability and Revenues of New Generation” (March 31, 2016), </w:t>
      </w:r>
      <w:hyperlink r:id="rId3" w:history="1">
        <w:r w:rsidRPr="008D4799">
          <w:rPr>
            <w:rStyle w:val="Hyperlink"/>
          </w:rPr>
          <w:t>http://www.iso-ne.com/static-assets/documents/2016/04/nepool_economic_study_request_scenario_analysis.docx</w:t>
        </w:r>
      </w:hyperlink>
      <w:r>
        <w:t xml:space="preserve">. </w:t>
      </w:r>
    </w:p>
  </w:footnote>
  <w:footnote w:id="3">
    <w:p w:rsidR="00954CD5" w:rsidRDefault="00954CD5">
      <w:pPr>
        <w:pStyle w:val="FootnoteText"/>
      </w:pPr>
      <w:r w:rsidRPr="004F24B6">
        <w:rPr>
          <w:rStyle w:val="FootnoteReference"/>
        </w:rPr>
        <w:footnoteRef/>
      </w:r>
      <w:r w:rsidRPr="004F24B6">
        <w:t xml:space="preserve"> Annual carrying charges represent the annual revenue a facility must receive to cover its annual fixed costs and to remain economically viable.</w:t>
      </w:r>
    </w:p>
  </w:footnote>
  <w:footnote w:id="4">
    <w:p w:rsidR="00954CD5" w:rsidRDefault="00954CD5">
      <w:pPr>
        <w:pStyle w:val="FootnoteText"/>
      </w:pPr>
      <w:r w:rsidRPr="007A6FCA">
        <w:rPr>
          <w:rStyle w:val="FootnoteReference"/>
        </w:rPr>
        <w:footnoteRef/>
      </w:r>
      <w:r w:rsidRPr="007A6FCA">
        <w:t xml:space="preserve"> A </w:t>
      </w:r>
      <w:r w:rsidRPr="007A6FCA">
        <w:rPr>
          <w:i/>
        </w:rPr>
        <w:t>Renewable Portfolio Standard</w:t>
      </w:r>
      <w:r w:rsidRPr="007A6FCA">
        <w:t xml:space="preserve"> is a state policy target for load-serving entities in that state to meet the future demand for electric energy using new or existing renewable energy resources. LSEs can satisfy their RPS obligations by obtaining generation from a variety of renewable technologies, located either within New England or within adjacent balancing authority areas, by acquiring Renewable Energy Certificates (RECs) from eligible renewable resources qualified by each state, or by making alternative compliance payments (ACPs); see footnote below.</w:t>
      </w:r>
    </w:p>
  </w:footnote>
  <w:footnote w:id="5">
    <w:p w:rsidR="00954CD5" w:rsidRDefault="00954CD5">
      <w:pPr>
        <w:pStyle w:val="FootnoteText"/>
      </w:pPr>
      <w:r>
        <w:rPr>
          <w:rStyle w:val="FootnoteReference"/>
        </w:rPr>
        <w:footnoteRef/>
      </w:r>
      <w:r>
        <w:t xml:space="preserve"> See the ISO’s “Interconnection Request Queue” webpage (2017</w:t>
      </w:r>
      <w:hyperlink r:id="rId4" w:history="1">
        <w:r w:rsidRPr="009C2B5B">
          <w:rPr>
            <w:rStyle w:val="Hyperlink"/>
          </w:rPr>
          <w:t>), https://www.iso-ne.com/system-planning/transmission-planning/interconnection-request-queue</w:t>
        </w:r>
      </w:hyperlink>
      <w:r>
        <w:t>.</w:t>
      </w:r>
    </w:p>
  </w:footnote>
  <w:footnote w:id="6">
    <w:p w:rsidR="00954CD5" w:rsidRPr="00C94537" w:rsidRDefault="00954CD5" w:rsidP="00C1021F">
      <w:pPr>
        <w:pStyle w:val="FootnoteText"/>
      </w:pPr>
      <w:r w:rsidRPr="007A6FCA">
        <w:rPr>
          <w:rStyle w:val="FootnoteReference"/>
        </w:rPr>
        <w:footnoteRef/>
      </w:r>
      <w:r w:rsidRPr="007A6FCA">
        <w:t xml:space="preserve"> An </w:t>
      </w:r>
      <w:r w:rsidRPr="007A6FCA">
        <w:rPr>
          <w:i/>
        </w:rPr>
        <w:t>alternative compliance payment</w:t>
      </w:r>
      <w:r w:rsidRPr="007A6FCA">
        <w:t xml:space="preserve"> is a state-established payment a retail electricity supplier makes to a state when its qualified renewable resources fall short of providing sufficient Renewable Energy C</w:t>
      </w:r>
      <w:r>
        <w:t xml:space="preserve">redits </w:t>
      </w:r>
      <w:r w:rsidRPr="007A6FCA">
        <w:t>for meeting the state’s Renewable Portfolio Standards (see footnote above).</w:t>
      </w:r>
      <w:r>
        <w:t xml:space="preserve"> </w:t>
      </w:r>
      <w:r w:rsidRPr="00C94537">
        <w:t>Alternative compliance payments also can serve as a price cap on the cost of RECs.</w:t>
      </w:r>
    </w:p>
  </w:footnote>
  <w:footnote w:id="7">
    <w:p w:rsidR="00954CD5" w:rsidRDefault="00954CD5">
      <w:pPr>
        <w:pStyle w:val="FootnoteText"/>
      </w:pPr>
      <w:r w:rsidRPr="00C94537">
        <w:rPr>
          <w:rStyle w:val="FootnoteReference"/>
        </w:rPr>
        <w:footnoteRef/>
      </w:r>
      <w:r w:rsidRPr="00C94537">
        <w:t xml:space="preserve"> The </w:t>
      </w:r>
      <w:r w:rsidRPr="00C94537">
        <w:rPr>
          <w:i/>
        </w:rPr>
        <w:t>net Installed Capacity Requirement</w:t>
      </w:r>
      <w:r w:rsidRPr="00C94537">
        <w:t xml:space="preserve"> is the minimum amount of resources (in megawatts) the region needs in a particular year to meet its resource adequacy planning criterion, according to the Northeast Planning Coordinating Council criteria, minus the tie-reliability benefits associated with the Hydro-Quebec Phase I/II interface, called the Hydro-Quebec Interconnection Capability Credits.</w:t>
      </w:r>
    </w:p>
  </w:footnote>
  <w:footnote w:id="8">
    <w:p w:rsidR="00954CD5" w:rsidRPr="00114CE8" w:rsidRDefault="00954CD5" w:rsidP="00114CE8">
      <w:pPr>
        <w:pStyle w:val="FootnoteText"/>
        <w:rPr>
          <w:highlight w:val="green"/>
        </w:rPr>
      </w:pPr>
      <w:r w:rsidRPr="00D04D5F">
        <w:rPr>
          <w:rStyle w:val="FootnoteReference"/>
          <w:sz w:val="18"/>
          <w:szCs w:val="18"/>
        </w:rPr>
        <w:footnoteRef/>
      </w:r>
      <w:r w:rsidRPr="00D04D5F">
        <w:t xml:space="preserve"> The </w:t>
      </w:r>
      <w:r w:rsidRPr="00D04D5F">
        <w:rPr>
          <w:i/>
        </w:rPr>
        <w:t>Regional Greenhouse Gas Initiative</w:t>
      </w:r>
      <w:r w:rsidRPr="00D04D5F">
        <w:t xml:space="preserve"> is a nine-state program in the Northeast to reduce the carbon dioxide (CO</w:t>
      </w:r>
      <w:r w:rsidRPr="00D04D5F">
        <w:rPr>
          <w:vertAlign w:val="subscript"/>
        </w:rPr>
        <w:t>2</w:t>
      </w:r>
      <w:r w:rsidRPr="00D04D5F">
        <w:t>) emissions from fossil power plants 25 MW and larger in these states. Each state is allocated a share (allowance) of an annual emissions cap on the basis of historical emissions and negotiations; one allowance equals the limited right to emit one ton of CO</w:t>
      </w:r>
      <w:r w:rsidRPr="00D04D5F">
        <w:rPr>
          <w:vertAlign w:val="subscript"/>
        </w:rPr>
        <w:t>2</w:t>
      </w:r>
      <w:r w:rsidRPr="00D04D5F">
        <w:t>.</w:t>
      </w:r>
    </w:p>
  </w:footnote>
  <w:footnote w:id="9">
    <w:p w:rsidR="00954CD5" w:rsidRPr="00114CE8" w:rsidRDefault="00954CD5" w:rsidP="00C668B8">
      <w:pPr>
        <w:spacing w:after="80" w:line="240" w:lineRule="auto"/>
        <w:rPr>
          <w:sz w:val="18"/>
          <w:szCs w:val="18"/>
        </w:rPr>
      </w:pPr>
      <w:r w:rsidRPr="000A37E6">
        <w:rPr>
          <w:rStyle w:val="FootnoteReference"/>
          <w:sz w:val="18"/>
          <w:szCs w:val="18"/>
        </w:rPr>
        <w:footnoteRef/>
      </w:r>
      <w:r w:rsidRPr="000A37E6">
        <w:rPr>
          <w:sz w:val="18"/>
          <w:szCs w:val="18"/>
        </w:rPr>
        <w:t xml:space="preserve"> The general and detailed study assumptions are available in the </w:t>
      </w:r>
      <w:r>
        <w:rPr>
          <w:sz w:val="18"/>
          <w:szCs w:val="18"/>
        </w:rPr>
        <w:t xml:space="preserve">following </w:t>
      </w:r>
      <w:r w:rsidRPr="000A37E6">
        <w:rPr>
          <w:sz w:val="18"/>
          <w:szCs w:val="18"/>
        </w:rPr>
        <w:t>ISO</w:t>
      </w:r>
      <w:r>
        <w:rPr>
          <w:sz w:val="18"/>
          <w:szCs w:val="18"/>
        </w:rPr>
        <w:t xml:space="preserve"> PAC presentations: </w:t>
      </w:r>
      <w:r w:rsidRPr="000A37E6">
        <w:rPr>
          <w:i/>
          <w:sz w:val="18"/>
          <w:szCs w:val="18"/>
        </w:rPr>
        <w:t>2016 Economic Studies: Phase 1 Assumptions</w:t>
      </w:r>
      <w:r>
        <w:rPr>
          <w:i/>
          <w:sz w:val="18"/>
          <w:szCs w:val="18"/>
        </w:rPr>
        <w:t xml:space="preserve"> </w:t>
      </w:r>
      <w:r w:rsidRPr="000A37E6">
        <w:rPr>
          <w:sz w:val="18"/>
          <w:szCs w:val="18"/>
        </w:rPr>
        <w:t xml:space="preserve">(June 10, 2016), </w:t>
      </w:r>
      <w:hyperlink r:id="rId5" w:history="1">
        <w:r w:rsidRPr="000A37E6">
          <w:rPr>
            <w:rStyle w:val="Hyperlink"/>
            <w:sz w:val="18"/>
            <w:szCs w:val="18"/>
          </w:rPr>
          <w:t>http://www.iso-ne.com/static-assets/documents/2016/06/a9_2016_economic_study_assumptions.pdf</w:t>
        </w:r>
      </w:hyperlink>
      <w:r w:rsidRPr="000A37E6">
        <w:rPr>
          <w:rStyle w:val="Hyperlink"/>
          <w:sz w:val="18"/>
          <w:szCs w:val="18"/>
        </w:rPr>
        <w:t xml:space="preserve">; </w:t>
      </w:r>
      <w:r w:rsidRPr="000A37E6">
        <w:rPr>
          <w:i/>
          <w:sz w:val="18"/>
          <w:szCs w:val="18"/>
        </w:rPr>
        <w:t>2016 Economic Studies: Status Update</w:t>
      </w:r>
      <w:r>
        <w:rPr>
          <w:i/>
          <w:sz w:val="18"/>
          <w:szCs w:val="18"/>
        </w:rPr>
        <w:t xml:space="preserve"> </w:t>
      </w:r>
      <w:r w:rsidRPr="000A37E6">
        <w:rPr>
          <w:sz w:val="18"/>
          <w:szCs w:val="18"/>
        </w:rPr>
        <w:t xml:space="preserve">(July 13, 2016), </w:t>
      </w:r>
      <w:hyperlink r:id="rId6" w:history="1">
        <w:r w:rsidRPr="000A37E6">
          <w:rPr>
            <w:rStyle w:val="Hyperlink"/>
            <w:sz w:val="18"/>
            <w:szCs w:val="18"/>
          </w:rPr>
          <w:t>http://www.iso-ne.com/static-assets/documents/2016/07/a6_2016_economic_study_update.pdf</w:t>
        </w:r>
      </w:hyperlink>
      <w:r w:rsidRPr="000A37E6">
        <w:rPr>
          <w:rStyle w:val="Hyperlink"/>
          <w:sz w:val="18"/>
          <w:szCs w:val="18"/>
        </w:rPr>
        <w:t xml:space="preserve">; </w:t>
      </w:r>
      <w:r w:rsidRPr="000A37E6">
        <w:rPr>
          <w:i/>
          <w:sz w:val="18"/>
          <w:szCs w:val="18"/>
        </w:rPr>
        <w:t>Generic and New England- Specific Costs of New Generating Technologies</w:t>
      </w:r>
      <w:r>
        <w:rPr>
          <w:i/>
          <w:sz w:val="18"/>
          <w:szCs w:val="18"/>
        </w:rPr>
        <w:t xml:space="preserve"> </w:t>
      </w:r>
      <w:r w:rsidRPr="000A37E6">
        <w:rPr>
          <w:sz w:val="18"/>
          <w:szCs w:val="18"/>
        </w:rPr>
        <w:t xml:space="preserve">(August 17, 2017), </w:t>
      </w:r>
      <w:hyperlink r:id="rId7" w:history="1">
        <w:r w:rsidRPr="008836DE">
          <w:rPr>
            <w:rStyle w:val="Hyperlink"/>
            <w:sz w:val="18"/>
            <w:szCs w:val="18"/>
          </w:rPr>
          <w:t>https://www.iso-ne.com/static-assets/documents/2016/08/a5_generic_and_region_specific_costs_of_new_generating_technologies.pdf</w:t>
        </w:r>
      </w:hyperlink>
      <w:r w:rsidRPr="008836DE">
        <w:rPr>
          <w:sz w:val="18"/>
          <w:szCs w:val="18"/>
        </w:rPr>
        <w:t xml:space="preserve">; and </w:t>
      </w:r>
      <w:r w:rsidRPr="008836DE">
        <w:rPr>
          <w:i/>
          <w:sz w:val="18"/>
          <w:szCs w:val="18"/>
        </w:rPr>
        <w:t xml:space="preserve">2016 Economic Studies: Preliminary High-Order-of-Magnitude Transmission Development Costs </w:t>
      </w:r>
      <w:r w:rsidRPr="008836DE">
        <w:rPr>
          <w:sz w:val="18"/>
          <w:szCs w:val="18"/>
        </w:rPr>
        <w:t xml:space="preserve">(October 19, 2016), particularly slides 24–35, </w:t>
      </w:r>
      <w:hyperlink r:id="rId8" w:history="1">
        <w:r w:rsidRPr="008836DE">
          <w:rPr>
            <w:rStyle w:val="Hyperlink"/>
            <w:sz w:val="18"/>
            <w:szCs w:val="18"/>
          </w:rPr>
          <w:t>https://www.iso-ne.com/static-assets/documents/2016/10/2016_economic_studies_high_level_transmission_costs_rev1.pdf</w:t>
        </w:r>
      </w:hyperlink>
      <w:r w:rsidRPr="008836DE">
        <w:rPr>
          <w:sz w:val="18"/>
          <w:szCs w:val="18"/>
        </w:rPr>
        <w:t>.</w:t>
      </w:r>
      <w:r>
        <w:rPr>
          <w:sz w:val="18"/>
          <w:szCs w:val="18"/>
        </w:rPr>
        <w:t xml:space="preserve"> </w:t>
      </w:r>
    </w:p>
  </w:footnote>
  <w:footnote w:id="10">
    <w:p w:rsidR="00954CD5" w:rsidRDefault="00954CD5" w:rsidP="00E56416">
      <w:pPr>
        <w:pStyle w:val="FootnoteText"/>
      </w:pPr>
      <w:r w:rsidRPr="002A15AD">
        <w:rPr>
          <w:rStyle w:val="FootnoteReference"/>
        </w:rPr>
        <w:footnoteRef/>
      </w:r>
      <w:r w:rsidRPr="002A15AD">
        <w:t xml:space="preserve"> ISO New England, </w:t>
      </w:r>
      <w:r w:rsidRPr="002A15AD">
        <w:rPr>
          <w:i/>
        </w:rPr>
        <w:t>2016 CELT Report</w:t>
      </w:r>
      <w:r w:rsidRPr="002A15AD">
        <w:t>—</w:t>
      </w:r>
      <w:r w:rsidRPr="002A15AD">
        <w:rPr>
          <w:i/>
        </w:rPr>
        <w:t>2016 to 2025 Forecast Report of Capacity, Energy, Loads, and Transmission</w:t>
      </w:r>
      <w:r w:rsidRPr="002A15AD">
        <w:t xml:space="preserve"> (May 2, 2016), </w:t>
      </w:r>
      <w:hyperlink r:id="rId9" w:history="1">
        <w:r w:rsidRPr="00055FBE">
          <w:rPr>
            <w:rStyle w:val="Hyperlink"/>
          </w:rPr>
          <w:t>https://www.iso-ne.com/static-assets/documents/2016/05/2016_celt_report.xls</w:t>
        </w:r>
      </w:hyperlink>
      <w:r w:rsidRPr="00055FBE">
        <w:t>.</w:t>
      </w:r>
    </w:p>
  </w:footnote>
  <w:footnote w:id="11">
    <w:p w:rsidR="00954CD5" w:rsidRPr="002A15AD" w:rsidRDefault="00954CD5" w:rsidP="00114CE8">
      <w:pPr>
        <w:pStyle w:val="FootnoteText"/>
      </w:pPr>
      <w:r w:rsidRPr="002A15AD">
        <w:rPr>
          <w:rStyle w:val="FootnoteReference"/>
          <w:sz w:val="18"/>
          <w:szCs w:val="18"/>
        </w:rPr>
        <w:footnoteRef/>
      </w:r>
      <w:r w:rsidRPr="002A15AD">
        <w:t xml:space="preserve"> The ISO’s </w:t>
      </w:r>
      <w:r w:rsidRPr="002A15AD">
        <w:rPr>
          <w:i/>
        </w:rPr>
        <w:t>Forward Capacity Auctions</w:t>
      </w:r>
      <w:r w:rsidRPr="002A15AD">
        <w:t xml:space="preserve"> are annual auctions of the Forward Capacity Market during which capacity resources compete to obtain a commitment to supply capacity in exchange for a market-priced capacity payment.</w:t>
      </w:r>
    </w:p>
  </w:footnote>
  <w:footnote w:id="12">
    <w:p w:rsidR="00954CD5" w:rsidRPr="007C38B7" w:rsidRDefault="00954CD5" w:rsidP="00E56416">
      <w:pPr>
        <w:pStyle w:val="FootnoteText"/>
      </w:pPr>
      <w:r w:rsidRPr="002A15AD">
        <w:rPr>
          <w:rStyle w:val="FootnoteReference"/>
          <w:sz w:val="18"/>
          <w:szCs w:val="18"/>
        </w:rPr>
        <w:footnoteRef/>
      </w:r>
      <w:r w:rsidRPr="002A15AD">
        <w:t xml:space="preserve"> A </w:t>
      </w:r>
      <w:r w:rsidRPr="002A15AD">
        <w:rPr>
          <w:i/>
        </w:rPr>
        <w:t>capacity supply obligation</w:t>
      </w:r>
      <w:r w:rsidRPr="002A15AD">
        <w:t xml:space="preserve"> is a requirement for a resource to provide capacity, or a portion of capacity, to satisfy a portion of the ISO's Installed Capacity Requirement acquired through a Forward Capacity Auction, a reconfiguration auction, or a CSO bilateral contract through which a market participant may transfer all or part of its CSO to another entity.</w:t>
      </w:r>
    </w:p>
  </w:footnote>
  <w:footnote w:id="13">
    <w:p w:rsidR="00954CD5" w:rsidRDefault="00954CD5" w:rsidP="00E56416">
      <w:pPr>
        <w:pStyle w:val="FootnoteText"/>
      </w:pPr>
      <w:r w:rsidRPr="00193782">
        <w:rPr>
          <w:rStyle w:val="FootnoteReference"/>
        </w:rPr>
        <w:footnoteRef/>
      </w:r>
      <w:r w:rsidRPr="00193782">
        <w:t xml:space="preserve"> Detailed transmission interface limits for 2025 are available at </w:t>
      </w:r>
      <w:hyperlink r:id="rId10" w:history="1">
        <w:r w:rsidRPr="00B60215">
          <w:rPr>
            <w:rStyle w:val="Hyperlink"/>
          </w:rPr>
          <w:t>https://smd.iso-ne.com/operations-services/ceii/pac/2016/06/a3_transmission_transfer_capabilities_update.pdf</w:t>
        </w:r>
      </w:hyperlink>
      <w:r>
        <w:rPr>
          <w:rStyle w:val="Hyperlink"/>
        </w:rPr>
        <w:t xml:space="preserve"> (June 3, 2016)</w:t>
      </w:r>
      <w:r>
        <w:t xml:space="preserve">.     </w:t>
      </w:r>
    </w:p>
  </w:footnote>
  <w:footnote w:id="14">
    <w:p w:rsidR="00954CD5" w:rsidRPr="00B914E2" w:rsidRDefault="00954CD5" w:rsidP="00FF76B8">
      <w:pPr>
        <w:pStyle w:val="FootnoteText"/>
      </w:pPr>
      <w:r w:rsidRPr="00D13E38">
        <w:rPr>
          <w:rStyle w:val="FootnoteReference"/>
          <w:sz w:val="18"/>
          <w:szCs w:val="18"/>
        </w:rPr>
        <w:footnoteRef/>
      </w:r>
      <w:r w:rsidRPr="00D13E38">
        <w:t xml:space="preserve"> EIA, </w:t>
      </w:r>
      <w:r w:rsidRPr="00D13E38">
        <w:rPr>
          <w:i/>
        </w:rPr>
        <w:t xml:space="preserve">Annual Energy Outlook, 2016: with Projections to 2040 </w:t>
      </w:r>
      <w:r w:rsidRPr="00D13E38">
        <w:t xml:space="preserve">(August 2016), </w:t>
      </w:r>
      <w:hyperlink r:id="rId11" w:history="1">
        <w:r w:rsidRPr="00D13E38">
          <w:rPr>
            <w:rStyle w:val="Hyperlink"/>
          </w:rPr>
          <w:t>https://www.eia.gov/outlooks/archive/aeo16/</w:t>
        </w:r>
      </w:hyperlink>
      <w:r w:rsidRPr="00D13E38">
        <w:t>.</w:t>
      </w:r>
    </w:p>
  </w:footnote>
  <w:footnote w:id="15">
    <w:p w:rsidR="00954CD5" w:rsidRPr="002A15AD" w:rsidRDefault="00954CD5">
      <w:pPr>
        <w:pStyle w:val="FootnoteText"/>
      </w:pPr>
      <w:r w:rsidRPr="002A15AD">
        <w:rPr>
          <w:rStyle w:val="FootnoteReference"/>
        </w:rPr>
        <w:footnoteRef/>
      </w:r>
      <w:r w:rsidRPr="002A15AD">
        <w:t xml:space="preserve"> </w:t>
      </w:r>
      <w:r w:rsidRPr="002A15AD">
        <w:rPr>
          <w:szCs w:val="20"/>
        </w:rPr>
        <w:t>Assumptions for 2025 emission allowance prices were $18.87/ton for both NO</w:t>
      </w:r>
      <w:r w:rsidRPr="002A15AD">
        <w:rPr>
          <w:szCs w:val="20"/>
          <w:vertAlign w:val="subscript"/>
        </w:rPr>
        <w:t>X</w:t>
      </w:r>
      <w:r w:rsidRPr="002A15AD">
        <w:rPr>
          <w:szCs w:val="20"/>
        </w:rPr>
        <w:t xml:space="preserve"> and SO</w:t>
      </w:r>
      <w:r w:rsidRPr="002A15AD">
        <w:rPr>
          <w:szCs w:val="20"/>
          <w:vertAlign w:val="subscript"/>
        </w:rPr>
        <w:t>2</w:t>
      </w:r>
      <w:r w:rsidRPr="002A15AD">
        <w:rPr>
          <w:szCs w:val="20"/>
        </w:rPr>
        <w:t>; 2030 prices were $6.18/ton for both NO</w:t>
      </w:r>
      <w:r w:rsidRPr="002A15AD">
        <w:rPr>
          <w:szCs w:val="20"/>
          <w:vertAlign w:val="subscript"/>
        </w:rPr>
        <w:t>X</w:t>
      </w:r>
      <w:r w:rsidRPr="002A15AD">
        <w:rPr>
          <w:szCs w:val="20"/>
        </w:rPr>
        <w:t xml:space="preserve"> and SO</w:t>
      </w:r>
      <w:r w:rsidRPr="002A15AD">
        <w:rPr>
          <w:szCs w:val="20"/>
          <w:vertAlign w:val="subscript"/>
        </w:rPr>
        <w:t>2</w:t>
      </w:r>
      <w:r w:rsidRPr="002A15AD">
        <w:rPr>
          <w:szCs w:val="20"/>
        </w:rPr>
        <w:t>.</w:t>
      </w:r>
    </w:p>
  </w:footnote>
  <w:footnote w:id="16">
    <w:p w:rsidR="00954CD5" w:rsidRPr="000B22E3" w:rsidRDefault="00954CD5" w:rsidP="001C537B">
      <w:pPr>
        <w:pStyle w:val="FootnoteText"/>
      </w:pPr>
      <w:r w:rsidRPr="002A15AD">
        <w:rPr>
          <w:rStyle w:val="FootnoteReference"/>
        </w:rPr>
        <w:footnoteRef/>
      </w:r>
      <w:r w:rsidRPr="002A15AD">
        <w:t xml:space="preserve"> A </w:t>
      </w:r>
      <w:r w:rsidRPr="002A15AD">
        <w:rPr>
          <w:i/>
        </w:rPr>
        <w:t>behind-the-meter resource</w:t>
      </w:r>
      <w:r w:rsidRPr="002A15AD">
        <w:t xml:space="preserve"> typically is generation output by a relatively small, individual, on-site installation directly connected to a distribution facility or retail customer facility and not the regional power system, making it “invisible” to the ISO. BTM resources reduce net system demand</w:t>
      </w:r>
      <w:r>
        <w:t>.</w:t>
      </w:r>
      <w:r w:rsidRPr="00BE2EE4">
        <w:t xml:space="preserve"> </w:t>
      </w:r>
    </w:p>
  </w:footnote>
  <w:footnote w:id="17">
    <w:p w:rsidR="00954CD5" w:rsidRDefault="00954CD5" w:rsidP="00D2541E">
      <w:pPr>
        <w:pStyle w:val="FootnoteText"/>
      </w:pPr>
      <w:r w:rsidRPr="00193782">
        <w:rPr>
          <w:rStyle w:val="FootnoteReference"/>
        </w:rPr>
        <w:footnoteRef/>
      </w:r>
      <w:r w:rsidRPr="00193782">
        <w:t xml:space="preserve"> Refer to the ISO’s </w:t>
      </w:r>
      <w:r w:rsidRPr="00193782">
        <w:rPr>
          <w:i/>
        </w:rPr>
        <w:t>2015 Regional System Plan</w:t>
      </w:r>
      <w:r w:rsidRPr="00193782">
        <w:t xml:space="preserve"> (RSP15) (Section 6.5.2.1), published November 5, 2015, which, like for</w:t>
      </w:r>
      <w:r w:rsidRPr="00D0686E">
        <w:t xml:space="preserve"> Scenarios 4 and 5, shows no systemwide congestion. RSP15 also mentions transmission congestion arising from wind additions in </w:t>
      </w:r>
      <w:r w:rsidRPr="00193782">
        <w:t>Maine (Section 6.3.1);</w:t>
      </w:r>
      <w:r w:rsidRPr="00D0686E">
        <w:t xml:space="preserve"> </w:t>
      </w:r>
      <w:hyperlink r:id="rId12" w:history="1">
        <w:r w:rsidRPr="00D0686E">
          <w:rPr>
            <w:rStyle w:val="Hyperlink"/>
          </w:rPr>
          <w:t>https://www.iso-ne.com/static-assets/documents/2015/11/rsp15_final_110515.docx</w:t>
        </w:r>
      </w:hyperlink>
      <w:r w:rsidRPr="00D0686E">
        <w:t>.</w:t>
      </w:r>
      <w:r>
        <w:t xml:space="preserve"> </w:t>
      </w:r>
    </w:p>
  </w:footnote>
  <w:footnote w:id="18">
    <w:p w:rsidR="00954CD5" w:rsidRDefault="00954CD5" w:rsidP="00D13E38">
      <w:pPr>
        <w:pStyle w:val="FootnoteText"/>
      </w:pPr>
      <w:r>
        <w:rPr>
          <w:rStyle w:val="FootnoteReference"/>
        </w:rPr>
        <w:footnoteRef/>
      </w:r>
      <w:r>
        <w:t xml:space="preserve"> </w:t>
      </w:r>
      <w:r w:rsidRPr="006A4E50">
        <w:t xml:space="preserve">Detailed </w:t>
      </w:r>
      <w:r>
        <w:t xml:space="preserve">scenario assumptions are available in the ISO’s </w:t>
      </w:r>
      <w:r w:rsidRPr="00D13E38">
        <w:rPr>
          <w:i/>
        </w:rPr>
        <w:t>2016 Economic Studies Phase I Assumptions</w:t>
      </w:r>
      <w:r>
        <w:t xml:space="preserve">, PAC presentation (June </w:t>
      </w:r>
      <w:r w:rsidRPr="00D13E38">
        <w:t xml:space="preserve">10, 2016), </w:t>
      </w:r>
      <w:hyperlink r:id="rId13" w:history="1">
        <w:r w:rsidRPr="00D13E38">
          <w:rPr>
            <w:rStyle w:val="Hyperlink"/>
          </w:rPr>
          <w:t>https://www.iso-ne.com/static-assets/documents/2016/06/a9_2016_economic_study_assumptions.pdf</w:t>
        </w:r>
      </w:hyperlink>
      <w:r w:rsidRPr="00D13E38">
        <w:t>.</w:t>
      </w:r>
    </w:p>
  </w:footnote>
  <w:footnote w:id="19">
    <w:p w:rsidR="00954CD5" w:rsidRDefault="00954CD5">
      <w:pPr>
        <w:pStyle w:val="FootnoteText"/>
      </w:pPr>
      <w:r>
        <w:rPr>
          <w:rStyle w:val="FootnoteReference"/>
        </w:rPr>
        <w:footnoteRef/>
      </w:r>
      <w:r>
        <w:t xml:space="preserve"> A sensitivity case with assumptions of higher CO</w:t>
      </w:r>
      <w:r w:rsidRPr="003E329C">
        <w:rPr>
          <w:vertAlign w:val="subscript"/>
        </w:rPr>
        <w:t>2</w:t>
      </w:r>
      <w:r>
        <w:t xml:space="preserve"> allowance costs dispatched the coal units after most of the natural gas-fired generating units.</w:t>
      </w:r>
    </w:p>
  </w:footnote>
  <w:footnote w:id="20">
    <w:p w:rsidR="00954CD5" w:rsidRDefault="00954CD5">
      <w:pPr>
        <w:pStyle w:val="FootnoteText"/>
      </w:pPr>
      <w:r w:rsidRPr="00F45812">
        <w:rPr>
          <w:rStyle w:val="FootnoteReference"/>
        </w:rPr>
        <w:footnoteRef/>
      </w:r>
      <w:r w:rsidRPr="00F45812">
        <w:t xml:space="preserve"> NEPOOL was formed in 1971 by the region's private and municipal utilities to foster cooperation and coordination among the utilities in the six-state region for ensuring a dependable supply of electricity. Today, NEPOOL members are ISO stakeholders and market participants.</w:t>
      </w:r>
    </w:p>
  </w:footnote>
  <w:footnote w:id="21">
    <w:p w:rsidR="00954CD5" w:rsidRDefault="00954CD5">
      <w:pPr>
        <w:pStyle w:val="FootnoteText"/>
      </w:pPr>
      <w:r w:rsidRPr="00513625">
        <w:rPr>
          <w:rStyle w:val="FootnoteReference"/>
        </w:rPr>
        <w:footnoteRef/>
      </w:r>
      <w:r w:rsidRPr="00513625">
        <w:t xml:space="preserve"> </w:t>
      </w:r>
      <w:r w:rsidRPr="00513625">
        <w:rPr>
          <w:i/>
        </w:rPr>
        <w:t>ISO New England Inc. Transmission, Markets, and Services Tariff</w:t>
      </w:r>
      <w:r w:rsidRPr="00513625">
        <w:t xml:space="preserve"> (ISO tariff), Section II, </w:t>
      </w:r>
      <w:r w:rsidRPr="00513625">
        <w:rPr>
          <w:i/>
        </w:rPr>
        <w:t>Open Access Transmission Tariff</w:t>
      </w:r>
      <w:r w:rsidRPr="00513625">
        <w:t xml:space="preserve">, Attachment K, “Regional System Planning Process” (July 29, 2016), </w:t>
      </w:r>
      <w:hyperlink r:id="rId14" w:history="1">
        <w:r w:rsidRPr="00513625">
          <w:rPr>
            <w:rStyle w:val="Hyperlink"/>
          </w:rPr>
          <w:t>https://iso-ne.com/static-assets/documents/regulatory/tariff/sect_2/oatt/sect_ii.pdf</w:t>
        </w:r>
      </w:hyperlink>
      <w:r w:rsidRPr="00513625">
        <w:t>.</w:t>
      </w:r>
    </w:p>
  </w:footnote>
  <w:footnote w:id="22">
    <w:p w:rsidR="00954CD5" w:rsidRDefault="00954CD5">
      <w:pPr>
        <w:pStyle w:val="FootnoteText"/>
      </w:pPr>
      <w:r w:rsidRPr="00E27D7F">
        <w:rPr>
          <w:rStyle w:val="FootnoteReference"/>
        </w:rPr>
        <w:footnoteRef/>
      </w:r>
      <w:r w:rsidRPr="00E27D7F">
        <w:t xml:space="preserve"> Load-serving entity (LSE) energy expenses are the total electric energy revenues that resources and imports from</w:t>
      </w:r>
      <w:r w:rsidRPr="0070159E">
        <w:t xml:space="preserve"> neighboring systems would receive for supplying electric energy to the wholesale market plus the cost of congestion.</w:t>
      </w:r>
    </w:p>
  </w:footnote>
  <w:footnote w:id="23">
    <w:p w:rsidR="00954CD5" w:rsidRPr="00E4172A" w:rsidRDefault="00954CD5" w:rsidP="00336BFF">
      <w:pPr>
        <w:pStyle w:val="FootnoteText"/>
      </w:pPr>
      <w:r w:rsidRPr="00E4172A">
        <w:rPr>
          <w:rStyle w:val="FootnoteReference"/>
          <w:sz w:val="18"/>
          <w:szCs w:val="18"/>
        </w:rPr>
        <w:footnoteRef/>
      </w:r>
      <w:r w:rsidRPr="00E4172A">
        <w:t xml:space="preserve"> OATT, Attachment K, Section 4.1b</w:t>
      </w:r>
    </w:p>
  </w:footnote>
  <w:footnote w:id="24">
    <w:p w:rsidR="00954CD5" w:rsidRDefault="00954CD5">
      <w:pPr>
        <w:pStyle w:val="FootnoteText"/>
      </w:pPr>
      <w:r w:rsidRPr="00DE1AE5">
        <w:rPr>
          <w:rStyle w:val="FootnoteReference"/>
        </w:rPr>
        <w:footnoteRef/>
      </w:r>
      <w:r w:rsidRPr="00DE1AE5">
        <w:t xml:space="preserve"> NEPOOL, “NEPOOL Scenario Analysis Proposal 2016: Implications of Public Policy on ISO-NE Market Design, Reliability, Resource Metrics, Costs, Emissions, System Operability and Revenues of New Generation” (March 31, 2016), </w:t>
      </w:r>
      <w:hyperlink r:id="rId15" w:history="1">
        <w:r w:rsidRPr="00DE1AE5">
          <w:rPr>
            <w:rStyle w:val="Hyperlink"/>
          </w:rPr>
          <w:t>http://www.iso-ne.com/static-assets/documents/2016/04/nepool_economic_study_request_scenario_analysis.docx</w:t>
        </w:r>
      </w:hyperlink>
      <w:r w:rsidRPr="00DE1AE5">
        <w:t>.</w:t>
      </w:r>
    </w:p>
  </w:footnote>
  <w:footnote w:id="25">
    <w:p w:rsidR="00954CD5" w:rsidRDefault="00954CD5" w:rsidP="00821E90">
      <w:pPr>
        <w:spacing w:after="80" w:line="240" w:lineRule="auto"/>
      </w:pPr>
      <w:r w:rsidRPr="00821E90">
        <w:rPr>
          <w:rStyle w:val="FootnoteReference"/>
        </w:rPr>
        <w:footnoteRef/>
      </w:r>
      <w:r>
        <w:rPr>
          <w:sz w:val="18"/>
          <w:szCs w:val="18"/>
        </w:rPr>
        <w:t xml:space="preserve"> </w:t>
      </w:r>
      <w:r w:rsidRPr="00821E90">
        <w:rPr>
          <w:sz w:val="18"/>
          <w:szCs w:val="18"/>
        </w:rPr>
        <w:t xml:space="preserve">The general and detailed study assumptions are available in the following ISO PAC presentations: </w:t>
      </w:r>
      <w:r w:rsidRPr="00821E90">
        <w:rPr>
          <w:i/>
          <w:sz w:val="18"/>
          <w:szCs w:val="18"/>
        </w:rPr>
        <w:t xml:space="preserve">2016 Economic Studies: Phase 1 Assumptions </w:t>
      </w:r>
      <w:r w:rsidRPr="00821E90">
        <w:rPr>
          <w:sz w:val="18"/>
          <w:szCs w:val="18"/>
        </w:rPr>
        <w:t xml:space="preserve">(June 10, 2016), </w:t>
      </w:r>
      <w:hyperlink r:id="rId16" w:history="1">
        <w:r w:rsidRPr="00821E90">
          <w:rPr>
            <w:rStyle w:val="Hyperlink"/>
            <w:sz w:val="18"/>
            <w:szCs w:val="18"/>
          </w:rPr>
          <w:t>http://www.iso-ne.com/static-assets/documents/2016/06/a9_2016_economic_study_assumptions.pdf</w:t>
        </w:r>
      </w:hyperlink>
      <w:r w:rsidRPr="00821E90">
        <w:rPr>
          <w:rStyle w:val="Hyperlink"/>
          <w:sz w:val="18"/>
          <w:szCs w:val="18"/>
        </w:rPr>
        <w:t xml:space="preserve">; </w:t>
      </w:r>
      <w:r w:rsidRPr="00821E90">
        <w:rPr>
          <w:i/>
          <w:sz w:val="18"/>
          <w:szCs w:val="18"/>
        </w:rPr>
        <w:t xml:space="preserve">2016 Economic Studies: Status Update </w:t>
      </w:r>
      <w:r w:rsidRPr="00821E90">
        <w:rPr>
          <w:sz w:val="18"/>
          <w:szCs w:val="18"/>
        </w:rPr>
        <w:t xml:space="preserve">(July 13, 2016), </w:t>
      </w:r>
      <w:hyperlink r:id="rId17" w:history="1">
        <w:r w:rsidRPr="00821E90">
          <w:rPr>
            <w:rStyle w:val="Hyperlink"/>
            <w:sz w:val="18"/>
            <w:szCs w:val="18"/>
          </w:rPr>
          <w:t>http://www.iso-ne.com/static-assets/documents/2016/07/a6_2016_economic_study_update.pdf</w:t>
        </w:r>
      </w:hyperlink>
      <w:r w:rsidRPr="00821E90">
        <w:rPr>
          <w:rStyle w:val="Hyperlink"/>
          <w:sz w:val="18"/>
          <w:szCs w:val="18"/>
        </w:rPr>
        <w:t xml:space="preserve">; </w:t>
      </w:r>
      <w:r w:rsidRPr="00821E90">
        <w:rPr>
          <w:i/>
          <w:sz w:val="18"/>
          <w:szCs w:val="18"/>
        </w:rPr>
        <w:t xml:space="preserve">Generic and New England- Specific Costs of New Generating Technologies </w:t>
      </w:r>
      <w:r w:rsidRPr="00821E90">
        <w:rPr>
          <w:sz w:val="18"/>
          <w:szCs w:val="18"/>
        </w:rPr>
        <w:t xml:space="preserve">(August 17, 2017), </w:t>
      </w:r>
      <w:hyperlink r:id="rId18" w:history="1">
        <w:r w:rsidRPr="00821E90">
          <w:rPr>
            <w:rStyle w:val="Hyperlink"/>
            <w:sz w:val="18"/>
            <w:szCs w:val="18"/>
          </w:rPr>
          <w:t>https://www.iso-ne.com/static-assets/documents/2016/08/a5_generic_and_region_specific_costs_of_new_generating_technologies.pdf</w:t>
        </w:r>
      </w:hyperlink>
      <w:r w:rsidRPr="00821E90">
        <w:rPr>
          <w:sz w:val="18"/>
          <w:szCs w:val="18"/>
        </w:rPr>
        <w:t xml:space="preserve">; and </w:t>
      </w:r>
      <w:r w:rsidRPr="00821E90">
        <w:rPr>
          <w:i/>
          <w:sz w:val="18"/>
          <w:szCs w:val="18"/>
        </w:rPr>
        <w:t xml:space="preserve">2016 Economic Studies: Preliminary High-Order-of-Magnitude Transmission Development Costs </w:t>
      </w:r>
      <w:r w:rsidRPr="00821E90">
        <w:rPr>
          <w:sz w:val="18"/>
          <w:szCs w:val="18"/>
        </w:rPr>
        <w:t xml:space="preserve">(October 19, 2016), particularly slides 24–35, </w:t>
      </w:r>
      <w:hyperlink r:id="rId19" w:history="1">
        <w:r w:rsidRPr="00821E90">
          <w:rPr>
            <w:rStyle w:val="Hyperlink"/>
            <w:sz w:val="18"/>
            <w:szCs w:val="18"/>
          </w:rPr>
          <w:t>https://www.iso-ne.com/static-assets/documents/2016/10/2016_economic_studies_high_level_transmission_costs_rev1.pdf</w:t>
        </w:r>
      </w:hyperlink>
      <w:r w:rsidRPr="00821E90">
        <w:rPr>
          <w:sz w:val="18"/>
          <w:szCs w:val="18"/>
        </w:rPr>
        <w:t>.</w:t>
      </w:r>
      <w:r>
        <w:rPr>
          <w:sz w:val="18"/>
          <w:szCs w:val="18"/>
        </w:rPr>
        <w:t xml:space="preserve"> </w:t>
      </w:r>
    </w:p>
  </w:footnote>
  <w:footnote w:id="26">
    <w:p w:rsidR="00954CD5" w:rsidRDefault="00954CD5">
      <w:pPr>
        <w:pStyle w:val="FootnoteText"/>
      </w:pPr>
      <w:r w:rsidRPr="0060060E">
        <w:rPr>
          <w:rStyle w:val="FootnoteReference"/>
        </w:rPr>
        <w:footnoteRef/>
      </w:r>
      <w:r w:rsidRPr="0060060E">
        <w:t xml:space="preserve"> ISO New England, </w:t>
      </w:r>
      <w:r w:rsidRPr="0060060E">
        <w:rPr>
          <w:i/>
        </w:rPr>
        <w:t>2016 CELT Report</w:t>
      </w:r>
      <w:r w:rsidRPr="0060060E">
        <w:t>—</w:t>
      </w:r>
      <w:r w:rsidRPr="0060060E">
        <w:rPr>
          <w:i/>
        </w:rPr>
        <w:t>2016 to 2025 Forecast Report of Capacity, Energy, Loads, and Transmission</w:t>
      </w:r>
      <w:r w:rsidRPr="0060060E">
        <w:t xml:space="preserve"> (May 2, 2016), </w:t>
      </w:r>
      <w:hyperlink r:id="rId20" w:history="1">
        <w:r w:rsidRPr="0060060E">
          <w:rPr>
            <w:rStyle w:val="Hyperlink"/>
          </w:rPr>
          <w:t>https://www.iso-ne.com/static-assets/documents/2016/05/2016_celt_report.xls</w:t>
        </w:r>
      </w:hyperlink>
      <w:r w:rsidRPr="0060060E">
        <w:t>.</w:t>
      </w:r>
    </w:p>
  </w:footnote>
  <w:footnote w:id="27">
    <w:p w:rsidR="00954CD5" w:rsidRDefault="00954CD5">
      <w:pPr>
        <w:pStyle w:val="FootnoteText"/>
      </w:pPr>
      <w:r w:rsidRPr="005454AD">
        <w:rPr>
          <w:rStyle w:val="FootnoteReference"/>
          <w:sz w:val="18"/>
          <w:szCs w:val="18"/>
        </w:rPr>
        <w:footnoteRef/>
      </w:r>
      <w:r w:rsidRPr="005454AD">
        <w:t xml:space="preserve"> A </w:t>
      </w:r>
      <w:r w:rsidRPr="005454AD">
        <w:rPr>
          <w:i/>
        </w:rPr>
        <w:t>Renewable Portfolio Standard</w:t>
      </w:r>
      <w:r w:rsidRPr="005454AD">
        <w:t xml:space="preserve"> is a state policy target for load-serving entities in that state to meet the future demand for electric energy using new or existing renewable energy resources. LSEs can satisfy their RPS obligations by obtaining generation from a variety of renewable technologies, located either within New England or within adjacent balancing authority areas, by acquiring Renewable Energy Certificates (RECs) from eligible renewable resources qualified by each state, or by making alternative compliance payments (ACPs</w:t>
      </w:r>
      <w:r>
        <w:t>)</w:t>
      </w:r>
      <w:r w:rsidRPr="005454AD">
        <w:t xml:space="preserve">; see footnote below), which serve as a price cap on the cost of RECs. </w:t>
      </w:r>
      <w:r>
        <w:t>Information on t</w:t>
      </w:r>
      <w:r w:rsidRPr="005454AD">
        <w:t xml:space="preserve">he assumptions used to establish the RPSs is available at the ISO website; refer to the ISO New England, “Renewable Portfolio Standards Spreadsheet,” Excel file (posted May 16, 2016), </w:t>
      </w:r>
      <w:hyperlink r:id="rId21" w:history="1">
        <w:r w:rsidRPr="005454AD">
          <w:rPr>
            <w:rStyle w:val="Hyperlink"/>
          </w:rPr>
          <w:t>http://www.iso-ne.com/static-assets/documents/2016/05/a3_2016_economic_study_scope_of_work_rps_spreadsheet.xlsx</w:t>
        </w:r>
      </w:hyperlink>
      <w:r>
        <w:rPr>
          <w:rStyle w:val="Hyperlink"/>
        </w:rPr>
        <w:t>.</w:t>
      </w:r>
    </w:p>
  </w:footnote>
  <w:footnote w:id="28">
    <w:p w:rsidR="00954CD5" w:rsidRDefault="00954CD5">
      <w:pPr>
        <w:pStyle w:val="FootnoteText"/>
      </w:pPr>
      <w:r w:rsidRPr="004B73C7">
        <w:rPr>
          <w:rStyle w:val="FootnoteReference"/>
        </w:rPr>
        <w:footnoteRef/>
      </w:r>
      <w:r w:rsidRPr="004B73C7">
        <w:t xml:space="preserve"> The </w:t>
      </w:r>
      <w:r w:rsidRPr="004B73C7">
        <w:rPr>
          <w:i/>
        </w:rPr>
        <w:t>net Installed Capacity Requirement</w:t>
      </w:r>
      <w:r w:rsidRPr="004B73C7">
        <w:t xml:space="preserve"> is the minimum amount of resources (in megawatts) the region needs in a particular year to meet its resource adequacy planning criterion, according to the Northeast Planning Coordinating Council criteria, minus the tie-reliability benefits associated with the Hydro-Quebec Phase II</w:t>
      </w:r>
      <w:r>
        <w:t xml:space="preserve"> </w:t>
      </w:r>
      <w:r w:rsidRPr="004B73C7">
        <w:t>interface, called the Hydro-Quebec Interconnection Capability Credits.</w:t>
      </w:r>
    </w:p>
  </w:footnote>
  <w:footnote w:id="29">
    <w:p w:rsidR="00954CD5" w:rsidRDefault="00954CD5">
      <w:pPr>
        <w:pStyle w:val="FootnoteText"/>
      </w:pPr>
      <w:r>
        <w:rPr>
          <w:rStyle w:val="FootnoteReference"/>
        </w:rPr>
        <w:footnoteRef/>
      </w:r>
      <w:r>
        <w:t xml:space="preserve"> See the ISO’s “Interconnection Request Queue” webpage (2017</w:t>
      </w:r>
      <w:r w:rsidRPr="003117CF">
        <w:t xml:space="preserve">), </w:t>
      </w:r>
      <w:hyperlink r:id="rId22" w:history="1">
        <w:r w:rsidRPr="003117CF">
          <w:rPr>
            <w:rStyle w:val="Hyperlink"/>
          </w:rPr>
          <w:t>https://www.iso-ne.com/system-planning/transmission-planning/interconnection-request-queue</w:t>
        </w:r>
      </w:hyperlink>
      <w:r>
        <w:t>.</w:t>
      </w:r>
    </w:p>
  </w:footnote>
  <w:footnote w:id="30">
    <w:p w:rsidR="00954CD5" w:rsidRDefault="00954CD5">
      <w:pPr>
        <w:pStyle w:val="FootnoteText"/>
      </w:pPr>
      <w:r w:rsidRPr="00924838">
        <w:rPr>
          <w:rStyle w:val="FootnoteReference"/>
        </w:rPr>
        <w:footnoteRef/>
      </w:r>
      <w:r w:rsidRPr="00924838">
        <w:t xml:space="preserve"> A </w:t>
      </w:r>
      <w:r w:rsidRPr="00924838">
        <w:rPr>
          <w:i/>
        </w:rPr>
        <w:t>behind-the-meter resource</w:t>
      </w:r>
      <w:r w:rsidRPr="00924838">
        <w:t xml:space="preserve"> typically is generation output by a relatively small, individual, on-site installation directly connected to a distribution facility or retail customer facility and not the regional power system, making it “invisible” to the ISO. BTM resources reduce net system demand</w:t>
      </w:r>
      <w:r>
        <w:t>.</w:t>
      </w:r>
    </w:p>
  </w:footnote>
  <w:footnote w:id="31">
    <w:p w:rsidR="00954CD5" w:rsidRPr="00662F30" w:rsidRDefault="00954CD5">
      <w:pPr>
        <w:pStyle w:val="FootnoteText"/>
      </w:pPr>
      <w:r w:rsidRPr="0060060E">
        <w:rPr>
          <w:rStyle w:val="FootnoteReference"/>
        </w:rPr>
        <w:footnoteRef/>
      </w:r>
      <w:r w:rsidRPr="0060060E">
        <w:t xml:space="preserve"> </w:t>
      </w:r>
      <w:r w:rsidRPr="006B2D49">
        <w:t xml:space="preserve">“I.3.9” refers to the section of the ISO tariff that includes the requirements for market participants’ and transmission </w:t>
      </w:r>
      <w:r w:rsidRPr="00DB2897">
        <w:t>owners’ (TO) submissions of new or revised plans for adding to or changing any generation or demand resource or</w:t>
      </w:r>
      <w:r w:rsidRPr="006B2D49">
        <w:t xml:space="preserve"> transmission facility 69 kV or larger that could have a significant effect on the stability, reliability, or operating characteristics of a TO’s or market </w:t>
      </w:r>
      <w:r w:rsidRPr="005B3C04">
        <w:t>participant’s transmission facility or system. It also contains the ISO’s requirements for reviewing and approving these applications. The</w:t>
      </w:r>
      <w:r>
        <w:t xml:space="preserve">se </w:t>
      </w:r>
      <w:r w:rsidRPr="005B3C04">
        <w:t xml:space="preserve">projects are included on the </w:t>
      </w:r>
      <w:r>
        <w:t xml:space="preserve">ISO’s </w:t>
      </w:r>
      <w:r w:rsidRPr="005B3C04">
        <w:t xml:space="preserve">Interconnection Request Queue, </w:t>
      </w:r>
      <w:r w:rsidRPr="00662F30">
        <w:t xml:space="preserve">available at </w:t>
      </w:r>
      <w:hyperlink r:id="rId23" w:history="1">
        <w:r w:rsidRPr="00662F30">
          <w:rPr>
            <w:rStyle w:val="Hyperlink"/>
          </w:rPr>
          <w:t>https://www.iso-ne.com/system-planning/transmission-planning/interconnection-request-queue</w:t>
        </w:r>
      </w:hyperlink>
      <w:r w:rsidRPr="00662F30">
        <w:t>.</w:t>
      </w:r>
      <w:r w:rsidRPr="00662F30" w:rsidDel="005B3C04">
        <w:t xml:space="preserve"> </w:t>
      </w:r>
    </w:p>
  </w:footnote>
  <w:footnote w:id="32">
    <w:p w:rsidR="00954CD5" w:rsidRPr="00662F30" w:rsidRDefault="00954CD5">
      <w:pPr>
        <w:pStyle w:val="FootnoteText"/>
      </w:pPr>
      <w:r w:rsidRPr="00662F30">
        <w:rPr>
          <w:rStyle w:val="FootnoteReference"/>
        </w:rPr>
        <w:footnoteRef/>
      </w:r>
      <w:r w:rsidRPr="00662F30">
        <w:t xml:space="preserve"> An </w:t>
      </w:r>
      <w:r w:rsidRPr="00662F30">
        <w:rPr>
          <w:i/>
        </w:rPr>
        <w:t>alternative compliance payment</w:t>
      </w:r>
      <w:r w:rsidRPr="00662F30">
        <w:t xml:space="preserve"> is a state-established payment a retail electricity supplier makes to a state when its qualified renewable resources fall short of providing sufficient Renewable Energy Certificates for meeting the state’s Renewable Portfolio Standards (see footnote above).</w:t>
      </w:r>
    </w:p>
  </w:footnote>
  <w:footnote w:id="33">
    <w:p w:rsidR="00954CD5" w:rsidRDefault="00954CD5">
      <w:pPr>
        <w:pStyle w:val="FootnoteText"/>
      </w:pPr>
      <w:r w:rsidRPr="00662F30">
        <w:rPr>
          <w:rStyle w:val="FootnoteReference"/>
        </w:rPr>
        <w:footnoteRef/>
      </w:r>
      <w:r w:rsidRPr="00662F30">
        <w:t xml:space="preserve"> The New England Hub is a specific set of predefined pricing nodes for which locational marginal prices are calculated and which are used to establish reference prices for electric energy purchases, the transfer of day-ahead and real-time </w:t>
      </w:r>
      <w:r w:rsidRPr="00C918E4">
        <w:t>adjusted load obligations, and other wholesale market applications. Because of the Hub’s central location within the New England electricity grid, additional resources added at this general location would not experience significant transmission</w:t>
      </w:r>
      <w:r>
        <w:t xml:space="preserve"> constraints to serving loads across New England.     </w:t>
      </w:r>
    </w:p>
  </w:footnote>
  <w:footnote w:id="34">
    <w:p w:rsidR="00954CD5" w:rsidRPr="002E302C" w:rsidRDefault="00954CD5" w:rsidP="000760E1">
      <w:pPr>
        <w:spacing w:after="80" w:line="240" w:lineRule="auto"/>
        <w:rPr>
          <w:sz w:val="18"/>
          <w:szCs w:val="18"/>
        </w:rPr>
      </w:pPr>
      <w:r w:rsidRPr="009069E8">
        <w:rPr>
          <w:rStyle w:val="FootnoteReference"/>
          <w:sz w:val="18"/>
          <w:szCs w:val="18"/>
        </w:rPr>
        <w:footnoteRef/>
      </w:r>
      <w:r w:rsidRPr="009069E8">
        <w:rPr>
          <w:sz w:val="18"/>
          <w:szCs w:val="18"/>
        </w:rPr>
        <w:t xml:space="preserve"> </w:t>
      </w:r>
      <w:r w:rsidRPr="00D355D8">
        <w:rPr>
          <w:sz w:val="18"/>
          <w:szCs w:val="18"/>
        </w:rPr>
        <w:t>The</w:t>
      </w:r>
      <w:r w:rsidRPr="002B4F16">
        <w:rPr>
          <w:sz w:val="18"/>
          <w:szCs w:val="18"/>
        </w:rPr>
        <w:t xml:space="preserve"> general and detailed study assumptions are available in the ISO’s </w:t>
      </w:r>
      <w:r w:rsidRPr="00910F73">
        <w:rPr>
          <w:i/>
          <w:sz w:val="18"/>
          <w:szCs w:val="18"/>
        </w:rPr>
        <w:t xml:space="preserve">2016 Economic Studies Phase I Scope of Work, Assumptions </w:t>
      </w:r>
      <w:r w:rsidRPr="00910F73">
        <w:rPr>
          <w:sz w:val="18"/>
          <w:szCs w:val="18"/>
        </w:rPr>
        <w:t xml:space="preserve">(May 19, 2016), </w:t>
      </w:r>
      <w:hyperlink r:id="rId24" w:history="1">
        <w:r w:rsidRPr="00910F73">
          <w:rPr>
            <w:rStyle w:val="Hyperlink"/>
            <w:sz w:val="18"/>
            <w:szCs w:val="18"/>
          </w:rPr>
          <w:t>https://iso-ne.com/static-assets/documents/2016/05/a3_2016_economic_study_scope_of_work_assumptions.pdf</w:t>
        </w:r>
      </w:hyperlink>
      <w:r w:rsidRPr="00E55A77">
        <w:rPr>
          <w:sz w:val="18"/>
          <w:szCs w:val="18"/>
        </w:rPr>
        <w:t>.</w:t>
      </w:r>
      <w:r>
        <w:rPr>
          <w:sz w:val="18"/>
          <w:szCs w:val="18"/>
        </w:rPr>
        <w:t xml:space="preserve">; </w:t>
      </w:r>
      <w:r w:rsidRPr="002B4F16">
        <w:rPr>
          <w:i/>
          <w:sz w:val="18"/>
          <w:szCs w:val="18"/>
        </w:rPr>
        <w:t>2016 Economic Studies: Phase 1 Assumptions</w:t>
      </w:r>
      <w:r w:rsidRPr="002B4F16">
        <w:rPr>
          <w:sz w:val="18"/>
          <w:szCs w:val="18"/>
        </w:rPr>
        <w:t xml:space="preserve">, PAC presentation (June 10, 2016), </w:t>
      </w:r>
      <w:hyperlink r:id="rId25" w:history="1">
        <w:r w:rsidRPr="002B4F16">
          <w:rPr>
            <w:rStyle w:val="Hyperlink"/>
            <w:sz w:val="18"/>
            <w:szCs w:val="18"/>
          </w:rPr>
          <w:t>http://www.iso-ne.com/static-assets/documents/2016/06/a9_2016_economic_study_assumptions.pdf</w:t>
        </w:r>
      </w:hyperlink>
      <w:r>
        <w:rPr>
          <w:rStyle w:val="Hyperlink"/>
          <w:sz w:val="18"/>
          <w:szCs w:val="18"/>
        </w:rPr>
        <w:t>;</w:t>
      </w:r>
      <w:r w:rsidRPr="002B4F16">
        <w:rPr>
          <w:sz w:val="18"/>
          <w:szCs w:val="18"/>
        </w:rPr>
        <w:t xml:space="preserve"> and </w:t>
      </w:r>
      <w:r w:rsidRPr="002B4F16">
        <w:rPr>
          <w:i/>
          <w:sz w:val="18"/>
          <w:szCs w:val="18"/>
        </w:rPr>
        <w:t>2016 Economic Studies: Status Update</w:t>
      </w:r>
      <w:r w:rsidRPr="002B4F16">
        <w:rPr>
          <w:sz w:val="18"/>
          <w:szCs w:val="18"/>
        </w:rPr>
        <w:t xml:space="preserve">, PAC presentation (July 13, 2016), </w:t>
      </w:r>
      <w:hyperlink r:id="rId26" w:history="1">
        <w:r w:rsidRPr="002B4F16">
          <w:rPr>
            <w:rStyle w:val="Hyperlink"/>
            <w:sz w:val="18"/>
            <w:szCs w:val="18"/>
          </w:rPr>
          <w:t>http://www.iso-ne.com/static-assets/documents/2016/07/a6_2016_economic_study_update.pdf</w:t>
        </w:r>
      </w:hyperlink>
      <w:r w:rsidRPr="002B4F16">
        <w:rPr>
          <w:sz w:val="18"/>
          <w:szCs w:val="18"/>
        </w:rPr>
        <w:t>.</w:t>
      </w:r>
      <w:r>
        <w:rPr>
          <w:sz w:val="18"/>
          <w:szCs w:val="18"/>
        </w:rPr>
        <w:t xml:space="preserve">  </w:t>
      </w:r>
    </w:p>
  </w:footnote>
  <w:footnote w:id="35">
    <w:p w:rsidR="00954CD5" w:rsidRDefault="00954CD5">
      <w:pPr>
        <w:pStyle w:val="FootnoteText"/>
      </w:pPr>
      <w:r w:rsidRPr="00383BDC">
        <w:rPr>
          <w:rStyle w:val="FootnoteReference"/>
        </w:rPr>
        <w:footnoteRef/>
      </w:r>
      <w:r w:rsidRPr="00383BDC">
        <w:t xml:space="preserve"> Refer to the ISO’s “Energy Efficiency Working Group,” webpage (2017) for information and presentations on how the ISO accounts for energy-efficiency programs in its energy-efficiency forecasts; </w:t>
      </w:r>
      <w:hyperlink r:id="rId27" w:history="1">
        <w:r w:rsidRPr="00383BDC">
          <w:rPr>
            <w:rStyle w:val="Hyperlink"/>
          </w:rPr>
          <w:t>https://www.iso-ne.com/committees/planning/energy-efficiency-forecast</w:t>
        </w:r>
      </w:hyperlink>
      <w:r w:rsidRPr="00383BDC">
        <w:t>.</w:t>
      </w:r>
    </w:p>
  </w:footnote>
  <w:footnote w:id="36">
    <w:p w:rsidR="00954CD5" w:rsidRDefault="00954CD5" w:rsidP="00331422">
      <w:pPr>
        <w:pStyle w:val="FootnoteText"/>
      </w:pPr>
      <w:r>
        <w:rPr>
          <w:rStyle w:val="FootnoteReference"/>
        </w:rPr>
        <w:footnoteRef/>
      </w:r>
      <w:r>
        <w:t xml:space="preserve"> </w:t>
      </w:r>
      <w:r w:rsidRPr="00A72D8D">
        <w:t xml:space="preserve">This is the standard ISO model used for </w:t>
      </w:r>
      <w:r>
        <w:t xml:space="preserve">representing </w:t>
      </w:r>
      <w:r w:rsidRPr="00A72D8D">
        <w:t>hourly demand</w:t>
      </w:r>
      <w:r>
        <w:t xml:space="preserve"> for economic studies</w:t>
      </w:r>
      <w:r w:rsidRPr="00A72D8D">
        <w:t xml:space="preserve">. Several summer heat waves and </w:t>
      </w:r>
      <w:r>
        <w:t xml:space="preserve">a moderate </w:t>
      </w:r>
      <w:r w:rsidRPr="00A72D8D">
        <w:t xml:space="preserve">winter </w:t>
      </w:r>
      <w:r>
        <w:t>were</w:t>
      </w:r>
      <w:r w:rsidRPr="00A72D8D">
        <w:t xml:space="preserve"> experienced in 2006.</w:t>
      </w:r>
    </w:p>
  </w:footnote>
  <w:footnote w:id="37">
    <w:p w:rsidR="00954CD5" w:rsidRDefault="00954CD5">
      <w:pPr>
        <w:pStyle w:val="FootnoteText"/>
      </w:pPr>
      <w:r>
        <w:rPr>
          <w:rStyle w:val="FootnoteReference"/>
        </w:rPr>
        <w:footnoteRef/>
      </w:r>
      <w:r>
        <w:t xml:space="preserve"> </w:t>
      </w:r>
      <w:r w:rsidRPr="006B6330">
        <w:t>A 50/50 peak demand is a peak load with a 50% chance of being exceeded because of weather conditions, expected to occur in the summer in New England at a weighted New England-wide temperature of 90.2 °F, and in the winter, 7.0 °F.</w:t>
      </w:r>
    </w:p>
  </w:footnote>
  <w:footnote w:id="38">
    <w:p w:rsidR="00954CD5" w:rsidRDefault="00954CD5">
      <w:pPr>
        <w:pStyle w:val="FootnoteText"/>
      </w:pPr>
      <w:r w:rsidRPr="00480CA6">
        <w:rPr>
          <w:rStyle w:val="FootnoteReference"/>
        </w:rPr>
        <w:footnoteRef/>
      </w:r>
      <w:r w:rsidRPr="00480CA6">
        <w:t xml:space="preserve"> A </w:t>
      </w:r>
      <w:r w:rsidRPr="00480CA6">
        <w:rPr>
          <w:i/>
        </w:rPr>
        <w:t>passive demand resource</w:t>
      </w:r>
      <w:r w:rsidRPr="00480CA6">
        <w:t xml:space="preserve"> is a demand resource principally designed to save electric energy use, which is in place at all times without requiring direction from the ISO. Passive demand resources include energy-efficiency measures, such as the use of energy-efficient appliances and lighting, advanced cooling and heating technologies, electronic devices to cycle air conditioners on and off, and equipment to shift load to off-peak hours of demand.</w:t>
      </w:r>
    </w:p>
  </w:footnote>
  <w:footnote w:id="39">
    <w:p w:rsidR="00954CD5" w:rsidRDefault="00954CD5">
      <w:pPr>
        <w:pStyle w:val="FootnoteText"/>
      </w:pPr>
      <w:r w:rsidRPr="009D0D50">
        <w:rPr>
          <w:rStyle w:val="FootnoteReference"/>
        </w:rPr>
        <w:footnoteRef/>
      </w:r>
      <w:r w:rsidRPr="009D0D50">
        <w:t xml:space="preserve"> NREL, “Solar Power Data for Integration Studies,” webpage (n.d.), </w:t>
      </w:r>
      <w:hyperlink r:id="rId28" w:history="1">
        <w:r w:rsidRPr="009D0D50">
          <w:rPr>
            <w:rStyle w:val="Hyperlink"/>
          </w:rPr>
          <w:t>https://www.nrel.gov/grid/solar-power-data.html</w:t>
        </w:r>
      </w:hyperlink>
      <w:r w:rsidRPr="009D0D50">
        <w:t>.</w:t>
      </w:r>
    </w:p>
  </w:footnote>
  <w:footnote w:id="40">
    <w:p w:rsidR="00954CD5" w:rsidRDefault="00954CD5">
      <w:pPr>
        <w:pStyle w:val="FootnoteText"/>
      </w:pPr>
      <w:r>
        <w:rPr>
          <w:rStyle w:val="FootnoteReference"/>
        </w:rPr>
        <w:footnoteRef/>
      </w:r>
      <w:r>
        <w:t xml:space="preserve"> Because PV does not produce energy as the sun sets, larger amounts of PV result in the net peak load (demand minus PV production) occurring later in the day during the summer. Thus, increased amounts of PV become less effective at reducing the net peak load.</w:t>
      </w:r>
    </w:p>
  </w:footnote>
  <w:footnote w:id="41">
    <w:p w:rsidR="00954CD5" w:rsidRDefault="00954CD5">
      <w:pPr>
        <w:pStyle w:val="FootnoteText"/>
      </w:pPr>
      <w:r w:rsidRPr="00D84F97">
        <w:rPr>
          <w:rStyle w:val="FootnoteReference"/>
        </w:rPr>
        <w:footnoteRef/>
      </w:r>
      <w:r w:rsidRPr="00D84F97">
        <w:t xml:space="preserve"> </w:t>
      </w:r>
      <w:r w:rsidRPr="00D84F97">
        <w:rPr>
          <w:i/>
        </w:rPr>
        <w:t xml:space="preserve">Seasonal claimed capability </w:t>
      </w:r>
      <w:r w:rsidRPr="00D84F97">
        <w:t>is a generator's maximum production or output during a particular season, adjusted for physical and regulatory limitations.</w:t>
      </w:r>
    </w:p>
  </w:footnote>
  <w:footnote w:id="42">
    <w:p w:rsidR="00954CD5" w:rsidRDefault="00954CD5" w:rsidP="00E4647F">
      <w:pPr>
        <w:pStyle w:val="FootnoteText"/>
      </w:pPr>
      <w:r w:rsidRPr="008C0B4C">
        <w:rPr>
          <w:rStyle w:val="FootnoteReference"/>
        </w:rPr>
        <w:footnoteRef/>
      </w:r>
      <w:r w:rsidRPr="008C0B4C">
        <w:t xml:space="preserve"> </w:t>
      </w:r>
      <w:r>
        <w:t xml:space="preserve">Regional System Plans are available at </w:t>
      </w:r>
      <w:hyperlink r:id="rId29" w:history="1">
        <w:r w:rsidRPr="002F6F81">
          <w:rPr>
            <w:rStyle w:val="Hyperlink"/>
          </w:rPr>
          <w:t>https://www.iso-ne.com/system-planning/system-plans-studies/rsp</w:t>
        </w:r>
      </w:hyperlink>
      <w:r>
        <w:t>.</w:t>
      </w:r>
    </w:p>
  </w:footnote>
  <w:footnote w:id="43">
    <w:p w:rsidR="00954CD5" w:rsidRPr="00857EFA" w:rsidRDefault="00954CD5">
      <w:pPr>
        <w:pStyle w:val="FootnoteText"/>
      </w:pPr>
      <w:r w:rsidRPr="00857EFA">
        <w:rPr>
          <w:rStyle w:val="FootnoteReference"/>
        </w:rPr>
        <w:footnoteRef/>
      </w:r>
      <w:r w:rsidRPr="00857EFA">
        <w:t xml:space="preserve"> Operating reserve is the megawatt capability of a power system greater than system demand, which is required for providing frequency regulation, correcting load forecasting errors, and handling forced outages, and is drawn from spinning and nonspinning sources of power that may be used to recover from a contingency. </w:t>
      </w:r>
    </w:p>
  </w:footnote>
  <w:footnote w:id="44">
    <w:p w:rsidR="00954CD5" w:rsidRPr="00E4647F" w:rsidRDefault="00954CD5" w:rsidP="00BA36BC">
      <w:pPr>
        <w:pStyle w:val="FootnoteText"/>
        <w:rPr>
          <w:highlight w:val="green"/>
        </w:rPr>
      </w:pPr>
      <w:r w:rsidRPr="00857EFA">
        <w:rPr>
          <w:rStyle w:val="FootnoteReference"/>
        </w:rPr>
        <w:footnoteRef/>
      </w:r>
      <w:r w:rsidRPr="00857EFA">
        <w:t xml:space="preserve"> The ISO’s requirements for operating reserves are addressed in </w:t>
      </w:r>
      <w:r w:rsidRPr="00857EFA">
        <w:rPr>
          <w:i/>
        </w:rPr>
        <w:t>ISO New England Operating Procedure No. 8—Operating Reserve and Regulation</w:t>
      </w:r>
      <w:r w:rsidRPr="00857EFA">
        <w:t xml:space="preserve"> (January 17, 2017), </w:t>
      </w:r>
      <w:hyperlink r:id="rId30" w:history="1">
        <w:r w:rsidRPr="00857EFA">
          <w:rPr>
            <w:rStyle w:val="Hyperlink"/>
          </w:rPr>
          <w:t>https://www.iso-ne.com/static-assets/documents/rules_proceds/operating/isone/op8/op8_rto_final.pdf</w:t>
        </w:r>
      </w:hyperlink>
      <w:r w:rsidRPr="00857EFA">
        <w:t>.</w:t>
      </w:r>
    </w:p>
  </w:footnote>
  <w:footnote w:id="45">
    <w:p w:rsidR="00954CD5" w:rsidRPr="00857EFA" w:rsidRDefault="00954CD5" w:rsidP="00BA36BC">
      <w:pPr>
        <w:pStyle w:val="FootnoteText"/>
        <w:rPr>
          <w:highlight w:val="yellow"/>
        </w:rPr>
      </w:pPr>
      <w:r w:rsidRPr="00857EFA">
        <w:rPr>
          <w:rStyle w:val="FootnoteReference"/>
        </w:rPr>
        <w:footnoteRef/>
      </w:r>
      <w:r w:rsidRPr="00857EFA">
        <w:t xml:space="preserve"> </w:t>
      </w:r>
      <w:r w:rsidRPr="00857EFA">
        <w:rPr>
          <w:i/>
        </w:rPr>
        <w:t>Ten-minute spinning reserve</w:t>
      </w:r>
      <w:r w:rsidRPr="00857EFA">
        <w:t xml:space="preserve"> (TMSR) is operating reserve provided by on-line operating generation that can increase output within 10 minutes in response to a contingency. </w:t>
      </w:r>
      <w:r w:rsidRPr="00857EFA">
        <w:rPr>
          <w:i/>
        </w:rPr>
        <w:t>Ten-minute nonspinning reserve</w:t>
      </w:r>
      <w:r w:rsidRPr="00857EFA">
        <w:t xml:space="preserve"> (TMNSR) is operating reserve provided by off-line generation that can be electrically synchronized to the system and increase output within 10 minutes in response to a contingency.</w:t>
      </w:r>
    </w:p>
  </w:footnote>
  <w:footnote w:id="46">
    <w:p w:rsidR="00954CD5" w:rsidRDefault="00954CD5">
      <w:pPr>
        <w:pStyle w:val="FootnoteText"/>
      </w:pPr>
      <w:r w:rsidRPr="00857EFA">
        <w:rPr>
          <w:rStyle w:val="FootnoteReference"/>
        </w:rPr>
        <w:footnoteRef/>
      </w:r>
      <w:r w:rsidRPr="00857EFA">
        <w:t xml:space="preserve"> </w:t>
      </w:r>
      <w:r w:rsidRPr="00857EFA">
        <w:rPr>
          <w:i/>
        </w:rPr>
        <w:t>Thirty-minute operating reserve</w:t>
      </w:r>
      <w:r w:rsidRPr="00857EFA">
        <w:t xml:space="preserve"> (TMOR) is provided by on-line or off-line operating-reserve generation that can either increase output within 30 minutes or be electrically synchronized to the system and increase output within 30 minutes in response to a contingency. A </w:t>
      </w:r>
      <w:r w:rsidRPr="00857EFA">
        <w:rPr>
          <w:i/>
        </w:rPr>
        <w:t>fast-start resource</w:t>
      </w:r>
      <w:r w:rsidRPr="00857EFA">
        <w:t xml:space="preserve"> can be electrically synchronized to the system and reach its maximum production or output within 10 to 30 minutes to respond to a contingency and serve demand. It also can be a demand resource that helps with recovery from a contingency and assists in serving peak demand.</w:t>
      </w:r>
    </w:p>
  </w:footnote>
  <w:footnote w:id="47">
    <w:p w:rsidR="00954CD5" w:rsidRDefault="00954CD5" w:rsidP="00A37A8D">
      <w:pPr>
        <w:pStyle w:val="FootnoteText"/>
      </w:pPr>
      <w:r w:rsidRPr="00596C13">
        <w:rPr>
          <w:rStyle w:val="FootnoteReference"/>
        </w:rPr>
        <w:footnoteRef/>
      </w:r>
      <w:r w:rsidRPr="00596C13">
        <w:t xml:space="preserve"> </w:t>
      </w:r>
      <w:r w:rsidRPr="00915638">
        <w:t>The NREL database includes 8,760 hours of locational data that can be used to determine PV production for different amounts and locations of PV. A similar database exists for onshore and offshore wind.</w:t>
      </w:r>
    </w:p>
  </w:footnote>
  <w:footnote w:id="48">
    <w:p w:rsidR="00954CD5" w:rsidRDefault="00954CD5" w:rsidP="007A28D4">
      <w:pPr>
        <w:pStyle w:val="FootnoteText"/>
      </w:pPr>
      <w:r w:rsidRPr="007A28D4">
        <w:rPr>
          <w:rStyle w:val="FootnoteReference"/>
        </w:rPr>
        <w:footnoteRef/>
      </w:r>
      <w:r w:rsidRPr="007A28D4">
        <w:t xml:space="preserve"> ISO New England, </w:t>
      </w:r>
      <w:r w:rsidRPr="007A28D4">
        <w:rPr>
          <w:i/>
        </w:rPr>
        <w:t>2015 Economic Study—Evaluation of Offshore Wind Deployment</w:t>
      </w:r>
      <w:r w:rsidRPr="007A28D4">
        <w:t xml:space="preserve"> (September 2, 2016), </w:t>
      </w:r>
      <w:hyperlink r:id="rId31" w:history="1">
        <w:r w:rsidRPr="007A28D4">
          <w:rPr>
            <w:rStyle w:val="Hyperlink"/>
          </w:rPr>
          <w:t>https://www.iso-ne.com/static-assets/documents/2016/09/2015_economic_study_offshore_wind_development_final.docx</w:t>
        </w:r>
      </w:hyperlink>
      <w:r w:rsidRPr="007A28D4">
        <w:t>.</w:t>
      </w:r>
    </w:p>
  </w:footnote>
  <w:footnote w:id="49">
    <w:p w:rsidR="00954CD5" w:rsidRDefault="00954CD5">
      <w:pPr>
        <w:pStyle w:val="FootnoteText"/>
      </w:pPr>
      <w:r w:rsidRPr="003348D4">
        <w:rPr>
          <w:rStyle w:val="FootnoteReference"/>
        </w:rPr>
        <w:footnoteRef/>
      </w:r>
      <w:r w:rsidRPr="003348D4">
        <w:t xml:space="preserve"> Dual-fuel capability is when a generator has the flexibility and storage capacity to use two types of fuel, typically oil and natural gas.</w:t>
      </w:r>
    </w:p>
  </w:footnote>
  <w:footnote w:id="50">
    <w:p w:rsidR="00954CD5" w:rsidRDefault="00954CD5">
      <w:pPr>
        <w:pStyle w:val="FootnoteText"/>
      </w:pPr>
      <w:r>
        <w:rPr>
          <w:rStyle w:val="FootnoteReference"/>
        </w:rPr>
        <w:footnoteRef/>
      </w:r>
      <w:r>
        <w:t xml:space="preserve"> Municipal loads are not subject to RPS goals and were subtracted from the gross energy demand.</w:t>
      </w:r>
    </w:p>
  </w:footnote>
  <w:footnote w:id="51">
    <w:p w:rsidR="00954CD5" w:rsidRDefault="00954CD5" w:rsidP="00AB2C2D">
      <w:pPr>
        <w:spacing w:after="80" w:line="240" w:lineRule="auto"/>
      </w:pPr>
      <w:r w:rsidRPr="005B07AF">
        <w:rPr>
          <w:rStyle w:val="FootnoteReference"/>
        </w:rPr>
        <w:footnoteRef/>
      </w:r>
      <w:r w:rsidRPr="005B07AF">
        <w:t xml:space="preserve"> </w:t>
      </w:r>
      <w:r w:rsidRPr="005B07AF">
        <w:rPr>
          <w:sz w:val="18"/>
          <w:szCs w:val="18"/>
        </w:rPr>
        <w:t xml:space="preserve">Refer to the ISO New England, “Renewable Portfolio Standards Spreadsheet,” Excel file (posted May 16, 2016), </w:t>
      </w:r>
      <w:hyperlink r:id="rId32" w:history="1">
        <w:r w:rsidRPr="00BA611D">
          <w:rPr>
            <w:rStyle w:val="Hyperlink"/>
            <w:sz w:val="18"/>
            <w:szCs w:val="18"/>
          </w:rPr>
          <w:t>http://www.iso-ne.com/static-assets/documents/2016/05/a3_2016_economic_study_scope_of_work_rps_spreadsheet.xlsx</w:t>
        </w:r>
      </w:hyperlink>
      <w:r w:rsidRPr="00BA611D">
        <w:rPr>
          <w:sz w:val="18"/>
          <w:szCs w:val="18"/>
        </w:rPr>
        <w:t xml:space="preserve">. This spreadsheet enables stakeholders to project the amount of energy LSEs will need annually to 2031 to meet the New England states’ RPSs. Users can also refer to the ISO's </w:t>
      </w:r>
      <w:r w:rsidRPr="00BA611D">
        <w:rPr>
          <w:i/>
          <w:sz w:val="18"/>
          <w:szCs w:val="18"/>
        </w:rPr>
        <w:t>2016 Capacity Energy Load and Transmission (CELT) Report</w:t>
      </w:r>
      <w:r w:rsidRPr="00BA611D">
        <w:rPr>
          <w:sz w:val="18"/>
          <w:szCs w:val="18"/>
        </w:rPr>
        <w:t xml:space="preserve"> and make their own assumptions based on how load growth or state policies on renewables and energy efficiency might affect the future RPS share of total energy demand. This spreadsheet provides results by state and by class of renewables extrapolated to 2031. All RPS projections are based on state RPSs in effect in New England as of April 1, 2016.</w:t>
      </w:r>
    </w:p>
  </w:footnote>
  <w:footnote w:id="52">
    <w:p w:rsidR="00954CD5" w:rsidRPr="00C0189B" w:rsidRDefault="00954CD5">
      <w:pPr>
        <w:pStyle w:val="FootnoteText"/>
      </w:pPr>
      <w:r>
        <w:rPr>
          <w:rStyle w:val="FootnoteReference"/>
        </w:rPr>
        <w:footnoteRef/>
      </w:r>
      <w:r>
        <w:t xml:space="preserve"> The transfer capabilities for external ties exceed the values simulated in the GridView simulations. For example, </w:t>
      </w:r>
      <w:r w:rsidRPr="00C0189B">
        <w:t>Phase II has a transfer capability of up to 2,000 MW, but lower values were simulated in the economic dispatch.</w:t>
      </w:r>
    </w:p>
  </w:footnote>
  <w:footnote w:id="53">
    <w:p w:rsidR="00954CD5" w:rsidRDefault="00954CD5">
      <w:pPr>
        <w:pStyle w:val="FootnoteText"/>
      </w:pPr>
      <w:r w:rsidRPr="00C0189B">
        <w:rPr>
          <w:rStyle w:val="FootnoteReference"/>
        </w:rPr>
        <w:footnoteRef/>
      </w:r>
      <w:r w:rsidRPr="00C0189B">
        <w:t xml:space="preserve"> </w:t>
      </w:r>
      <w:r w:rsidRPr="007A186C">
        <w:t xml:space="preserve">ISO New England, </w:t>
      </w:r>
      <w:r w:rsidRPr="00C0189B">
        <w:rPr>
          <w:i/>
        </w:rPr>
        <w:t>2015 Economic Study—</w:t>
      </w:r>
      <w:r w:rsidRPr="00C0189B">
        <w:t xml:space="preserve"> </w:t>
      </w:r>
      <w:r w:rsidRPr="00C0189B">
        <w:rPr>
          <w:i/>
        </w:rPr>
        <w:t xml:space="preserve">Evaluation of Increasing the Keene Road Export Limit </w:t>
      </w:r>
      <w:r w:rsidRPr="00C0189B">
        <w:t>(September 2, 2016),</w:t>
      </w:r>
      <w:r w:rsidRPr="007A28D4">
        <w:t xml:space="preserve"> </w:t>
      </w:r>
      <w:r w:rsidRPr="00182787">
        <w:t xml:space="preserve"> </w:t>
      </w:r>
      <w:hyperlink r:id="rId33" w:history="1">
        <w:r w:rsidRPr="001D28DE">
          <w:rPr>
            <w:rStyle w:val="Hyperlink"/>
          </w:rPr>
          <w:t>https://www.iso-ne.com/static-assets/documents/2016/09/2015_economic_study_keene_road_increased_export_limits_fina.docx</w:t>
        </w:r>
      </w:hyperlink>
      <w:r>
        <w:t xml:space="preserve">; </w:t>
      </w:r>
      <w:r w:rsidRPr="007A28D4">
        <w:t xml:space="preserve"> </w:t>
      </w:r>
      <w:r w:rsidRPr="007A28D4">
        <w:rPr>
          <w:i/>
        </w:rPr>
        <w:t>2015 Economic Study—Evaluation of Offshore Wind Deployment</w:t>
      </w:r>
      <w:r w:rsidRPr="007A28D4">
        <w:t xml:space="preserve"> (September 2, 2016), </w:t>
      </w:r>
      <w:hyperlink r:id="rId34" w:history="1">
        <w:r w:rsidRPr="007A28D4">
          <w:rPr>
            <w:rStyle w:val="Hyperlink"/>
          </w:rPr>
          <w:t>https://www.iso-ne.com/static-assets/documents/2016/09/2015_economic_study_offshore_wind_development_final.docx</w:t>
        </w:r>
      </w:hyperlink>
      <w:r>
        <w:rPr>
          <w:rStyle w:val="Hyperlink"/>
        </w:rPr>
        <w:t xml:space="preserve">; </w:t>
      </w:r>
      <w:r w:rsidRPr="007A28D4">
        <w:rPr>
          <w:i/>
        </w:rPr>
        <w:t>2015 Economic Study—</w:t>
      </w:r>
      <w:r w:rsidRPr="00C0189B">
        <w:t xml:space="preserve"> </w:t>
      </w:r>
      <w:r w:rsidRPr="00C0189B">
        <w:rPr>
          <w:i/>
        </w:rPr>
        <w:t xml:space="preserve">Strategic Transmission Analysis—Onshore Wind Integration </w:t>
      </w:r>
      <w:r w:rsidRPr="007A28D4">
        <w:t xml:space="preserve">(September 2, 2016), </w:t>
      </w:r>
      <w:r w:rsidRPr="00C0189B">
        <w:t>https://www.iso-ne.com/static-assets/documents/2016/09/2015_economic_study_onshore_wind_integration_final.docx</w:t>
      </w:r>
      <w:r>
        <w:t>.</w:t>
      </w:r>
    </w:p>
  </w:footnote>
  <w:footnote w:id="54">
    <w:p w:rsidR="00954CD5" w:rsidRDefault="00954CD5">
      <w:pPr>
        <w:pStyle w:val="FootnoteText"/>
      </w:pPr>
      <w:r>
        <w:rPr>
          <w:rStyle w:val="FootnoteReference"/>
        </w:rPr>
        <w:footnoteRef/>
      </w:r>
      <w:r>
        <w:t xml:space="preserve"> </w:t>
      </w:r>
      <w:r w:rsidRPr="00D22ADD">
        <w:t>The threshold price for</w:t>
      </w:r>
      <w:r>
        <w:t xml:space="preserve"> </w:t>
      </w:r>
      <w:r w:rsidRPr="00D22ADD">
        <w:t>imports was not included in the production cost me</w:t>
      </w:r>
      <w:r>
        <w:t>t</w:t>
      </w:r>
      <w:r w:rsidRPr="00D22ADD">
        <w:t>ric because im</w:t>
      </w:r>
      <w:r>
        <w:t>p</w:t>
      </w:r>
      <w:r w:rsidRPr="00D22ADD">
        <w:t>orts were assumed to be price takers.</w:t>
      </w:r>
    </w:p>
  </w:footnote>
  <w:footnote w:id="55">
    <w:p w:rsidR="00954CD5" w:rsidRPr="00295F71" w:rsidRDefault="00954CD5" w:rsidP="00CC0709">
      <w:pPr>
        <w:pStyle w:val="FootnoteText"/>
      </w:pPr>
      <w:r w:rsidRPr="00295F71">
        <w:rPr>
          <w:rStyle w:val="FootnoteReference"/>
          <w:sz w:val="18"/>
          <w:szCs w:val="18"/>
        </w:rPr>
        <w:footnoteRef/>
      </w:r>
      <w:r w:rsidRPr="00295F71">
        <w:t xml:space="preserve"> EIA, </w:t>
      </w:r>
      <w:r w:rsidRPr="00295F71">
        <w:rPr>
          <w:i/>
        </w:rPr>
        <w:t>2016 Annual Energy Outlook</w:t>
      </w:r>
      <w:r w:rsidRPr="00295F71">
        <w:t xml:space="preserve"> (2016), </w:t>
      </w:r>
      <w:hyperlink r:id="rId35" w:history="1">
        <w:r w:rsidRPr="00295F71">
          <w:rPr>
            <w:rStyle w:val="Hyperlink"/>
          </w:rPr>
          <w:t>http://www.eia.gov/forecasts/aeo/index.cfm</w:t>
        </w:r>
      </w:hyperlink>
      <w:r w:rsidRPr="00295F71">
        <w:t>.</w:t>
      </w:r>
    </w:p>
  </w:footnote>
  <w:footnote w:id="56">
    <w:p w:rsidR="00954CD5" w:rsidRPr="00DB2D24" w:rsidRDefault="00954CD5">
      <w:pPr>
        <w:pStyle w:val="FootnoteText"/>
      </w:pPr>
      <w:r w:rsidRPr="00DB2D24">
        <w:rPr>
          <w:rStyle w:val="FootnoteReference"/>
        </w:rPr>
        <w:footnoteRef/>
      </w:r>
      <w:r w:rsidRPr="00DB2D24">
        <w:t xml:space="preserve"> New York ISO, </w:t>
      </w:r>
      <w:r w:rsidRPr="00EC3A1C">
        <w:rPr>
          <w:i/>
        </w:rPr>
        <w:t xml:space="preserve">2015 Congestion Assessment and Resource Integration Study </w:t>
      </w:r>
      <w:r w:rsidRPr="00EC3A1C">
        <w:t xml:space="preserve">(CARIS), emission allowance prices </w:t>
      </w:r>
      <w:r w:rsidRPr="00DB2D24">
        <w:t>(March</w:t>
      </w:r>
      <w:r>
        <w:t> </w:t>
      </w:r>
      <w:r w:rsidRPr="00DB2D24">
        <w:t>20, 2015).</w:t>
      </w:r>
    </w:p>
  </w:footnote>
  <w:footnote w:id="57">
    <w:p w:rsidR="00954CD5" w:rsidRPr="00DB2D24" w:rsidRDefault="00954CD5">
      <w:pPr>
        <w:pStyle w:val="FootnoteText"/>
      </w:pPr>
      <w:r w:rsidRPr="00DB2D24">
        <w:rPr>
          <w:rStyle w:val="FootnoteReference"/>
          <w:sz w:val="18"/>
          <w:szCs w:val="18"/>
        </w:rPr>
        <w:footnoteRef/>
      </w:r>
      <w:r w:rsidRPr="00DB2D24">
        <w:t xml:space="preserve"> New York ISO, “2016 CARIS 2 Input Data Summary,” Phase 2 Base Case fuel and emission prices spreadsheet (July 14, 2016), </w:t>
      </w:r>
      <w:hyperlink r:id="rId36" w:history="1">
        <w:r w:rsidRPr="00DB2D24">
          <w:rPr>
            <w:rStyle w:val="Hyperlink"/>
          </w:rPr>
          <w:t>http://www.nyiso.com/public/webdocs/markets_operations/services/planning/Planning_Studies/Economic_Planning_Studies_(CARIS)/CARIS_Input_Assumptions/2016%20CARIS%202%20Input%20Data%20Summary.xls</w:t>
        </w:r>
      </w:hyperlink>
      <w:r w:rsidRPr="00DB2D24">
        <w:t>.</w:t>
      </w:r>
    </w:p>
  </w:footnote>
  <w:footnote w:id="58">
    <w:p w:rsidR="00954CD5" w:rsidRDefault="00954CD5"/>
    <w:p w:rsidR="00954CD5" w:rsidRDefault="00954CD5"/>
  </w:footnote>
  <w:footnote w:id="59">
    <w:p w:rsidR="00954CD5" w:rsidRDefault="00954CD5">
      <w:pPr>
        <w:pStyle w:val="FootnoteText"/>
      </w:pPr>
      <w:r w:rsidRPr="003F1442">
        <w:rPr>
          <w:rStyle w:val="FootnoteReference"/>
        </w:rPr>
        <w:footnoteRef/>
      </w:r>
      <w:r w:rsidRPr="003F1442">
        <w:t xml:space="preserve"> Concentric Energy Advisors determined the levelized cost of EE as $35.97/kW-month. The annual carrying charge of EE = $431.64/kW-year from $35.97/kW-month × 12. </w:t>
      </w:r>
      <w:r>
        <w:t>Refer to the presentation</w:t>
      </w:r>
      <w:r w:rsidRPr="003F1442">
        <w:t xml:space="preserve">, </w:t>
      </w:r>
      <w:r w:rsidRPr="003F1442">
        <w:rPr>
          <w:i/>
        </w:rPr>
        <w:t>ISO-NE CONE and ORTP Analysis</w:t>
      </w:r>
      <w:r>
        <w:rPr>
          <w:i/>
        </w:rPr>
        <w:t xml:space="preserve"> </w:t>
      </w:r>
      <w:r w:rsidRPr="003F1442">
        <w:t xml:space="preserve">(September 13, 2016), </w:t>
      </w:r>
      <w:hyperlink r:id="rId37" w:history="1">
        <w:r w:rsidRPr="003F1442">
          <w:rPr>
            <w:rStyle w:val="Hyperlink"/>
          </w:rPr>
          <w:t>https://view.officeapps.live.com/op/view.aspx?src=https%3A%2F%2Fwww.iso-ne.com%2Fstatic-assets%2Fdocuments%2F2016%2F09%2Fa7_cone_ortp_concentric_energy_advisors.pptx</w:t>
        </w:r>
      </w:hyperlink>
      <w:r w:rsidRPr="003F1442">
        <w:t>.</w:t>
      </w:r>
      <w:r w:rsidRPr="009A1929">
        <w:t xml:space="preserve">   </w:t>
      </w:r>
    </w:p>
  </w:footnote>
  <w:footnote w:id="60">
    <w:p w:rsidR="00954CD5" w:rsidRDefault="00954CD5">
      <w:pPr>
        <w:pStyle w:val="FootnoteText"/>
      </w:pPr>
      <w:r w:rsidRPr="0075682B">
        <w:rPr>
          <w:rStyle w:val="FootnoteReference"/>
        </w:rPr>
        <w:footnoteRef/>
      </w:r>
      <w:r w:rsidRPr="0075682B">
        <w:t xml:space="preserve"> The large-scale integration of inverter-based resources and transmission devices would require much greater use of</w:t>
      </w:r>
      <w:r w:rsidRPr="006708F4">
        <w:t xml:space="preserve"> special controls on central station and distributed resources, system-protection upgrades, and other system improvements not fully considered in this study.</w:t>
      </w:r>
    </w:p>
  </w:footnote>
  <w:footnote w:id="61">
    <w:p w:rsidR="00954CD5" w:rsidRDefault="00954CD5">
      <w:pPr>
        <w:pStyle w:val="FootnoteText"/>
      </w:pPr>
      <w:r w:rsidRPr="0097100D">
        <w:rPr>
          <w:rStyle w:val="FootnoteReference"/>
        </w:rPr>
        <w:footnoteRef/>
      </w:r>
      <w:r w:rsidRPr="0097100D">
        <w:t xml:space="preserve"> The integrator sy</w:t>
      </w:r>
      <w:r w:rsidRPr="007D1674">
        <w:t xml:space="preserve">stem is conceptually similar to the type of upgrades considered in the ongoing </w:t>
      </w:r>
      <w:r w:rsidRPr="00761A89">
        <w:rPr>
          <w:i/>
        </w:rPr>
        <w:t>2016 Maine Resource Integration Study</w:t>
      </w:r>
      <w:r w:rsidRPr="00761A89">
        <w:t xml:space="preserve">. See ISO New England, </w:t>
      </w:r>
      <w:r w:rsidRPr="00761A89">
        <w:rPr>
          <w:i/>
        </w:rPr>
        <w:t>2016 Maine Resource Integration Study—Status Update</w:t>
      </w:r>
      <w:r w:rsidRPr="00761A89">
        <w:t xml:space="preserve">, PAC presentation (February 9, 2017), </w:t>
      </w:r>
      <w:hyperlink r:id="rId38" w:history="1">
        <w:r w:rsidRPr="00761A89">
          <w:rPr>
            <w:rStyle w:val="Hyperlink"/>
          </w:rPr>
          <w:t>https://smd.iso-ne.com/operations-services/ceii/pac/2017/02/a6_maine_resource_integration_study.pdf</w:t>
        </w:r>
      </w:hyperlink>
      <w:r>
        <w:t xml:space="preserve"> and </w:t>
      </w:r>
      <w:r w:rsidRPr="00761A89">
        <w:rPr>
          <w:i/>
        </w:rPr>
        <w:t>2016 Maine Resource Integration Study—Steady-State Results</w:t>
      </w:r>
      <w:r w:rsidRPr="00761A89">
        <w:t xml:space="preserve">, PAC presentation (September 21, 2016), </w:t>
      </w:r>
      <w:hyperlink r:id="rId39" w:history="1">
        <w:r w:rsidRPr="00761A89">
          <w:rPr>
            <w:rStyle w:val="Hyperlink"/>
          </w:rPr>
          <w:t>https://smd.iso-ne.com/operations-services/ceii/pac/2016/09/a3_maine_resource_integration_study.pdf</w:t>
        </w:r>
      </w:hyperlink>
      <w:r>
        <w:t>.</w:t>
      </w:r>
    </w:p>
  </w:footnote>
  <w:footnote w:id="62">
    <w:p w:rsidR="00954CD5" w:rsidRDefault="00954CD5">
      <w:pPr>
        <w:pStyle w:val="FootnoteText"/>
      </w:pPr>
      <w:r w:rsidRPr="00F70F12">
        <w:rPr>
          <w:rStyle w:val="FootnoteReference"/>
        </w:rPr>
        <w:footnoteRef/>
      </w:r>
      <w:r w:rsidRPr="00F70F12">
        <w:t xml:space="preserve"> Although the costs to develop offshore wind resources may be less than the assumed overnight generator costs used in this study, “new technology costs” were used to capture additional costs associated with optimally interconnecting the offshore wind to Millstone, Montville, Brayton Point, Canal, and Pilgrim, which would eliminate the need for a congestion relief system in SEMA/RI.</w:t>
      </w:r>
    </w:p>
  </w:footnote>
  <w:footnote w:id="63">
    <w:p w:rsidR="00954CD5" w:rsidRDefault="00954CD5" w:rsidP="00BB06F0">
      <w:pPr>
        <w:spacing w:after="80" w:line="240" w:lineRule="auto"/>
      </w:pPr>
      <w:r>
        <w:rPr>
          <w:rStyle w:val="FootnoteReference"/>
        </w:rPr>
        <w:footnoteRef/>
      </w:r>
      <w:r>
        <w:t xml:space="preserve"> </w:t>
      </w:r>
      <w:r w:rsidRPr="009D74F8">
        <w:rPr>
          <w:sz w:val="18"/>
          <w:szCs w:val="18"/>
        </w:rPr>
        <w:t xml:space="preserve">See ISO New England, </w:t>
      </w:r>
      <w:r w:rsidRPr="009D74F8">
        <w:rPr>
          <w:i/>
          <w:sz w:val="18"/>
          <w:szCs w:val="18"/>
        </w:rPr>
        <w:t>2016 Economic Studies Draft Results—Part II</w:t>
      </w:r>
      <w:r w:rsidRPr="009D74F8">
        <w:rPr>
          <w:sz w:val="18"/>
          <w:szCs w:val="18"/>
        </w:rPr>
        <w:t xml:space="preserve"> and </w:t>
      </w:r>
      <w:r w:rsidRPr="009D74F8">
        <w:rPr>
          <w:i/>
          <w:sz w:val="18"/>
          <w:szCs w:val="18"/>
        </w:rPr>
        <w:t>2016 Economic Studies Draft Results—Part II Appendix</w:t>
      </w:r>
      <w:r w:rsidRPr="009D74F8">
        <w:rPr>
          <w:sz w:val="18"/>
          <w:szCs w:val="18"/>
        </w:rPr>
        <w:t xml:space="preserve">, PAC presentations (September 21, 2016), </w:t>
      </w:r>
      <w:hyperlink r:id="rId40" w:history="1">
        <w:r w:rsidRPr="009D74F8">
          <w:rPr>
            <w:rStyle w:val="Hyperlink"/>
            <w:sz w:val="18"/>
            <w:szCs w:val="18"/>
          </w:rPr>
          <w:t>https://iso-ne.com/static-assets/documents/2016/09/a6_2016_economic_study_draft_results_part_2.pdf</w:t>
        </w:r>
      </w:hyperlink>
      <w:r w:rsidRPr="009D74F8">
        <w:rPr>
          <w:sz w:val="18"/>
          <w:szCs w:val="18"/>
        </w:rPr>
        <w:t xml:space="preserve"> and </w:t>
      </w:r>
      <w:hyperlink r:id="rId41" w:history="1">
        <w:r w:rsidRPr="009D74F8">
          <w:rPr>
            <w:rStyle w:val="Hyperlink"/>
            <w:sz w:val="18"/>
            <w:szCs w:val="18"/>
          </w:rPr>
          <w:t>https://iso-ne.com/static-assets/documents/2016/09/a7_2016_economic_study_part_2_appendix.pdf</w:t>
        </w:r>
      </w:hyperlink>
      <w:r w:rsidRPr="009D74F8">
        <w:rPr>
          <w:sz w:val="18"/>
          <w:szCs w:val="18"/>
        </w:rPr>
        <w:t xml:space="preserve">. Also, </w:t>
      </w:r>
      <w:r w:rsidRPr="009D74F8">
        <w:rPr>
          <w:i/>
          <w:sz w:val="18"/>
          <w:szCs w:val="18"/>
        </w:rPr>
        <w:t xml:space="preserve">2016 Economic Studies Draft Results—Executive </w:t>
      </w:r>
      <w:r w:rsidRPr="000159EB">
        <w:rPr>
          <w:i/>
          <w:sz w:val="18"/>
          <w:szCs w:val="18"/>
        </w:rPr>
        <w:t xml:space="preserve">Summary (and Next Steps) </w:t>
      </w:r>
      <w:r w:rsidRPr="009D74F8">
        <w:rPr>
          <w:sz w:val="18"/>
          <w:szCs w:val="18"/>
        </w:rPr>
        <w:t xml:space="preserve">and </w:t>
      </w:r>
      <w:r w:rsidRPr="009D74F8">
        <w:rPr>
          <w:i/>
          <w:sz w:val="18"/>
          <w:szCs w:val="18"/>
        </w:rPr>
        <w:t>2016 Economic Studies Draft Results</w:t>
      </w:r>
      <w:r w:rsidRPr="009D74F8">
        <w:rPr>
          <w:sz w:val="18"/>
          <w:szCs w:val="18"/>
        </w:rPr>
        <w:t xml:space="preserve">, PAC presentations (August 17, 2016), </w:t>
      </w:r>
      <w:hyperlink r:id="rId42" w:history="1">
        <w:r w:rsidRPr="00056A47">
          <w:rPr>
            <w:rStyle w:val="Hyperlink"/>
            <w:sz w:val="18"/>
            <w:szCs w:val="18"/>
          </w:rPr>
          <w:t>https://www.iso-ne.com/static-assets/documents/2016/08/a6_2016_economic_study_draft_results.pdf</w:t>
        </w:r>
      </w:hyperlink>
      <w:r w:rsidRPr="009D74F8">
        <w:rPr>
          <w:sz w:val="18"/>
          <w:szCs w:val="18"/>
        </w:rPr>
        <w:t xml:space="preserve"> and </w:t>
      </w:r>
      <w:hyperlink r:id="rId43" w:history="1">
        <w:r w:rsidRPr="00056A47">
          <w:rPr>
            <w:rStyle w:val="Hyperlink"/>
            <w:sz w:val="18"/>
            <w:szCs w:val="18"/>
          </w:rPr>
          <w:t>https://www.iso-ne.com/static-assets/documents/2016/08/a6_2016_economic_study_draft_results_appendix.pdf</w:t>
        </w:r>
      </w:hyperlink>
      <w:r w:rsidRPr="009D74F8">
        <w:rPr>
          <w:sz w:val="18"/>
          <w:szCs w:val="18"/>
        </w:rPr>
        <w:t>.</w:t>
      </w:r>
    </w:p>
  </w:footnote>
  <w:footnote w:id="64">
    <w:p w:rsidR="00954CD5" w:rsidRDefault="00954CD5">
      <w:pPr>
        <w:pStyle w:val="FootnoteText"/>
      </w:pPr>
      <w:r w:rsidRPr="008B3883">
        <w:rPr>
          <w:rStyle w:val="FootnoteReference"/>
        </w:rPr>
        <w:footnoteRef/>
      </w:r>
      <w:r w:rsidRPr="008B3883">
        <w:t xml:space="preserve"> See the results posted on September 16, October 14 and 25, and December12, 2016, at </w:t>
      </w:r>
      <w:hyperlink r:id="rId44" w:history="1">
        <w:r w:rsidRPr="008B3883">
          <w:rPr>
            <w:rStyle w:val="Hyperlink"/>
          </w:rPr>
          <w:t>https://www.iso-ne.com/committees/planning/planning-advisory/?document-type=Economic Studies</w:t>
        </w:r>
      </w:hyperlink>
      <w:r w:rsidRPr="008B3883">
        <w:t>.</w:t>
      </w:r>
    </w:p>
  </w:footnote>
  <w:footnote w:id="65">
    <w:p w:rsidR="00954CD5" w:rsidRDefault="00954CD5" w:rsidP="00011896">
      <w:pPr>
        <w:pStyle w:val="FootnoteText"/>
      </w:pPr>
      <w:r w:rsidRPr="00011896">
        <w:rPr>
          <w:rStyle w:val="FootnoteReference"/>
        </w:rPr>
        <w:footnoteRef/>
      </w:r>
      <w:r w:rsidRPr="00011896">
        <w:t xml:space="preserve"> Additional capacity-factor details are included in </w:t>
      </w:r>
      <w:r w:rsidRPr="00011896">
        <w:rPr>
          <w:i/>
        </w:rPr>
        <w:t>2016 Economic Studies Draft Results—Part II</w:t>
      </w:r>
      <w:r w:rsidRPr="00011896">
        <w:t xml:space="preserve">, PAC presentation, slides 21–35 (September 21, 2016), </w:t>
      </w:r>
      <w:hyperlink r:id="rId45" w:history="1">
        <w:r w:rsidRPr="00011896">
          <w:rPr>
            <w:rStyle w:val="Hyperlink"/>
          </w:rPr>
          <w:t>https://www.iso-ne.com/static-assets/documents/2016/09/a6_2016_economic_study_draft_results_part_2.pdf</w:t>
        </w:r>
      </w:hyperlink>
      <w:r w:rsidRPr="00011896">
        <w:t>.</w:t>
      </w:r>
    </w:p>
  </w:footnote>
  <w:footnote w:id="66">
    <w:p w:rsidR="00954CD5" w:rsidRPr="00B36E6A" w:rsidRDefault="00954CD5" w:rsidP="00AB6D09">
      <w:pPr>
        <w:pStyle w:val="FootnoteText"/>
      </w:pPr>
      <w:r w:rsidRPr="000979E7">
        <w:rPr>
          <w:rStyle w:val="FootnoteReference"/>
          <w:sz w:val="18"/>
          <w:szCs w:val="18"/>
        </w:rPr>
        <w:footnoteRef/>
      </w:r>
      <w:r w:rsidRPr="000979E7">
        <w:t xml:space="preserve"> “ISO New England Information Policy,” Attachment D to the </w:t>
      </w:r>
      <w:r w:rsidRPr="000979E7">
        <w:rPr>
          <w:i/>
        </w:rPr>
        <w:t>Transmission, Markets, and Services Tariff</w:t>
      </w:r>
      <w:r w:rsidRPr="000979E7">
        <w:t xml:space="preserve"> (2017); https://www.iso-ne.com/static-assets/documents/regulatory/tariff/attach_d/attachment_d.pdf.</w:t>
      </w:r>
    </w:p>
  </w:footnote>
  <w:footnote w:id="67">
    <w:p w:rsidR="00954CD5" w:rsidRPr="00557FEA" w:rsidRDefault="00954CD5">
      <w:pPr>
        <w:pStyle w:val="FootnoteText"/>
      </w:pPr>
      <w:r w:rsidRPr="00557FEA">
        <w:rPr>
          <w:rStyle w:val="FootnoteReference"/>
        </w:rPr>
        <w:footnoteRef/>
      </w:r>
      <w:r w:rsidRPr="00557FEA">
        <w:t xml:space="preserve"> In some systems, the shape varies even more. For example, in Hawaii the shape is called “Nellie” after the Lockness Monster.</w:t>
      </w:r>
    </w:p>
  </w:footnote>
  <w:footnote w:id="68">
    <w:p w:rsidR="00954CD5" w:rsidRDefault="00954CD5" w:rsidP="006A34F3">
      <w:pPr>
        <w:spacing w:after="80" w:line="240" w:lineRule="auto"/>
      </w:pPr>
      <w:r w:rsidRPr="001D53F4">
        <w:rPr>
          <w:rStyle w:val="FootnoteReference"/>
          <w:sz w:val="18"/>
          <w:szCs w:val="18"/>
        </w:rPr>
        <w:footnoteRef/>
      </w:r>
      <w:r w:rsidRPr="001D53F4">
        <w:rPr>
          <w:sz w:val="18"/>
          <w:szCs w:val="18"/>
        </w:rPr>
        <w:t xml:space="preserve"> Other information on interface flows was posted on the ISO’s website. See the following PAC presentation links for</w:t>
      </w:r>
      <w:r w:rsidRPr="001D53F4">
        <w:rPr>
          <w:sz w:val="18"/>
          <w:szCs w:val="18"/>
          <w:u w:val="single"/>
        </w:rPr>
        <w:t xml:space="preserve"> </w:t>
      </w:r>
      <w:r w:rsidRPr="001D53F4">
        <w:rPr>
          <w:sz w:val="18"/>
          <w:szCs w:val="18"/>
        </w:rPr>
        <w:t>interface-duration curves, percentage of time that interfaces exceed 90% of the interface limit, chronological curves for interfaces above 90% of their limit, diurnal flows of interfaces, and seasonal</w:t>
      </w:r>
      <w:r>
        <w:rPr>
          <w:sz w:val="18"/>
          <w:szCs w:val="18"/>
        </w:rPr>
        <w:t>-</w:t>
      </w:r>
      <w:r w:rsidRPr="001D53F4">
        <w:rPr>
          <w:sz w:val="18"/>
          <w:szCs w:val="18"/>
        </w:rPr>
        <w:t xml:space="preserve">flow duration curves for interfaces:  </w:t>
      </w:r>
      <w:r>
        <w:rPr>
          <w:sz w:val="18"/>
          <w:szCs w:val="18"/>
        </w:rPr>
        <w:t xml:space="preserve">(1) </w:t>
      </w:r>
      <w:r w:rsidRPr="001D53F4">
        <w:rPr>
          <w:i/>
          <w:sz w:val="18"/>
          <w:szCs w:val="18"/>
        </w:rPr>
        <w:t>2016 Economic Studies Executive Summary Supplement—Revised</w:t>
      </w:r>
      <w:r>
        <w:rPr>
          <w:i/>
          <w:sz w:val="18"/>
          <w:szCs w:val="18"/>
        </w:rPr>
        <w:t xml:space="preserve"> </w:t>
      </w:r>
      <w:r>
        <w:rPr>
          <w:sz w:val="18"/>
          <w:szCs w:val="18"/>
        </w:rPr>
        <w:t>(December 14, 2016), s</w:t>
      </w:r>
      <w:r w:rsidRPr="001D53F4">
        <w:rPr>
          <w:sz w:val="18"/>
          <w:szCs w:val="18"/>
        </w:rPr>
        <w:t>lides 39</w:t>
      </w:r>
      <w:r>
        <w:rPr>
          <w:sz w:val="18"/>
          <w:szCs w:val="18"/>
        </w:rPr>
        <w:t>–</w:t>
      </w:r>
      <w:r w:rsidRPr="001D53F4">
        <w:rPr>
          <w:sz w:val="18"/>
          <w:szCs w:val="18"/>
        </w:rPr>
        <w:t>41</w:t>
      </w:r>
      <w:r>
        <w:rPr>
          <w:sz w:val="18"/>
          <w:szCs w:val="18"/>
        </w:rPr>
        <w:t>,</w:t>
      </w:r>
      <w:r w:rsidRPr="001D53F4">
        <w:rPr>
          <w:sz w:val="18"/>
          <w:szCs w:val="18"/>
        </w:rPr>
        <w:t xml:space="preserve"> </w:t>
      </w:r>
      <w:hyperlink r:id="rId46" w:history="1">
        <w:r w:rsidRPr="001D53F4">
          <w:rPr>
            <w:rStyle w:val="Hyperlink"/>
            <w:sz w:val="18"/>
            <w:szCs w:val="18"/>
          </w:rPr>
          <w:t>https://www.iso-ne.com/static-assets/documents/2016/12/a9_1_2016_economic_study_executive_summary_and_metrics_update.pdf</w:t>
        </w:r>
      </w:hyperlink>
      <w:r>
        <w:rPr>
          <w:sz w:val="18"/>
          <w:szCs w:val="18"/>
        </w:rPr>
        <w:t xml:space="preserve">. (2) for </w:t>
      </w:r>
      <w:r w:rsidRPr="001D53F4">
        <w:rPr>
          <w:sz w:val="18"/>
          <w:szCs w:val="18"/>
        </w:rPr>
        <w:t>Scenarios 1-5</w:t>
      </w:r>
      <w:r w:rsidRPr="001D53F4">
        <w:rPr>
          <w:i/>
          <w:sz w:val="18"/>
          <w:szCs w:val="18"/>
        </w:rPr>
        <w:t>—2016 Economic Studies: Preliminary High Order of Magnitude Transmission Development Costs—Rev. 1</w:t>
      </w:r>
      <w:r>
        <w:rPr>
          <w:sz w:val="18"/>
          <w:szCs w:val="18"/>
        </w:rPr>
        <w:t xml:space="preserve"> (October 19, 2016), </w:t>
      </w:r>
      <w:hyperlink r:id="rId47" w:history="1">
        <w:r w:rsidRPr="001D53F4">
          <w:rPr>
            <w:rStyle w:val="Hyperlink"/>
            <w:sz w:val="18"/>
            <w:szCs w:val="18"/>
          </w:rPr>
          <w:t>https://www.iso-ne.com/static-assets/documents/2016/10/2016_economic_studies_high_level_transmission_costs_rev1.pdf</w:t>
        </w:r>
      </w:hyperlink>
      <w:r>
        <w:rPr>
          <w:sz w:val="18"/>
          <w:szCs w:val="18"/>
        </w:rPr>
        <w:t xml:space="preserve">. (3) </w:t>
      </w:r>
      <w:r w:rsidRPr="001D53F4">
        <w:rPr>
          <w:i/>
          <w:sz w:val="18"/>
          <w:szCs w:val="18"/>
        </w:rPr>
        <w:t>2016 Economic Studies: Preliminary High-Level Order of Magnitude Transmission</w:t>
      </w:r>
      <w:r>
        <w:rPr>
          <w:i/>
          <w:sz w:val="18"/>
          <w:szCs w:val="18"/>
        </w:rPr>
        <w:t xml:space="preserve"> </w:t>
      </w:r>
      <w:r w:rsidRPr="001D53F4">
        <w:rPr>
          <w:i/>
          <w:sz w:val="18"/>
          <w:szCs w:val="18"/>
        </w:rPr>
        <w:t>Development Costs—Scenario 6 update</w:t>
      </w:r>
      <w:r>
        <w:rPr>
          <w:sz w:val="18"/>
          <w:szCs w:val="18"/>
        </w:rPr>
        <w:t xml:space="preserve"> (January 18, 2017), slides 16 and 23, </w:t>
      </w:r>
      <w:hyperlink r:id="rId48" w:history="1">
        <w:r w:rsidRPr="001D53F4">
          <w:rPr>
            <w:rStyle w:val="Hyperlink"/>
            <w:sz w:val="18"/>
            <w:szCs w:val="18"/>
          </w:rPr>
          <w:t>https://www.iso-ne.com/static-assets/documents/2017/01/a6_2016_economic_studies_preliminary_high_level_order_of_magnitude_transmission_development_costs_scenario_6_update.pdf</w:t>
        </w:r>
      </w:hyperlink>
      <w:r>
        <w:rPr>
          <w:sz w:val="18"/>
          <w:szCs w:val="18"/>
        </w:rPr>
        <w:t>.</w:t>
      </w:r>
    </w:p>
  </w:footnote>
  <w:footnote w:id="69">
    <w:p w:rsidR="00954CD5" w:rsidRDefault="00954CD5">
      <w:pPr>
        <w:pStyle w:val="FootnoteText"/>
      </w:pPr>
      <w:r w:rsidRPr="006A34F3">
        <w:rPr>
          <w:rStyle w:val="FootnoteReference"/>
        </w:rPr>
        <w:footnoteRef/>
      </w:r>
      <w:r w:rsidRPr="006A34F3">
        <w:t xml:space="preserve">  Information about the ISO’s </w:t>
      </w:r>
      <w:r w:rsidRPr="006A34F3">
        <w:rPr>
          <w:i/>
        </w:rPr>
        <w:t>2016 Maine Resource Integration Study</w:t>
      </w:r>
      <w:r w:rsidRPr="006A34F3">
        <w:t xml:space="preserve"> is available at </w:t>
      </w:r>
      <w:hyperlink r:id="rId49" w:history="1">
        <w:r w:rsidRPr="006A34F3">
          <w:rPr>
            <w:rStyle w:val="Hyperlink"/>
          </w:rPr>
          <w:t>https://www.iso-ne.com/system-planning/key-study-areas/maine</w:t>
        </w:r>
      </w:hyperlink>
      <w:r>
        <w:t>.</w:t>
      </w:r>
    </w:p>
  </w:footnote>
  <w:footnote w:id="70">
    <w:p w:rsidR="00954CD5" w:rsidRPr="00AF3971" w:rsidRDefault="00954CD5" w:rsidP="00AF3971">
      <w:pPr>
        <w:spacing w:after="80" w:line="240" w:lineRule="auto"/>
        <w:rPr>
          <w:sz w:val="18"/>
          <w:szCs w:val="18"/>
        </w:rPr>
      </w:pPr>
      <w:r w:rsidRPr="00AF3971">
        <w:rPr>
          <w:rStyle w:val="FootnoteReference"/>
          <w:sz w:val="18"/>
          <w:szCs w:val="18"/>
        </w:rPr>
        <w:footnoteRef/>
      </w:r>
      <w:r w:rsidRPr="00AF3971">
        <w:rPr>
          <w:sz w:val="18"/>
          <w:szCs w:val="18"/>
        </w:rPr>
        <w:t xml:space="preserve"> The ISO reported a</w:t>
      </w:r>
      <w:r w:rsidRPr="00AF3971">
        <w:rPr>
          <w:color w:val="1F497D"/>
          <w:sz w:val="18"/>
          <w:szCs w:val="18"/>
        </w:rPr>
        <w:t>nnual systemwide SO</w:t>
      </w:r>
      <w:r w:rsidRPr="00AF3971">
        <w:rPr>
          <w:color w:val="1F497D"/>
          <w:sz w:val="18"/>
          <w:szCs w:val="18"/>
          <w:vertAlign w:val="subscript"/>
        </w:rPr>
        <w:t>2</w:t>
      </w:r>
      <w:r w:rsidRPr="00AF3971">
        <w:rPr>
          <w:color w:val="1F497D"/>
          <w:sz w:val="18"/>
          <w:szCs w:val="18"/>
        </w:rPr>
        <w:t xml:space="preserve"> and NO</w:t>
      </w:r>
      <w:r>
        <w:rPr>
          <w:color w:val="1F497D"/>
          <w:sz w:val="18"/>
          <w:szCs w:val="18"/>
          <w:vertAlign w:val="subscript"/>
        </w:rPr>
        <w:t>X</w:t>
      </w:r>
      <w:r w:rsidRPr="00A70DB4">
        <w:rPr>
          <w:color w:val="1F497D"/>
          <w:sz w:val="18"/>
          <w:szCs w:val="18"/>
        </w:rPr>
        <w:t xml:space="preserve"> </w:t>
      </w:r>
      <w:r w:rsidRPr="00AF3971">
        <w:rPr>
          <w:color w:val="1F497D"/>
          <w:sz w:val="18"/>
          <w:szCs w:val="18"/>
        </w:rPr>
        <w:t xml:space="preserve">emissions as part of </w:t>
      </w:r>
      <w:r w:rsidRPr="00AF3971">
        <w:rPr>
          <w:i/>
          <w:color w:val="1F497D"/>
          <w:sz w:val="18"/>
          <w:szCs w:val="18"/>
        </w:rPr>
        <w:t>2016 Economic Study Draft Results</w:t>
      </w:r>
      <w:r w:rsidRPr="00AF3971">
        <w:rPr>
          <w:color w:val="1F497D"/>
          <w:sz w:val="18"/>
          <w:szCs w:val="18"/>
        </w:rPr>
        <w:t xml:space="preserve">, PAC presentation (August 17, 2016), </w:t>
      </w:r>
      <w:hyperlink r:id="rId50" w:history="1">
        <w:r w:rsidRPr="00AF3971">
          <w:rPr>
            <w:rStyle w:val="Hyperlink"/>
            <w:sz w:val="18"/>
            <w:szCs w:val="18"/>
          </w:rPr>
          <w:t>https://www.iso-ne.com/static-assets/documents/2016/08/a6_2016_economic_study_draft_results_appendix.pdf</w:t>
        </w:r>
      </w:hyperlink>
      <w:r w:rsidRPr="00AF3971">
        <w:rPr>
          <w:color w:val="1F497D"/>
          <w:sz w:val="18"/>
          <w:szCs w:val="18"/>
        </w:rPr>
        <w:t>.</w:t>
      </w:r>
    </w:p>
  </w:footnote>
  <w:footnote w:id="71">
    <w:p w:rsidR="00954CD5" w:rsidRDefault="00954CD5" w:rsidP="0053379A">
      <w:pPr>
        <w:pStyle w:val="FootnoteText"/>
      </w:pPr>
      <w:r w:rsidRPr="007F5623">
        <w:rPr>
          <w:rStyle w:val="FootnoteReference"/>
        </w:rPr>
        <w:footnoteRef/>
      </w:r>
      <w:r w:rsidRPr="007F5623">
        <w:t xml:space="preserve"> RGGI, Inc., “Program Overview,” webpage (n.d.), http://www.rggi.org/design/overview. The RGGI CO2 budget (cap) is equal to the total number of CO2 allowances issued by RGGI states in a given year. A CO2 allowance represents a limited authorization to emit one short ton of CO2 from a regulated source, as issued by a participating state.</w:t>
      </w:r>
    </w:p>
  </w:footnote>
  <w:footnote w:id="72">
    <w:p w:rsidR="00954CD5" w:rsidRPr="001E1293" w:rsidRDefault="00954CD5" w:rsidP="001E1293">
      <w:pPr>
        <w:pStyle w:val="BulletedList"/>
        <w:numPr>
          <w:ilvl w:val="0"/>
          <w:numId w:val="0"/>
        </w:numPr>
        <w:spacing w:after="80" w:line="240" w:lineRule="auto"/>
        <w:ind w:left="360" w:hanging="360"/>
        <w:rPr>
          <w:sz w:val="18"/>
          <w:szCs w:val="18"/>
        </w:rPr>
      </w:pPr>
      <w:r w:rsidRPr="001E1293">
        <w:rPr>
          <w:rStyle w:val="FootnoteReference"/>
          <w:sz w:val="18"/>
          <w:szCs w:val="18"/>
        </w:rPr>
        <w:footnoteRef/>
      </w:r>
      <w:r w:rsidRPr="001E1293">
        <w:rPr>
          <w:sz w:val="18"/>
          <w:szCs w:val="18"/>
        </w:rPr>
        <w:t xml:space="preserve"> ISO New England, </w:t>
      </w:r>
      <w:r w:rsidRPr="001E1293">
        <w:rPr>
          <w:i/>
          <w:sz w:val="18"/>
          <w:szCs w:val="18"/>
        </w:rPr>
        <w:t>Maine Resource Integration Study</w:t>
      </w:r>
      <w:r w:rsidRPr="001E1293">
        <w:rPr>
          <w:sz w:val="18"/>
          <w:szCs w:val="18"/>
        </w:rPr>
        <w:t>, PAC Presentation (September 21, 2016</w:t>
      </w:r>
      <w:r>
        <w:rPr>
          <w:sz w:val="18"/>
          <w:szCs w:val="18"/>
        </w:rPr>
        <w:t>)</w:t>
      </w:r>
      <w:r w:rsidRPr="001E1293">
        <w:rPr>
          <w:sz w:val="18"/>
          <w:szCs w:val="18"/>
        </w:rPr>
        <w:t xml:space="preserve">, </w:t>
      </w:r>
      <w:hyperlink r:id="rId51" w:history="1">
        <w:r w:rsidRPr="001E1293">
          <w:rPr>
            <w:rStyle w:val="Hyperlink"/>
            <w:sz w:val="18"/>
            <w:szCs w:val="18"/>
          </w:rPr>
          <w:t>http://www.iso-ne.com/static- assets/documents/2016/03/a2_maine_resource_integration_study_scope_of_  work.pdf</w:t>
        </w:r>
      </w:hyperlink>
      <w:r w:rsidRPr="001E1293">
        <w:rPr>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85B" w:rsidRDefault="0020385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85B" w:rsidRDefault="0020385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CD5" w:rsidRDefault="00954CD5">
    <w:pPr>
      <w:pStyle w:val="Heade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3F5" w:rsidRPr="005813F5" w:rsidRDefault="005813F5" w:rsidP="005813F5">
    <w:pPr>
      <w:pStyle w:val="Header"/>
      <w:jc w:val="center"/>
      <w:rPr>
        <w:sz w:val="24"/>
        <w:szCs w:val="24"/>
      </w:rPr>
    </w:pPr>
    <w:r w:rsidRPr="005813F5">
      <w:rPr>
        <w:sz w:val="24"/>
        <w:szCs w:val="24"/>
      </w:rPr>
      <w:t>Draft. Do not quote or cite</w:t>
    </w:r>
    <w:r>
      <w:rPr>
        <w:sz w:val="24"/>
        <w:szCs w:val="24"/>
      </w:rP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CD5" w:rsidRDefault="00954CD5"/>
  <w:p w:rsidR="00954CD5" w:rsidRDefault="00954CD5"/>
  <w:p w:rsidR="00954CD5" w:rsidRDefault="00954CD5"/>
  <w:p w:rsidR="00954CD5" w:rsidRDefault="00954CD5"/>
  <w:p w:rsidR="00954CD5" w:rsidRDefault="00954CD5"/>
  <w:p w:rsidR="00954CD5" w:rsidRDefault="00954CD5"/>
  <w:p w:rsidR="00954CD5" w:rsidRDefault="00954CD5"/>
  <w:p w:rsidR="00954CD5" w:rsidRDefault="00954CD5"/>
  <w:p w:rsidR="00954CD5" w:rsidRDefault="00954CD5"/>
  <w:p w:rsidR="00954CD5" w:rsidRDefault="00954CD5"/>
  <w:p w:rsidR="00954CD5" w:rsidRDefault="00954CD5"/>
  <w:p w:rsidR="00954CD5" w:rsidRDefault="00954CD5"/>
  <w:p w:rsidR="00954CD5" w:rsidRDefault="00954CD5"/>
  <w:p w:rsidR="00954CD5" w:rsidRDefault="00954CD5"/>
  <w:p w:rsidR="00954CD5" w:rsidRDefault="00954CD5"/>
  <w:p w:rsidR="00954CD5" w:rsidRDefault="00954CD5"/>
  <w:p w:rsidR="00954CD5" w:rsidRDefault="00954CD5"/>
  <w:p w:rsidR="00954CD5" w:rsidRDefault="00954CD5"/>
  <w:p w:rsidR="00954CD5" w:rsidRDefault="00954CD5"/>
  <w:p w:rsidR="00954CD5" w:rsidRDefault="00954CD5"/>
  <w:p w:rsidR="00954CD5" w:rsidRDefault="00954CD5"/>
  <w:p w:rsidR="00954CD5" w:rsidRDefault="00954CD5"/>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CD5" w:rsidRDefault="00954CD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41AF7"/>
    <w:multiLevelType w:val="hybridMultilevel"/>
    <w:tmpl w:val="6D90A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6363F9"/>
    <w:multiLevelType w:val="hybridMultilevel"/>
    <w:tmpl w:val="07326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490EE8"/>
    <w:multiLevelType w:val="hybridMultilevel"/>
    <w:tmpl w:val="3C0E735A"/>
    <w:lvl w:ilvl="0" w:tplc="B8064E66">
      <w:start w:val="1"/>
      <w:numFmt w:val="bullet"/>
      <w:lvlText w:val=""/>
      <w:lvlJc w:val="left"/>
      <w:pPr>
        <w:ind w:left="720" w:hanging="360"/>
      </w:pPr>
      <w:rPr>
        <w:rFonts w:ascii="Wingdings" w:hAnsi="Wingdings" w:hint="default"/>
        <w:b/>
        <w:i w:val="0"/>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7F76B4"/>
    <w:multiLevelType w:val="hybridMultilevel"/>
    <w:tmpl w:val="49940064"/>
    <w:lvl w:ilvl="0" w:tplc="74046024">
      <w:start w:val="1"/>
      <w:numFmt w:val="bullet"/>
      <w:lvlText w:val="•"/>
      <w:lvlJc w:val="left"/>
      <w:pPr>
        <w:tabs>
          <w:tab w:val="num" w:pos="720"/>
        </w:tabs>
        <w:ind w:left="720" w:hanging="360"/>
      </w:pPr>
      <w:rPr>
        <w:rFonts w:ascii="Arial" w:hAnsi="Arial" w:hint="default"/>
      </w:rPr>
    </w:lvl>
    <w:lvl w:ilvl="1" w:tplc="E0026C4C">
      <w:start w:val="2341"/>
      <w:numFmt w:val="bullet"/>
      <w:lvlText w:val="•"/>
      <w:lvlJc w:val="left"/>
      <w:pPr>
        <w:tabs>
          <w:tab w:val="num" w:pos="1440"/>
        </w:tabs>
        <w:ind w:left="1440" w:hanging="360"/>
      </w:pPr>
      <w:rPr>
        <w:rFonts w:ascii="Arial" w:hAnsi="Arial" w:hint="default"/>
      </w:rPr>
    </w:lvl>
    <w:lvl w:ilvl="2" w:tplc="F838FD1A" w:tentative="1">
      <w:start w:val="1"/>
      <w:numFmt w:val="bullet"/>
      <w:lvlText w:val="•"/>
      <w:lvlJc w:val="left"/>
      <w:pPr>
        <w:tabs>
          <w:tab w:val="num" w:pos="2160"/>
        </w:tabs>
        <w:ind w:left="2160" w:hanging="360"/>
      </w:pPr>
      <w:rPr>
        <w:rFonts w:ascii="Arial" w:hAnsi="Arial" w:hint="default"/>
      </w:rPr>
    </w:lvl>
    <w:lvl w:ilvl="3" w:tplc="74B4BB54" w:tentative="1">
      <w:start w:val="1"/>
      <w:numFmt w:val="bullet"/>
      <w:lvlText w:val="•"/>
      <w:lvlJc w:val="left"/>
      <w:pPr>
        <w:tabs>
          <w:tab w:val="num" w:pos="2880"/>
        </w:tabs>
        <w:ind w:left="2880" w:hanging="360"/>
      </w:pPr>
      <w:rPr>
        <w:rFonts w:ascii="Arial" w:hAnsi="Arial" w:hint="default"/>
      </w:rPr>
    </w:lvl>
    <w:lvl w:ilvl="4" w:tplc="FFC6EE92" w:tentative="1">
      <w:start w:val="1"/>
      <w:numFmt w:val="bullet"/>
      <w:lvlText w:val="•"/>
      <w:lvlJc w:val="left"/>
      <w:pPr>
        <w:tabs>
          <w:tab w:val="num" w:pos="3600"/>
        </w:tabs>
        <w:ind w:left="3600" w:hanging="360"/>
      </w:pPr>
      <w:rPr>
        <w:rFonts w:ascii="Arial" w:hAnsi="Arial" w:hint="default"/>
      </w:rPr>
    </w:lvl>
    <w:lvl w:ilvl="5" w:tplc="15BC1BEC" w:tentative="1">
      <w:start w:val="1"/>
      <w:numFmt w:val="bullet"/>
      <w:lvlText w:val="•"/>
      <w:lvlJc w:val="left"/>
      <w:pPr>
        <w:tabs>
          <w:tab w:val="num" w:pos="4320"/>
        </w:tabs>
        <w:ind w:left="4320" w:hanging="360"/>
      </w:pPr>
      <w:rPr>
        <w:rFonts w:ascii="Arial" w:hAnsi="Arial" w:hint="default"/>
      </w:rPr>
    </w:lvl>
    <w:lvl w:ilvl="6" w:tplc="89E81296" w:tentative="1">
      <w:start w:val="1"/>
      <w:numFmt w:val="bullet"/>
      <w:lvlText w:val="•"/>
      <w:lvlJc w:val="left"/>
      <w:pPr>
        <w:tabs>
          <w:tab w:val="num" w:pos="5040"/>
        </w:tabs>
        <w:ind w:left="5040" w:hanging="360"/>
      </w:pPr>
      <w:rPr>
        <w:rFonts w:ascii="Arial" w:hAnsi="Arial" w:hint="default"/>
      </w:rPr>
    </w:lvl>
    <w:lvl w:ilvl="7" w:tplc="80ACD796" w:tentative="1">
      <w:start w:val="1"/>
      <w:numFmt w:val="bullet"/>
      <w:lvlText w:val="•"/>
      <w:lvlJc w:val="left"/>
      <w:pPr>
        <w:tabs>
          <w:tab w:val="num" w:pos="5760"/>
        </w:tabs>
        <w:ind w:left="5760" w:hanging="360"/>
      </w:pPr>
      <w:rPr>
        <w:rFonts w:ascii="Arial" w:hAnsi="Arial" w:hint="default"/>
      </w:rPr>
    </w:lvl>
    <w:lvl w:ilvl="8" w:tplc="194A72FC" w:tentative="1">
      <w:start w:val="1"/>
      <w:numFmt w:val="bullet"/>
      <w:lvlText w:val="•"/>
      <w:lvlJc w:val="left"/>
      <w:pPr>
        <w:tabs>
          <w:tab w:val="num" w:pos="6480"/>
        </w:tabs>
        <w:ind w:left="6480" w:hanging="360"/>
      </w:pPr>
      <w:rPr>
        <w:rFonts w:ascii="Arial" w:hAnsi="Arial" w:hint="default"/>
      </w:rPr>
    </w:lvl>
  </w:abstractNum>
  <w:abstractNum w:abstractNumId="4">
    <w:nsid w:val="06192A98"/>
    <w:multiLevelType w:val="hybridMultilevel"/>
    <w:tmpl w:val="949A5E4C"/>
    <w:lvl w:ilvl="0" w:tplc="B8064E66">
      <w:start w:val="1"/>
      <w:numFmt w:val="bullet"/>
      <w:lvlText w:val=""/>
      <w:lvlJc w:val="left"/>
      <w:pPr>
        <w:ind w:left="720" w:hanging="360"/>
      </w:pPr>
      <w:rPr>
        <w:rFonts w:ascii="Wingdings" w:hAnsi="Wingdings" w:hint="default"/>
        <w:b/>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9531A0"/>
    <w:multiLevelType w:val="hybridMultilevel"/>
    <w:tmpl w:val="0382E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DD4541"/>
    <w:multiLevelType w:val="hybridMultilevel"/>
    <w:tmpl w:val="3AF4EC48"/>
    <w:lvl w:ilvl="0" w:tplc="9C202584">
      <w:numFmt w:val="bullet"/>
      <w:lvlText w:val="•"/>
      <w:lvlJc w:val="left"/>
      <w:pPr>
        <w:ind w:left="720" w:hanging="360"/>
      </w:pPr>
      <w:rPr>
        <w:rFonts w:ascii="Cambria" w:eastAsia="Times New Roman"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8DBCD9C4">
      <w:start w:val="1"/>
      <w:numFmt w:val="bullet"/>
      <w:lvlText w:val="−"/>
      <w:lvlJc w:val="left"/>
      <w:pPr>
        <w:ind w:left="2160" w:hanging="360"/>
      </w:pPr>
      <w:rPr>
        <w:rFonts w:ascii="Cambria" w:hAnsi="Cambria"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B962F0"/>
    <w:multiLevelType w:val="hybridMultilevel"/>
    <w:tmpl w:val="A5A08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2E21FD"/>
    <w:multiLevelType w:val="hybridMultilevel"/>
    <w:tmpl w:val="323686F4"/>
    <w:lvl w:ilvl="0" w:tplc="B8064E66">
      <w:start w:val="1"/>
      <w:numFmt w:val="bullet"/>
      <w:lvlText w:val=""/>
      <w:lvlJc w:val="left"/>
      <w:pPr>
        <w:ind w:left="720" w:hanging="360"/>
      </w:pPr>
      <w:rPr>
        <w:rFonts w:ascii="Wingdings" w:hAnsi="Wingdings" w:hint="default"/>
        <w:b/>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AA4307"/>
    <w:multiLevelType w:val="hybridMultilevel"/>
    <w:tmpl w:val="5F98B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DF1C9D"/>
    <w:multiLevelType w:val="hybridMultilevel"/>
    <w:tmpl w:val="5EC2A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5D5946"/>
    <w:multiLevelType w:val="hybridMultilevel"/>
    <w:tmpl w:val="19BCAE56"/>
    <w:lvl w:ilvl="0" w:tplc="B8064E66">
      <w:start w:val="1"/>
      <w:numFmt w:val="bullet"/>
      <w:lvlText w:val=""/>
      <w:lvlJc w:val="left"/>
      <w:pPr>
        <w:ind w:left="720" w:hanging="360"/>
      </w:pPr>
      <w:rPr>
        <w:rFonts w:ascii="Wingdings" w:hAnsi="Wingdings" w:hint="default"/>
        <w:b/>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365BA4"/>
    <w:multiLevelType w:val="hybridMultilevel"/>
    <w:tmpl w:val="9C559691"/>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19FB6519"/>
    <w:multiLevelType w:val="hybridMultilevel"/>
    <w:tmpl w:val="9F3AF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027C04"/>
    <w:multiLevelType w:val="hybridMultilevel"/>
    <w:tmpl w:val="65A6F04E"/>
    <w:lvl w:ilvl="0" w:tplc="04090001">
      <w:start w:val="1"/>
      <w:numFmt w:val="bullet"/>
      <w:lvlText w:val=""/>
      <w:lvlJc w:val="left"/>
      <w:pPr>
        <w:ind w:left="720" w:hanging="360"/>
      </w:pPr>
      <w:rPr>
        <w:rFonts w:ascii="Symbol" w:hAnsi="Symbol" w:hint="default"/>
      </w:rPr>
    </w:lvl>
    <w:lvl w:ilvl="1" w:tplc="6D4A3858">
      <w:numFmt w:val="bullet"/>
      <w:lvlText w:val="–"/>
      <w:lvlJc w:val="left"/>
      <w:pPr>
        <w:ind w:left="1800" w:hanging="720"/>
      </w:pPr>
      <w:rPr>
        <w:rFonts w:ascii="Cambria" w:eastAsia="Times New Roman" w:hAnsi="Cambr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03682B"/>
    <w:multiLevelType w:val="hybridMultilevel"/>
    <w:tmpl w:val="34063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60193B"/>
    <w:multiLevelType w:val="hybridMultilevel"/>
    <w:tmpl w:val="5D863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FE1784"/>
    <w:multiLevelType w:val="hybridMultilevel"/>
    <w:tmpl w:val="D08C0DBE"/>
    <w:lvl w:ilvl="0" w:tplc="B8064E66">
      <w:start w:val="1"/>
      <w:numFmt w:val="bullet"/>
      <w:lvlText w:val=""/>
      <w:lvlJc w:val="left"/>
      <w:pPr>
        <w:ind w:left="720" w:hanging="360"/>
      </w:pPr>
      <w:rPr>
        <w:rFonts w:ascii="Wingdings" w:hAnsi="Wingdings" w:hint="default"/>
        <w:b/>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452154C"/>
    <w:multiLevelType w:val="hybridMultilevel"/>
    <w:tmpl w:val="8CF2C85E"/>
    <w:lvl w:ilvl="0" w:tplc="B8064E66">
      <w:start w:val="1"/>
      <w:numFmt w:val="bullet"/>
      <w:lvlText w:val=""/>
      <w:lvlJc w:val="left"/>
      <w:pPr>
        <w:ind w:left="720" w:hanging="360"/>
      </w:pPr>
      <w:rPr>
        <w:rFonts w:ascii="Wingdings" w:hAnsi="Wingdings" w:hint="default"/>
        <w:b/>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8F5050F"/>
    <w:multiLevelType w:val="hybridMultilevel"/>
    <w:tmpl w:val="89667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CC5ACE"/>
    <w:multiLevelType w:val="hybridMultilevel"/>
    <w:tmpl w:val="C88E6F90"/>
    <w:lvl w:ilvl="0" w:tplc="7F4ADC2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C3F1DCB"/>
    <w:multiLevelType w:val="hybridMultilevel"/>
    <w:tmpl w:val="4D6482CA"/>
    <w:lvl w:ilvl="0" w:tplc="04090001">
      <w:start w:val="1"/>
      <w:numFmt w:val="bullet"/>
      <w:lvlText w:val=""/>
      <w:lvlJc w:val="left"/>
      <w:pPr>
        <w:ind w:left="762" w:hanging="360"/>
      </w:pPr>
      <w:rPr>
        <w:rFonts w:ascii="Symbol" w:hAnsi="Symbol" w:hint="default"/>
      </w:rPr>
    </w:lvl>
    <w:lvl w:ilvl="1" w:tplc="04090003">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22">
    <w:nsid w:val="2CB42EFD"/>
    <w:multiLevelType w:val="hybridMultilevel"/>
    <w:tmpl w:val="2884A768"/>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382A4F8A"/>
    <w:multiLevelType w:val="hybridMultilevel"/>
    <w:tmpl w:val="4EB866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3AE10711"/>
    <w:multiLevelType w:val="hybridMultilevel"/>
    <w:tmpl w:val="94E0E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613CB8"/>
    <w:multiLevelType w:val="hybridMultilevel"/>
    <w:tmpl w:val="19D68154"/>
    <w:lvl w:ilvl="0" w:tplc="B8064E66">
      <w:start w:val="1"/>
      <w:numFmt w:val="bullet"/>
      <w:lvlText w:val=""/>
      <w:lvlJc w:val="left"/>
      <w:pPr>
        <w:ind w:left="720" w:hanging="360"/>
      </w:pPr>
      <w:rPr>
        <w:rFonts w:ascii="Wingdings" w:hAnsi="Wingdings" w:hint="default"/>
        <w:b/>
        <w:i w:val="0"/>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BCF4704"/>
    <w:multiLevelType w:val="hybridMultilevel"/>
    <w:tmpl w:val="62E44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12E4894"/>
    <w:multiLevelType w:val="hybridMultilevel"/>
    <w:tmpl w:val="0EB6C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3FD0D1C"/>
    <w:multiLevelType w:val="hybridMultilevel"/>
    <w:tmpl w:val="A6266AA0"/>
    <w:lvl w:ilvl="0" w:tplc="9C202584">
      <w:numFmt w:val="bullet"/>
      <w:lvlText w:val="•"/>
      <w:lvlJc w:val="left"/>
      <w:pPr>
        <w:ind w:left="720" w:hanging="360"/>
      </w:pPr>
      <w:rPr>
        <w:rFonts w:ascii="Cambria" w:eastAsia="Times New Roman"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55C0D2F"/>
    <w:multiLevelType w:val="hybridMultilevel"/>
    <w:tmpl w:val="A698AC02"/>
    <w:lvl w:ilvl="0" w:tplc="3912D7E8">
      <w:start w:val="1"/>
      <w:numFmt w:val="bullet"/>
      <w:lvlText w:val="o"/>
      <w:lvlJc w:val="left"/>
      <w:pPr>
        <w:ind w:left="1080" w:hanging="360"/>
      </w:pPr>
      <w:rPr>
        <w:rFonts w:ascii="Courier New" w:hAnsi="Courier New" w:cs="Courier New" w:hint="default"/>
        <w:b w:val="0"/>
        <w:i w:val="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6F15E53"/>
    <w:multiLevelType w:val="hybridMultilevel"/>
    <w:tmpl w:val="AB882180"/>
    <w:lvl w:ilvl="0" w:tplc="75EA2056">
      <w:start w:val="1"/>
      <w:numFmt w:val="bullet"/>
      <w:lvlText w:val="•"/>
      <w:lvlJc w:val="left"/>
      <w:pPr>
        <w:tabs>
          <w:tab w:val="num" w:pos="720"/>
        </w:tabs>
        <w:ind w:left="720" w:hanging="360"/>
      </w:pPr>
      <w:rPr>
        <w:rFonts w:ascii="Arial" w:hAnsi="Arial" w:hint="default"/>
      </w:rPr>
    </w:lvl>
    <w:lvl w:ilvl="1" w:tplc="C6065048">
      <w:start w:val="2004"/>
      <w:numFmt w:val="bullet"/>
      <w:lvlText w:val="•"/>
      <w:lvlJc w:val="left"/>
      <w:pPr>
        <w:tabs>
          <w:tab w:val="num" w:pos="1440"/>
        </w:tabs>
        <w:ind w:left="1440" w:hanging="360"/>
      </w:pPr>
      <w:rPr>
        <w:rFonts w:ascii="Arial" w:hAnsi="Arial" w:hint="default"/>
      </w:rPr>
    </w:lvl>
    <w:lvl w:ilvl="2" w:tplc="4008D892" w:tentative="1">
      <w:start w:val="1"/>
      <w:numFmt w:val="bullet"/>
      <w:lvlText w:val="•"/>
      <w:lvlJc w:val="left"/>
      <w:pPr>
        <w:tabs>
          <w:tab w:val="num" w:pos="2160"/>
        </w:tabs>
        <w:ind w:left="2160" w:hanging="360"/>
      </w:pPr>
      <w:rPr>
        <w:rFonts w:ascii="Arial" w:hAnsi="Arial" w:hint="default"/>
      </w:rPr>
    </w:lvl>
    <w:lvl w:ilvl="3" w:tplc="120E0406" w:tentative="1">
      <w:start w:val="1"/>
      <w:numFmt w:val="bullet"/>
      <w:lvlText w:val="•"/>
      <w:lvlJc w:val="left"/>
      <w:pPr>
        <w:tabs>
          <w:tab w:val="num" w:pos="2880"/>
        </w:tabs>
        <w:ind w:left="2880" w:hanging="360"/>
      </w:pPr>
      <w:rPr>
        <w:rFonts w:ascii="Arial" w:hAnsi="Arial" w:hint="default"/>
      </w:rPr>
    </w:lvl>
    <w:lvl w:ilvl="4" w:tplc="B838EBCE" w:tentative="1">
      <w:start w:val="1"/>
      <w:numFmt w:val="bullet"/>
      <w:lvlText w:val="•"/>
      <w:lvlJc w:val="left"/>
      <w:pPr>
        <w:tabs>
          <w:tab w:val="num" w:pos="3600"/>
        </w:tabs>
        <w:ind w:left="3600" w:hanging="360"/>
      </w:pPr>
      <w:rPr>
        <w:rFonts w:ascii="Arial" w:hAnsi="Arial" w:hint="default"/>
      </w:rPr>
    </w:lvl>
    <w:lvl w:ilvl="5" w:tplc="F7DC526A" w:tentative="1">
      <w:start w:val="1"/>
      <w:numFmt w:val="bullet"/>
      <w:lvlText w:val="•"/>
      <w:lvlJc w:val="left"/>
      <w:pPr>
        <w:tabs>
          <w:tab w:val="num" w:pos="4320"/>
        </w:tabs>
        <w:ind w:left="4320" w:hanging="360"/>
      </w:pPr>
      <w:rPr>
        <w:rFonts w:ascii="Arial" w:hAnsi="Arial" w:hint="default"/>
      </w:rPr>
    </w:lvl>
    <w:lvl w:ilvl="6" w:tplc="0F84B818" w:tentative="1">
      <w:start w:val="1"/>
      <w:numFmt w:val="bullet"/>
      <w:lvlText w:val="•"/>
      <w:lvlJc w:val="left"/>
      <w:pPr>
        <w:tabs>
          <w:tab w:val="num" w:pos="5040"/>
        </w:tabs>
        <w:ind w:left="5040" w:hanging="360"/>
      </w:pPr>
      <w:rPr>
        <w:rFonts w:ascii="Arial" w:hAnsi="Arial" w:hint="default"/>
      </w:rPr>
    </w:lvl>
    <w:lvl w:ilvl="7" w:tplc="1968156A" w:tentative="1">
      <w:start w:val="1"/>
      <w:numFmt w:val="bullet"/>
      <w:lvlText w:val="•"/>
      <w:lvlJc w:val="left"/>
      <w:pPr>
        <w:tabs>
          <w:tab w:val="num" w:pos="5760"/>
        </w:tabs>
        <w:ind w:left="5760" w:hanging="360"/>
      </w:pPr>
      <w:rPr>
        <w:rFonts w:ascii="Arial" w:hAnsi="Arial" w:hint="default"/>
      </w:rPr>
    </w:lvl>
    <w:lvl w:ilvl="8" w:tplc="E0907896" w:tentative="1">
      <w:start w:val="1"/>
      <w:numFmt w:val="bullet"/>
      <w:lvlText w:val="•"/>
      <w:lvlJc w:val="left"/>
      <w:pPr>
        <w:tabs>
          <w:tab w:val="num" w:pos="6480"/>
        </w:tabs>
        <w:ind w:left="6480" w:hanging="360"/>
      </w:pPr>
      <w:rPr>
        <w:rFonts w:ascii="Arial" w:hAnsi="Arial" w:hint="default"/>
      </w:rPr>
    </w:lvl>
  </w:abstractNum>
  <w:abstractNum w:abstractNumId="31">
    <w:nsid w:val="4FB507E4"/>
    <w:multiLevelType w:val="hybridMultilevel"/>
    <w:tmpl w:val="BBECE8A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FEF433E"/>
    <w:multiLevelType w:val="hybridMultilevel"/>
    <w:tmpl w:val="D4AECC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1E33BCC"/>
    <w:multiLevelType w:val="hybridMultilevel"/>
    <w:tmpl w:val="067C069A"/>
    <w:lvl w:ilvl="0" w:tplc="04090001">
      <w:start w:val="1"/>
      <w:numFmt w:val="bullet"/>
      <w:lvlText w:val=""/>
      <w:lvlJc w:val="left"/>
      <w:pPr>
        <w:ind w:left="720" w:hanging="360"/>
      </w:pPr>
      <w:rPr>
        <w:rFonts w:ascii="Symbol" w:hAnsi="Symbol" w:hint="default"/>
      </w:rPr>
    </w:lvl>
    <w:lvl w:ilvl="1" w:tplc="98B6FE2C">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2D6285D"/>
    <w:multiLevelType w:val="hybridMultilevel"/>
    <w:tmpl w:val="80048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663596F"/>
    <w:multiLevelType w:val="hybridMultilevel"/>
    <w:tmpl w:val="5F86173E"/>
    <w:lvl w:ilvl="0" w:tplc="B8064E66">
      <w:start w:val="1"/>
      <w:numFmt w:val="bullet"/>
      <w:lvlText w:val=""/>
      <w:lvlJc w:val="left"/>
      <w:pPr>
        <w:ind w:left="1080" w:hanging="360"/>
      </w:pPr>
      <w:rPr>
        <w:rFonts w:ascii="Wingdings" w:hAnsi="Wingdings" w:hint="default"/>
        <w:b/>
        <w:i w:val="0"/>
        <w:sz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5C13119B"/>
    <w:multiLevelType w:val="hybridMultilevel"/>
    <w:tmpl w:val="3D8C73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5CC94899"/>
    <w:multiLevelType w:val="hybridMultilevel"/>
    <w:tmpl w:val="59B850A2"/>
    <w:lvl w:ilvl="0" w:tplc="B8064E66">
      <w:start w:val="1"/>
      <w:numFmt w:val="bullet"/>
      <w:lvlText w:val=""/>
      <w:lvlJc w:val="left"/>
      <w:pPr>
        <w:ind w:left="720" w:hanging="360"/>
      </w:pPr>
      <w:rPr>
        <w:rFonts w:ascii="Wingdings" w:hAnsi="Wingdings" w:hint="default"/>
        <w:b/>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F243FB4"/>
    <w:multiLevelType w:val="hybridMultilevel"/>
    <w:tmpl w:val="B198B1C4"/>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1682F3E"/>
    <w:multiLevelType w:val="hybridMultilevel"/>
    <w:tmpl w:val="0D8858CA"/>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40">
    <w:nsid w:val="61DC0BE4"/>
    <w:multiLevelType w:val="hybridMultilevel"/>
    <w:tmpl w:val="9CFE5342"/>
    <w:lvl w:ilvl="0" w:tplc="B8064E66">
      <w:start w:val="1"/>
      <w:numFmt w:val="bullet"/>
      <w:lvlText w:val=""/>
      <w:lvlJc w:val="left"/>
      <w:pPr>
        <w:ind w:left="720" w:hanging="360"/>
      </w:pPr>
      <w:rPr>
        <w:rFonts w:ascii="Wingdings" w:hAnsi="Wingdings" w:hint="default"/>
        <w:b/>
        <w:i w:val="0"/>
        <w:sz w:val="22"/>
      </w:rPr>
    </w:lvl>
    <w:lvl w:ilvl="1" w:tplc="B8064E66">
      <w:start w:val="1"/>
      <w:numFmt w:val="bullet"/>
      <w:lvlText w:val=""/>
      <w:lvlJc w:val="left"/>
      <w:pPr>
        <w:ind w:left="1440" w:hanging="360"/>
      </w:pPr>
      <w:rPr>
        <w:rFonts w:ascii="Wingdings" w:hAnsi="Wingdings" w:hint="default"/>
        <w:b/>
        <w:i w:val="0"/>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29F49EC"/>
    <w:multiLevelType w:val="multilevel"/>
    <w:tmpl w:val="D5A4857C"/>
    <w:lvl w:ilvl="0">
      <w:start w:val="1"/>
      <w:numFmt w:val="decimal"/>
      <w:suff w:val="space"/>
      <w:lvlText w:val="Section %1"/>
      <w:lvlJc w:val="left"/>
      <w:pPr>
        <w:ind w:left="0" w:firstLine="0"/>
      </w:pPr>
      <w:rPr>
        <w:rFonts w:ascii="Calibri" w:hAnsi="Calibri" w:hint="default"/>
        <w:b/>
        <w:i w:val="0"/>
        <w:color w:val="00B0F0"/>
        <w:spacing w:val="0"/>
        <w:sz w:val="36"/>
      </w:rPr>
    </w:lvl>
    <w:lvl w:ilvl="1">
      <w:start w:val="1"/>
      <w:numFmt w:val="decimal"/>
      <w:suff w:val="space"/>
      <w:lvlText w:val="%1.%2"/>
      <w:lvlJc w:val="left"/>
      <w:pPr>
        <w:ind w:left="0" w:firstLine="0"/>
      </w:pPr>
      <w:rPr>
        <w:rFonts w:ascii="Calibri" w:hAnsi="Calibri" w:hint="default"/>
        <w:b/>
        <w:i w:val="0"/>
        <w:color w:val="auto"/>
        <w:sz w:val="24"/>
      </w:rPr>
    </w:lvl>
    <w:lvl w:ilvl="2">
      <w:start w:val="1"/>
      <w:numFmt w:val="decimal"/>
      <w:suff w:val="space"/>
      <w:lvlText w:val="%1.%2.%3"/>
      <w:lvlJc w:val="left"/>
      <w:pPr>
        <w:ind w:left="0" w:firstLine="0"/>
      </w:pPr>
      <w:rPr>
        <w:rFonts w:ascii="Calibri" w:hAnsi="Calibri" w:hint="default"/>
        <w:b/>
        <w:i w:val="0"/>
        <w:sz w:val="20"/>
        <w:szCs w:val="20"/>
      </w:rPr>
    </w:lvl>
    <w:lvl w:ilvl="3">
      <w:start w:val="1"/>
      <w:numFmt w:val="decimal"/>
      <w:suff w:val="space"/>
      <w:lvlText w:val="%1.%2.%3.%4"/>
      <w:lvlJc w:val="left"/>
      <w:pPr>
        <w:ind w:left="0" w:firstLine="0"/>
      </w:pPr>
      <w:rPr>
        <w:rFonts w:ascii="Calibri" w:hAnsi="Calibri" w:hint="default"/>
        <w:b w:val="0"/>
        <w:i/>
        <w:sz w:val="20"/>
        <w:szCs w:val="20"/>
      </w:rPr>
    </w:lvl>
    <w:lvl w:ilvl="4">
      <w:start w:val="1"/>
      <w:numFmt w:val="decimal"/>
      <w:lvlRestart w:val="0"/>
      <w:suff w:val="space"/>
      <w:lvlText w:val="%1.%2.%3.%4.%5"/>
      <w:lvlJc w:val="left"/>
      <w:pPr>
        <w:ind w:left="0" w:firstLine="0"/>
      </w:pPr>
      <w:rPr>
        <w:rFonts w:hint="default"/>
      </w:rPr>
    </w:lvl>
    <w:lvl w:ilvl="5">
      <w:start w:val="1"/>
      <w:numFmt w:val="decimal"/>
      <w:lvlRestart w:val="0"/>
      <w:lvlText w:val="%1.%2.%3.%4.%5.%6"/>
      <w:lvlJc w:val="left"/>
      <w:pPr>
        <w:tabs>
          <w:tab w:val="num" w:pos="1800"/>
        </w:tabs>
        <w:ind w:left="0" w:firstLine="0"/>
      </w:pPr>
      <w:rPr>
        <w:rFonts w:hint="default"/>
      </w:rPr>
    </w:lvl>
    <w:lvl w:ilvl="6">
      <w:start w:val="1"/>
      <w:numFmt w:val="decimal"/>
      <w:lvlRestart w:val="0"/>
      <w:lvlText w:val="%1.%2.%3.%4.%5.%6.%7"/>
      <w:lvlJc w:val="left"/>
      <w:pPr>
        <w:tabs>
          <w:tab w:val="num" w:pos="2160"/>
        </w:tabs>
        <w:ind w:left="0" w:firstLine="0"/>
      </w:pPr>
      <w:rPr>
        <w:rFonts w:hint="default"/>
      </w:rPr>
    </w:lvl>
    <w:lvl w:ilvl="7">
      <w:start w:val="1"/>
      <w:numFmt w:val="decimal"/>
      <w:lvlRestart w:val="0"/>
      <w:lvlText w:val="%1.%2.%3.%4.%5.%6.%7.%8"/>
      <w:lvlJc w:val="left"/>
      <w:pPr>
        <w:tabs>
          <w:tab w:val="num" w:pos="2520"/>
        </w:tabs>
        <w:ind w:left="0" w:firstLine="0"/>
      </w:pPr>
      <w:rPr>
        <w:rFonts w:hint="default"/>
      </w:rPr>
    </w:lvl>
    <w:lvl w:ilvl="8">
      <w:start w:val="1"/>
      <w:numFmt w:val="decimal"/>
      <w:lvlRestart w:val="0"/>
      <w:lvlText w:val="%1.%2.%3.%4.%5.%6.%7.%8.%9"/>
      <w:lvlJc w:val="left"/>
      <w:pPr>
        <w:tabs>
          <w:tab w:val="num" w:pos="2880"/>
        </w:tabs>
        <w:ind w:left="0" w:firstLine="0"/>
      </w:pPr>
      <w:rPr>
        <w:rFonts w:hint="default"/>
      </w:rPr>
    </w:lvl>
  </w:abstractNum>
  <w:abstractNum w:abstractNumId="42">
    <w:nsid w:val="63836C9D"/>
    <w:multiLevelType w:val="hybridMultilevel"/>
    <w:tmpl w:val="1208392E"/>
    <w:lvl w:ilvl="0" w:tplc="04090003">
      <w:start w:val="1"/>
      <w:numFmt w:val="bullet"/>
      <w:lvlText w:val="o"/>
      <w:lvlJc w:val="left"/>
      <w:pPr>
        <w:ind w:left="720" w:hanging="360"/>
      </w:pPr>
      <w:rPr>
        <w:rFonts w:ascii="Courier New" w:hAnsi="Courier New" w:cs="Courier New" w:hint="default"/>
        <w:b/>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7381537"/>
    <w:multiLevelType w:val="hybridMultilevel"/>
    <w:tmpl w:val="0374F4BC"/>
    <w:name w:val="Article1"/>
    <w:lvl w:ilvl="0" w:tplc="D9BCABA6">
      <w:start w:val="1"/>
      <w:numFmt w:val="bullet"/>
      <w:pStyle w:val="ListBullet"/>
      <w:lvlText w:val=""/>
      <w:lvlJc w:val="left"/>
      <w:pPr>
        <w:tabs>
          <w:tab w:val="num" w:pos="1080"/>
        </w:tabs>
        <w:ind w:left="1080" w:hanging="360"/>
      </w:pPr>
      <w:rPr>
        <w:rFonts w:ascii="Symbol" w:hAnsi="Symbol" w:hint="default"/>
      </w:rPr>
    </w:lvl>
    <w:lvl w:ilvl="1" w:tplc="AF6A2324" w:tentative="1">
      <w:start w:val="1"/>
      <w:numFmt w:val="bullet"/>
      <w:lvlText w:val="o"/>
      <w:lvlJc w:val="left"/>
      <w:pPr>
        <w:tabs>
          <w:tab w:val="num" w:pos="1440"/>
        </w:tabs>
        <w:ind w:left="1440" w:hanging="360"/>
      </w:pPr>
      <w:rPr>
        <w:rFonts w:ascii="Courier New" w:hAnsi="Courier New" w:cs="Courier New" w:hint="default"/>
      </w:rPr>
    </w:lvl>
    <w:lvl w:ilvl="2" w:tplc="A31E20D6" w:tentative="1">
      <w:start w:val="1"/>
      <w:numFmt w:val="bullet"/>
      <w:lvlText w:val=""/>
      <w:lvlJc w:val="left"/>
      <w:pPr>
        <w:tabs>
          <w:tab w:val="num" w:pos="2160"/>
        </w:tabs>
        <w:ind w:left="2160" w:hanging="360"/>
      </w:pPr>
      <w:rPr>
        <w:rFonts w:ascii="Wingdings" w:hAnsi="Wingdings" w:hint="default"/>
      </w:rPr>
    </w:lvl>
    <w:lvl w:ilvl="3" w:tplc="2A08D876" w:tentative="1">
      <w:start w:val="1"/>
      <w:numFmt w:val="bullet"/>
      <w:lvlText w:val=""/>
      <w:lvlJc w:val="left"/>
      <w:pPr>
        <w:tabs>
          <w:tab w:val="num" w:pos="2880"/>
        </w:tabs>
        <w:ind w:left="2880" w:hanging="360"/>
      </w:pPr>
      <w:rPr>
        <w:rFonts w:ascii="Symbol" w:hAnsi="Symbol" w:hint="default"/>
      </w:rPr>
    </w:lvl>
    <w:lvl w:ilvl="4" w:tplc="CCD0E79C" w:tentative="1">
      <w:start w:val="1"/>
      <w:numFmt w:val="bullet"/>
      <w:lvlText w:val="o"/>
      <w:lvlJc w:val="left"/>
      <w:pPr>
        <w:tabs>
          <w:tab w:val="num" w:pos="3600"/>
        </w:tabs>
        <w:ind w:left="3600" w:hanging="360"/>
      </w:pPr>
      <w:rPr>
        <w:rFonts w:ascii="Courier New" w:hAnsi="Courier New" w:cs="Courier New" w:hint="default"/>
      </w:rPr>
    </w:lvl>
    <w:lvl w:ilvl="5" w:tplc="D8861DFC" w:tentative="1">
      <w:start w:val="1"/>
      <w:numFmt w:val="bullet"/>
      <w:lvlText w:val=""/>
      <w:lvlJc w:val="left"/>
      <w:pPr>
        <w:tabs>
          <w:tab w:val="num" w:pos="4320"/>
        </w:tabs>
        <w:ind w:left="4320" w:hanging="360"/>
      </w:pPr>
      <w:rPr>
        <w:rFonts w:ascii="Wingdings" w:hAnsi="Wingdings" w:hint="default"/>
      </w:rPr>
    </w:lvl>
    <w:lvl w:ilvl="6" w:tplc="A7CA73D6" w:tentative="1">
      <w:start w:val="1"/>
      <w:numFmt w:val="bullet"/>
      <w:lvlText w:val=""/>
      <w:lvlJc w:val="left"/>
      <w:pPr>
        <w:tabs>
          <w:tab w:val="num" w:pos="5040"/>
        </w:tabs>
        <w:ind w:left="5040" w:hanging="360"/>
      </w:pPr>
      <w:rPr>
        <w:rFonts w:ascii="Symbol" w:hAnsi="Symbol" w:hint="default"/>
      </w:rPr>
    </w:lvl>
    <w:lvl w:ilvl="7" w:tplc="3484F9E4" w:tentative="1">
      <w:start w:val="1"/>
      <w:numFmt w:val="bullet"/>
      <w:lvlText w:val="o"/>
      <w:lvlJc w:val="left"/>
      <w:pPr>
        <w:tabs>
          <w:tab w:val="num" w:pos="5760"/>
        </w:tabs>
        <w:ind w:left="5760" w:hanging="360"/>
      </w:pPr>
      <w:rPr>
        <w:rFonts w:ascii="Courier New" w:hAnsi="Courier New" w:cs="Courier New" w:hint="default"/>
      </w:rPr>
    </w:lvl>
    <w:lvl w:ilvl="8" w:tplc="2890A81E" w:tentative="1">
      <w:start w:val="1"/>
      <w:numFmt w:val="bullet"/>
      <w:lvlText w:val=""/>
      <w:lvlJc w:val="left"/>
      <w:pPr>
        <w:tabs>
          <w:tab w:val="num" w:pos="6480"/>
        </w:tabs>
        <w:ind w:left="6480" w:hanging="360"/>
      </w:pPr>
      <w:rPr>
        <w:rFonts w:ascii="Wingdings" w:hAnsi="Wingdings" w:hint="default"/>
      </w:rPr>
    </w:lvl>
  </w:abstractNum>
  <w:abstractNum w:abstractNumId="44">
    <w:nsid w:val="67EF7C2F"/>
    <w:multiLevelType w:val="hybridMultilevel"/>
    <w:tmpl w:val="E1028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9192D9C"/>
    <w:multiLevelType w:val="hybridMultilevel"/>
    <w:tmpl w:val="CBF29E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6AF17BB9"/>
    <w:multiLevelType w:val="hybridMultilevel"/>
    <w:tmpl w:val="764E137C"/>
    <w:lvl w:ilvl="0" w:tplc="B8064E66">
      <w:start w:val="1"/>
      <w:numFmt w:val="bullet"/>
      <w:lvlText w:val=""/>
      <w:lvlJc w:val="left"/>
      <w:pPr>
        <w:ind w:left="720" w:hanging="360"/>
      </w:pPr>
      <w:rPr>
        <w:rFonts w:ascii="Wingdings" w:hAnsi="Wingdings" w:hint="default"/>
        <w:b/>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FA60923"/>
    <w:multiLevelType w:val="hybridMultilevel"/>
    <w:tmpl w:val="5336A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0CB63F2"/>
    <w:multiLevelType w:val="hybridMultilevel"/>
    <w:tmpl w:val="17E61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1C5602D"/>
    <w:multiLevelType w:val="multilevel"/>
    <w:tmpl w:val="A9328628"/>
    <w:lvl w:ilvl="0">
      <w:start w:val="1"/>
      <w:numFmt w:val="decimal"/>
      <w:pStyle w:val="Heading1"/>
      <w:suff w:val="space"/>
      <w:lvlText w:val="Section %1"/>
      <w:lvlJc w:val="left"/>
      <w:pPr>
        <w:ind w:left="0" w:firstLine="0"/>
      </w:pPr>
      <w:rPr>
        <w:rFonts w:ascii="Calibri" w:hAnsi="Calibri" w:hint="default"/>
        <w:b/>
        <w:i w:val="0"/>
        <w:color w:val="4F81BD" w:themeColor="accent1"/>
        <w:spacing w:val="0"/>
        <w:sz w:val="36"/>
      </w:rPr>
    </w:lvl>
    <w:lvl w:ilvl="1">
      <w:start w:val="1"/>
      <w:numFmt w:val="decimal"/>
      <w:pStyle w:val="Heading2"/>
      <w:suff w:val="space"/>
      <w:lvlText w:val="%1.%2"/>
      <w:lvlJc w:val="left"/>
      <w:pPr>
        <w:ind w:left="0" w:firstLine="0"/>
      </w:pPr>
      <w:rPr>
        <w:rFonts w:ascii="Calibri" w:hAnsi="Calibri" w:hint="default"/>
        <w:b/>
        <w:i w:val="0"/>
        <w:color w:val="auto"/>
        <w:sz w:val="24"/>
      </w:rPr>
    </w:lvl>
    <w:lvl w:ilvl="2">
      <w:start w:val="1"/>
      <w:numFmt w:val="decimal"/>
      <w:pStyle w:val="Heading3"/>
      <w:suff w:val="space"/>
      <w:lvlText w:val="%1.%2.%3"/>
      <w:lvlJc w:val="left"/>
      <w:pPr>
        <w:ind w:left="0" w:firstLine="0"/>
      </w:pPr>
      <w:rPr>
        <w:rFonts w:ascii="Calibri" w:hAnsi="Calibri" w:hint="default"/>
        <w:b/>
        <w:i w:val="0"/>
        <w:color w:val="000000" w:themeColor="text1"/>
        <w:sz w:val="20"/>
        <w:szCs w:val="20"/>
      </w:rPr>
    </w:lvl>
    <w:lvl w:ilvl="3">
      <w:start w:val="1"/>
      <w:numFmt w:val="decimal"/>
      <w:pStyle w:val="Heading4"/>
      <w:suff w:val="space"/>
      <w:lvlText w:val="%1.%2.%3.%4"/>
      <w:lvlJc w:val="left"/>
      <w:pPr>
        <w:ind w:left="0" w:firstLine="0"/>
      </w:pPr>
      <w:rPr>
        <w:rFonts w:ascii="Calibri" w:hAnsi="Calibri" w:hint="default"/>
        <w:b w:val="0"/>
        <w:i/>
        <w:sz w:val="20"/>
        <w:szCs w:val="20"/>
      </w:rPr>
    </w:lvl>
    <w:lvl w:ilvl="4">
      <w:start w:val="1"/>
      <w:numFmt w:val="decimal"/>
      <w:lvlRestart w:val="0"/>
      <w:suff w:val="space"/>
      <w:lvlText w:val="%1.%2.%3.%4.%5"/>
      <w:lvlJc w:val="left"/>
      <w:pPr>
        <w:ind w:left="0" w:firstLine="0"/>
      </w:pPr>
      <w:rPr>
        <w:rFonts w:hint="default"/>
      </w:rPr>
    </w:lvl>
    <w:lvl w:ilvl="5">
      <w:start w:val="1"/>
      <w:numFmt w:val="decimal"/>
      <w:lvlRestart w:val="0"/>
      <w:lvlText w:val="%1.%2.%3.%4.%5.%6"/>
      <w:lvlJc w:val="left"/>
      <w:pPr>
        <w:tabs>
          <w:tab w:val="num" w:pos="1800"/>
        </w:tabs>
        <w:ind w:left="0" w:firstLine="0"/>
      </w:pPr>
      <w:rPr>
        <w:rFonts w:hint="default"/>
      </w:rPr>
    </w:lvl>
    <w:lvl w:ilvl="6">
      <w:start w:val="1"/>
      <w:numFmt w:val="decimal"/>
      <w:lvlRestart w:val="0"/>
      <w:lvlText w:val="%1.%2.%3.%4.%5.%6.%7"/>
      <w:lvlJc w:val="left"/>
      <w:pPr>
        <w:tabs>
          <w:tab w:val="num" w:pos="2160"/>
        </w:tabs>
        <w:ind w:left="0" w:firstLine="0"/>
      </w:pPr>
      <w:rPr>
        <w:rFonts w:hint="default"/>
      </w:rPr>
    </w:lvl>
    <w:lvl w:ilvl="7">
      <w:start w:val="1"/>
      <w:numFmt w:val="decimal"/>
      <w:lvlRestart w:val="0"/>
      <w:lvlText w:val="%1.%2.%3.%4.%5.%6.%7.%8"/>
      <w:lvlJc w:val="left"/>
      <w:pPr>
        <w:tabs>
          <w:tab w:val="num" w:pos="2520"/>
        </w:tabs>
        <w:ind w:left="0" w:firstLine="0"/>
      </w:pPr>
      <w:rPr>
        <w:rFonts w:hint="default"/>
      </w:rPr>
    </w:lvl>
    <w:lvl w:ilvl="8">
      <w:start w:val="1"/>
      <w:numFmt w:val="decimal"/>
      <w:lvlRestart w:val="0"/>
      <w:lvlText w:val="%1.%2.%3.%4.%5.%6.%7.%8.%9"/>
      <w:lvlJc w:val="left"/>
      <w:pPr>
        <w:tabs>
          <w:tab w:val="num" w:pos="2880"/>
        </w:tabs>
        <w:ind w:left="0" w:firstLine="0"/>
      </w:pPr>
      <w:rPr>
        <w:rFonts w:hint="default"/>
      </w:rPr>
    </w:lvl>
  </w:abstractNum>
  <w:abstractNum w:abstractNumId="50">
    <w:nsid w:val="742F0E29"/>
    <w:multiLevelType w:val="hybridMultilevel"/>
    <w:tmpl w:val="FF8A0952"/>
    <w:lvl w:ilvl="0" w:tplc="B8064E66">
      <w:start w:val="1"/>
      <w:numFmt w:val="bullet"/>
      <w:lvlText w:val=""/>
      <w:lvlJc w:val="left"/>
      <w:pPr>
        <w:ind w:left="720" w:hanging="360"/>
      </w:pPr>
      <w:rPr>
        <w:rFonts w:ascii="Wingdings" w:hAnsi="Wingdings" w:hint="default"/>
        <w:b/>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54C473D"/>
    <w:multiLevelType w:val="hybridMultilevel"/>
    <w:tmpl w:val="35DA66E6"/>
    <w:lvl w:ilvl="0" w:tplc="BCE8BE76">
      <w:start w:val="1"/>
      <w:numFmt w:val="bullet"/>
      <w:pStyle w:val="BulletedLis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243C71BC">
      <w:start w:val="1"/>
      <w:numFmt w:val="bullet"/>
      <w:pStyle w:val="BulletedList"/>
      <w:lvlText w:val=""/>
      <w:lvlJc w:val="left"/>
      <w:pPr>
        <w:tabs>
          <w:tab w:val="num" w:pos="720"/>
        </w:tabs>
        <w:ind w:left="720" w:hanging="360"/>
      </w:pPr>
      <w:rPr>
        <w:rFonts w:ascii="Symbol" w:hAnsi="Symbol" w:hint="default"/>
        <w:sz w:val="22"/>
        <w:szCs w:val="22"/>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770F4DDB"/>
    <w:multiLevelType w:val="hybridMultilevel"/>
    <w:tmpl w:val="92E4DDDC"/>
    <w:lvl w:ilvl="0" w:tplc="FEF211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A7B0C33"/>
    <w:multiLevelType w:val="multilevel"/>
    <w:tmpl w:val="EAFC8B52"/>
    <w:lvl w:ilvl="0">
      <w:start w:val="1"/>
      <w:numFmt w:val="decimal"/>
      <w:suff w:val="nothing"/>
      <w:lvlText w:val="Section %1"/>
      <w:lvlJc w:val="left"/>
      <w:pPr>
        <w:ind w:left="0" w:firstLine="0"/>
      </w:pPr>
      <w:rPr>
        <w:rFonts w:ascii="Calibri" w:hAnsi="Calibri" w:hint="default"/>
        <w:b/>
        <w:i w:val="0"/>
        <w:caps w:val="0"/>
        <w:strike w:val="0"/>
        <w:dstrike w:val="0"/>
        <w:vanish w:val="0"/>
        <w:color w:val="0070C0"/>
        <w:spacing w:val="0"/>
        <w:w w:val="100"/>
        <w:kern w:val="0"/>
        <w:sz w:val="36"/>
        <w:u w:val="none"/>
        <w:vertAlign w:val="baseline"/>
      </w:rPr>
    </w:lvl>
    <w:lvl w:ilvl="1">
      <w:start w:val="1"/>
      <w:numFmt w:val="decimal"/>
      <w:suff w:val="space"/>
      <w:lvlText w:val="%1.%2"/>
      <w:lvlJc w:val="left"/>
      <w:pPr>
        <w:ind w:left="540" w:firstLine="0"/>
      </w:pPr>
      <w:rPr>
        <w:rFonts w:hint="default"/>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0" w:firstLine="0"/>
      </w:pPr>
      <w:rPr>
        <w:rFonts w:ascii="Calibri" w:hAnsi="Calibri" w:hint="default"/>
        <w:b/>
        <w:i w:val="0"/>
        <w:caps w:val="0"/>
        <w:strike w:val="0"/>
        <w:dstrike w:val="0"/>
        <w:vanish w:val="0"/>
        <w:color w:val="auto"/>
        <w:spacing w:val="0"/>
        <w:w w:val="100"/>
        <w:kern w:val="0"/>
        <w:sz w:val="20"/>
        <w:vertAlign w:val="baseline"/>
      </w:rPr>
    </w:lvl>
    <w:lvl w:ilvl="3">
      <w:start w:val="1"/>
      <w:numFmt w:val="decimal"/>
      <w:suff w:val="space"/>
      <w:lvlText w:val="%1.%2.%3.%4"/>
      <w:lvlJc w:val="left"/>
      <w:pPr>
        <w:ind w:left="0" w:firstLine="0"/>
      </w:pPr>
      <w:rPr>
        <w:rFonts w:ascii="Calibri" w:hAnsi="Calibri" w:hint="default"/>
        <w:b w:val="0"/>
        <w:i/>
        <w:caps w:val="0"/>
        <w:strike w:val="0"/>
        <w:dstrike w:val="0"/>
        <w:vanish w:val="0"/>
        <w:sz w:val="20"/>
        <w:vertAlign w:val="baseline"/>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4">
    <w:nsid w:val="7C6C01C7"/>
    <w:multiLevelType w:val="hybridMultilevel"/>
    <w:tmpl w:val="A8A2B9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3"/>
  </w:num>
  <w:num w:numId="2">
    <w:abstractNumId w:val="41"/>
  </w:num>
  <w:num w:numId="3">
    <w:abstractNumId w:val="51"/>
  </w:num>
  <w:num w:numId="4">
    <w:abstractNumId w:val="31"/>
  </w:num>
  <w:num w:numId="5">
    <w:abstractNumId w:val="26"/>
  </w:num>
  <w:num w:numId="6">
    <w:abstractNumId w:val="23"/>
  </w:num>
  <w:num w:numId="7">
    <w:abstractNumId w:val="1"/>
  </w:num>
  <w:num w:numId="8">
    <w:abstractNumId w:val="47"/>
  </w:num>
  <w:num w:numId="9">
    <w:abstractNumId w:val="12"/>
  </w:num>
  <w:num w:numId="10">
    <w:abstractNumId w:val="3"/>
  </w:num>
  <w:num w:numId="11">
    <w:abstractNumId w:val="8"/>
  </w:num>
  <w:num w:numId="12">
    <w:abstractNumId w:val="33"/>
  </w:num>
  <w:num w:numId="13">
    <w:abstractNumId w:val="36"/>
  </w:num>
  <w:num w:numId="14">
    <w:abstractNumId w:val="46"/>
  </w:num>
  <w:num w:numId="15">
    <w:abstractNumId w:val="25"/>
  </w:num>
  <w:num w:numId="16">
    <w:abstractNumId w:val="22"/>
  </w:num>
  <w:num w:numId="17">
    <w:abstractNumId w:val="5"/>
  </w:num>
  <w:num w:numId="18">
    <w:abstractNumId w:val="40"/>
  </w:num>
  <w:num w:numId="19">
    <w:abstractNumId w:val="2"/>
  </w:num>
  <w:num w:numId="20">
    <w:abstractNumId w:val="39"/>
  </w:num>
  <w:num w:numId="21">
    <w:abstractNumId w:val="34"/>
  </w:num>
  <w:num w:numId="22">
    <w:abstractNumId w:val="45"/>
  </w:num>
  <w:num w:numId="23">
    <w:abstractNumId w:val="27"/>
  </w:num>
  <w:num w:numId="24">
    <w:abstractNumId w:val="32"/>
  </w:num>
  <w:num w:numId="25">
    <w:abstractNumId w:val="13"/>
  </w:num>
  <w:num w:numId="26">
    <w:abstractNumId w:val="24"/>
  </w:num>
  <w:num w:numId="27">
    <w:abstractNumId w:val="38"/>
  </w:num>
  <w:num w:numId="28">
    <w:abstractNumId w:val="14"/>
  </w:num>
  <w:num w:numId="29">
    <w:abstractNumId w:val="19"/>
  </w:num>
  <w:num w:numId="3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54"/>
  </w:num>
  <w:num w:numId="33">
    <w:abstractNumId w:val="44"/>
  </w:num>
  <w:num w:numId="34">
    <w:abstractNumId w:val="15"/>
  </w:num>
  <w:num w:numId="35">
    <w:abstractNumId w:val="28"/>
  </w:num>
  <w:num w:numId="36">
    <w:abstractNumId w:val="7"/>
  </w:num>
  <w:num w:numId="37">
    <w:abstractNumId w:val="48"/>
  </w:num>
  <w:num w:numId="38">
    <w:abstractNumId w:val="21"/>
  </w:num>
  <w:num w:numId="39">
    <w:abstractNumId w:val="30"/>
  </w:num>
  <w:num w:numId="40">
    <w:abstractNumId w:val="16"/>
  </w:num>
  <w:num w:numId="41">
    <w:abstractNumId w:val="10"/>
  </w:num>
  <w:num w:numId="42">
    <w:abstractNumId w:val="41"/>
  </w:num>
  <w:num w:numId="43">
    <w:abstractNumId w:val="11"/>
  </w:num>
  <w:num w:numId="44">
    <w:abstractNumId w:val="20"/>
  </w:num>
  <w:num w:numId="45">
    <w:abstractNumId w:val="18"/>
  </w:num>
  <w:num w:numId="46">
    <w:abstractNumId w:val="4"/>
  </w:num>
  <w:num w:numId="47">
    <w:abstractNumId w:val="17"/>
  </w:num>
  <w:num w:numId="48">
    <w:abstractNumId w:val="37"/>
  </w:num>
  <w:num w:numId="49">
    <w:abstractNumId w:val="49"/>
  </w:num>
  <w:num w:numId="50">
    <w:abstractNumId w:val="50"/>
  </w:num>
  <w:num w:numId="51">
    <w:abstractNumId w:val="42"/>
  </w:num>
  <w:num w:numId="52">
    <w:abstractNumId w:val="29"/>
  </w:num>
  <w:num w:numId="53">
    <w:abstractNumId w:val="35"/>
  </w:num>
  <w:num w:numId="54">
    <w:abstractNumId w:val="6"/>
  </w:num>
  <w:num w:numId="55">
    <w:abstractNumId w:val="53"/>
  </w:num>
  <w:num w:numId="56">
    <w:abstractNumId w:val="49"/>
  </w:num>
  <w:num w:numId="57">
    <w:abstractNumId w:val="52"/>
  </w:num>
  <w:num w:numId="58">
    <w:abstractNumId w:val="9"/>
  </w:num>
  <w:numIdMacAtCleanup w:val="52"/>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hael Henderson">
    <w15:presenceInfo w15:providerId="Windows Live" w15:userId="3106194476b4edb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ctiveWritingStyle w:appName="MSWord" w:lang="en-US" w:vendorID="64" w:dllVersion="6" w:nlCheck="1" w:checkStyle="1"/>
  <w:activeWritingStyle w:appName="MSWord" w:lang="fr-FR" w:vendorID="64" w:dllVersion="6" w:nlCheck="1" w:checkStyle="1"/>
  <w:activeWritingStyle w:appName="MSWord" w:lang="en-US" w:vendorID="64" w:dllVersion="5"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703d2899-21a2-4196-b5cf-e4880afbe394"/>
  </w:docVars>
  <w:rsids>
    <w:rsidRoot w:val="00CB6AC6"/>
    <w:rsid w:val="000005C0"/>
    <w:rsid w:val="000014F1"/>
    <w:rsid w:val="00001545"/>
    <w:rsid w:val="0000156E"/>
    <w:rsid w:val="00001E14"/>
    <w:rsid w:val="000024C0"/>
    <w:rsid w:val="00002BD6"/>
    <w:rsid w:val="00003561"/>
    <w:rsid w:val="00003F65"/>
    <w:rsid w:val="00004025"/>
    <w:rsid w:val="0000515C"/>
    <w:rsid w:val="00005201"/>
    <w:rsid w:val="000058A3"/>
    <w:rsid w:val="0000596B"/>
    <w:rsid w:val="00005E48"/>
    <w:rsid w:val="00006124"/>
    <w:rsid w:val="00006292"/>
    <w:rsid w:val="00006EB9"/>
    <w:rsid w:val="0000711C"/>
    <w:rsid w:val="000079CF"/>
    <w:rsid w:val="00010076"/>
    <w:rsid w:val="00010570"/>
    <w:rsid w:val="0001177C"/>
    <w:rsid w:val="00011896"/>
    <w:rsid w:val="000124D9"/>
    <w:rsid w:val="0001462B"/>
    <w:rsid w:val="00014922"/>
    <w:rsid w:val="000154B6"/>
    <w:rsid w:val="000154CE"/>
    <w:rsid w:val="000159EB"/>
    <w:rsid w:val="00015C82"/>
    <w:rsid w:val="00017228"/>
    <w:rsid w:val="000172CC"/>
    <w:rsid w:val="000179CA"/>
    <w:rsid w:val="0002011E"/>
    <w:rsid w:val="00020133"/>
    <w:rsid w:val="0002026A"/>
    <w:rsid w:val="000202C3"/>
    <w:rsid w:val="00020C5A"/>
    <w:rsid w:val="00020E5D"/>
    <w:rsid w:val="00020E91"/>
    <w:rsid w:val="00020FE6"/>
    <w:rsid w:val="00021588"/>
    <w:rsid w:val="00021829"/>
    <w:rsid w:val="000219F1"/>
    <w:rsid w:val="00021E38"/>
    <w:rsid w:val="00022865"/>
    <w:rsid w:val="000229CE"/>
    <w:rsid w:val="00024994"/>
    <w:rsid w:val="00024DDA"/>
    <w:rsid w:val="0002530A"/>
    <w:rsid w:val="000255E3"/>
    <w:rsid w:val="00026A09"/>
    <w:rsid w:val="0002795E"/>
    <w:rsid w:val="00027DE4"/>
    <w:rsid w:val="000301D7"/>
    <w:rsid w:val="00030A7A"/>
    <w:rsid w:val="00030BF0"/>
    <w:rsid w:val="00031071"/>
    <w:rsid w:val="00031333"/>
    <w:rsid w:val="0003139A"/>
    <w:rsid w:val="00032B2D"/>
    <w:rsid w:val="00033404"/>
    <w:rsid w:val="00034C1B"/>
    <w:rsid w:val="000357EE"/>
    <w:rsid w:val="00035C76"/>
    <w:rsid w:val="00035DB9"/>
    <w:rsid w:val="000363BD"/>
    <w:rsid w:val="00036D3C"/>
    <w:rsid w:val="00037105"/>
    <w:rsid w:val="00037303"/>
    <w:rsid w:val="00037383"/>
    <w:rsid w:val="00037407"/>
    <w:rsid w:val="00037C94"/>
    <w:rsid w:val="00037D25"/>
    <w:rsid w:val="00037E90"/>
    <w:rsid w:val="00041327"/>
    <w:rsid w:val="00041785"/>
    <w:rsid w:val="0004198B"/>
    <w:rsid w:val="00042D88"/>
    <w:rsid w:val="00043578"/>
    <w:rsid w:val="00043CC4"/>
    <w:rsid w:val="000442E4"/>
    <w:rsid w:val="000445D3"/>
    <w:rsid w:val="00044683"/>
    <w:rsid w:val="00044B8A"/>
    <w:rsid w:val="0004550F"/>
    <w:rsid w:val="000460D9"/>
    <w:rsid w:val="000463A6"/>
    <w:rsid w:val="000465A9"/>
    <w:rsid w:val="00046E91"/>
    <w:rsid w:val="000478CF"/>
    <w:rsid w:val="00051BFC"/>
    <w:rsid w:val="00052025"/>
    <w:rsid w:val="0005329B"/>
    <w:rsid w:val="000536F7"/>
    <w:rsid w:val="00053A32"/>
    <w:rsid w:val="00053A93"/>
    <w:rsid w:val="0005513C"/>
    <w:rsid w:val="000554D4"/>
    <w:rsid w:val="00055FBE"/>
    <w:rsid w:val="00056618"/>
    <w:rsid w:val="00056A47"/>
    <w:rsid w:val="00057090"/>
    <w:rsid w:val="00057485"/>
    <w:rsid w:val="00057AB7"/>
    <w:rsid w:val="00057ACE"/>
    <w:rsid w:val="0006040A"/>
    <w:rsid w:val="00060728"/>
    <w:rsid w:val="0006098B"/>
    <w:rsid w:val="000611D6"/>
    <w:rsid w:val="000613FD"/>
    <w:rsid w:val="0006174F"/>
    <w:rsid w:val="00062479"/>
    <w:rsid w:val="00062538"/>
    <w:rsid w:val="00064855"/>
    <w:rsid w:val="00064EF8"/>
    <w:rsid w:val="0006548E"/>
    <w:rsid w:val="0006584A"/>
    <w:rsid w:val="00065D4E"/>
    <w:rsid w:val="0006624D"/>
    <w:rsid w:val="00066296"/>
    <w:rsid w:val="00066542"/>
    <w:rsid w:val="00066F69"/>
    <w:rsid w:val="000676D3"/>
    <w:rsid w:val="00067853"/>
    <w:rsid w:val="000701ED"/>
    <w:rsid w:val="00070BB1"/>
    <w:rsid w:val="00070D31"/>
    <w:rsid w:val="00071774"/>
    <w:rsid w:val="00071FAC"/>
    <w:rsid w:val="00072923"/>
    <w:rsid w:val="00072D6A"/>
    <w:rsid w:val="00072DC3"/>
    <w:rsid w:val="00073D35"/>
    <w:rsid w:val="00074314"/>
    <w:rsid w:val="00074469"/>
    <w:rsid w:val="00074522"/>
    <w:rsid w:val="00074D2D"/>
    <w:rsid w:val="000758E1"/>
    <w:rsid w:val="0007591B"/>
    <w:rsid w:val="000760E1"/>
    <w:rsid w:val="000773BE"/>
    <w:rsid w:val="000800A7"/>
    <w:rsid w:val="0008070D"/>
    <w:rsid w:val="00080721"/>
    <w:rsid w:val="00080FC7"/>
    <w:rsid w:val="00082296"/>
    <w:rsid w:val="0008288C"/>
    <w:rsid w:val="00082945"/>
    <w:rsid w:val="00083134"/>
    <w:rsid w:val="00083147"/>
    <w:rsid w:val="0008368B"/>
    <w:rsid w:val="00083AEC"/>
    <w:rsid w:val="00084382"/>
    <w:rsid w:val="00084E12"/>
    <w:rsid w:val="000851D0"/>
    <w:rsid w:val="00085368"/>
    <w:rsid w:val="00087581"/>
    <w:rsid w:val="00087839"/>
    <w:rsid w:val="000879B2"/>
    <w:rsid w:val="0009018E"/>
    <w:rsid w:val="00091215"/>
    <w:rsid w:val="000914EB"/>
    <w:rsid w:val="00092637"/>
    <w:rsid w:val="0009294B"/>
    <w:rsid w:val="00092CC8"/>
    <w:rsid w:val="00092E81"/>
    <w:rsid w:val="00093A59"/>
    <w:rsid w:val="000941CB"/>
    <w:rsid w:val="00094A0C"/>
    <w:rsid w:val="000952FD"/>
    <w:rsid w:val="000953C4"/>
    <w:rsid w:val="00096BB0"/>
    <w:rsid w:val="00096C6D"/>
    <w:rsid w:val="0009710E"/>
    <w:rsid w:val="000979CA"/>
    <w:rsid w:val="000979E7"/>
    <w:rsid w:val="000A0085"/>
    <w:rsid w:val="000A0429"/>
    <w:rsid w:val="000A0A1F"/>
    <w:rsid w:val="000A138C"/>
    <w:rsid w:val="000A1B29"/>
    <w:rsid w:val="000A24B0"/>
    <w:rsid w:val="000A25F9"/>
    <w:rsid w:val="000A2842"/>
    <w:rsid w:val="000A37E6"/>
    <w:rsid w:val="000A4048"/>
    <w:rsid w:val="000A40A4"/>
    <w:rsid w:val="000A4D9C"/>
    <w:rsid w:val="000A5067"/>
    <w:rsid w:val="000B03FF"/>
    <w:rsid w:val="000B040E"/>
    <w:rsid w:val="000B1B94"/>
    <w:rsid w:val="000B1BC2"/>
    <w:rsid w:val="000B1C7F"/>
    <w:rsid w:val="000B1DA6"/>
    <w:rsid w:val="000B1E5E"/>
    <w:rsid w:val="000B20B2"/>
    <w:rsid w:val="000B22E3"/>
    <w:rsid w:val="000B2865"/>
    <w:rsid w:val="000B2921"/>
    <w:rsid w:val="000B3288"/>
    <w:rsid w:val="000B359C"/>
    <w:rsid w:val="000B43E9"/>
    <w:rsid w:val="000B4431"/>
    <w:rsid w:val="000B5865"/>
    <w:rsid w:val="000B5B4A"/>
    <w:rsid w:val="000B637D"/>
    <w:rsid w:val="000B6A1D"/>
    <w:rsid w:val="000B6E02"/>
    <w:rsid w:val="000B79CF"/>
    <w:rsid w:val="000C0B6D"/>
    <w:rsid w:val="000C200E"/>
    <w:rsid w:val="000C239C"/>
    <w:rsid w:val="000C2473"/>
    <w:rsid w:val="000C2F4A"/>
    <w:rsid w:val="000C3A16"/>
    <w:rsid w:val="000C3FC8"/>
    <w:rsid w:val="000C469B"/>
    <w:rsid w:val="000C4D9F"/>
    <w:rsid w:val="000C503E"/>
    <w:rsid w:val="000C506F"/>
    <w:rsid w:val="000C5445"/>
    <w:rsid w:val="000C674F"/>
    <w:rsid w:val="000C748F"/>
    <w:rsid w:val="000C7D66"/>
    <w:rsid w:val="000D01D5"/>
    <w:rsid w:val="000D09B2"/>
    <w:rsid w:val="000D0E6D"/>
    <w:rsid w:val="000D1CBE"/>
    <w:rsid w:val="000D1D1D"/>
    <w:rsid w:val="000D1DB8"/>
    <w:rsid w:val="000D242F"/>
    <w:rsid w:val="000D2806"/>
    <w:rsid w:val="000D3476"/>
    <w:rsid w:val="000D4B7A"/>
    <w:rsid w:val="000D4D6D"/>
    <w:rsid w:val="000D4E71"/>
    <w:rsid w:val="000D6385"/>
    <w:rsid w:val="000D6544"/>
    <w:rsid w:val="000D68FB"/>
    <w:rsid w:val="000D75B3"/>
    <w:rsid w:val="000E0180"/>
    <w:rsid w:val="000E02A9"/>
    <w:rsid w:val="000E0F0B"/>
    <w:rsid w:val="000E1361"/>
    <w:rsid w:val="000E14D6"/>
    <w:rsid w:val="000E1E97"/>
    <w:rsid w:val="000E2501"/>
    <w:rsid w:val="000E275B"/>
    <w:rsid w:val="000E28FE"/>
    <w:rsid w:val="000E2CE8"/>
    <w:rsid w:val="000E3992"/>
    <w:rsid w:val="000E39C0"/>
    <w:rsid w:val="000E39E2"/>
    <w:rsid w:val="000E3B08"/>
    <w:rsid w:val="000E3F8E"/>
    <w:rsid w:val="000E412E"/>
    <w:rsid w:val="000E41D4"/>
    <w:rsid w:val="000E4A74"/>
    <w:rsid w:val="000E5E61"/>
    <w:rsid w:val="000E653C"/>
    <w:rsid w:val="000E6B3F"/>
    <w:rsid w:val="000E6B71"/>
    <w:rsid w:val="000F0286"/>
    <w:rsid w:val="000F0A8A"/>
    <w:rsid w:val="000F1398"/>
    <w:rsid w:val="000F140B"/>
    <w:rsid w:val="000F14B9"/>
    <w:rsid w:val="000F20E5"/>
    <w:rsid w:val="000F2557"/>
    <w:rsid w:val="000F33A8"/>
    <w:rsid w:val="000F38EE"/>
    <w:rsid w:val="000F3A0B"/>
    <w:rsid w:val="000F437F"/>
    <w:rsid w:val="000F4433"/>
    <w:rsid w:val="000F523C"/>
    <w:rsid w:val="000F663A"/>
    <w:rsid w:val="000F6B76"/>
    <w:rsid w:val="000F6CF7"/>
    <w:rsid w:val="00100222"/>
    <w:rsid w:val="00100364"/>
    <w:rsid w:val="00100B36"/>
    <w:rsid w:val="00102744"/>
    <w:rsid w:val="0010340C"/>
    <w:rsid w:val="001037BC"/>
    <w:rsid w:val="001044B2"/>
    <w:rsid w:val="00104E02"/>
    <w:rsid w:val="00105EBC"/>
    <w:rsid w:val="001069E7"/>
    <w:rsid w:val="00106DA5"/>
    <w:rsid w:val="001105A0"/>
    <w:rsid w:val="00110681"/>
    <w:rsid w:val="001109CA"/>
    <w:rsid w:val="00111C27"/>
    <w:rsid w:val="0011272A"/>
    <w:rsid w:val="001127B8"/>
    <w:rsid w:val="00112AD5"/>
    <w:rsid w:val="00112C60"/>
    <w:rsid w:val="0011334E"/>
    <w:rsid w:val="00114436"/>
    <w:rsid w:val="00114CE8"/>
    <w:rsid w:val="0011576D"/>
    <w:rsid w:val="0011658A"/>
    <w:rsid w:val="00116EF4"/>
    <w:rsid w:val="00120EAE"/>
    <w:rsid w:val="00122169"/>
    <w:rsid w:val="001227A4"/>
    <w:rsid w:val="00122AC3"/>
    <w:rsid w:val="00122E1B"/>
    <w:rsid w:val="00123947"/>
    <w:rsid w:val="00123CCB"/>
    <w:rsid w:val="0012435C"/>
    <w:rsid w:val="00124EF8"/>
    <w:rsid w:val="00125170"/>
    <w:rsid w:val="001264F1"/>
    <w:rsid w:val="00126D4D"/>
    <w:rsid w:val="00130DDD"/>
    <w:rsid w:val="00131D63"/>
    <w:rsid w:val="001320BC"/>
    <w:rsid w:val="00132D8D"/>
    <w:rsid w:val="00133238"/>
    <w:rsid w:val="00133FC0"/>
    <w:rsid w:val="00134B71"/>
    <w:rsid w:val="00134B94"/>
    <w:rsid w:val="00134F1A"/>
    <w:rsid w:val="00135114"/>
    <w:rsid w:val="0013561F"/>
    <w:rsid w:val="001360D6"/>
    <w:rsid w:val="00137115"/>
    <w:rsid w:val="00137B0F"/>
    <w:rsid w:val="00137C1B"/>
    <w:rsid w:val="001401E7"/>
    <w:rsid w:val="00141F4E"/>
    <w:rsid w:val="00142159"/>
    <w:rsid w:val="00142F6B"/>
    <w:rsid w:val="00145071"/>
    <w:rsid w:val="001451E2"/>
    <w:rsid w:val="0014543E"/>
    <w:rsid w:val="0014547F"/>
    <w:rsid w:val="00145B1F"/>
    <w:rsid w:val="00145E8A"/>
    <w:rsid w:val="00146526"/>
    <w:rsid w:val="0014723D"/>
    <w:rsid w:val="001477D1"/>
    <w:rsid w:val="00147ACD"/>
    <w:rsid w:val="00147DA2"/>
    <w:rsid w:val="001501D6"/>
    <w:rsid w:val="001502BF"/>
    <w:rsid w:val="00151038"/>
    <w:rsid w:val="0015116A"/>
    <w:rsid w:val="001525EE"/>
    <w:rsid w:val="001532E8"/>
    <w:rsid w:val="00153749"/>
    <w:rsid w:val="001539A1"/>
    <w:rsid w:val="001541BD"/>
    <w:rsid w:val="00154AE5"/>
    <w:rsid w:val="00154EF6"/>
    <w:rsid w:val="00155151"/>
    <w:rsid w:val="0015696E"/>
    <w:rsid w:val="001570C6"/>
    <w:rsid w:val="00157912"/>
    <w:rsid w:val="00157A52"/>
    <w:rsid w:val="001601D2"/>
    <w:rsid w:val="001605B8"/>
    <w:rsid w:val="001616AA"/>
    <w:rsid w:val="00161AB7"/>
    <w:rsid w:val="00162D21"/>
    <w:rsid w:val="00163453"/>
    <w:rsid w:val="0016379D"/>
    <w:rsid w:val="00164928"/>
    <w:rsid w:val="00164EDD"/>
    <w:rsid w:val="00164F9E"/>
    <w:rsid w:val="00165945"/>
    <w:rsid w:val="00165AFA"/>
    <w:rsid w:val="00165C6B"/>
    <w:rsid w:val="00166054"/>
    <w:rsid w:val="0016663D"/>
    <w:rsid w:val="00167126"/>
    <w:rsid w:val="001675BB"/>
    <w:rsid w:val="00167F0D"/>
    <w:rsid w:val="00170108"/>
    <w:rsid w:val="00170DF2"/>
    <w:rsid w:val="00171E26"/>
    <w:rsid w:val="00171FD0"/>
    <w:rsid w:val="00172BE3"/>
    <w:rsid w:val="00172DC4"/>
    <w:rsid w:val="0017301C"/>
    <w:rsid w:val="00173DA9"/>
    <w:rsid w:val="001757C0"/>
    <w:rsid w:val="00180F52"/>
    <w:rsid w:val="00181C55"/>
    <w:rsid w:val="00182464"/>
    <w:rsid w:val="00182787"/>
    <w:rsid w:val="0018309B"/>
    <w:rsid w:val="001850C1"/>
    <w:rsid w:val="0018538E"/>
    <w:rsid w:val="00186690"/>
    <w:rsid w:val="001868BC"/>
    <w:rsid w:val="001868C6"/>
    <w:rsid w:val="00186E33"/>
    <w:rsid w:val="00187873"/>
    <w:rsid w:val="0019013E"/>
    <w:rsid w:val="00190760"/>
    <w:rsid w:val="00190EC1"/>
    <w:rsid w:val="00191250"/>
    <w:rsid w:val="00191A03"/>
    <w:rsid w:val="00191A24"/>
    <w:rsid w:val="00191DA6"/>
    <w:rsid w:val="00193782"/>
    <w:rsid w:val="00193A02"/>
    <w:rsid w:val="00193EC4"/>
    <w:rsid w:val="0019455F"/>
    <w:rsid w:val="00195019"/>
    <w:rsid w:val="00195218"/>
    <w:rsid w:val="001956AC"/>
    <w:rsid w:val="001957F7"/>
    <w:rsid w:val="00195B55"/>
    <w:rsid w:val="00196199"/>
    <w:rsid w:val="00196BE6"/>
    <w:rsid w:val="00196C36"/>
    <w:rsid w:val="00197291"/>
    <w:rsid w:val="00197771"/>
    <w:rsid w:val="00197A73"/>
    <w:rsid w:val="00197AB7"/>
    <w:rsid w:val="001A11D5"/>
    <w:rsid w:val="001A216F"/>
    <w:rsid w:val="001A2220"/>
    <w:rsid w:val="001A3B5B"/>
    <w:rsid w:val="001A4C6D"/>
    <w:rsid w:val="001A504D"/>
    <w:rsid w:val="001A5687"/>
    <w:rsid w:val="001A571B"/>
    <w:rsid w:val="001A5FA1"/>
    <w:rsid w:val="001A708C"/>
    <w:rsid w:val="001B0684"/>
    <w:rsid w:val="001B133A"/>
    <w:rsid w:val="001B18FC"/>
    <w:rsid w:val="001B1B98"/>
    <w:rsid w:val="001B1FF6"/>
    <w:rsid w:val="001B21E0"/>
    <w:rsid w:val="001B2E9D"/>
    <w:rsid w:val="001B3143"/>
    <w:rsid w:val="001B3ACB"/>
    <w:rsid w:val="001B3B09"/>
    <w:rsid w:val="001B4057"/>
    <w:rsid w:val="001B4311"/>
    <w:rsid w:val="001B5DD9"/>
    <w:rsid w:val="001B6993"/>
    <w:rsid w:val="001B7808"/>
    <w:rsid w:val="001B7F3E"/>
    <w:rsid w:val="001C012A"/>
    <w:rsid w:val="001C1430"/>
    <w:rsid w:val="001C1700"/>
    <w:rsid w:val="001C1A85"/>
    <w:rsid w:val="001C1B36"/>
    <w:rsid w:val="001C2C7F"/>
    <w:rsid w:val="001C3046"/>
    <w:rsid w:val="001C42B6"/>
    <w:rsid w:val="001C4B4C"/>
    <w:rsid w:val="001C4FAA"/>
    <w:rsid w:val="001C514C"/>
    <w:rsid w:val="001C537B"/>
    <w:rsid w:val="001C7535"/>
    <w:rsid w:val="001C788F"/>
    <w:rsid w:val="001C79BE"/>
    <w:rsid w:val="001D02A4"/>
    <w:rsid w:val="001D0654"/>
    <w:rsid w:val="001D13B4"/>
    <w:rsid w:val="001D1BCD"/>
    <w:rsid w:val="001D2C3B"/>
    <w:rsid w:val="001D3E98"/>
    <w:rsid w:val="001D408D"/>
    <w:rsid w:val="001D41ED"/>
    <w:rsid w:val="001D53F4"/>
    <w:rsid w:val="001D545D"/>
    <w:rsid w:val="001D5F6A"/>
    <w:rsid w:val="001D61C8"/>
    <w:rsid w:val="001D644C"/>
    <w:rsid w:val="001D67C5"/>
    <w:rsid w:val="001D6DE1"/>
    <w:rsid w:val="001E0E83"/>
    <w:rsid w:val="001E1293"/>
    <w:rsid w:val="001E22EB"/>
    <w:rsid w:val="001E29BA"/>
    <w:rsid w:val="001E2EF5"/>
    <w:rsid w:val="001E2FB2"/>
    <w:rsid w:val="001E3514"/>
    <w:rsid w:val="001E3BD7"/>
    <w:rsid w:val="001E499A"/>
    <w:rsid w:val="001E7A1B"/>
    <w:rsid w:val="001E7CB8"/>
    <w:rsid w:val="001E7DA1"/>
    <w:rsid w:val="001F2AB5"/>
    <w:rsid w:val="001F2B2A"/>
    <w:rsid w:val="001F427F"/>
    <w:rsid w:val="001F44B8"/>
    <w:rsid w:val="001F51A3"/>
    <w:rsid w:val="001F53B5"/>
    <w:rsid w:val="001F6039"/>
    <w:rsid w:val="001F659A"/>
    <w:rsid w:val="001F6B46"/>
    <w:rsid w:val="001F6CBD"/>
    <w:rsid w:val="001F7209"/>
    <w:rsid w:val="001F7D13"/>
    <w:rsid w:val="00200D5E"/>
    <w:rsid w:val="00200EDE"/>
    <w:rsid w:val="0020156F"/>
    <w:rsid w:val="00201D25"/>
    <w:rsid w:val="00202494"/>
    <w:rsid w:val="00202B1E"/>
    <w:rsid w:val="002030A8"/>
    <w:rsid w:val="0020333A"/>
    <w:rsid w:val="00203623"/>
    <w:rsid w:val="0020385B"/>
    <w:rsid w:val="00203A5C"/>
    <w:rsid w:val="0020432B"/>
    <w:rsid w:val="0020459D"/>
    <w:rsid w:val="00204FC1"/>
    <w:rsid w:val="00205ED6"/>
    <w:rsid w:val="00206276"/>
    <w:rsid w:val="00206320"/>
    <w:rsid w:val="00206C75"/>
    <w:rsid w:val="00207A82"/>
    <w:rsid w:val="00207EA9"/>
    <w:rsid w:val="00210826"/>
    <w:rsid w:val="00210C18"/>
    <w:rsid w:val="002134F1"/>
    <w:rsid w:val="00213911"/>
    <w:rsid w:val="00213FBE"/>
    <w:rsid w:val="0021450D"/>
    <w:rsid w:val="00214760"/>
    <w:rsid w:val="00215121"/>
    <w:rsid w:val="002158B2"/>
    <w:rsid w:val="00215E1C"/>
    <w:rsid w:val="002164EA"/>
    <w:rsid w:val="00216615"/>
    <w:rsid w:val="0021685F"/>
    <w:rsid w:val="00216B32"/>
    <w:rsid w:val="00216DD9"/>
    <w:rsid w:val="00216E9E"/>
    <w:rsid w:val="002177A3"/>
    <w:rsid w:val="0022006C"/>
    <w:rsid w:val="0022054E"/>
    <w:rsid w:val="00221CCC"/>
    <w:rsid w:val="00221DCC"/>
    <w:rsid w:val="002221FD"/>
    <w:rsid w:val="002248B2"/>
    <w:rsid w:val="0022493F"/>
    <w:rsid w:val="002249FB"/>
    <w:rsid w:val="00224A44"/>
    <w:rsid w:val="00225442"/>
    <w:rsid w:val="00225933"/>
    <w:rsid w:val="00225C77"/>
    <w:rsid w:val="00225CC7"/>
    <w:rsid w:val="00226389"/>
    <w:rsid w:val="00227ADC"/>
    <w:rsid w:val="002309A3"/>
    <w:rsid w:val="00230D9A"/>
    <w:rsid w:val="00230F35"/>
    <w:rsid w:val="00230FBF"/>
    <w:rsid w:val="002310A5"/>
    <w:rsid w:val="002320F8"/>
    <w:rsid w:val="00232283"/>
    <w:rsid w:val="00232AA1"/>
    <w:rsid w:val="00233F57"/>
    <w:rsid w:val="002349E4"/>
    <w:rsid w:val="00235196"/>
    <w:rsid w:val="002354CA"/>
    <w:rsid w:val="00235B9A"/>
    <w:rsid w:val="002360BE"/>
    <w:rsid w:val="0023627D"/>
    <w:rsid w:val="00236848"/>
    <w:rsid w:val="00236C8A"/>
    <w:rsid w:val="00237060"/>
    <w:rsid w:val="002370F7"/>
    <w:rsid w:val="00237772"/>
    <w:rsid w:val="002377ED"/>
    <w:rsid w:val="00237CBF"/>
    <w:rsid w:val="002412C1"/>
    <w:rsid w:val="00241EAF"/>
    <w:rsid w:val="002438BC"/>
    <w:rsid w:val="00244911"/>
    <w:rsid w:val="0024526D"/>
    <w:rsid w:val="0024639D"/>
    <w:rsid w:val="00247CF4"/>
    <w:rsid w:val="00250C2E"/>
    <w:rsid w:val="0025131D"/>
    <w:rsid w:val="0025180E"/>
    <w:rsid w:val="002518EA"/>
    <w:rsid w:val="00251C06"/>
    <w:rsid w:val="00252A5C"/>
    <w:rsid w:val="0025307E"/>
    <w:rsid w:val="0025416F"/>
    <w:rsid w:val="00254C7D"/>
    <w:rsid w:val="00254C80"/>
    <w:rsid w:val="00255638"/>
    <w:rsid w:val="0025631B"/>
    <w:rsid w:val="00256491"/>
    <w:rsid w:val="00256CE8"/>
    <w:rsid w:val="00256D20"/>
    <w:rsid w:val="00257A28"/>
    <w:rsid w:val="002609BD"/>
    <w:rsid w:val="00260A60"/>
    <w:rsid w:val="00261C5F"/>
    <w:rsid w:val="00261D3D"/>
    <w:rsid w:val="00262055"/>
    <w:rsid w:val="00262BFE"/>
    <w:rsid w:val="002637BB"/>
    <w:rsid w:val="00263B08"/>
    <w:rsid w:val="00263EFA"/>
    <w:rsid w:val="00263F70"/>
    <w:rsid w:val="002650FD"/>
    <w:rsid w:val="00266284"/>
    <w:rsid w:val="00266762"/>
    <w:rsid w:val="00267B16"/>
    <w:rsid w:val="002713D0"/>
    <w:rsid w:val="00272FB5"/>
    <w:rsid w:val="00273311"/>
    <w:rsid w:val="00273337"/>
    <w:rsid w:val="00273362"/>
    <w:rsid w:val="002736F1"/>
    <w:rsid w:val="00274C1A"/>
    <w:rsid w:val="00274D96"/>
    <w:rsid w:val="00276A24"/>
    <w:rsid w:val="00276E7C"/>
    <w:rsid w:val="00276FEA"/>
    <w:rsid w:val="00280262"/>
    <w:rsid w:val="00280A37"/>
    <w:rsid w:val="00280AFD"/>
    <w:rsid w:val="002827FF"/>
    <w:rsid w:val="002833C1"/>
    <w:rsid w:val="00285647"/>
    <w:rsid w:val="00285729"/>
    <w:rsid w:val="00286406"/>
    <w:rsid w:val="00286469"/>
    <w:rsid w:val="0028742C"/>
    <w:rsid w:val="0028767E"/>
    <w:rsid w:val="00287D89"/>
    <w:rsid w:val="00287FD9"/>
    <w:rsid w:val="002915C5"/>
    <w:rsid w:val="00292B94"/>
    <w:rsid w:val="00293572"/>
    <w:rsid w:val="002943B5"/>
    <w:rsid w:val="00294EC5"/>
    <w:rsid w:val="00295F71"/>
    <w:rsid w:val="002964DE"/>
    <w:rsid w:val="002966F9"/>
    <w:rsid w:val="00296C8F"/>
    <w:rsid w:val="00297EF7"/>
    <w:rsid w:val="002A082D"/>
    <w:rsid w:val="002A115C"/>
    <w:rsid w:val="002A126C"/>
    <w:rsid w:val="002A15AD"/>
    <w:rsid w:val="002A18F5"/>
    <w:rsid w:val="002A1BE5"/>
    <w:rsid w:val="002A2DAF"/>
    <w:rsid w:val="002A437F"/>
    <w:rsid w:val="002A48C8"/>
    <w:rsid w:val="002A5030"/>
    <w:rsid w:val="002A7121"/>
    <w:rsid w:val="002B059C"/>
    <w:rsid w:val="002B05F3"/>
    <w:rsid w:val="002B1442"/>
    <w:rsid w:val="002B1714"/>
    <w:rsid w:val="002B1E0C"/>
    <w:rsid w:val="002B2A20"/>
    <w:rsid w:val="002B2D31"/>
    <w:rsid w:val="002B2D3B"/>
    <w:rsid w:val="002B39C6"/>
    <w:rsid w:val="002B3EA9"/>
    <w:rsid w:val="002B4F16"/>
    <w:rsid w:val="002B5BF8"/>
    <w:rsid w:val="002B632A"/>
    <w:rsid w:val="002B6BA1"/>
    <w:rsid w:val="002C0AFB"/>
    <w:rsid w:val="002C0C8F"/>
    <w:rsid w:val="002C10A8"/>
    <w:rsid w:val="002C14AE"/>
    <w:rsid w:val="002C1D0E"/>
    <w:rsid w:val="002C2388"/>
    <w:rsid w:val="002C2534"/>
    <w:rsid w:val="002C2A27"/>
    <w:rsid w:val="002C2AD6"/>
    <w:rsid w:val="002C3025"/>
    <w:rsid w:val="002C3A34"/>
    <w:rsid w:val="002C44F4"/>
    <w:rsid w:val="002C4879"/>
    <w:rsid w:val="002C4AAF"/>
    <w:rsid w:val="002C59FB"/>
    <w:rsid w:val="002C5C46"/>
    <w:rsid w:val="002C61F3"/>
    <w:rsid w:val="002C6BF4"/>
    <w:rsid w:val="002C7399"/>
    <w:rsid w:val="002C7978"/>
    <w:rsid w:val="002C7A07"/>
    <w:rsid w:val="002C7E36"/>
    <w:rsid w:val="002D099C"/>
    <w:rsid w:val="002D0B95"/>
    <w:rsid w:val="002D101E"/>
    <w:rsid w:val="002D155F"/>
    <w:rsid w:val="002D1DFD"/>
    <w:rsid w:val="002D2043"/>
    <w:rsid w:val="002D3BAB"/>
    <w:rsid w:val="002D42F6"/>
    <w:rsid w:val="002D4548"/>
    <w:rsid w:val="002D5473"/>
    <w:rsid w:val="002D58B4"/>
    <w:rsid w:val="002D5B2B"/>
    <w:rsid w:val="002D631F"/>
    <w:rsid w:val="002D7073"/>
    <w:rsid w:val="002E0282"/>
    <w:rsid w:val="002E1458"/>
    <w:rsid w:val="002E163D"/>
    <w:rsid w:val="002E22EB"/>
    <w:rsid w:val="002E2415"/>
    <w:rsid w:val="002E2A33"/>
    <w:rsid w:val="002E302C"/>
    <w:rsid w:val="002E5621"/>
    <w:rsid w:val="002E5DC0"/>
    <w:rsid w:val="002E6583"/>
    <w:rsid w:val="002E6F71"/>
    <w:rsid w:val="002E7391"/>
    <w:rsid w:val="002E77A3"/>
    <w:rsid w:val="002E7809"/>
    <w:rsid w:val="002F02F1"/>
    <w:rsid w:val="002F0D0F"/>
    <w:rsid w:val="002F1417"/>
    <w:rsid w:val="002F2390"/>
    <w:rsid w:val="002F2E7D"/>
    <w:rsid w:val="002F2F9F"/>
    <w:rsid w:val="002F3235"/>
    <w:rsid w:val="002F432F"/>
    <w:rsid w:val="002F45F6"/>
    <w:rsid w:val="002F53D6"/>
    <w:rsid w:val="002F5886"/>
    <w:rsid w:val="002F71DB"/>
    <w:rsid w:val="00301D2E"/>
    <w:rsid w:val="003024BA"/>
    <w:rsid w:val="00302748"/>
    <w:rsid w:val="00304756"/>
    <w:rsid w:val="00305BEA"/>
    <w:rsid w:val="0030601D"/>
    <w:rsid w:val="00306791"/>
    <w:rsid w:val="00307232"/>
    <w:rsid w:val="0031028D"/>
    <w:rsid w:val="00310DB6"/>
    <w:rsid w:val="003117CF"/>
    <w:rsid w:val="00311C1A"/>
    <w:rsid w:val="003129D6"/>
    <w:rsid w:val="003131E7"/>
    <w:rsid w:val="00313725"/>
    <w:rsid w:val="00314C18"/>
    <w:rsid w:val="0031539C"/>
    <w:rsid w:val="003179B3"/>
    <w:rsid w:val="003208D9"/>
    <w:rsid w:val="0032099F"/>
    <w:rsid w:val="00320CE0"/>
    <w:rsid w:val="00321107"/>
    <w:rsid w:val="00323916"/>
    <w:rsid w:val="0032445A"/>
    <w:rsid w:val="00324765"/>
    <w:rsid w:val="00324BE6"/>
    <w:rsid w:val="00324D11"/>
    <w:rsid w:val="003262F1"/>
    <w:rsid w:val="00326AF4"/>
    <w:rsid w:val="00326B0C"/>
    <w:rsid w:val="00326B3B"/>
    <w:rsid w:val="00326DE0"/>
    <w:rsid w:val="00327657"/>
    <w:rsid w:val="00330100"/>
    <w:rsid w:val="00330863"/>
    <w:rsid w:val="00331422"/>
    <w:rsid w:val="00333297"/>
    <w:rsid w:val="003333E0"/>
    <w:rsid w:val="00333F34"/>
    <w:rsid w:val="003348D4"/>
    <w:rsid w:val="003355AB"/>
    <w:rsid w:val="00335F07"/>
    <w:rsid w:val="003363A0"/>
    <w:rsid w:val="003364A8"/>
    <w:rsid w:val="003365D0"/>
    <w:rsid w:val="003369B6"/>
    <w:rsid w:val="00336B96"/>
    <w:rsid w:val="00336BFF"/>
    <w:rsid w:val="00336D42"/>
    <w:rsid w:val="0033755F"/>
    <w:rsid w:val="00340328"/>
    <w:rsid w:val="0034058F"/>
    <w:rsid w:val="003407E7"/>
    <w:rsid w:val="003414BF"/>
    <w:rsid w:val="00341FBB"/>
    <w:rsid w:val="00343106"/>
    <w:rsid w:val="003433CB"/>
    <w:rsid w:val="003433E5"/>
    <w:rsid w:val="00344320"/>
    <w:rsid w:val="00345BD9"/>
    <w:rsid w:val="00346EAE"/>
    <w:rsid w:val="00350287"/>
    <w:rsid w:val="003511C9"/>
    <w:rsid w:val="003514BD"/>
    <w:rsid w:val="00351C95"/>
    <w:rsid w:val="003525F5"/>
    <w:rsid w:val="003527BF"/>
    <w:rsid w:val="00353382"/>
    <w:rsid w:val="003533CD"/>
    <w:rsid w:val="003536FD"/>
    <w:rsid w:val="00353971"/>
    <w:rsid w:val="00354C52"/>
    <w:rsid w:val="00355F94"/>
    <w:rsid w:val="00356040"/>
    <w:rsid w:val="003564EE"/>
    <w:rsid w:val="00356D10"/>
    <w:rsid w:val="00357388"/>
    <w:rsid w:val="00357ACC"/>
    <w:rsid w:val="00360024"/>
    <w:rsid w:val="00360F92"/>
    <w:rsid w:val="0036141E"/>
    <w:rsid w:val="00361798"/>
    <w:rsid w:val="00362ADD"/>
    <w:rsid w:val="0036348F"/>
    <w:rsid w:val="00363C4E"/>
    <w:rsid w:val="00363F4B"/>
    <w:rsid w:val="0036406B"/>
    <w:rsid w:val="00364529"/>
    <w:rsid w:val="00364760"/>
    <w:rsid w:val="00364EBB"/>
    <w:rsid w:val="0036526B"/>
    <w:rsid w:val="003652B3"/>
    <w:rsid w:val="00365B1C"/>
    <w:rsid w:val="00365F6D"/>
    <w:rsid w:val="00366118"/>
    <w:rsid w:val="00367EF4"/>
    <w:rsid w:val="003702DC"/>
    <w:rsid w:val="003706FB"/>
    <w:rsid w:val="00370701"/>
    <w:rsid w:val="0037075A"/>
    <w:rsid w:val="0037132E"/>
    <w:rsid w:val="0037185E"/>
    <w:rsid w:val="003745BD"/>
    <w:rsid w:val="00374696"/>
    <w:rsid w:val="00374740"/>
    <w:rsid w:val="00375D34"/>
    <w:rsid w:val="003761CA"/>
    <w:rsid w:val="0037711E"/>
    <w:rsid w:val="00377779"/>
    <w:rsid w:val="00380B10"/>
    <w:rsid w:val="003811D6"/>
    <w:rsid w:val="00381EA9"/>
    <w:rsid w:val="00381FC6"/>
    <w:rsid w:val="00382D2D"/>
    <w:rsid w:val="003837A7"/>
    <w:rsid w:val="00383BDC"/>
    <w:rsid w:val="00384D5F"/>
    <w:rsid w:val="00384D63"/>
    <w:rsid w:val="003852EA"/>
    <w:rsid w:val="0038685F"/>
    <w:rsid w:val="00386A98"/>
    <w:rsid w:val="00386EDA"/>
    <w:rsid w:val="00387F15"/>
    <w:rsid w:val="00390F7F"/>
    <w:rsid w:val="0039133F"/>
    <w:rsid w:val="00392602"/>
    <w:rsid w:val="00392D2A"/>
    <w:rsid w:val="00392E8A"/>
    <w:rsid w:val="00393352"/>
    <w:rsid w:val="0039430B"/>
    <w:rsid w:val="003944A8"/>
    <w:rsid w:val="00394986"/>
    <w:rsid w:val="00394F27"/>
    <w:rsid w:val="003953ED"/>
    <w:rsid w:val="003955C1"/>
    <w:rsid w:val="00395617"/>
    <w:rsid w:val="0039565E"/>
    <w:rsid w:val="00395A31"/>
    <w:rsid w:val="00395C44"/>
    <w:rsid w:val="00396E74"/>
    <w:rsid w:val="00397487"/>
    <w:rsid w:val="003A0CF2"/>
    <w:rsid w:val="003A0D64"/>
    <w:rsid w:val="003A103A"/>
    <w:rsid w:val="003A1309"/>
    <w:rsid w:val="003A1318"/>
    <w:rsid w:val="003A1A47"/>
    <w:rsid w:val="003A1D66"/>
    <w:rsid w:val="003A2597"/>
    <w:rsid w:val="003A2CA8"/>
    <w:rsid w:val="003A3E7F"/>
    <w:rsid w:val="003A4727"/>
    <w:rsid w:val="003A4B37"/>
    <w:rsid w:val="003A5E06"/>
    <w:rsid w:val="003A6BD7"/>
    <w:rsid w:val="003A70E5"/>
    <w:rsid w:val="003A73BB"/>
    <w:rsid w:val="003A775C"/>
    <w:rsid w:val="003B0588"/>
    <w:rsid w:val="003B15C7"/>
    <w:rsid w:val="003B1A7F"/>
    <w:rsid w:val="003B1F3F"/>
    <w:rsid w:val="003B2C27"/>
    <w:rsid w:val="003B3DE8"/>
    <w:rsid w:val="003B3F1E"/>
    <w:rsid w:val="003B4DA9"/>
    <w:rsid w:val="003B54BF"/>
    <w:rsid w:val="003B5C2F"/>
    <w:rsid w:val="003B5C54"/>
    <w:rsid w:val="003B6564"/>
    <w:rsid w:val="003B67AF"/>
    <w:rsid w:val="003B70C5"/>
    <w:rsid w:val="003B7B60"/>
    <w:rsid w:val="003C0535"/>
    <w:rsid w:val="003C0C74"/>
    <w:rsid w:val="003C1642"/>
    <w:rsid w:val="003C1CA8"/>
    <w:rsid w:val="003C1DAD"/>
    <w:rsid w:val="003C1EAE"/>
    <w:rsid w:val="003C2943"/>
    <w:rsid w:val="003C332E"/>
    <w:rsid w:val="003C39D8"/>
    <w:rsid w:val="003C3C38"/>
    <w:rsid w:val="003C440F"/>
    <w:rsid w:val="003C5766"/>
    <w:rsid w:val="003C5EE8"/>
    <w:rsid w:val="003C6BC7"/>
    <w:rsid w:val="003C7345"/>
    <w:rsid w:val="003C7979"/>
    <w:rsid w:val="003D06B9"/>
    <w:rsid w:val="003D30F1"/>
    <w:rsid w:val="003D3B89"/>
    <w:rsid w:val="003D3D1A"/>
    <w:rsid w:val="003D40F3"/>
    <w:rsid w:val="003D43F0"/>
    <w:rsid w:val="003D4715"/>
    <w:rsid w:val="003D479D"/>
    <w:rsid w:val="003D5080"/>
    <w:rsid w:val="003D5607"/>
    <w:rsid w:val="003E0BC0"/>
    <w:rsid w:val="003E0EAE"/>
    <w:rsid w:val="003E223F"/>
    <w:rsid w:val="003E329C"/>
    <w:rsid w:val="003E498C"/>
    <w:rsid w:val="003E543B"/>
    <w:rsid w:val="003E581B"/>
    <w:rsid w:val="003E6A09"/>
    <w:rsid w:val="003E6A75"/>
    <w:rsid w:val="003E7339"/>
    <w:rsid w:val="003E7823"/>
    <w:rsid w:val="003E7B12"/>
    <w:rsid w:val="003F00E6"/>
    <w:rsid w:val="003F05D1"/>
    <w:rsid w:val="003F1442"/>
    <w:rsid w:val="003F1914"/>
    <w:rsid w:val="003F2228"/>
    <w:rsid w:val="003F5CB9"/>
    <w:rsid w:val="003F772A"/>
    <w:rsid w:val="004003CD"/>
    <w:rsid w:val="0040053F"/>
    <w:rsid w:val="00400EA4"/>
    <w:rsid w:val="00401536"/>
    <w:rsid w:val="00402663"/>
    <w:rsid w:val="00402B8D"/>
    <w:rsid w:val="004030FD"/>
    <w:rsid w:val="00403920"/>
    <w:rsid w:val="004043D0"/>
    <w:rsid w:val="00404690"/>
    <w:rsid w:val="00404D8C"/>
    <w:rsid w:val="00404DAC"/>
    <w:rsid w:val="0040558B"/>
    <w:rsid w:val="0040584D"/>
    <w:rsid w:val="0040595B"/>
    <w:rsid w:val="00405F77"/>
    <w:rsid w:val="00407143"/>
    <w:rsid w:val="004074F6"/>
    <w:rsid w:val="0040758F"/>
    <w:rsid w:val="00407696"/>
    <w:rsid w:val="004077D9"/>
    <w:rsid w:val="00407E1E"/>
    <w:rsid w:val="00407E90"/>
    <w:rsid w:val="00407EFF"/>
    <w:rsid w:val="00410161"/>
    <w:rsid w:val="0041087B"/>
    <w:rsid w:val="00410CA9"/>
    <w:rsid w:val="00410D5D"/>
    <w:rsid w:val="004124F0"/>
    <w:rsid w:val="00412D37"/>
    <w:rsid w:val="00413539"/>
    <w:rsid w:val="0041409D"/>
    <w:rsid w:val="004143F4"/>
    <w:rsid w:val="004164E3"/>
    <w:rsid w:val="004167F9"/>
    <w:rsid w:val="00416CBE"/>
    <w:rsid w:val="00421110"/>
    <w:rsid w:val="004229F1"/>
    <w:rsid w:val="00422DEE"/>
    <w:rsid w:val="00423ACB"/>
    <w:rsid w:val="00423FAA"/>
    <w:rsid w:val="004242C8"/>
    <w:rsid w:val="004245E6"/>
    <w:rsid w:val="0042479D"/>
    <w:rsid w:val="004248FE"/>
    <w:rsid w:val="00424C09"/>
    <w:rsid w:val="00424EA8"/>
    <w:rsid w:val="00425334"/>
    <w:rsid w:val="004259E4"/>
    <w:rsid w:val="004267B6"/>
    <w:rsid w:val="0042797D"/>
    <w:rsid w:val="004302F4"/>
    <w:rsid w:val="00430311"/>
    <w:rsid w:val="00430BFD"/>
    <w:rsid w:val="00430F16"/>
    <w:rsid w:val="00431087"/>
    <w:rsid w:val="004310C7"/>
    <w:rsid w:val="00431552"/>
    <w:rsid w:val="004315EE"/>
    <w:rsid w:val="0043172B"/>
    <w:rsid w:val="00431B6C"/>
    <w:rsid w:val="00431CC2"/>
    <w:rsid w:val="004326C5"/>
    <w:rsid w:val="004329B8"/>
    <w:rsid w:val="00432C2B"/>
    <w:rsid w:val="00433F35"/>
    <w:rsid w:val="0043452B"/>
    <w:rsid w:val="00434563"/>
    <w:rsid w:val="00435329"/>
    <w:rsid w:val="00435AE2"/>
    <w:rsid w:val="00436305"/>
    <w:rsid w:val="004363A0"/>
    <w:rsid w:val="0043788D"/>
    <w:rsid w:val="00437E18"/>
    <w:rsid w:val="00437EB1"/>
    <w:rsid w:val="004401BD"/>
    <w:rsid w:val="00440885"/>
    <w:rsid w:val="004419F3"/>
    <w:rsid w:val="00442D44"/>
    <w:rsid w:val="00442D47"/>
    <w:rsid w:val="0044362D"/>
    <w:rsid w:val="00443C4E"/>
    <w:rsid w:val="00444185"/>
    <w:rsid w:val="00444C3D"/>
    <w:rsid w:val="00444F3E"/>
    <w:rsid w:val="0044513B"/>
    <w:rsid w:val="004451E8"/>
    <w:rsid w:val="004454E0"/>
    <w:rsid w:val="004457B8"/>
    <w:rsid w:val="004462E6"/>
    <w:rsid w:val="00447FC5"/>
    <w:rsid w:val="00450524"/>
    <w:rsid w:val="0045159A"/>
    <w:rsid w:val="0045163D"/>
    <w:rsid w:val="004517C3"/>
    <w:rsid w:val="00453B15"/>
    <w:rsid w:val="00453EBB"/>
    <w:rsid w:val="00454980"/>
    <w:rsid w:val="00454B03"/>
    <w:rsid w:val="00454E40"/>
    <w:rsid w:val="004556A8"/>
    <w:rsid w:val="00455A74"/>
    <w:rsid w:val="00455BD1"/>
    <w:rsid w:val="00456037"/>
    <w:rsid w:val="0045709D"/>
    <w:rsid w:val="00457EA9"/>
    <w:rsid w:val="00460207"/>
    <w:rsid w:val="00460EDE"/>
    <w:rsid w:val="00460F16"/>
    <w:rsid w:val="004613FA"/>
    <w:rsid w:val="004616A5"/>
    <w:rsid w:val="00461A8B"/>
    <w:rsid w:val="004620D6"/>
    <w:rsid w:val="00463A45"/>
    <w:rsid w:val="00464BB7"/>
    <w:rsid w:val="004659D8"/>
    <w:rsid w:val="00466201"/>
    <w:rsid w:val="00466F9E"/>
    <w:rsid w:val="00467DD1"/>
    <w:rsid w:val="00470165"/>
    <w:rsid w:val="00470792"/>
    <w:rsid w:val="00470B01"/>
    <w:rsid w:val="00470B7C"/>
    <w:rsid w:val="00471567"/>
    <w:rsid w:val="004731C2"/>
    <w:rsid w:val="00473D3B"/>
    <w:rsid w:val="004743F9"/>
    <w:rsid w:val="004747E1"/>
    <w:rsid w:val="00474D29"/>
    <w:rsid w:val="004750A2"/>
    <w:rsid w:val="00475A95"/>
    <w:rsid w:val="004766D0"/>
    <w:rsid w:val="00477DB7"/>
    <w:rsid w:val="00477E3D"/>
    <w:rsid w:val="004803D4"/>
    <w:rsid w:val="00480CA6"/>
    <w:rsid w:val="00481899"/>
    <w:rsid w:val="00481B68"/>
    <w:rsid w:val="00482530"/>
    <w:rsid w:val="0048313F"/>
    <w:rsid w:val="00483752"/>
    <w:rsid w:val="00483D07"/>
    <w:rsid w:val="00484345"/>
    <w:rsid w:val="004849AD"/>
    <w:rsid w:val="00484D42"/>
    <w:rsid w:val="00484DDB"/>
    <w:rsid w:val="00485805"/>
    <w:rsid w:val="004865D4"/>
    <w:rsid w:val="0048775C"/>
    <w:rsid w:val="004916E8"/>
    <w:rsid w:val="00491864"/>
    <w:rsid w:val="00491B9F"/>
    <w:rsid w:val="00492526"/>
    <w:rsid w:val="0049252C"/>
    <w:rsid w:val="00492CBF"/>
    <w:rsid w:val="00493151"/>
    <w:rsid w:val="004936A0"/>
    <w:rsid w:val="004938BB"/>
    <w:rsid w:val="00494A6D"/>
    <w:rsid w:val="0049519A"/>
    <w:rsid w:val="0049567E"/>
    <w:rsid w:val="00495B92"/>
    <w:rsid w:val="00496106"/>
    <w:rsid w:val="004A0B9D"/>
    <w:rsid w:val="004A222F"/>
    <w:rsid w:val="004A233F"/>
    <w:rsid w:val="004A2421"/>
    <w:rsid w:val="004A2528"/>
    <w:rsid w:val="004A254C"/>
    <w:rsid w:val="004A258F"/>
    <w:rsid w:val="004A2BE5"/>
    <w:rsid w:val="004A2FF8"/>
    <w:rsid w:val="004A3842"/>
    <w:rsid w:val="004A40FD"/>
    <w:rsid w:val="004A4FB4"/>
    <w:rsid w:val="004A5A8A"/>
    <w:rsid w:val="004A5F6F"/>
    <w:rsid w:val="004A6A8C"/>
    <w:rsid w:val="004A6EFB"/>
    <w:rsid w:val="004A71A1"/>
    <w:rsid w:val="004A75DD"/>
    <w:rsid w:val="004B019B"/>
    <w:rsid w:val="004B149C"/>
    <w:rsid w:val="004B25A7"/>
    <w:rsid w:val="004B2A9B"/>
    <w:rsid w:val="004B2CD3"/>
    <w:rsid w:val="004B3868"/>
    <w:rsid w:val="004B3F6A"/>
    <w:rsid w:val="004B5D23"/>
    <w:rsid w:val="004B5EE1"/>
    <w:rsid w:val="004B6F55"/>
    <w:rsid w:val="004B7348"/>
    <w:rsid w:val="004B73C7"/>
    <w:rsid w:val="004C0361"/>
    <w:rsid w:val="004C04F8"/>
    <w:rsid w:val="004C07B3"/>
    <w:rsid w:val="004C1096"/>
    <w:rsid w:val="004C2274"/>
    <w:rsid w:val="004C2828"/>
    <w:rsid w:val="004C289B"/>
    <w:rsid w:val="004C2FE1"/>
    <w:rsid w:val="004C3378"/>
    <w:rsid w:val="004C3825"/>
    <w:rsid w:val="004C5D83"/>
    <w:rsid w:val="004C7304"/>
    <w:rsid w:val="004D1898"/>
    <w:rsid w:val="004D2445"/>
    <w:rsid w:val="004D3C82"/>
    <w:rsid w:val="004D4153"/>
    <w:rsid w:val="004D4E9C"/>
    <w:rsid w:val="004D5080"/>
    <w:rsid w:val="004D5523"/>
    <w:rsid w:val="004D5CAD"/>
    <w:rsid w:val="004D6AB6"/>
    <w:rsid w:val="004D70FA"/>
    <w:rsid w:val="004D7A6A"/>
    <w:rsid w:val="004E0D6E"/>
    <w:rsid w:val="004E0FE3"/>
    <w:rsid w:val="004E25EC"/>
    <w:rsid w:val="004E35E8"/>
    <w:rsid w:val="004E4274"/>
    <w:rsid w:val="004E4A14"/>
    <w:rsid w:val="004E4AD2"/>
    <w:rsid w:val="004E538F"/>
    <w:rsid w:val="004E55C6"/>
    <w:rsid w:val="004E5960"/>
    <w:rsid w:val="004E6EAB"/>
    <w:rsid w:val="004E6F7C"/>
    <w:rsid w:val="004F0384"/>
    <w:rsid w:val="004F041A"/>
    <w:rsid w:val="004F06F9"/>
    <w:rsid w:val="004F0BCB"/>
    <w:rsid w:val="004F11DC"/>
    <w:rsid w:val="004F1384"/>
    <w:rsid w:val="004F24B6"/>
    <w:rsid w:val="004F294B"/>
    <w:rsid w:val="004F2A2C"/>
    <w:rsid w:val="004F2D4A"/>
    <w:rsid w:val="004F3E03"/>
    <w:rsid w:val="004F4376"/>
    <w:rsid w:val="004F47A3"/>
    <w:rsid w:val="004F5192"/>
    <w:rsid w:val="004F57FF"/>
    <w:rsid w:val="004F586B"/>
    <w:rsid w:val="00500020"/>
    <w:rsid w:val="005001AE"/>
    <w:rsid w:val="005002AD"/>
    <w:rsid w:val="00500C5F"/>
    <w:rsid w:val="00501FD2"/>
    <w:rsid w:val="005024DA"/>
    <w:rsid w:val="00502976"/>
    <w:rsid w:val="00502ADD"/>
    <w:rsid w:val="00503081"/>
    <w:rsid w:val="00503653"/>
    <w:rsid w:val="00503C8E"/>
    <w:rsid w:val="00503D26"/>
    <w:rsid w:val="005044EF"/>
    <w:rsid w:val="005050AE"/>
    <w:rsid w:val="005050C8"/>
    <w:rsid w:val="00505251"/>
    <w:rsid w:val="005052C0"/>
    <w:rsid w:val="00505409"/>
    <w:rsid w:val="00505693"/>
    <w:rsid w:val="00505CCF"/>
    <w:rsid w:val="00505D93"/>
    <w:rsid w:val="00505DC7"/>
    <w:rsid w:val="00507E04"/>
    <w:rsid w:val="00510C51"/>
    <w:rsid w:val="00511343"/>
    <w:rsid w:val="00512480"/>
    <w:rsid w:val="00512719"/>
    <w:rsid w:val="00512720"/>
    <w:rsid w:val="005133B0"/>
    <w:rsid w:val="00513625"/>
    <w:rsid w:val="00513770"/>
    <w:rsid w:val="005154A7"/>
    <w:rsid w:val="00515802"/>
    <w:rsid w:val="00515AE6"/>
    <w:rsid w:val="00515E5B"/>
    <w:rsid w:val="00516EA7"/>
    <w:rsid w:val="00517118"/>
    <w:rsid w:val="00520A1D"/>
    <w:rsid w:val="00521087"/>
    <w:rsid w:val="005213D3"/>
    <w:rsid w:val="005218F6"/>
    <w:rsid w:val="00521AD0"/>
    <w:rsid w:val="00521B2D"/>
    <w:rsid w:val="00521E42"/>
    <w:rsid w:val="005227B1"/>
    <w:rsid w:val="005233B1"/>
    <w:rsid w:val="00523500"/>
    <w:rsid w:val="00523DEE"/>
    <w:rsid w:val="00523EE3"/>
    <w:rsid w:val="00523F08"/>
    <w:rsid w:val="00524C48"/>
    <w:rsid w:val="00524DAD"/>
    <w:rsid w:val="00525605"/>
    <w:rsid w:val="00526115"/>
    <w:rsid w:val="005262AA"/>
    <w:rsid w:val="00526632"/>
    <w:rsid w:val="00526A01"/>
    <w:rsid w:val="00526C8B"/>
    <w:rsid w:val="005276E5"/>
    <w:rsid w:val="00530258"/>
    <w:rsid w:val="0053032C"/>
    <w:rsid w:val="00530A93"/>
    <w:rsid w:val="00531246"/>
    <w:rsid w:val="00531CC1"/>
    <w:rsid w:val="005322CF"/>
    <w:rsid w:val="00532809"/>
    <w:rsid w:val="00532B07"/>
    <w:rsid w:val="00532D16"/>
    <w:rsid w:val="00532F3A"/>
    <w:rsid w:val="00533008"/>
    <w:rsid w:val="0053314D"/>
    <w:rsid w:val="0053326F"/>
    <w:rsid w:val="0053349B"/>
    <w:rsid w:val="0053379A"/>
    <w:rsid w:val="00533BA0"/>
    <w:rsid w:val="00535379"/>
    <w:rsid w:val="00535530"/>
    <w:rsid w:val="00535A3A"/>
    <w:rsid w:val="005366B2"/>
    <w:rsid w:val="005368C8"/>
    <w:rsid w:val="005370B6"/>
    <w:rsid w:val="005371E8"/>
    <w:rsid w:val="005378E6"/>
    <w:rsid w:val="00540287"/>
    <w:rsid w:val="005403BF"/>
    <w:rsid w:val="00540733"/>
    <w:rsid w:val="00540E71"/>
    <w:rsid w:val="00541881"/>
    <w:rsid w:val="00541A37"/>
    <w:rsid w:val="00543810"/>
    <w:rsid w:val="005439D7"/>
    <w:rsid w:val="00543A4E"/>
    <w:rsid w:val="005454AD"/>
    <w:rsid w:val="00546FC3"/>
    <w:rsid w:val="00547892"/>
    <w:rsid w:val="00547903"/>
    <w:rsid w:val="00547AFC"/>
    <w:rsid w:val="00547C5B"/>
    <w:rsid w:val="005507B4"/>
    <w:rsid w:val="00550BFD"/>
    <w:rsid w:val="00550E4D"/>
    <w:rsid w:val="00551479"/>
    <w:rsid w:val="005524BA"/>
    <w:rsid w:val="00553160"/>
    <w:rsid w:val="00553AD7"/>
    <w:rsid w:val="005543D5"/>
    <w:rsid w:val="00554F1D"/>
    <w:rsid w:val="005559A8"/>
    <w:rsid w:val="00555FCA"/>
    <w:rsid w:val="00556B67"/>
    <w:rsid w:val="00557261"/>
    <w:rsid w:val="00557FEA"/>
    <w:rsid w:val="0056126F"/>
    <w:rsid w:val="005615DE"/>
    <w:rsid w:val="00561684"/>
    <w:rsid w:val="0056190E"/>
    <w:rsid w:val="0056222F"/>
    <w:rsid w:val="0056421E"/>
    <w:rsid w:val="005645C9"/>
    <w:rsid w:val="00564740"/>
    <w:rsid w:val="00565206"/>
    <w:rsid w:val="00565E39"/>
    <w:rsid w:val="00566FC8"/>
    <w:rsid w:val="00567108"/>
    <w:rsid w:val="00570001"/>
    <w:rsid w:val="00570C3C"/>
    <w:rsid w:val="00570F13"/>
    <w:rsid w:val="0057126C"/>
    <w:rsid w:val="00571532"/>
    <w:rsid w:val="005726DC"/>
    <w:rsid w:val="00572705"/>
    <w:rsid w:val="0057280D"/>
    <w:rsid w:val="00572EF7"/>
    <w:rsid w:val="00573DE8"/>
    <w:rsid w:val="0057471F"/>
    <w:rsid w:val="00574C24"/>
    <w:rsid w:val="005753DB"/>
    <w:rsid w:val="00575C4B"/>
    <w:rsid w:val="00576644"/>
    <w:rsid w:val="00580D91"/>
    <w:rsid w:val="005813F5"/>
    <w:rsid w:val="0058192F"/>
    <w:rsid w:val="00581EAF"/>
    <w:rsid w:val="00582BD7"/>
    <w:rsid w:val="00582CDC"/>
    <w:rsid w:val="00582F1B"/>
    <w:rsid w:val="00583432"/>
    <w:rsid w:val="0058370C"/>
    <w:rsid w:val="0058381A"/>
    <w:rsid w:val="00583B44"/>
    <w:rsid w:val="005846BF"/>
    <w:rsid w:val="00584D32"/>
    <w:rsid w:val="00586327"/>
    <w:rsid w:val="005872D8"/>
    <w:rsid w:val="00587D05"/>
    <w:rsid w:val="0059014F"/>
    <w:rsid w:val="005906A9"/>
    <w:rsid w:val="00591298"/>
    <w:rsid w:val="005918F8"/>
    <w:rsid w:val="00591E75"/>
    <w:rsid w:val="00591FFB"/>
    <w:rsid w:val="00592914"/>
    <w:rsid w:val="005940BB"/>
    <w:rsid w:val="00596940"/>
    <w:rsid w:val="00596C13"/>
    <w:rsid w:val="00597755"/>
    <w:rsid w:val="00597B92"/>
    <w:rsid w:val="00597C12"/>
    <w:rsid w:val="005A0BA1"/>
    <w:rsid w:val="005A158C"/>
    <w:rsid w:val="005A1789"/>
    <w:rsid w:val="005A1BBB"/>
    <w:rsid w:val="005A1F9E"/>
    <w:rsid w:val="005A232F"/>
    <w:rsid w:val="005A2866"/>
    <w:rsid w:val="005A2A65"/>
    <w:rsid w:val="005A2B50"/>
    <w:rsid w:val="005A2F25"/>
    <w:rsid w:val="005A303A"/>
    <w:rsid w:val="005A3474"/>
    <w:rsid w:val="005A51F9"/>
    <w:rsid w:val="005A58F1"/>
    <w:rsid w:val="005A5A02"/>
    <w:rsid w:val="005A6664"/>
    <w:rsid w:val="005A6DEA"/>
    <w:rsid w:val="005A7181"/>
    <w:rsid w:val="005A71AC"/>
    <w:rsid w:val="005B0585"/>
    <w:rsid w:val="005B07AF"/>
    <w:rsid w:val="005B0EB2"/>
    <w:rsid w:val="005B1E40"/>
    <w:rsid w:val="005B2AC9"/>
    <w:rsid w:val="005B2B0E"/>
    <w:rsid w:val="005B32CA"/>
    <w:rsid w:val="005B3C04"/>
    <w:rsid w:val="005B3EC2"/>
    <w:rsid w:val="005B3FF2"/>
    <w:rsid w:val="005B4A21"/>
    <w:rsid w:val="005B4D9E"/>
    <w:rsid w:val="005B5738"/>
    <w:rsid w:val="005B6820"/>
    <w:rsid w:val="005B698D"/>
    <w:rsid w:val="005B6E59"/>
    <w:rsid w:val="005B7F7A"/>
    <w:rsid w:val="005C06DB"/>
    <w:rsid w:val="005C0B4B"/>
    <w:rsid w:val="005C0ECA"/>
    <w:rsid w:val="005C106D"/>
    <w:rsid w:val="005C10A7"/>
    <w:rsid w:val="005C1686"/>
    <w:rsid w:val="005C2B74"/>
    <w:rsid w:val="005C2C9F"/>
    <w:rsid w:val="005C34C8"/>
    <w:rsid w:val="005C4006"/>
    <w:rsid w:val="005C4068"/>
    <w:rsid w:val="005C4BC2"/>
    <w:rsid w:val="005C5F7C"/>
    <w:rsid w:val="005C6415"/>
    <w:rsid w:val="005C6A08"/>
    <w:rsid w:val="005C7469"/>
    <w:rsid w:val="005C74DB"/>
    <w:rsid w:val="005C7DD1"/>
    <w:rsid w:val="005D0F2B"/>
    <w:rsid w:val="005D1EAD"/>
    <w:rsid w:val="005D2233"/>
    <w:rsid w:val="005D34B5"/>
    <w:rsid w:val="005D463B"/>
    <w:rsid w:val="005D5238"/>
    <w:rsid w:val="005D5A9E"/>
    <w:rsid w:val="005D5CBE"/>
    <w:rsid w:val="005D7F23"/>
    <w:rsid w:val="005E0875"/>
    <w:rsid w:val="005E098B"/>
    <w:rsid w:val="005E0AE0"/>
    <w:rsid w:val="005E1048"/>
    <w:rsid w:val="005E11C6"/>
    <w:rsid w:val="005E1296"/>
    <w:rsid w:val="005E13F2"/>
    <w:rsid w:val="005E182A"/>
    <w:rsid w:val="005E1C85"/>
    <w:rsid w:val="005E24C2"/>
    <w:rsid w:val="005E3C1A"/>
    <w:rsid w:val="005E3D55"/>
    <w:rsid w:val="005E4018"/>
    <w:rsid w:val="005E406A"/>
    <w:rsid w:val="005E450C"/>
    <w:rsid w:val="005E4798"/>
    <w:rsid w:val="005E6960"/>
    <w:rsid w:val="005E6B42"/>
    <w:rsid w:val="005F0665"/>
    <w:rsid w:val="005F0967"/>
    <w:rsid w:val="005F0CB1"/>
    <w:rsid w:val="005F0ED4"/>
    <w:rsid w:val="005F1766"/>
    <w:rsid w:val="005F3C4F"/>
    <w:rsid w:val="005F5542"/>
    <w:rsid w:val="005F63F0"/>
    <w:rsid w:val="005F68C3"/>
    <w:rsid w:val="005F68F4"/>
    <w:rsid w:val="005F6A46"/>
    <w:rsid w:val="005F7454"/>
    <w:rsid w:val="005F746C"/>
    <w:rsid w:val="005F7D29"/>
    <w:rsid w:val="006000B5"/>
    <w:rsid w:val="0060060E"/>
    <w:rsid w:val="00600820"/>
    <w:rsid w:val="006009CA"/>
    <w:rsid w:val="006011CE"/>
    <w:rsid w:val="006012E0"/>
    <w:rsid w:val="006015B0"/>
    <w:rsid w:val="00602021"/>
    <w:rsid w:val="00602208"/>
    <w:rsid w:val="00602B59"/>
    <w:rsid w:val="00602F56"/>
    <w:rsid w:val="0060321B"/>
    <w:rsid w:val="0060488F"/>
    <w:rsid w:val="00605246"/>
    <w:rsid w:val="0060641C"/>
    <w:rsid w:val="00607262"/>
    <w:rsid w:val="0060736F"/>
    <w:rsid w:val="00607ECB"/>
    <w:rsid w:val="00610060"/>
    <w:rsid w:val="00610B77"/>
    <w:rsid w:val="00611019"/>
    <w:rsid w:val="00611857"/>
    <w:rsid w:val="00612894"/>
    <w:rsid w:val="0061344E"/>
    <w:rsid w:val="00613C83"/>
    <w:rsid w:val="00613ED2"/>
    <w:rsid w:val="00614842"/>
    <w:rsid w:val="00616B00"/>
    <w:rsid w:val="00617382"/>
    <w:rsid w:val="00617796"/>
    <w:rsid w:val="006209E5"/>
    <w:rsid w:val="00621583"/>
    <w:rsid w:val="0062191D"/>
    <w:rsid w:val="00622F75"/>
    <w:rsid w:val="006238ED"/>
    <w:rsid w:val="00623EAF"/>
    <w:rsid w:val="006245BF"/>
    <w:rsid w:val="00624D5F"/>
    <w:rsid w:val="00624E33"/>
    <w:rsid w:val="006251C7"/>
    <w:rsid w:val="006253E7"/>
    <w:rsid w:val="00625C9C"/>
    <w:rsid w:val="00626354"/>
    <w:rsid w:val="006267A3"/>
    <w:rsid w:val="006301F4"/>
    <w:rsid w:val="0063026C"/>
    <w:rsid w:val="006310B4"/>
    <w:rsid w:val="00631756"/>
    <w:rsid w:val="00632AC8"/>
    <w:rsid w:val="00632C9C"/>
    <w:rsid w:val="00633936"/>
    <w:rsid w:val="00634470"/>
    <w:rsid w:val="00634703"/>
    <w:rsid w:val="006349D3"/>
    <w:rsid w:val="00634A56"/>
    <w:rsid w:val="00634DA1"/>
    <w:rsid w:val="00634F8E"/>
    <w:rsid w:val="006364FE"/>
    <w:rsid w:val="006374B9"/>
    <w:rsid w:val="00637C8E"/>
    <w:rsid w:val="0064081A"/>
    <w:rsid w:val="0064139C"/>
    <w:rsid w:val="00642A08"/>
    <w:rsid w:val="00642F93"/>
    <w:rsid w:val="00643ACA"/>
    <w:rsid w:val="00643C5A"/>
    <w:rsid w:val="0064438D"/>
    <w:rsid w:val="006443C1"/>
    <w:rsid w:val="00645FAC"/>
    <w:rsid w:val="0065035A"/>
    <w:rsid w:val="00650639"/>
    <w:rsid w:val="00650E04"/>
    <w:rsid w:val="006510F0"/>
    <w:rsid w:val="0065126D"/>
    <w:rsid w:val="006521D5"/>
    <w:rsid w:val="00652F45"/>
    <w:rsid w:val="006531B7"/>
    <w:rsid w:val="00653B91"/>
    <w:rsid w:val="00654561"/>
    <w:rsid w:val="0065472C"/>
    <w:rsid w:val="00655535"/>
    <w:rsid w:val="006563FE"/>
    <w:rsid w:val="00656770"/>
    <w:rsid w:val="006573F2"/>
    <w:rsid w:val="00657791"/>
    <w:rsid w:val="0065781B"/>
    <w:rsid w:val="0066001E"/>
    <w:rsid w:val="006614B2"/>
    <w:rsid w:val="00661778"/>
    <w:rsid w:val="00661DF7"/>
    <w:rsid w:val="006622D1"/>
    <w:rsid w:val="0066269A"/>
    <w:rsid w:val="00662F30"/>
    <w:rsid w:val="00663A1B"/>
    <w:rsid w:val="0066519B"/>
    <w:rsid w:val="006658B3"/>
    <w:rsid w:val="00665C70"/>
    <w:rsid w:val="00666AFF"/>
    <w:rsid w:val="006708F4"/>
    <w:rsid w:val="00670EE5"/>
    <w:rsid w:val="0067168E"/>
    <w:rsid w:val="0067188F"/>
    <w:rsid w:val="00671A49"/>
    <w:rsid w:val="006723EC"/>
    <w:rsid w:val="00672475"/>
    <w:rsid w:val="00672F29"/>
    <w:rsid w:val="0067448A"/>
    <w:rsid w:val="00674932"/>
    <w:rsid w:val="00674EF7"/>
    <w:rsid w:val="00675A2D"/>
    <w:rsid w:val="006770D7"/>
    <w:rsid w:val="00677FB6"/>
    <w:rsid w:val="006809F4"/>
    <w:rsid w:val="006812B3"/>
    <w:rsid w:val="00682180"/>
    <w:rsid w:val="00684153"/>
    <w:rsid w:val="006845EF"/>
    <w:rsid w:val="00684B5A"/>
    <w:rsid w:val="0068569A"/>
    <w:rsid w:val="00685B07"/>
    <w:rsid w:val="00686EB5"/>
    <w:rsid w:val="00687764"/>
    <w:rsid w:val="00687E74"/>
    <w:rsid w:val="006902F5"/>
    <w:rsid w:val="006904D5"/>
    <w:rsid w:val="0069085C"/>
    <w:rsid w:val="00690BED"/>
    <w:rsid w:val="00691C86"/>
    <w:rsid w:val="00692162"/>
    <w:rsid w:val="006939B7"/>
    <w:rsid w:val="00693E61"/>
    <w:rsid w:val="006952FF"/>
    <w:rsid w:val="006961F4"/>
    <w:rsid w:val="006A00F7"/>
    <w:rsid w:val="006A107A"/>
    <w:rsid w:val="006A1C63"/>
    <w:rsid w:val="006A20AC"/>
    <w:rsid w:val="006A34F3"/>
    <w:rsid w:val="006A385E"/>
    <w:rsid w:val="006A3FBC"/>
    <w:rsid w:val="006A458E"/>
    <w:rsid w:val="006A49F9"/>
    <w:rsid w:val="006A4E50"/>
    <w:rsid w:val="006A5EC0"/>
    <w:rsid w:val="006A6997"/>
    <w:rsid w:val="006A70DB"/>
    <w:rsid w:val="006B07E8"/>
    <w:rsid w:val="006B0A2A"/>
    <w:rsid w:val="006B1815"/>
    <w:rsid w:val="006B1A30"/>
    <w:rsid w:val="006B1BC0"/>
    <w:rsid w:val="006B1CBE"/>
    <w:rsid w:val="006B24E9"/>
    <w:rsid w:val="006B2ABD"/>
    <w:rsid w:val="006B2D49"/>
    <w:rsid w:val="006B3721"/>
    <w:rsid w:val="006B4479"/>
    <w:rsid w:val="006B6330"/>
    <w:rsid w:val="006B6513"/>
    <w:rsid w:val="006B6F11"/>
    <w:rsid w:val="006B764F"/>
    <w:rsid w:val="006B76E0"/>
    <w:rsid w:val="006C0021"/>
    <w:rsid w:val="006C02AF"/>
    <w:rsid w:val="006C091B"/>
    <w:rsid w:val="006C1B04"/>
    <w:rsid w:val="006C29E2"/>
    <w:rsid w:val="006C37E5"/>
    <w:rsid w:val="006C5C34"/>
    <w:rsid w:val="006C5F0F"/>
    <w:rsid w:val="006C6650"/>
    <w:rsid w:val="006C6D11"/>
    <w:rsid w:val="006C78CB"/>
    <w:rsid w:val="006C7CBC"/>
    <w:rsid w:val="006D02A8"/>
    <w:rsid w:val="006D0AEF"/>
    <w:rsid w:val="006D0D61"/>
    <w:rsid w:val="006D1C6F"/>
    <w:rsid w:val="006D27D8"/>
    <w:rsid w:val="006D5735"/>
    <w:rsid w:val="006D614B"/>
    <w:rsid w:val="006D7FC7"/>
    <w:rsid w:val="006E0F6E"/>
    <w:rsid w:val="006E182C"/>
    <w:rsid w:val="006E2022"/>
    <w:rsid w:val="006E2384"/>
    <w:rsid w:val="006E23F2"/>
    <w:rsid w:val="006E311C"/>
    <w:rsid w:val="006E38D0"/>
    <w:rsid w:val="006E4418"/>
    <w:rsid w:val="006E44BD"/>
    <w:rsid w:val="006E49D5"/>
    <w:rsid w:val="006E5231"/>
    <w:rsid w:val="006E6925"/>
    <w:rsid w:val="006E7768"/>
    <w:rsid w:val="006F0DB2"/>
    <w:rsid w:val="006F0DE6"/>
    <w:rsid w:val="006F10C6"/>
    <w:rsid w:val="006F1290"/>
    <w:rsid w:val="006F1DD9"/>
    <w:rsid w:val="006F1F79"/>
    <w:rsid w:val="006F2233"/>
    <w:rsid w:val="006F2288"/>
    <w:rsid w:val="006F264D"/>
    <w:rsid w:val="006F27E1"/>
    <w:rsid w:val="006F29E1"/>
    <w:rsid w:val="006F31DE"/>
    <w:rsid w:val="006F34B4"/>
    <w:rsid w:val="006F3640"/>
    <w:rsid w:val="006F5541"/>
    <w:rsid w:val="006F58A6"/>
    <w:rsid w:val="006F6382"/>
    <w:rsid w:val="007001DE"/>
    <w:rsid w:val="00700820"/>
    <w:rsid w:val="0070159E"/>
    <w:rsid w:val="00701C54"/>
    <w:rsid w:val="0070227A"/>
    <w:rsid w:val="00702498"/>
    <w:rsid w:val="00702517"/>
    <w:rsid w:val="00702EDC"/>
    <w:rsid w:val="007034C4"/>
    <w:rsid w:val="00703843"/>
    <w:rsid w:val="00703FFC"/>
    <w:rsid w:val="00704827"/>
    <w:rsid w:val="00705402"/>
    <w:rsid w:val="007069C7"/>
    <w:rsid w:val="007073F2"/>
    <w:rsid w:val="00707522"/>
    <w:rsid w:val="007100AF"/>
    <w:rsid w:val="007117A8"/>
    <w:rsid w:val="00711BEA"/>
    <w:rsid w:val="00711C88"/>
    <w:rsid w:val="00712EAF"/>
    <w:rsid w:val="00712F7A"/>
    <w:rsid w:val="007132C3"/>
    <w:rsid w:val="00715C11"/>
    <w:rsid w:val="00715C6E"/>
    <w:rsid w:val="007160F1"/>
    <w:rsid w:val="007168AF"/>
    <w:rsid w:val="007169AA"/>
    <w:rsid w:val="007174CA"/>
    <w:rsid w:val="007175D2"/>
    <w:rsid w:val="0072013B"/>
    <w:rsid w:val="00720F76"/>
    <w:rsid w:val="00722113"/>
    <w:rsid w:val="00723AA8"/>
    <w:rsid w:val="00723CA2"/>
    <w:rsid w:val="0072492B"/>
    <w:rsid w:val="00724B51"/>
    <w:rsid w:val="007256D6"/>
    <w:rsid w:val="0072572F"/>
    <w:rsid w:val="00725964"/>
    <w:rsid w:val="00725EF2"/>
    <w:rsid w:val="00725F0B"/>
    <w:rsid w:val="00726AF9"/>
    <w:rsid w:val="00726B3F"/>
    <w:rsid w:val="00726B40"/>
    <w:rsid w:val="00727661"/>
    <w:rsid w:val="00727AC3"/>
    <w:rsid w:val="00727C57"/>
    <w:rsid w:val="00727D43"/>
    <w:rsid w:val="007309D2"/>
    <w:rsid w:val="00731279"/>
    <w:rsid w:val="00731A14"/>
    <w:rsid w:val="00731C19"/>
    <w:rsid w:val="00732C86"/>
    <w:rsid w:val="0073326F"/>
    <w:rsid w:val="0073473B"/>
    <w:rsid w:val="00734AC4"/>
    <w:rsid w:val="00734CDA"/>
    <w:rsid w:val="00736314"/>
    <w:rsid w:val="00736928"/>
    <w:rsid w:val="00736DEB"/>
    <w:rsid w:val="00737F69"/>
    <w:rsid w:val="00740BEB"/>
    <w:rsid w:val="0074147F"/>
    <w:rsid w:val="00741EAD"/>
    <w:rsid w:val="00742B49"/>
    <w:rsid w:val="0074408E"/>
    <w:rsid w:val="00744C70"/>
    <w:rsid w:val="00745105"/>
    <w:rsid w:val="00745A9D"/>
    <w:rsid w:val="0074693B"/>
    <w:rsid w:val="00746EB9"/>
    <w:rsid w:val="00747147"/>
    <w:rsid w:val="00747895"/>
    <w:rsid w:val="00750A22"/>
    <w:rsid w:val="00750DAB"/>
    <w:rsid w:val="007518CB"/>
    <w:rsid w:val="007522A9"/>
    <w:rsid w:val="007527A7"/>
    <w:rsid w:val="0075352F"/>
    <w:rsid w:val="0075480E"/>
    <w:rsid w:val="00755884"/>
    <w:rsid w:val="0075594E"/>
    <w:rsid w:val="007564B9"/>
    <w:rsid w:val="0075682B"/>
    <w:rsid w:val="0075767E"/>
    <w:rsid w:val="00760519"/>
    <w:rsid w:val="00760DBC"/>
    <w:rsid w:val="0076114A"/>
    <w:rsid w:val="0076146C"/>
    <w:rsid w:val="00761479"/>
    <w:rsid w:val="00761A89"/>
    <w:rsid w:val="00763384"/>
    <w:rsid w:val="007642C0"/>
    <w:rsid w:val="0076496F"/>
    <w:rsid w:val="00764A02"/>
    <w:rsid w:val="00765B5A"/>
    <w:rsid w:val="00770250"/>
    <w:rsid w:val="00771904"/>
    <w:rsid w:val="00772410"/>
    <w:rsid w:val="007730AA"/>
    <w:rsid w:val="00773EA4"/>
    <w:rsid w:val="007748CB"/>
    <w:rsid w:val="00775877"/>
    <w:rsid w:val="007758C7"/>
    <w:rsid w:val="00775D2E"/>
    <w:rsid w:val="00776148"/>
    <w:rsid w:val="00776514"/>
    <w:rsid w:val="00776803"/>
    <w:rsid w:val="007801C1"/>
    <w:rsid w:val="00780817"/>
    <w:rsid w:val="00780EC9"/>
    <w:rsid w:val="007818DD"/>
    <w:rsid w:val="00781C02"/>
    <w:rsid w:val="0078269A"/>
    <w:rsid w:val="00783E62"/>
    <w:rsid w:val="0078471C"/>
    <w:rsid w:val="00784768"/>
    <w:rsid w:val="00784A61"/>
    <w:rsid w:val="00785269"/>
    <w:rsid w:val="007855A6"/>
    <w:rsid w:val="007857A8"/>
    <w:rsid w:val="00785939"/>
    <w:rsid w:val="00785A04"/>
    <w:rsid w:val="007860C0"/>
    <w:rsid w:val="007869A2"/>
    <w:rsid w:val="00786CD9"/>
    <w:rsid w:val="00787E25"/>
    <w:rsid w:val="00787F37"/>
    <w:rsid w:val="00790407"/>
    <w:rsid w:val="007908C9"/>
    <w:rsid w:val="00790C64"/>
    <w:rsid w:val="00790F88"/>
    <w:rsid w:val="0079182C"/>
    <w:rsid w:val="0079249B"/>
    <w:rsid w:val="00792658"/>
    <w:rsid w:val="0079293B"/>
    <w:rsid w:val="00792C15"/>
    <w:rsid w:val="00792E1B"/>
    <w:rsid w:val="00794740"/>
    <w:rsid w:val="00794A31"/>
    <w:rsid w:val="00795928"/>
    <w:rsid w:val="007963AB"/>
    <w:rsid w:val="0079686D"/>
    <w:rsid w:val="007969E1"/>
    <w:rsid w:val="007977A9"/>
    <w:rsid w:val="00797EBF"/>
    <w:rsid w:val="007A0500"/>
    <w:rsid w:val="007A10B1"/>
    <w:rsid w:val="007A1133"/>
    <w:rsid w:val="007A1838"/>
    <w:rsid w:val="007A186C"/>
    <w:rsid w:val="007A1B20"/>
    <w:rsid w:val="007A2579"/>
    <w:rsid w:val="007A26E2"/>
    <w:rsid w:val="007A28D4"/>
    <w:rsid w:val="007A2BF4"/>
    <w:rsid w:val="007A2BF5"/>
    <w:rsid w:val="007A2D47"/>
    <w:rsid w:val="007A4B6B"/>
    <w:rsid w:val="007A4CBE"/>
    <w:rsid w:val="007A529F"/>
    <w:rsid w:val="007A5753"/>
    <w:rsid w:val="007A5CE5"/>
    <w:rsid w:val="007A6FCA"/>
    <w:rsid w:val="007A744D"/>
    <w:rsid w:val="007B0846"/>
    <w:rsid w:val="007B1070"/>
    <w:rsid w:val="007B20CA"/>
    <w:rsid w:val="007B2468"/>
    <w:rsid w:val="007B44CE"/>
    <w:rsid w:val="007B4615"/>
    <w:rsid w:val="007B5473"/>
    <w:rsid w:val="007B578B"/>
    <w:rsid w:val="007B5B14"/>
    <w:rsid w:val="007B5BDA"/>
    <w:rsid w:val="007B6299"/>
    <w:rsid w:val="007B654E"/>
    <w:rsid w:val="007B73B9"/>
    <w:rsid w:val="007B7466"/>
    <w:rsid w:val="007B79C9"/>
    <w:rsid w:val="007B7B97"/>
    <w:rsid w:val="007B7BCD"/>
    <w:rsid w:val="007C0351"/>
    <w:rsid w:val="007C03E0"/>
    <w:rsid w:val="007C232F"/>
    <w:rsid w:val="007C30AA"/>
    <w:rsid w:val="007C37D8"/>
    <w:rsid w:val="007C38B7"/>
    <w:rsid w:val="007C3BBB"/>
    <w:rsid w:val="007C3C50"/>
    <w:rsid w:val="007C58A9"/>
    <w:rsid w:val="007C6CCE"/>
    <w:rsid w:val="007C7845"/>
    <w:rsid w:val="007C7C93"/>
    <w:rsid w:val="007C7E7A"/>
    <w:rsid w:val="007C7EE5"/>
    <w:rsid w:val="007D0335"/>
    <w:rsid w:val="007D143A"/>
    <w:rsid w:val="007D1674"/>
    <w:rsid w:val="007D238D"/>
    <w:rsid w:val="007D3B55"/>
    <w:rsid w:val="007D3CF2"/>
    <w:rsid w:val="007D50D8"/>
    <w:rsid w:val="007D5558"/>
    <w:rsid w:val="007D64AB"/>
    <w:rsid w:val="007D727F"/>
    <w:rsid w:val="007E02F5"/>
    <w:rsid w:val="007E1048"/>
    <w:rsid w:val="007E148D"/>
    <w:rsid w:val="007E190C"/>
    <w:rsid w:val="007E21F6"/>
    <w:rsid w:val="007E282C"/>
    <w:rsid w:val="007E39C1"/>
    <w:rsid w:val="007E56F4"/>
    <w:rsid w:val="007E5C99"/>
    <w:rsid w:val="007E5D5E"/>
    <w:rsid w:val="007E6007"/>
    <w:rsid w:val="007E61A2"/>
    <w:rsid w:val="007E66F4"/>
    <w:rsid w:val="007E6F3A"/>
    <w:rsid w:val="007F0082"/>
    <w:rsid w:val="007F030F"/>
    <w:rsid w:val="007F0C09"/>
    <w:rsid w:val="007F19DE"/>
    <w:rsid w:val="007F1B12"/>
    <w:rsid w:val="007F3005"/>
    <w:rsid w:val="007F30EA"/>
    <w:rsid w:val="007F5216"/>
    <w:rsid w:val="007F5623"/>
    <w:rsid w:val="007F57A2"/>
    <w:rsid w:val="007F592B"/>
    <w:rsid w:val="007F673F"/>
    <w:rsid w:val="007F675D"/>
    <w:rsid w:val="007F6E90"/>
    <w:rsid w:val="007F72BC"/>
    <w:rsid w:val="007F7D06"/>
    <w:rsid w:val="00801295"/>
    <w:rsid w:val="00801A48"/>
    <w:rsid w:val="00801E54"/>
    <w:rsid w:val="008021DB"/>
    <w:rsid w:val="00802E39"/>
    <w:rsid w:val="00803657"/>
    <w:rsid w:val="00803DFF"/>
    <w:rsid w:val="00803F1A"/>
    <w:rsid w:val="00804419"/>
    <w:rsid w:val="008046F2"/>
    <w:rsid w:val="00804C14"/>
    <w:rsid w:val="0080547E"/>
    <w:rsid w:val="00805CC8"/>
    <w:rsid w:val="00806C99"/>
    <w:rsid w:val="008106B8"/>
    <w:rsid w:val="00810B91"/>
    <w:rsid w:val="008112DE"/>
    <w:rsid w:val="00811B39"/>
    <w:rsid w:val="00811E13"/>
    <w:rsid w:val="0081207A"/>
    <w:rsid w:val="0081270A"/>
    <w:rsid w:val="00812D3F"/>
    <w:rsid w:val="0081330B"/>
    <w:rsid w:val="0081387E"/>
    <w:rsid w:val="008148F6"/>
    <w:rsid w:val="00814CF4"/>
    <w:rsid w:val="008158BE"/>
    <w:rsid w:val="00816C99"/>
    <w:rsid w:val="00816EAD"/>
    <w:rsid w:val="0082195A"/>
    <w:rsid w:val="00821D9D"/>
    <w:rsid w:val="00821E90"/>
    <w:rsid w:val="00823AAC"/>
    <w:rsid w:val="00823F41"/>
    <w:rsid w:val="008262DC"/>
    <w:rsid w:val="00826BB7"/>
    <w:rsid w:val="00826D3F"/>
    <w:rsid w:val="00827DB9"/>
    <w:rsid w:val="00827F90"/>
    <w:rsid w:val="008300A6"/>
    <w:rsid w:val="00830F73"/>
    <w:rsid w:val="0083103E"/>
    <w:rsid w:val="008310B6"/>
    <w:rsid w:val="0083171D"/>
    <w:rsid w:val="00831856"/>
    <w:rsid w:val="00831EE8"/>
    <w:rsid w:val="00831EF3"/>
    <w:rsid w:val="00832684"/>
    <w:rsid w:val="00832706"/>
    <w:rsid w:val="00832797"/>
    <w:rsid w:val="008327A0"/>
    <w:rsid w:val="008329EA"/>
    <w:rsid w:val="00832C9F"/>
    <w:rsid w:val="00833196"/>
    <w:rsid w:val="008336F6"/>
    <w:rsid w:val="00833F13"/>
    <w:rsid w:val="00834293"/>
    <w:rsid w:val="008346BE"/>
    <w:rsid w:val="0083676A"/>
    <w:rsid w:val="00836787"/>
    <w:rsid w:val="00836BA7"/>
    <w:rsid w:val="00836C45"/>
    <w:rsid w:val="00837845"/>
    <w:rsid w:val="0083798E"/>
    <w:rsid w:val="0084022F"/>
    <w:rsid w:val="00840448"/>
    <w:rsid w:val="008404EC"/>
    <w:rsid w:val="00840B01"/>
    <w:rsid w:val="008411DA"/>
    <w:rsid w:val="00842CC3"/>
    <w:rsid w:val="00842D8D"/>
    <w:rsid w:val="00842E29"/>
    <w:rsid w:val="00842F28"/>
    <w:rsid w:val="0084338B"/>
    <w:rsid w:val="0084376B"/>
    <w:rsid w:val="00843F34"/>
    <w:rsid w:val="00844977"/>
    <w:rsid w:val="00845209"/>
    <w:rsid w:val="00845402"/>
    <w:rsid w:val="00847371"/>
    <w:rsid w:val="0085003C"/>
    <w:rsid w:val="0085122F"/>
    <w:rsid w:val="0085188E"/>
    <w:rsid w:val="008519C0"/>
    <w:rsid w:val="00851CC4"/>
    <w:rsid w:val="00851FD1"/>
    <w:rsid w:val="0085266F"/>
    <w:rsid w:val="00852887"/>
    <w:rsid w:val="008528DF"/>
    <w:rsid w:val="00852DDC"/>
    <w:rsid w:val="00854C6C"/>
    <w:rsid w:val="00856149"/>
    <w:rsid w:val="008561DB"/>
    <w:rsid w:val="0085781D"/>
    <w:rsid w:val="00857B77"/>
    <w:rsid w:val="00857EFA"/>
    <w:rsid w:val="0086003A"/>
    <w:rsid w:val="00860A1E"/>
    <w:rsid w:val="00862354"/>
    <w:rsid w:val="008630A4"/>
    <w:rsid w:val="008633B4"/>
    <w:rsid w:val="008633C2"/>
    <w:rsid w:val="00864B90"/>
    <w:rsid w:val="00864D26"/>
    <w:rsid w:val="00865506"/>
    <w:rsid w:val="00866345"/>
    <w:rsid w:val="0086695D"/>
    <w:rsid w:val="008674B4"/>
    <w:rsid w:val="008675CF"/>
    <w:rsid w:val="0086787E"/>
    <w:rsid w:val="00867C2D"/>
    <w:rsid w:val="00867C82"/>
    <w:rsid w:val="008718DC"/>
    <w:rsid w:val="00871CC9"/>
    <w:rsid w:val="008720C5"/>
    <w:rsid w:val="0087293E"/>
    <w:rsid w:val="00872B0E"/>
    <w:rsid w:val="00873FFE"/>
    <w:rsid w:val="008754D2"/>
    <w:rsid w:val="00877379"/>
    <w:rsid w:val="00877A27"/>
    <w:rsid w:val="00880026"/>
    <w:rsid w:val="0088077F"/>
    <w:rsid w:val="00880B05"/>
    <w:rsid w:val="00881792"/>
    <w:rsid w:val="0088184D"/>
    <w:rsid w:val="00882C7F"/>
    <w:rsid w:val="008836DE"/>
    <w:rsid w:val="00883A4F"/>
    <w:rsid w:val="00883FBA"/>
    <w:rsid w:val="008840D6"/>
    <w:rsid w:val="0088472B"/>
    <w:rsid w:val="0088518E"/>
    <w:rsid w:val="008851AC"/>
    <w:rsid w:val="008861C5"/>
    <w:rsid w:val="0088735D"/>
    <w:rsid w:val="0088772E"/>
    <w:rsid w:val="0089009A"/>
    <w:rsid w:val="0089164E"/>
    <w:rsid w:val="00891A2C"/>
    <w:rsid w:val="008930A9"/>
    <w:rsid w:val="0089386C"/>
    <w:rsid w:val="00893A27"/>
    <w:rsid w:val="0089496A"/>
    <w:rsid w:val="00894A0B"/>
    <w:rsid w:val="00894D11"/>
    <w:rsid w:val="00895D67"/>
    <w:rsid w:val="00897274"/>
    <w:rsid w:val="0089789A"/>
    <w:rsid w:val="008979B1"/>
    <w:rsid w:val="008A0183"/>
    <w:rsid w:val="008A0509"/>
    <w:rsid w:val="008A112E"/>
    <w:rsid w:val="008A125B"/>
    <w:rsid w:val="008A12AF"/>
    <w:rsid w:val="008A183F"/>
    <w:rsid w:val="008A21DE"/>
    <w:rsid w:val="008A2214"/>
    <w:rsid w:val="008A34FB"/>
    <w:rsid w:val="008A37BD"/>
    <w:rsid w:val="008A382F"/>
    <w:rsid w:val="008A4DE6"/>
    <w:rsid w:val="008A5034"/>
    <w:rsid w:val="008A523B"/>
    <w:rsid w:val="008A5837"/>
    <w:rsid w:val="008A5A3F"/>
    <w:rsid w:val="008A5DAA"/>
    <w:rsid w:val="008A616D"/>
    <w:rsid w:val="008A691E"/>
    <w:rsid w:val="008A7132"/>
    <w:rsid w:val="008A7553"/>
    <w:rsid w:val="008B0986"/>
    <w:rsid w:val="008B127E"/>
    <w:rsid w:val="008B12A6"/>
    <w:rsid w:val="008B2F37"/>
    <w:rsid w:val="008B3883"/>
    <w:rsid w:val="008B3C0E"/>
    <w:rsid w:val="008B421F"/>
    <w:rsid w:val="008B4946"/>
    <w:rsid w:val="008B4F5A"/>
    <w:rsid w:val="008B5BB3"/>
    <w:rsid w:val="008B66C1"/>
    <w:rsid w:val="008B7B57"/>
    <w:rsid w:val="008C001A"/>
    <w:rsid w:val="008C0B4C"/>
    <w:rsid w:val="008C1386"/>
    <w:rsid w:val="008C16C4"/>
    <w:rsid w:val="008C1A77"/>
    <w:rsid w:val="008C338F"/>
    <w:rsid w:val="008C3A4D"/>
    <w:rsid w:val="008C4C8E"/>
    <w:rsid w:val="008C50BF"/>
    <w:rsid w:val="008C5155"/>
    <w:rsid w:val="008C58EE"/>
    <w:rsid w:val="008C5922"/>
    <w:rsid w:val="008C70BA"/>
    <w:rsid w:val="008C747A"/>
    <w:rsid w:val="008D0328"/>
    <w:rsid w:val="008D0B39"/>
    <w:rsid w:val="008D1182"/>
    <w:rsid w:val="008D1444"/>
    <w:rsid w:val="008D1676"/>
    <w:rsid w:val="008D1CEA"/>
    <w:rsid w:val="008D20C2"/>
    <w:rsid w:val="008D215C"/>
    <w:rsid w:val="008D2729"/>
    <w:rsid w:val="008D2E24"/>
    <w:rsid w:val="008D2F7F"/>
    <w:rsid w:val="008D423F"/>
    <w:rsid w:val="008D467C"/>
    <w:rsid w:val="008D4694"/>
    <w:rsid w:val="008D46D4"/>
    <w:rsid w:val="008D4799"/>
    <w:rsid w:val="008D4DB9"/>
    <w:rsid w:val="008D674C"/>
    <w:rsid w:val="008D6E79"/>
    <w:rsid w:val="008D7696"/>
    <w:rsid w:val="008E038B"/>
    <w:rsid w:val="008E0508"/>
    <w:rsid w:val="008E1616"/>
    <w:rsid w:val="008E18C5"/>
    <w:rsid w:val="008E1A87"/>
    <w:rsid w:val="008E25F5"/>
    <w:rsid w:val="008E2AA0"/>
    <w:rsid w:val="008E2EF9"/>
    <w:rsid w:val="008E3011"/>
    <w:rsid w:val="008E31EB"/>
    <w:rsid w:val="008E41AE"/>
    <w:rsid w:val="008E5549"/>
    <w:rsid w:val="008E5D66"/>
    <w:rsid w:val="008E5F66"/>
    <w:rsid w:val="008E637E"/>
    <w:rsid w:val="008E66FD"/>
    <w:rsid w:val="008E7334"/>
    <w:rsid w:val="008E7494"/>
    <w:rsid w:val="008F0B20"/>
    <w:rsid w:val="008F26DE"/>
    <w:rsid w:val="008F39E6"/>
    <w:rsid w:val="008F4227"/>
    <w:rsid w:val="008F43AA"/>
    <w:rsid w:val="008F48E1"/>
    <w:rsid w:val="008F674C"/>
    <w:rsid w:val="008F738A"/>
    <w:rsid w:val="008F7625"/>
    <w:rsid w:val="008F770F"/>
    <w:rsid w:val="008F7C4E"/>
    <w:rsid w:val="008F7CC8"/>
    <w:rsid w:val="008F7F3A"/>
    <w:rsid w:val="009006AD"/>
    <w:rsid w:val="00900E26"/>
    <w:rsid w:val="009017F2"/>
    <w:rsid w:val="00901C60"/>
    <w:rsid w:val="00902496"/>
    <w:rsid w:val="009025AE"/>
    <w:rsid w:val="00902724"/>
    <w:rsid w:val="00903098"/>
    <w:rsid w:val="009034DA"/>
    <w:rsid w:val="009041E2"/>
    <w:rsid w:val="00904C1D"/>
    <w:rsid w:val="00904FD1"/>
    <w:rsid w:val="00905855"/>
    <w:rsid w:val="00906DEF"/>
    <w:rsid w:val="009071D0"/>
    <w:rsid w:val="00907922"/>
    <w:rsid w:val="009100D5"/>
    <w:rsid w:val="009107ED"/>
    <w:rsid w:val="0091124D"/>
    <w:rsid w:val="00911AED"/>
    <w:rsid w:val="00911E89"/>
    <w:rsid w:val="0091281B"/>
    <w:rsid w:val="00913518"/>
    <w:rsid w:val="00914F15"/>
    <w:rsid w:val="009154EA"/>
    <w:rsid w:val="009155E0"/>
    <w:rsid w:val="00915E0A"/>
    <w:rsid w:val="009163DC"/>
    <w:rsid w:val="00917037"/>
    <w:rsid w:val="009172FB"/>
    <w:rsid w:val="00917CB1"/>
    <w:rsid w:val="0092072B"/>
    <w:rsid w:val="0092115A"/>
    <w:rsid w:val="00921273"/>
    <w:rsid w:val="00921B89"/>
    <w:rsid w:val="00922DE1"/>
    <w:rsid w:val="00923469"/>
    <w:rsid w:val="00924838"/>
    <w:rsid w:val="00925056"/>
    <w:rsid w:val="009256FF"/>
    <w:rsid w:val="00925D80"/>
    <w:rsid w:val="00931E74"/>
    <w:rsid w:val="00932B4C"/>
    <w:rsid w:val="00933BF2"/>
    <w:rsid w:val="009341F8"/>
    <w:rsid w:val="00940C16"/>
    <w:rsid w:val="00941E12"/>
    <w:rsid w:val="00941F08"/>
    <w:rsid w:val="00942057"/>
    <w:rsid w:val="009425C6"/>
    <w:rsid w:val="009427B1"/>
    <w:rsid w:val="00942EC3"/>
    <w:rsid w:val="009440D0"/>
    <w:rsid w:val="00944148"/>
    <w:rsid w:val="0094444B"/>
    <w:rsid w:val="00944DA3"/>
    <w:rsid w:val="009458A1"/>
    <w:rsid w:val="00946193"/>
    <w:rsid w:val="00946656"/>
    <w:rsid w:val="00946935"/>
    <w:rsid w:val="00946F0E"/>
    <w:rsid w:val="009474E4"/>
    <w:rsid w:val="00950777"/>
    <w:rsid w:val="00951A9E"/>
    <w:rsid w:val="0095272E"/>
    <w:rsid w:val="00952E66"/>
    <w:rsid w:val="0095311E"/>
    <w:rsid w:val="00954CD5"/>
    <w:rsid w:val="00955153"/>
    <w:rsid w:val="009565DA"/>
    <w:rsid w:val="00956A71"/>
    <w:rsid w:val="00956B29"/>
    <w:rsid w:val="00957741"/>
    <w:rsid w:val="00957FFC"/>
    <w:rsid w:val="00960BC0"/>
    <w:rsid w:val="00960ED6"/>
    <w:rsid w:val="00961590"/>
    <w:rsid w:val="00962DD3"/>
    <w:rsid w:val="00964330"/>
    <w:rsid w:val="009645BB"/>
    <w:rsid w:val="0096482B"/>
    <w:rsid w:val="00965492"/>
    <w:rsid w:val="009659F3"/>
    <w:rsid w:val="00966BBD"/>
    <w:rsid w:val="00967CC7"/>
    <w:rsid w:val="009700E6"/>
    <w:rsid w:val="00970AEA"/>
    <w:rsid w:val="0097100D"/>
    <w:rsid w:val="00972291"/>
    <w:rsid w:val="0097230C"/>
    <w:rsid w:val="0097243A"/>
    <w:rsid w:val="009733F0"/>
    <w:rsid w:val="0097354C"/>
    <w:rsid w:val="009736F3"/>
    <w:rsid w:val="00973C0C"/>
    <w:rsid w:val="0097425C"/>
    <w:rsid w:val="009746F0"/>
    <w:rsid w:val="00974703"/>
    <w:rsid w:val="0097668C"/>
    <w:rsid w:val="009771CB"/>
    <w:rsid w:val="00977248"/>
    <w:rsid w:val="00977CA0"/>
    <w:rsid w:val="0098027B"/>
    <w:rsid w:val="009802E5"/>
    <w:rsid w:val="009802F6"/>
    <w:rsid w:val="00980441"/>
    <w:rsid w:val="009816D4"/>
    <w:rsid w:val="00981C9E"/>
    <w:rsid w:val="0098369D"/>
    <w:rsid w:val="00984BC6"/>
    <w:rsid w:val="00985079"/>
    <w:rsid w:val="009851EE"/>
    <w:rsid w:val="009851FB"/>
    <w:rsid w:val="00985401"/>
    <w:rsid w:val="00985404"/>
    <w:rsid w:val="00985535"/>
    <w:rsid w:val="00985BD6"/>
    <w:rsid w:val="00990239"/>
    <w:rsid w:val="0099141F"/>
    <w:rsid w:val="0099195C"/>
    <w:rsid w:val="00991FB9"/>
    <w:rsid w:val="009922B5"/>
    <w:rsid w:val="00992318"/>
    <w:rsid w:val="009929CA"/>
    <w:rsid w:val="00993735"/>
    <w:rsid w:val="00994A0C"/>
    <w:rsid w:val="00995284"/>
    <w:rsid w:val="00995AFE"/>
    <w:rsid w:val="00995B30"/>
    <w:rsid w:val="00997E95"/>
    <w:rsid w:val="009A11EF"/>
    <w:rsid w:val="009A1409"/>
    <w:rsid w:val="009A1929"/>
    <w:rsid w:val="009A1B95"/>
    <w:rsid w:val="009A2324"/>
    <w:rsid w:val="009A279F"/>
    <w:rsid w:val="009A2A6E"/>
    <w:rsid w:val="009A2F9C"/>
    <w:rsid w:val="009A43E1"/>
    <w:rsid w:val="009A582F"/>
    <w:rsid w:val="009A5E9F"/>
    <w:rsid w:val="009A7155"/>
    <w:rsid w:val="009A7169"/>
    <w:rsid w:val="009A7662"/>
    <w:rsid w:val="009A7D3E"/>
    <w:rsid w:val="009B0774"/>
    <w:rsid w:val="009B0A48"/>
    <w:rsid w:val="009B11FA"/>
    <w:rsid w:val="009B189D"/>
    <w:rsid w:val="009B21A0"/>
    <w:rsid w:val="009B2FF8"/>
    <w:rsid w:val="009B3531"/>
    <w:rsid w:val="009B3C6A"/>
    <w:rsid w:val="009B44B8"/>
    <w:rsid w:val="009B5025"/>
    <w:rsid w:val="009B550C"/>
    <w:rsid w:val="009B68F0"/>
    <w:rsid w:val="009B69C4"/>
    <w:rsid w:val="009B6D06"/>
    <w:rsid w:val="009B7D4F"/>
    <w:rsid w:val="009C1913"/>
    <w:rsid w:val="009C2B5B"/>
    <w:rsid w:val="009C2F9E"/>
    <w:rsid w:val="009C435E"/>
    <w:rsid w:val="009C437E"/>
    <w:rsid w:val="009C43DC"/>
    <w:rsid w:val="009C72DA"/>
    <w:rsid w:val="009C73D7"/>
    <w:rsid w:val="009C7834"/>
    <w:rsid w:val="009C7B29"/>
    <w:rsid w:val="009D011D"/>
    <w:rsid w:val="009D061C"/>
    <w:rsid w:val="009D07AC"/>
    <w:rsid w:val="009D08FA"/>
    <w:rsid w:val="009D0D50"/>
    <w:rsid w:val="009D16E2"/>
    <w:rsid w:val="009D1738"/>
    <w:rsid w:val="009D20B2"/>
    <w:rsid w:val="009D221F"/>
    <w:rsid w:val="009D3DDD"/>
    <w:rsid w:val="009D3FC0"/>
    <w:rsid w:val="009D4138"/>
    <w:rsid w:val="009D4865"/>
    <w:rsid w:val="009D4ADB"/>
    <w:rsid w:val="009D4FE2"/>
    <w:rsid w:val="009D50C8"/>
    <w:rsid w:val="009D553E"/>
    <w:rsid w:val="009D5DFB"/>
    <w:rsid w:val="009D6049"/>
    <w:rsid w:val="009D6106"/>
    <w:rsid w:val="009D61F2"/>
    <w:rsid w:val="009D67EE"/>
    <w:rsid w:val="009D740A"/>
    <w:rsid w:val="009D74F8"/>
    <w:rsid w:val="009D7ADD"/>
    <w:rsid w:val="009E04DC"/>
    <w:rsid w:val="009E1124"/>
    <w:rsid w:val="009E241A"/>
    <w:rsid w:val="009E28C2"/>
    <w:rsid w:val="009E2E6D"/>
    <w:rsid w:val="009E35A0"/>
    <w:rsid w:val="009E49CD"/>
    <w:rsid w:val="009E5FFB"/>
    <w:rsid w:val="009E6387"/>
    <w:rsid w:val="009E7433"/>
    <w:rsid w:val="009E756A"/>
    <w:rsid w:val="009E7650"/>
    <w:rsid w:val="009E782A"/>
    <w:rsid w:val="009E7B29"/>
    <w:rsid w:val="009F047B"/>
    <w:rsid w:val="009F117E"/>
    <w:rsid w:val="009F1275"/>
    <w:rsid w:val="009F26D4"/>
    <w:rsid w:val="009F26E6"/>
    <w:rsid w:val="009F4241"/>
    <w:rsid w:val="009F4543"/>
    <w:rsid w:val="009F4B79"/>
    <w:rsid w:val="009F4EE8"/>
    <w:rsid w:val="009F504C"/>
    <w:rsid w:val="009F5108"/>
    <w:rsid w:val="009F5662"/>
    <w:rsid w:val="009F57A4"/>
    <w:rsid w:val="009F58B0"/>
    <w:rsid w:val="009F6C91"/>
    <w:rsid w:val="009F6D98"/>
    <w:rsid w:val="009F757C"/>
    <w:rsid w:val="009F76EB"/>
    <w:rsid w:val="009F79DF"/>
    <w:rsid w:val="009F7A20"/>
    <w:rsid w:val="00A000AF"/>
    <w:rsid w:val="00A00909"/>
    <w:rsid w:val="00A01CD2"/>
    <w:rsid w:val="00A02047"/>
    <w:rsid w:val="00A0232F"/>
    <w:rsid w:val="00A02819"/>
    <w:rsid w:val="00A02EC9"/>
    <w:rsid w:val="00A03101"/>
    <w:rsid w:val="00A032B3"/>
    <w:rsid w:val="00A05F4A"/>
    <w:rsid w:val="00A060A2"/>
    <w:rsid w:val="00A063E9"/>
    <w:rsid w:val="00A064FE"/>
    <w:rsid w:val="00A065E5"/>
    <w:rsid w:val="00A069D3"/>
    <w:rsid w:val="00A06AE4"/>
    <w:rsid w:val="00A06D46"/>
    <w:rsid w:val="00A0717F"/>
    <w:rsid w:val="00A071C3"/>
    <w:rsid w:val="00A072FC"/>
    <w:rsid w:val="00A0759E"/>
    <w:rsid w:val="00A07600"/>
    <w:rsid w:val="00A0778C"/>
    <w:rsid w:val="00A105C0"/>
    <w:rsid w:val="00A10B70"/>
    <w:rsid w:val="00A10BFE"/>
    <w:rsid w:val="00A10C4B"/>
    <w:rsid w:val="00A11D4E"/>
    <w:rsid w:val="00A122BA"/>
    <w:rsid w:val="00A12E6B"/>
    <w:rsid w:val="00A1315A"/>
    <w:rsid w:val="00A139D9"/>
    <w:rsid w:val="00A13D1C"/>
    <w:rsid w:val="00A14C3F"/>
    <w:rsid w:val="00A177B5"/>
    <w:rsid w:val="00A177E7"/>
    <w:rsid w:val="00A20614"/>
    <w:rsid w:val="00A20948"/>
    <w:rsid w:val="00A21E96"/>
    <w:rsid w:val="00A21F4E"/>
    <w:rsid w:val="00A22C5D"/>
    <w:rsid w:val="00A2373D"/>
    <w:rsid w:val="00A23A7B"/>
    <w:rsid w:val="00A23AD6"/>
    <w:rsid w:val="00A2499A"/>
    <w:rsid w:val="00A253D4"/>
    <w:rsid w:val="00A2548A"/>
    <w:rsid w:val="00A25A74"/>
    <w:rsid w:val="00A25FFD"/>
    <w:rsid w:val="00A26711"/>
    <w:rsid w:val="00A267C1"/>
    <w:rsid w:val="00A26C52"/>
    <w:rsid w:val="00A26D5A"/>
    <w:rsid w:val="00A277FB"/>
    <w:rsid w:val="00A300F3"/>
    <w:rsid w:val="00A302B6"/>
    <w:rsid w:val="00A3069E"/>
    <w:rsid w:val="00A306B7"/>
    <w:rsid w:val="00A3145F"/>
    <w:rsid w:val="00A31497"/>
    <w:rsid w:val="00A31CB1"/>
    <w:rsid w:val="00A32781"/>
    <w:rsid w:val="00A3339C"/>
    <w:rsid w:val="00A3378D"/>
    <w:rsid w:val="00A33CC5"/>
    <w:rsid w:val="00A33E2D"/>
    <w:rsid w:val="00A36081"/>
    <w:rsid w:val="00A36436"/>
    <w:rsid w:val="00A36927"/>
    <w:rsid w:val="00A375AF"/>
    <w:rsid w:val="00A37A8D"/>
    <w:rsid w:val="00A37C67"/>
    <w:rsid w:val="00A37D46"/>
    <w:rsid w:val="00A42093"/>
    <w:rsid w:val="00A4282A"/>
    <w:rsid w:val="00A42BF0"/>
    <w:rsid w:val="00A4310D"/>
    <w:rsid w:val="00A43545"/>
    <w:rsid w:val="00A43594"/>
    <w:rsid w:val="00A439E1"/>
    <w:rsid w:val="00A43E30"/>
    <w:rsid w:val="00A44A68"/>
    <w:rsid w:val="00A45270"/>
    <w:rsid w:val="00A45633"/>
    <w:rsid w:val="00A4588D"/>
    <w:rsid w:val="00A461E9"/>
    <w:rsid w:val="00A469BB"/>
    <w:rsid w:val="00A46B3B"/>
    <w:rsid w:val="00A46FDE"/>
    <w:rsid w:val="00A471B0"/>
    <w:rsid w:val="00A473A1"/>
    <w:rsid w:val="00A47845"/>
    <w:rsid w:val="00A50352"/>
    <w:rsid w:val="00A51598"/>
    <w:rsid w:val="00A516E7"/>
    <w:rsid w:val="00A51FCA"/>
    <w:rsid w:val="00A522BF"/>
    <w:rsid w:val="00A527E0"/>
    <w:rsid w:val="00A53E17"/>
    <w:rsid w:val="00A53F46"/>
    <w:rsid w:val="00A5409E"/>
    <w:rsid w:val="00A54356"/>
    <w:rsid w:val="00A54796"/>
    <w:rsid w:val="00A55D8E"/>
    <w:rsid w:val="00A55FD5"/>
    <w:rsid w:val="00A56799"/>
    <w:rsid w:val="00A57034"/>
    <w:rsid w:val="00A5790E"/>
    <w:rsid w:val="00A57E63"/>
    <w:rsid w:val="00A6002A"/>
    <w:rsid w:val="00A60122"/>
    <w:rsid w:val="00A60545"/>
    <w:rsid w:val="00A60F9F"/>
    <w:rsid w:val="00A61700"/>
    <w:rsid w:val="00A62651"/>
    <w:rsid w:val="00A62B2E"/>
    <w:rsid w:val="00A6456E"/>
    <w:rsid w:val="00A651AB"/>
    <w:rsid w:val="00A653DE"/>
    <w:rsid w:val="00A65855"/>
    <w:rsid w:val="00A65B48"/>
    <w:rsid w:val="00A667AB"/>
    <w:rsid w:val="00A66BAF"/>
    <w:rsid w:val="00A67DEC"/>
    <w:rsid w:val="00A702C9"/>
    <w:rsid w:val="00A7039E"/>
    <w:rsid w:val="00A70857"/>
    <w:rsid w:val="00A70BFF"/>
    <w:rsid w:val="00A70C8F"/>
    <w:rsid w:val="00A70DB4"/>
    <w:rsid w:val="00A728F0"/>
    <w:rsid w:val="00A72C3F"/>
    <w:rsid w:val="00A72D8D"/>
    <w:rsid w:val="00A7325F"/>
    <w:rsid w:val="00A7352B"/>
    <w:rsid w:val="00A743A3"/>
    <w:rsid w:val="00A74420"/>
    <w:rsid w:val="00A74C0A"/>
    <w:rsid w:val="00A753F4"/>
    <w:rsid w:val="00A75728"/>
    <w:rsid w:val="00A770E0"/>
    <w:rsid w:val="00A808AD"/>
    <w:rsid w:val="00A81319"/>
    <w:rsid w:val="00A81713"/>
    <w:rsid w:val="00A81971"/>
    <w:rsid w:val="00A83CB8"/>
    <w:rsid w:val="00A84872"/>
    <w:rsid w:val="00A8490C"/>
    <w:rsid w:val="00A85042"/>
    <w:rsid w:val="00A86501"/>
    <w:rsid w:val="00A919DC"/>
    <w:rsid w:val="00A92C69"/>
    <w:rsid w:val="00A935D1"/>
    <w:rsid w:val="00A93DF7"/>
    <w:rsid w:val="00A94F3B"/>
    <w:rsid w:val="00A96085"/>
    <w:rsid w:val="00A961AC"/>
    <w:rsid w:val="00A97112"/>
    <w:rsid w:val="00A97B6D"/>
    <w:rsid w:val="00AA06D8"/>
    <w:rsid w:val="00AA0BC4"/>
    <w:rsid w:val="00AA0EDB"/>
    <w:rsid w:val="00AA145F"/>
    <w:rsid w:val="00AA22CE"/>
    <w:rsid w:val="00AA3441"/>
    <w:rsid w:val="00AA3F67"/>
    <w:rsid w:val="00AA4923"/>
    <w:rsid w:val="00AA4AE9"/>
    <w:rsid w:val="00AA5B58"/>
    <w:rsid w:val="00AA5D65"/>
    <w:rsid w:val="00AA6737"/>
    <w:rsid w:val="00AA69A1"/>
    <w:rsid w:val="00AB1659"/>
    <w:rsid w:val="00AB239D"/>
    <w:rsid w:val="00AB244A"/>
    <w:rsid w:val="00AB2893"/>
    <w:rsid w:val="00AB2953"/>
    <w:rsid w:val="00AB2C2D"/>
    <w:rsid w:val="00AB2DD8"/>
    <w:rsid w:val="00AB397C"/>
    <w:rsid w:val="00AB3CBB"/>
    <w:rsid w:val="00AB4138"/>
    <w:rsid w:val="00AB4D16"/>
    <w:rsid w:val="00AB524E"/>
    <w:rsid w:val="00AB58EC"/>
    <w:rsid w:val="00AB5D04"/>
    <w:rsid w:val="00AB5E4E"/>
    <w:rsid w:val="00AB5EC5"/>
    <w:rsid w:val="00AB614A"/>
    <w:rsid w:val="00AB620F"/>
    <w:rsid w:val="00AB69AF"/>
    <w:rsid w:val="00AB6D09"/>
    <w:rsid w:val="00AB6D7B"/>
    <w:rsid w:val="00AB7529"/>
    <w:rsid w:val="00AB7DA2"/>
    <w:rsid w:val="00AB7EAC"/>
    <w:rsid w:val="00AC09F2"/>
    <w:rsid w:val="00AC239F"/>
    <w:rsid w:val="00AC240C"/>
    <w:rsid w:val="00AC33C2"/>
    <w:rsid w:val="00AC42A7"/>
    <w:rsid w:val="00AC4B2B"/>
    <w:rsid w:val="00AC4C7B"/>
    <w:rsid w:val="00AC5121"/>
    <w:rsid w:val="00AC5A57"/>
    <w:rsid w:val="00AC7141"/>
    <w:rsid w:val="00AC766A"/>
    <w:rsid w:val="00AD0C11"/>
    <w:rsid w:val="00AD0C54"/>
    <w:rsid w:val="00AD1752"/>
    <w:rsid w:val="00AD1BE5"/>
    <w:rsid w:val="00AD3717"/>
    <w:rsid w:val="00AD445B"/>
    <w:rsid w:val="00AD563B"/>
    <w:rsid w:val="00AD567A"/>
    <w:rsid w:val="00AD5B4E"/>
    <w:rsid w:val="00AD76C4"/>
    <w:rsid w:val="00AD76D6"/>
    <w:rsid w:val="00AD7BA3"/>
    <w:rsid w:val="00AE01F3"/>
    <w:rsid w:val="00AE055E"/>
    <w:rsid w:val="00AE1045"/>
    <w:rsid w:val="00AE1470"/>
    <w:rsid w:val="00AE174A"/>
    <w:rsid w:val="00AE2429"/>
    <w:rsid w:val="00AE3037"/>
    <w:rsid w:val="00AE388D"/>
    <w:rsid w:val="00AE4312"/>
    <w:rsid w:val="00AE48EE"/>
    <w:rsid w:val="00AE4BA6"/>
    <w:rsid w:val="00AE63C5"/>
    <w:rsid w:val="00AE65EC"/>
    <w:rsid w:val="00AF1C3D"/>
    <w:rsid w:val="00AF2411"/>
    <w:rsid w:val="00AF2961"/>
    <w:rsid w:val="00AF3971"/>
    <w:rsid w:val="00AF408F"/>
    <w:rsid w:val="00AF50AC"/>
    <w:rsid w:val="00AF528B"/>
    <w:rsid w:val="00AF5593"/>
    <w:rsid w:val="00AF5A0C"/>
    <w:rsid w:val="00AF6FBD"/>
    <w:rsid w:val="00AF716F"/>
    <w:rsid w:val="00AF7D42"/>
    <w:rsid w:val="00B00377"/>
    <w:rsid w:val="00B009F3"/>
    <w:rsid w:val="00B01D24"/>
    <w:rsid w:val="00B02621"/>
    <w:rsid w:val="00B03F76"/>
    <w:rsid w:val="00B047B6"/>
    <w:rsid w:val="00B04A16"/>
    <w:rsid w:val="00B05425"/>
    <w:rsid w:val="00B054D8"/>
    <w:rsid w:val="00B0582F"/>
    <w:rsid w:val="00B05A4B"/>
    <w:rsid w:val="00B0606C"/>
    <w:rsid w:val="00B065F2"/>
    <w:rsid w:val="00B0744A"/>
    <w:rsid w:val="00B074A9"/>
    <w:rsid w:val="00B07739"/>
    <w:rsid w:val="00B106B6"/>
    <w:rsid w:val="00B1130B"/>
    <w:rsid w:val="00B113BE"/>
    <w:rsid w:val="00B130E0"/>
    <w:rsid w:val="00B1390D"/>
    <w:rsid w:val="00B14012"/>
    <w:rsid w:val="00B16494"/>
    <w:rsid w:val="00B16955"/>
    <w:rsid w:val="00B16F7A"/>
    <w:rsid w:val="00B170B9"/>
    <w:rsid w:val="00B17446"/>
    <w:rsid w:val="00B17631"/>
    <w:rsid w:val="00B17D43"/>
    <w:rsid w:val="00B17FC7"/>
    <w:rsid w:val="00B2071C"/>
    <w:rsid w:val="00B21B7D"/>
    <w:rsid w:val="00B23432"/>
    <w:rsid w:val="00B247BC"/>
    <w:rsid w:val="00B24F99"/>
    <w:rsid w:val="00B257F6"/>
    <w:rsid w:val="00B25E9A"/>
    <w:rsid w:val="00B261F8"/>
    <w:rsid w:val="00B262AD"/>
    <w:rsid w:val="00B26488"/>
    <w:rsid w:val="00B265F6"/>
    <w:rsid w:val="00B2681B"/>
    <w:rsid w:val="00B274DD"/>
    <w:rsid w:val="00B27A54"/>
    <w:rsid w:val="00B27E93"/>
    <w:rsid w:val="00B30376"/>
    <w:rsid w:val="00B30B20"/>
    <w:rsid w:val="00B31897"/>
    <w:rsid w:val="00B31D11"/>
    <w:rsid w:val="00B3222D"/>
    <w:rsid w:val="00B3230D"/>
    <w:rsid w:val="00B33484"/>
    <w:rsid w:val="00B33D82"/>
    <w:rsid w:val="00B34350"/>
    <w:rsid w:val="00B352D8"/>
    <w:rsid w:val="00B36178"/>
    <w:rsid w:val="00B3693B"/>
    <w:rsid w:val="00B36E6A"/>
    <w:rsid w:val="00B3739D"/>
    <w:rsid w:val="00B3740D"/>
    <w:rsid w:val="00B401BF"/>
    <w:rsid w:val="00B40719"/>
    <w:rsid w:val="00B40DC7"/>
    <w:rsid w:val="00B41C96"/>
    <w:rsid w:val="00B4264D"/>
    <w:rsid w:val="00B43A1A"/>
    <w:rsid w:val="00B43AD7"/>
    <w:rsid w:val="00B44B40"/>
    <w:rsid w:val="00B45611"/>
    <w:rsid w:val="00B45D5C"/>
    <w:rsid w:val="00B461F6"/>
    <w:rsid w:val="00B46640"/>
    <w:rsid w:val="00B46801"/>
    <w:rsid w:val="00B46BC1"/>
    <w:rsid w:val="00B500A8"/>
    <w:rsid w:val="00B5305F"/>
    <w:rsid w:val="00B53AEA"/>
    <w:rsid w:val="00B53D99"/>
    <w:rsid w:val="00B54619"/>
    <w:rsid w:val="00B54F54"/>
    <w:rsid w:val="00B551DE"/>
    <w:rsid w:val="00B556B8"/>
    <w:rsid w:val="00B55B30"/>
    <w:rsid w:val="00B5615D"/>
    <w:rsid w:val="00B57C3F"/>
    <w:rsid w:val="00B603F9"/>
    <w:rsid w:val="00B61D4C"/>
    <w:rsid w:val="00B63F78"/>
    <w:rsid w:val="00B63FC5"/>
    <w:rsid w:val="00B64498"/>
    <w:rsid w:val="00B64F65"/>
    <w:rsid w:val="00B651DB"/>
    <w:rsid w:val="00B65AC8"/>
    <w:rsid w:val="00B65D3C"/>
    <w:rsid w:val="00B66FD5"/>
    <w:rsid w:val="00B67778"/>
    <w:rsid w:val="00B67BFD"/>
    <w:rsid w:val="00B70C92"/>
    <w:rsid w:val="00B7222E"/>
    <w:rsid w:val="00B7513E"/>
    <w:rsid w:val="00B754F1"/>
    <w:rsid w:val="00B75714"/>
    <w:rsid w:val="00B75B9D"/>
    <w:rsid w:val="00B76C5F"/>
    <w:rsid w:val="00B76D08"/>
    <w:rsid w:val="00B803C4"/>
    <w:rsid w:val="00B81B03"/>
    <w:rsid w:val="00B827C4"/>
    <w:rsid w:val="00B82FB4"/>
    <w:rsid w:val="00B83154"/>
    <w:rsid w:val="00B83191"/>
    <w:rsid w:val="00B83833"/>
    <w:rsid w:val="00B83919"/>
    <w:rsid w:val="00B83CC7"/>
    <w:rsid w:val="00B83E84"/>
    <w:rsid w:val="00B83E8F"/>
    <w:rsid w:val="00B848A5"/>
    <w:rsid w:val="00B84D65"/>
    <w:rsid w:val="00B856A2"/>
    <w:rsid w:val="00B85AF5"/>
    <w:rsid w:val="00B85D43"/>
    <w:rsid w:val="00B870F0"/>
    <w:rsid w:val="00B87402"/>
    <w:rsid w:val="00B875A8"/>
    <w:rsid w:val="00B87794"/>
    <w:rsid w:val="00B87808"/>
    <w:rsid w:val="00B87EEB"/>
    <w:rsid w:val="00B914A9"/>
    <w:rsid w:val="00B914E2"/>
    <w:rsid w:val="00B9206A"/>
    <w:rsid w:val="00B9219E"/>
    <w:rsid w:val="00B92F24"/>
    <w:rsid w:val="00B92F44"/>
    <w:rsid w:val="00B941D7"/>
    <w:rsid w:val="00B9451C"/>
    <w:rsid w:val="00B95295"/>
    <w:rsid w:val="00B95990"/>
    <w:rsid w:val="00B964BA"/>
    <w:rsid w:val="00B96A48"/>
    <w:rsid w:val="00B96EDD"/>
    <w:rsid w:val="00B97AB2"/>
    <w:rsid w:val="00B97F38"/>
    <w:rsid w:val="00BA0F1E"/>
    <w:rsid w:val="00BA0F93"/>
    <w:rsid w:val="00BA1870"/>
    <w:rsid w:val="00BA1A19"/>
    <w:rsid w:val="00BA36BC"/>
    <w:rsid w:val="00BA383D"/>
    <w:rsid w:val="00BA3FCF"/>
    <w:rsid w:val="00BA45D2"/>
    <w:rsid w:val="00BA5A7E"/>
    <w:rsid w:val="00BA5F0D"/>
    <w:rsid w:val="00BA611D"/>
    <w:rsid w:val="00BA614F"/>
    <w:rsid w:val="00BA628D"/>
    <w:rsid w:val="00BA67B0"/>
    <w:rsid w:val="00BA699E"/>
    <w:rsid w:val="00BA747B"/>
    <w:rsid w:val="00BA752E"/>
    <w:rsid w:val="00BA77A8"/>
    <w:rsid w:val="00BA7A9A"/>
    <w:rsid w:val="00BA7E97"/>
    <w:rsid w:val="00BB06F0"/>
    <w:rsid w:val="00BB0919"/>
    <w:rsid w:val="00BB1423"/>
    <w:rsid w:val="00BB299C"/>
    <w:rsid w:val="00BB2C60"/>
    <w:rsid w:val="00BB2DE7"/>
    <w:rsid w:val="00BB393C"/>
    <w:rsid w:val="00BB4239"/>
    <w:rsid w:val="00BB4C12"/>
    <w:rsid w:val="00BB5D7F"/>
    <w:rsid w:val="00BB6303"/>
    <w:rsid w:val="00BB671F"/>
    <w:rsid w:val="00BB690D"/>
    <w:rsid w:val="00BB7634"/>
    <w:rsid w:val="00BB79D9"/>
    <w:rsid w:val="00BC1002"/>
    <w:rsid w:val="00BC1351"/>
    <w:rsid w:val="00BC15D1"/>
    <w:rsid w:val="00BC1F73"/>
    <w:rsid w:val="00BC38AD"/>
    <w:rsid w:val="00BC4C0D"/>
    <w:rsid w:val="00BC53CB"/>
    <w:rsid w:val="00BC66E3"/>
    <w:rsid w:val="00BC7575"/>
    <w:rsid w:val="00BC75FB"/>
    <w:rsid w:val="00BC7D10"/>
    <w:rsid w:val="00BD03CC"/>
    <w:rsid w:val="00BD0B41"/>
    <w:rsid w:val="00BD1934"/>
    <w:rsid w:val="00BD1D3C"/>
    <w:rsid w:val="00BD228E"/>
    <w:rsid w:val="00BD239A"/>
    <w:rsid w:val="00BD250C"/>
    <w:rsid w:val="00BD2DCF"/>
    <w:rsid w:val="00BD360F"/>
    <w:rsid w:val="00BD446C"/>
    <w:rsid w:val="00BD45E1"/>
    <w:rsid w:val="00BD5893"/>
    <w:rsid w:val="00BD7441"/>
    <w:rsid w:val="00BD75FE"/>
    <w:rsid w:val="00BD7657"/>
    <w:rsid w:val="00BE0001"/>
    <w:rsid w:val="00BE079A"/>
    <w:rsid w:val="00BE0A30"/>
    <w:rsid w:val="00BE0D84"/>
    <w:rsid w:val="00BE0F18"/>
    <w:rsid w:val="00BE0FE6"/>
    <w:rsid w:val="00BE160C"/>
    <w:rsid w:val="00BE1ABA"/>
    <w:rsid w:val="00BE1FAA"/>
    <w:rsid w:val="00BE28CD"/>
    <w:rsid w:val="00BE2B42"/>
    <w:rsid w:val="00BE2EE4"/>
    <w:rsid w:val="00BE2F99"/>
    <w:rsid w:val="00BE36FB"/>
    <w:rsid w:val="00BE4824"/>
    <w:rsid w:val="00BE497F"/>
    <w:rsid w:val="00BE5473"/>
    <w:rsid w:val="00BE5792"/>
    <w:rsid w:val="00BE5DAE"/>
    <w:rsid w:val="00BE5F51"/>
    <w:rsid w:val="00BE6505"/>
    <w:rsid w:val="00BE6AB2"/>
    <w:rsid w:val="00BE6CB4"/>
    <w:rsid w:val="00BE7F0B"/>
    <w:rsid w:val="00BF020A"/>
    <w:rsid w:val="00BF1047"/>
    <w:rsid w:val="00BF1DC4"/>
    <w:rsid w:val="00BF47E8"/>
    <w:rsid w:val="00BF534A"/>
    <w:rsid w:val="00BF57FA"/>
    <w:rsid w:val="00BF64F4"/>
    <w:rsid w:val="00BF6B2A"/>
    <w:rsid w:val="00BF6BF5"/>
    <w:rsid w:val="00BF7DB1"/>
    <w:rsid w:val="00C00A71"/>
    <w:rsid w:val="00C01532"/>
    <w:rsid w:val="00C0189B"/>
    <w:rsid w:val="00C0221F"/>
    <w:rsid w:val="00C02338"/>
    <w:rsid w:val="00C0351B"/>
    <w:rsid w:val="00C05176"/>
    <w:rsid w:val="00C065F3"/>
    <w:rsid w:val="00C073B0"/>
    <w:rsid w:val="00C07769"/>
    <w:rsid w:val="00C07911"/>
    <w:rsid w:val="00C1021F"/>
    <w:rsid w:val="00C10546"/>
    <w:rsid w:val="00C123A3"/>
    <w:rsid w:val="00C13314"/>
    <w:rsid w:val="00C1354C"/>
    <w:rsid w:val="00C13711"/>
    <w:rsid w:val="00C14707"/>
    <w:rsid w:val="00C14994"/>
    <w:rsid w:val="00C14FDD"/>
    <w:rsid w:val="00C15064"/>
    <w:rsid w:val="00C1573B"/>
    <w:rsid w:val="00C15C08"/>
    <w:rsid w:val="00C15C10"/>
    <w:rsid w:val="00C15DF4"/>
    <w:rsid w:val="00C16903"/>
    <w:rsid w:val="00C16A35"/>
    <w:rsid w:val="00C16A38"/>
    <w:rsid w:val="00C17246"/>
    <w:rsid w:val="00C202CA"/>
    <w:rsid w:val="00C204A1"/>
    <w:rsid w:val="00C2055A"/>
    <w:rsid w:val="00C20561"/>
    <w:rsid w:val="00C20B40"/>
    <w:rsid w:val="00C2186F"/>
    <w:rsid w:val="00C22EEB"/>
    <w:rsid w:val="00C2306E"/>
    <w:rsid w:val="00C243FE"/>
    <w:rsid w:val="00C2519C"/>
    <w:rsid w:val="00C251B1"/>
    <w:rsid w:val="00C25384"/>
    <w:rsid w:val="00C25BDE"/>
    <w:rsid w:val="00C25C99"/>
    <w:rsid w:val="00C26096"/>
    <w:rsid w:val="00C264C7"/>
    <w:rsid w:val="00C265CE"/>
    <w:rsid w:val="00C267E3"/>
    <w:rsid w:val="00C26A3A"/>
    <w:rsid w:val="00C27018"/>
    <w:rsid w:val="00C31089"/>
    <w:rsid w:val="00C315FD"/>
    <w:rsid w:val="00C31671"/>
    <w:rsid w:val="00C35640"/>
    <w:rsid w:val="00C358A9"/>
    <w:rsid w:val="00C3597E"/>
    <w:rsid w:val="00C363ED"/>
    <w:rsid w:val="00C368AA"/>
    <w:rsid w:val="00C368EB"/>
    <w:rsid w:val="00C37C02"/>
    <w:rsid w:val="00C401FA"/>
    <w:rsid w:val="00C40214"/>
    <w:rsid w:val="00C4090D"/>
    <w:rsid w:val="00C40A1D"/>
    <w:rsid w:val="00C40DFD"/>
    <w:rsid w:val="00C424BF"/>
    <w:rsid w:val="00C43815"/>
    <w:rsid w:val="00C44493"/>
    <w:rsid w:val="00C45025"/>
    <w:rsid w:val="00C45A49"/>
    <w:rsid w:val="00C45BAB"/>
    <w:rsid w:val="00C45E00"/>
    <w:rsid w:val="00C45E42"/>
    <w:rsid w:val="00C46640"/>
    <w:rsid w:val="00C466EE"/>
    <w:rsid w:val="00C46E48"/>
    <w:rsid w:val="00C47AE1"/>
    <w:rsid w:val="00C51BC0"/>
    <w:rsid w:val="00C52E23"/>
    <w:rsid w:val="00C53E31"/>
    <w:rsid w:val="00C54DD6"/>
    <w:rsid w:val="00C55428"/>
    <w:rsid w:val="00C55712"/>
    <w:rsid w:val="00C60207"/>
    <w:rsid w:val="00C60738"/>
    <w:rsid w:val="00C61114"/>
    <w:rsid w:val="00C61C02"/>
    <w:rsid w:val="00C61DF8"/>
    <w:rsid w:val="00C62154"/>
    <w:rsid w:val="00C6253F"/>
    <w:rsid w:val="00C6259F"/>
    <w:rsid w:val="00C62842"/>
    <w:rsid w:val="00C62BD2"/>
    <w:rsid w:val="00C6328C"/>
    <w:rsid w:val="00C6455C"/>
    <w:rsid w:val="00C64841"/>
    <w:rsid w:val="00C65199"/>
    <w:rsid w:val="00C66873"/>
    <w:rsid w:val="00C668B8"/>
    <w:rsid w:val="00C6720A"/>
    <w:rsid w:val="00C67302"/>
    <w:rsid w:val="00C67FEB"/>
    <w:rsid w:val="00C70025"/>
    <w:rsid w:val="00C702B7"/>
    <w:rsid w:val="00C704B2"/>
    <w:rsid w:val="00C707F5"/>
    <w:rsid w:val="00C711FF"/>
    <w:rsid w:val="00C713E4"/>
    <w:rsid w:val="00C71D55"/>
    <w:rsid w:val="00C7222C"/>
    <w:rsid w:val="00C723E7"/>
    <w:rsid w:val="00C72C28"/>
    <w:rsid w:val="00C72ECA"/>
    <w:rsid w:val="00C72F49"/>
    <w:rsid w:val="00C752FE"/>
    <w:rsid w:val="00C759F6"/>
    <w:rsid w:val="00C75D78"/>
    <w:rsid w:val="00C77185"/>
    <w:rsid w:val="00C77D6B"/>
    <w:rsid w:val="00C77DB9"/>
    <w:rsid w:val="00C8047B"/>
    <w:rsid w:val="00C814FD"/>
    <w:rsid w:val="00C81995"/>
    <w:rsid w:val="00C81DF8"/>
    <w:rsid w:val="00C8213A"/>
    <w:rsid w:val="00C82E48"/>
    <w:rsid w:val="00C83E01"/>
    <w:rsid w:val="00C842DC"/>
    <w:rsid w:val="00C84388"/>
    <w:rsid w:val="00C844DC"/>
    <w:rsid w:val="00C84D2C"/>
    <w:rsid w:val="00C85622"/>
    <w:rsid w:val="00C85A0C"/>
    <w:rsid w:val="00C861FD"/>
    <w:rsid w:val="00C86257"/>
    <w:rsid w:val="00C862CD"/>
    <w:rsid w:val="00C86967"/>
    <w:rsid w:val="00C86CF5"/>
    <w:rsid w:val="00C86FD2"/>
    <w:rsid w:val="00C8724B"/>
    <w:rsid w:val="00C904FA"/>
    <w:rsid w:val="00C90803"/>
    <w:rsid w:val="00C9081D"/>
    <w:rsid w:val="00C90CC0"/>
    <w:rsid w:val="00C918E4"/>
    <w:rsid w:val="00C92456"/>
    <w:rsid w:val="00C92529"/>
    <w:rsid w:val="00C92BA9"/>
    <w:rsid w:val="00C94537"/>
    <w:rsid w:val="00C94BB4"/>
    <w:rsid w:val="00C96B72"/>
    <w:rsid w:val="00C97389"/>
    <w:rsid w:val="00C97C08"/>
    <w:rsid w:val="00CA0012"/>
    <w:rsid w:val="00CA07FD"/>
    <w:rsid w:val="00CA1671"/>
    <w:rsid w:val="00CA25CE"/>
    <w:rsid w:val="00CA293A"/>
    <w:rsid w:val="00CA33A1"/>
    <w:rsid w:val="00CA3D6C"/>
    <w:rsid w:val="00CA4990"/>
    <w:rsid w:val="00CA4A59"/>
    <w:rsid w:val="00CA63BD"/>
    <w:rsid w:val="00CA72BF"/>
    <w:rsid w:val="00CA77CA"/>
    <w:rsid w:val="00CB1317"/>
    <w:rsid w:val="00CB1C1A"/>
    <w:rsid w:val="00CB28F6"/>
    <w:rsid w:val="00CB2FF0"/>
    <w:rsid w:val="00CB39F7"/>
    <w:rsid w:val="00CB42C2"/>
    <w:rsid w:val="00CB52F6"/>
    <w:rsid w:val="00CB5413"/>
    <w:rsid w:val="00CB5BCE"/>
    <w:rsid w:val="00CB6AC6"/>
    <w:rsid w:val="00CB78D1"/>
    <w:rsid w:val="00CB7F85"/>
    <w:rsid w:val="00CC00E2"/>
    <w:rsid w:val="00CC0709"/>
    <w:rsid w:val="00CC0830"/>
    <w:rsid w:val="00CC086F"/>
    <w:rsid w:val="00CC17AC"/>
    <w:rsid w:val="00CC1F43"/>
    <w:rsid w:val="00CC3C1D"/>
    <w:rsid w:val="00CC4272"/>
    <w:rsid w:val="00CC442E"/>
    <w:rsid w:val="00CC4C0F"/>
    <w:rsid w:val="00CC4E71"/>
    <w:rsid w:val="00CC5595"/>
    <w:rsid w:val="00CC5E6E"/>
    <w:rsid w:val="00CC6AB1"/>
    <w:rsid w:val="00CC6B96"/>
    <w:rsid w:val="00CC713B"/>
    <w:rsid w:val="00CC72B6"/>
    <w:rsid w:val="00CC79B4"/>
    <w:rsid w:val="00CC7F4D"/>
    <w:rsid w:val="00CD0974"/>
    <w:rsid w:val="00CD0DD6"/>
    <w:rsid w:val="00CD11A8"/>
    <w:rsid w:val="00CD1942"/>
    <w:rsid w:val="00CD27A6"/>
    <w:rsid w:val="00CD2C88"/>
    <w:rsid w:val="00CD3C03"/>
    <w:rsid w:val="00CD41A3"/>
    <w:rsid w:val="00CD4698"/>
    <w:rsid w:val="00CD4AA6"/>
    <w:rsid w:val="00CD55ED"/>
    <w:rsid w:val="00CD70B6"/>
    <w:rsid w:val="00CD751C"/>
    <w:rsid w:val="00CD76AA"/>
    <w:rsid w:val="00CD7DBD"/>
    <w:rsid w:val="00CE1623"/>
    <w:rsid w:val="00CE1D95"/>
    <w:rsid w:val="00CE2C91"/>
    <w:rsid w:val="00CE316E"/>
    <w:rsid w:val="00CE451C"/>
    <w:rsid w:val="00CE5355"/>
    <w:rsid w:val="00CE556A"/>
    <w:rsid w:val="00CE5BD8"/>
    <w:rsid w:val="00CE5CA4"/>
    <w:rsid w:val="00CE71F8"/>
    <w:rsid w:val="00CE776F"/>
    <w:rsid w:val="00CE777A"/>
    <w:rsid w:val="00CE7C31"/>
    <w:rsid w:val="00CE7F43"/>
    <w:rsid w:val="00CF07B8"/>
    <w:rsid w:val="00CF099D"/>
    <w:rsid w:val="00CF0E5E"/>
    <w:rsid w:val="00CF10F8"/>
    <w:rsid w:val="00CF15CE"/>
    <w:rsid w:val="00CF1776"/>
    <w:rsid w:val="00CF28AD"/>
    <w:rsid w:val="00CF4572"/>
    <w:rsid w:val="00CF6E60"/>
    <w:rsid w:val="00CF7AAC"/>
    <w:rsid w:val="00D00622"/>
    <w:rsid w:val="00D00BF2"/>
    <w:rsid w:val="00D01496"/>
    <w:rsid w:val="00D019CF"/>
    <w:rsid w:val="00D01B32"/>
    <w:rsid w:val="00D01B92"/>
    <w:rsid w:val="00D01E88"/>
    <w:rsid w:val="00D02327"/>
    <w:rsid w:val="00D02682"/>
    <w:rsid w:val="00D02AA7"/>
    <w:rsid w:val="00D032CA"/>
    <w:rsid w:val="00D03919"/>
    <w:rsid w:val="00D04D5F"/>
    <w:rsid w:val="00D0510D"/>
    <w:rsid w:val="00D05C12"/>
    <w:rsid w:val="00D0686E"/>
    <w:rsid w:val="00D068A4"/>
    <w:rsid w:val="00D069D6"/>
    <w:rsid w:val="00D06B94"/>
    <w:rsid w:val="00D10A3A"/>
    <w:rsid w:val="00D10C6B"/>
    <w:rsid w:val="00D1138C"/>
    <w:rsid w:val="00D11633"/>
    <w:rsid w:val="00D12DFD"/>
    <w:rsid w:val="00D13281"/>
    <w:rsid w:val="00D1362F"/>
    <w:rsid w:val="00D13707"/>
    <w:rsid w:val="00D138BD"/>
    <w:rsid w:val="00D13B5B"/>
    <w:rsid w:val="00D13E38"/>
    <w:rsid w:val="00D151D1"/>
    <w:rsid w:val="00D15563"/>
    <w:rsid w:val="00D15FF9"/>
    <w:rsid w:val="00D1669D"/>
    <w:rsid w:val="00D17390"/>
    <w:rsid w:val="00D176FB"/>
    <w:rsid w:val="00D17F55"/>
    <w:rsid w:val="00D22148"/>
    <w:rsid w:val="00D221E9"/>
    <w:rsid w:val="00D22ADD"/>
    <w:rsid w:val="00D24669"/>
    <w:rsid w:val="00D248B7"/>
    <w:rsid w:val="00D2504C"/>
    <w:rsid w:val="00D2541E"/>
    <w:rsid w:val="00D25F57"/>
    <w:rsid w:val="00D26C86"/>
    <w:rsid w:val="00D275A6"/>
    <w:rsid w:val="00D27D50"/>
    <w:rsid w:val="00D30233"/>
    <w:rsid w:val="00D30260"/>
    <w:rsid w:val="00D305B8"/>
    <w:rsid w:val="00D30A78"/>
    <w:rsid w:val="00D311C8"/>
    <w:rsid w:val="00D318A6"/>
    <w:rsid w:val="00D322A3"/>
    <w:rsid w:val="00D325C0"/>
    <w:rsid w:val="00D3304E"/>
    <w:rsid w:val="00D33595"/>
    <w:rsid w:val="00D3402A"/>
    <w:rsid w:val="00D342CC"/>
    <w:rsid w:val="00D355D8"/>
    <w:rsid w:val="00D36866"/>
    <w:rsid w:val="00D36C54"/>
    <w:rsid w:val="00D37053"/>
    <w:rsid w:val="00D377F9"/>
    <w:rsid w:val="00D400DB"/>
    <w:rsid w:val="00D404E5"/>
    <w:rsid w:val="00D40E8C"/>
    <w:rsid w:val="00D4101C"/>
    <w:rsid w:val="00D41546"/>
    <w:rsid w:val="00D41747"/>
    <w:rsid w:val="00D41FBC"/>
    <w:rsid w:val="00D422A6"/>
    <w:rsid w:val="00D43AF0"/>
    <w:rsid w:val="00D44515"/>
    <w:rsid w:val="00D44860"/>
    <w:rsid w:val="00D44E21"/>
    <w:rsid w:val="00D44F20"/>
    <w:rsid w:val="00D45076"/>
    <w:rsid w:val="00D462AC"/>
    <w:rsid w:val="00D462CF"/>
    <w:rsid w:val="00D47725"/>
    <w:rsid w:val="00D5017E"/>
    <w:rsid w:val="00D506A2"/>
    <w:rsid w:val="00D511C5"/>
    <w:rsid w:val="00D51C0A"/>
    <w:rsid w:val="00D52B67"/>
    <w:rsid w:val="00D52F93"/>
    <w:rsid w:val="00D53DCB"/>
    <w:rsid w:val="00D53EF2"/>
    <w:rsid w:val="00D5427D"/>
    <w:rsid w:val="00D55169"/>
    <w:rsid w:val="00D55396"/>
    <w:rsid w:val="00D56F82"/>
    <w:rsid w:val="00D57031"/>
    <w:rsid w:val="00D570E1"/>
    <w:rsid w:val="00D5728F"/>
    <w:rsid w:val="00D577FE"/>
    <w:rsid w:val="00D603C2"/>
    <w:rsid w:val="00D60638"/>
    <w:rsid w:val="00D60F10"/>
    <w:rsid w:val="00D6158B"/>
    <w:rsid w:val="00D61B4A"/>
    <w:rsid w:val="00D6202C"/>
    <w:rsid w:val="00D62363"/>
    <w:rsid w:val="00D629D4"/>
    <w:rsid w:val="00D62B62"/>
    <w:rsid w:val="00D63097"/>
    <w:rsid w:val="00D63B28"/>
    <w:rsid w:val="00D63BA7"/>
    <w:rsid w:val="00D63F0F"/>
    <w:rsid w:val="00D644DF"/>
    <w:rsid w:val="00D652B1"/>
    <w:rsid w:val="00D656C6"/>
    <w:rsid w:val="00D65873"/>
    <w:rsid w:val="00D65DB6"/>
    <w:rsid w:val="00D65EB4"/>
    <w:rsid w:val="00D66AA5"/>
    <w:rsid w:val="00D66D7E"/>
    <w:rsid w:val="00D67518"/>
    <w:rsid w:val="00D67671"/>
    <w:rsid w:val="00D6772C"/>
    <w:rsid w:val="00D70052"/>
    <w:rsid w:val="00D7026F"/>
    <w:rsid w:val="00D708D8"/>
    <w:rsid w:val="00D70B5D"/>
    <w:rsid w:val="00D7136C"/>
    <w:rsid w:val="00D71F78"/>
    <w:rsid w:val="00D7222F"/>
    <w:rsid w:val="00D73133"/>
    <w:rsid w:val="00D73622"/>
    <w:rsid w:val="00D740D9"/>
    <w:rsid w:val="00D750CE"/>
    <w:rsid w:val="00D75C33"/>
    <w:rsid w:val="00D75D43"/>
    <w:rsid w:val="00D7674E"/>
    <w:rsid w:val="00D76A82"/>
    <w:rsid w:val="00D76B73"/>
    <w:rsid w:val="00D77726"/>
    <w:rsid w:val="00D804FA"/>
    <w:rsid w:val="00D807F6"/>
    <w:rsid w:val="00D8082A"/>
    <w:rsid w:val="00D80ED5"/>
    <w:rsid w:val="00D81800"/>
    <w:rsid w:val="00D81D4A"/>
    <w:rsid w:val="00D83007"/>
    <w:rsid w:val="00D833E5"/>
    <w:rsid w:val="00D83AE7"/>
    <w:rsid w:val="00D83F55"/>
    <w:rsid w:val="00D842DB"/>
    <w:rsid w:val="00D843EE"/>
    <w:rsid w:val="00D8497C"/>
    <w:rsid w:val="00D84E25"/>
    <w:rsid w:val="00D84F97"/>
    <w:rsid w:val="00D85509"/>
    <w:rsid w:val="00D856A3"/>
    <w:rsid w:val="00D86A94"/>
    <w:rsid w:val="00D90193"/>
    <w:rsid w:val="00D9125E"/>
    <w:rsid w:val="00D9129E"/>
    <w:rsid w:val="00D91BF2"/>
    <w:rsid w:val="00D91C0C"/>
    <w:rsid w:val="00D91D73"/>
    <w:rsid w:val="00D93864"/>
    <w:rsid w:val="00D93AEE"/>
    <w:rsid w:val="00D93D1D"/>
    <w:rsid w:val="00D93F24"/>
    <w:rsid w:val="00D940A9"/>
    <w:rsid w:val="00D941BC"/>
    <w:rsid w:val="00D945A4"/>
    <w:rsid w:val="00D94D58"/>
    <w:rsid w:val="00D94E8C"/>
    <w:rsid w:val="00D9593A"/>
    <w:rsid w:val="00D95E66"/>
    <w:rsid w:val="00D95FBD"/>
    <w:rsid w:val="00D960C4"/>
    <w:rsid w:val="00D96938"/>
    <w:rsid w:val="00D96AF2"/>
    <w:rsid w:val="00D96C2E"/>
    <w:rsid w:val="00DA0A3D"/>
    <w:rsid w:val="00DA1652"/>
    <w:rsid w:val="00DA1839"/>
    <w:rsid w:val="00DA1D56"/>
    <w:rsid w:val="00DA212C"/>
    <w:rsid w:val="00DA268A"/>
    <w:rsid w:val="00DA3248"/>
    <w:rsid w:val="00DA4197"/>
    <w:rsid w:val="00DA4B84"/>
    <w:rsid w:val="00DA576B"/>
    <w:rsid w:val="00DA57F0"/>
    <w:rsid w:val="00DA6193"/>
    <w:rsid w:val="00DA62AB"/>
    <w:rsid w:val="00DA6393"/>
    <w:rsid w:val="00DA652E"/>
    <w:rsid w:val="00DA6988"/>
    <w:rsid w:val="00DA6A75"/>
    <w:rsid w:val="00DA7908"/>
    <w:rsid w:val="00DA7AC8"/>
    <w:rsid w:val="00DA7F74"/>
    <w:rsid w:val="00DB2897"/>
    <w:rsid w:val="00DB2D24"/>
    <w:rsid w:val="00DB32CA"/>
    <w:rsid w:val="00DB3408"/>
    <w:rsid w:val="00DB3E8C"/>
    <w:rsid w:val="00DB42C4"/>
    <w:rsid w:val="00DB4653"/>
    <w:rsid w:val="00DB4795"/>
    <w:rsid w:val="00DB4A72"/>
    <w:rsid w:val="00DB4FB0"/>
    <w:rsid w:val="00DB5B80"/>
    <w:rsid w:val="00DB64CB"/>
    <w:rsid w:val="00DB6701"/>
    <w:rsid w:val="00DB6E74"/>
    <w:rsid w:val="00DC0B5C"/>
    <w:rsid w:val="00DC1266"/>
    <w:rsid w:val="00DC2755"/>
    <w:rsid w:val="00DC27DA"/>
    <w:rsid w:val="00DC3161"/>
    <w:rsid w:val="00DC34C4"/>
    <w:rsid w:val="00DC3510"/>
    <w:rsid w:val="00DC3E43"/>
    <w:rsid w:val="00DC4C42"/>
    <w:rsid w:val="00DC5BA3"/>
    <w:rsid w:val="00DC5C41"/>
    <w:rsid w:val="00DC6399"/>
    <w:rsid w:val="00DC6558"/>
    <w:rsid w:val="00DC665E"/>
    <w:rsid w:val="00DC7995"/>
    <w:rsid w:val="00DC7C2E"/>
    <w:rsid w:val="00DD1555"/>
    <w:rsid w:val="00DD18C0"/>
    <w:rsid w:val="00DD22B6"/>
    <w:rsid w:val="00DD2369"/>
    <w:rsid w:val="00DD4B4F"/>
    <w:rsid w:val="00DD620A"/>
    <w:rsid w:val="00DD67DA"/>
    <w:rsid w:val="00DD6E70"/>
    <w:rsid w:val="00DD7E15"/>
    <w:rsid w:val="00DE0128"/>
    <w:rsid w:val="00DE0B86"/>
    <w:rsid w:val="00DE1077"/>
    <w:rsid w:val="00DE10FB"/>
    <w:rsid w:val="00DE1367"/>
    <w:rsid w:val="00DE1AE5"/>
    <w:rsid w:val="00DE1E1D"/>
    <w:rsid w:val="00DE2313"/>
    <w:rsid w:val="00DE37E6"/>
    <w:rsid w:val="00DE3D24"/>
    <w:rsid w:val="00DE5182"/>
    <w:rsid w:val="00DE5AEA"/>
    <w:rsid w:val="00DE5E40"/>
    <w:rsid w:val="00DE61E0"/>
    <w:rsid w:val="00DE629D"/>
    <w:rsid w:val="00DE65BE"/>
    <w:rsid w:val="00DE6D31"/>
    <w:rsid w:val="00DE7371"/>
    <w:rsid w:val="00DE7399"/>
    <w:rsid w:val="00DE78E5"/>
    <w:rsid w:val="00DF0DCE"/>
    <w:rsid w:val="00DF1188"/>
    <w:rsid w:val="00DF1B30"/>
    <w:rsid w:val="00DF2AE0"/>
    <w:rsid w:val="00DF2B3B"/>
    <w:rsid w:val="00DF2DB3"/>
    <w:rsid w:val="00DF2E08"/>
    <w:rsid w:val="00DF33BB"/>
    <w:rsid w:val="00DF5823"/>
    <w:rsid w:val="00DF5876"/>
    <w:rsid w:val="00DF66E8"/>
    <w:rsid w:val="00DF6C5D"/>
    <w:rsid w:val="00DF7DDE"/>
    <w:rsid w:val="00E0005F"/>
    <w:rsid w:val="00E008E4"/>
    <w:rsid w:val="00E011CA"/>
    <w:rsid w:val="00E01A8A"/>
    <w:rsid w:val="00E02230"/>
    <w:rsid w:val="00E0246D"/>
    <w:rsid w:val="00E04A14"/>
    <w:rsid w:val="00E04D54"/>
    <w:rsid w:val="00E05B7F"/>
    <w:rsid w:val="00E05E05"/>
    <w:rsid w:val="00E06A27"/>
    <w:rsid w:val="00E06AB4"/>
    <w:rsid w:val="00E07B0E"/>
    <w:rsid w:val="00E1050A"/>
    <w:rsid w:val="00E10811"/>
    <w:rsid w:val="00E116A6"/>
    <w:rsid w:val="00E1173F"/>
    <w:rsid w:val="00E11AE4"/>
    <w:rsid w:val="00E11B6B"/>
    <w:rsid w:val="00E11BEF"/>
    <w:rsid w:val="00E12122"/>
    <w:rsid w:val="00E125A4"/>
    <w:rsid w:val="00E125C0"/>
    <w:rsid w:val="00E126D5"/>
    <w:rsid w:val="00E12A2D"/>
    <w:rsid w:val="00E12F26"/>
    <w:rsid w:val="00E14D5A"/>
    <w:rsid w:val="00E15029"/>
    <w:rsid w:val="00E1506D"/>
    <w:rsid w:val="00E156DF"/>
    <w:rsid w:val="00E15B39"/>
    <w:rsid w:val="00E16220"/>
    <w:rsid w:val="00E16297"/>
    <w:rsid w:val="00E165F3"/>
    <w:rsid w:val="00E168EF"/>
    <w:rsid w:val="00E16D8D"/>
    <w:rsid w:val="00E17682"/>
    <w:rsid w:val="00E17AAE"/>
    <w:rsid w:val="00E17F3C"/>
    <w:rsid w:val="00E207BB"/>
    <w:rsid w:val="00E20C8B"/>
    <w:rsid w:val="00E21687"/>
    <w:rsid w:val="00E21A26"/>
    <w:rsid w:val="00E21D08"/>
    <w:rsid w:val="00E2250F"/>
    <w:rsid w:val="00E228A0"/>
    <w:rsid w:val="00E229CB"/>
    <w:rsid w:val="00E22D20"/>
    <w:rsid w:val="00E2336A"/>
    <w:rsid w:val="00E2466C"/>
    <w:rsid w:val="00E24EDC"/>
    <w:rsid w:val="00E251CB"/>
    <w:rsid w:val="00E25AF1"/>
    <w:rsid w:val="00E279B6"/>
    <w:rsid w:val="00E27C78"/>
    <w:rsid w:val="00E27D7F"/>
    <w:rsid w:val="00E30DF3"/>
    <w:rsid w:val="00E317F0"/>
    <w:rsid w:val="00E318ED"/>
    <w:rsid w:val="00E31A9F"/>
    <w:rsid w:val="00E31BF8"/>
    <w:rsid w:val="00E32139"/>
    <w:rsid w:val="00E32261"/>
    <w:rsid w:val="00E3226E"/>
    <w:rsid w:val="00E322ED"/>
    <w:rsid w:val="00E324A8"/>
    <w:rsid w:val="00E324D5"/>
    <w:rsid w:val="00E32637"/>
    <w:rsid w:val="00E33A68"/>
    <w:rsid w:val="00E33FED"/>
    <w:rsid w:val="00E343E6"/>
    <w:rsid w:val="00E348A5"/>
    <w:rsid w:val="00E35CD0"/>
    <w:rsid w:val="00E3601E"/>
    <w:rsid w:val="00E36597"/>
    <w:rsid w:val="00E369BC"/>
    <w:rsid w:val="00E36C3E"/>
    <w:rsid w:val="00E4013E"/>
    <w:rsid w:val="00E401C4"/>
    <w:rsid w:val="00E405F7"/>
    <w:rsid w:val="00E41122"/>
    <w:rsid w:val="00E4172A"/>
    <w:rsid w:val="00E45C96"/>
    <w:rsid w:val="00E45E36"/>
    <w:rsid w:val="00E463D0"/>
    <w:rsid w:val="00E4647F"/>
    <w:rsid w:val="00E47D88"/>
    <w:rsid w:val="00E5063C"/>
    <w:rsid w:val="00E50729"/>
    <w:rsid w:val="00E50CFE"/>
    <w:rsid w:val="00E52EC2"/>
    <w:rsid w:val="00E52F13"/>
    <w:rsid w:val="00E53790"/>
    <w:rsid w:val="00E54239"/>
    <w:rsid w:val="00E54967"/>
    <w:rsid w:val="00E55A77"/>
    <w:rsid w:val="00E55C4C"/>
    <w:rsid w:val="00E56416"/>
    <w:rsid w:val="00E56577"/>
    <w:rsid w:val="00E60A40"/>
    <w:rsid w:val="00E619F5"/>
    <w:rsid w:val="00E619FC"/>
    <w:rsid w:val="00E62939"/>
    <w:rsid w:val="00E62A1B"/>
    <w:rsid w:val="00E6590E"/>
    <w:rsid w:val="00E65DD1"/>
    <w:rsid w:val="00E669C7"/>
    <w:rsid w:val="00E66C3D"/>
    <w:rsid w:val="00E67470"/>
    <w:rsid w:val="00E67621"/>
    <w:rsid w:val="00E700C7"/>
    <w:rsid w:val="00E70975"/>
    <w:rsid w:val="00E7242A"/>
    <w:rsid w:val="00E72DC8"/>
    <w:rsid w:val="00E72E14"/>
    <w:rsid w:val="00E72FF2"/>
    <w:rsid w:val="00E734E5"/>
    <w:rsid w:val="00E7378F"/>
    <w:rsid w:val="00E738E0"/>
    <w:rsid w:val="00E73D5C"/>
    <w:rsid w:val="00E74334"/>
    <w:rsid w:val="00E74A0A"/>
    <w:rsid w:val="00E74D94"/>
    <w:rsid w:val="00E750A8"/>
    <w:rsid w:val="00E750BA"/>
    <w:rsid w:val="00E753FB"/>
    <w:rsid w:val="00E75ADC"/>
    <w:rsid w:val="00E77B6C"/>
    <w:rsid w:val="00E80869"/>
    <w:rsid w:val="00E808DF"/>
    <w:rsid w:val="00E80EE3"/>
    <w:rsid w:val="00E8145C"/>
    <w:rsid w:val="00E8164F"/>
    <w:rsid w:val="00E81903"/>
    <w:rsid w:val="00E82445"/>
    <w:rsid w:val="00E8271C"/>
    <w:rsid w:val="00E836A8"/>
    <w:rsid w:val="00E83C8E"/>
    <w:rsid w:val="00E84202"/>
    <w:rsid w:val="00E842A5"/>
    <w:rsid w:val="00E84917"/>
    <w:rsid w:val="00E855B7"/>
    <w:rsid w:val="00E87445"/>
    <w:rsid w:val="00E87E96"/>
    <w:rsid w:val="00E90AC1"/>
    <w:rsid w:val="00E90B69"/>
    <w:rsid w:val="00E9123B"/>
    <w:rsid w:val="00E91240"/>
    <w:rsid w:val="00E91265"/>
    <w:rsid w:val="00E914B6"/>
    <w:rsid w:val="00E9310E"/>
    <w:rsid w:val="00E946E1"/>
    <w:rsid w:val="00E951A2"/>
    <w:rsid w:val="00E95312"/>
    <w:rsid w:val="00E95774"/>
    <w:rsid w:val="00E9678A"/>
    <w:rsid w:val="00E96869"/>
    <w:rsid w:val="00E976C7"/>
    <w:rsid w:val="00EA044B"/>
    <w:rsid w:val="00EA04F4"/>
    <w:rsid w:val="00EA0552"/>
    <w:rsid w:val="00EA0C4C"/>
    <w:rsid w:val="00EA1571"/>
    <w:rsid w:val="00EA15C1"/>
    <w:rsid w:val="00EA31B1"/>
    <w:rsid w:val="00EA352C"/>
    <w:rsid w:val="00EA357E"/>
    <w:rsid w:val="00EA3B42"/>
    <w:rsid w:val="00EA4662"/>
    <w:rsid w:val="00EA49AC"/>
    <w:rsid w:val="00EA4DD6"/>
    <w:rsid w:val="00EA4DDA"/>
    <w:rsid w:val="00EA53ED"/>
    <w:rsid w:val="00EA57CD"/>
    <w:rsid w:val="00EA5BA9"/>
    <w:rsid w:val="00EA5EE4"/>
    <w:rsid w:val="00EA600E"/>
    <w:rsid w:val="00EA6673"/>
    <w:rsid w:val="00EA680D"/>
    <w:rsid w:val="00EA6B52"/>
    <w:rsid w:val="00EA75D6"/>
    <w:rsid w:val="00EA7C30"/>
    <w:rsid w:val="00EA7DA3"/>
    <w:rsid w:val="00EA7F32"/>
    <w:rsid w:val="00EA7FB8"/>
    <w:rsid w:val="00EB05BB"/>
    <w:rsid w:val="00EB06D0"/>
    <w:rsid w:val="00EB0B47"/>
    <w:rsid w:val="00EB1179"/>
    <w:rsid w:val="00EB1618"/>
    <w:rsid w:val="00EB1961"/>
    <w:rsid w:val="00EB3434"/>
    <w:rsid w:val="00EB3B07"/>
    <w:rsid w:val="00EB4F68"/>
    <w:rsid w:val="00EB5163"/>
    <w:rsid w:val="00EB5279"/>
    <w:rsid w:val="00EB52EB"/>
    <w:rsid w:val="00EB7A3D"/>
    <w:rsid w:val="00EB7E31"/>
    <w:rsid w:val="00EC08D8"/>
    <w:rsid w:val="00EC096F"/>
    <w:rsid w:val="00EC3A1C"/>
    <w:rsid w:val="00EC456D"/>
    <w:rsid w:val="00EC4B8D"/>
    <w:rsid w:val="00EC51AA"/>
    <w:rsid w:val="00EC54DE"/>
    <w:rsid w:val="00EC6307"/>
    <w:rsid w:val="00EC6739"/>
    <w:rsid w:val="00EC67CA"/>
    <w:rsid w:val="00EC6C1D"/>
    <w:rsid w:val="00EC719E"/>
    <w:rsid w:val="00EC753E"/>
    <w:rsid w:val="00ED00A9"/>
    <w:rsid w:val="00ED066C"/>
    <w:rsid w:val="00ED0A73"/>
    <w:rsid w:val="00ED0B93"/>
    <w:rsid w:val="00ED11AD"/>
    <w:rsid w:val="00ED13E5"/>
    <w:rsid w:val="00ED20FB"/>
    <w:rsid w:val="00ED2944"/>
    <w:rsid w:val="00ED2954"/>
    <w:rsid w:val="00ED37B6"/>
    <w:rsid w:val="00ED4368"/>
    <w:rsid w:val="00ED57D7"/>
    <w:rsid w:val="00ED62D0"/>
    <w:rsid w:val="00ED695F"/>
    <w:rsid w:val="00ED7095"/>
    <w:rsid w:val="00ED70FB"/>
    <w:rsid w:val="00EE039A"/>
    <w:rsid w:val="00EE0582"/>
    <w:rsid w:val="00EE06F7"/>
    <w:rsid w:val="00EE0A27"/>
    <w:rsid w:val="00EE114D"/>
    <w:rsid w:val="00EE1AC6"/>
    <w:rsid w:val="00EE1BF9"/>
    <w:rsid w:val="00EE2870"/>
    <w:rsid w:val="00EE28A4"/>
    <w:rsid w:val="00EE2D13"/>
    <w:rsid w:val="00EE3947"/>
    <w:rsid w:val="00EE4839"/>
    <w:rsid w:val="00EE5747"/>
    <w:rsid w:val="00EE57C1"/>
    <w:rsid w:val="00EE65A8"/>
    <w:rsid w:val="00EE690A"/>
    <w:rsid w:val="00EE6993"/>
    <w:rsid w:val="00EE7631"/>
    <w:rsid w:val="00EE7665"/>
    <w:rsid w:val="00EF06CE"/>
    <w:rsid w:val="00EF141D"/>
    <w:rsid w:val="00EF2612"/>
    <w:rsid w:val="00EF2847"/>
    <w:rsid w:val="00EF2BB6"/>
    <w:rsid w:val="00EF2CA3"/>
    <w:rsid w:val="00EF3007"/>
    <w:rsid w:val="00EF3444"/>
    <w:rsid w:val="00EF35B2"/>
    <w:rsid w:val="00EF38BD"/>
    <w:rsid w:val="00EF41C5"/>
    <w:rsid w:val="00EF45CF"/>
    <w:rsid w:val="00EF4A0C"/>
    <w:rsid w:val="00EF5152"/>
    <w:rsid w:val="00EF5495"/>
    <w:rsid w:val="00EF6097"/>
    <w:rsid w:val="00EF667E"/>
    <w:rsid w:val="00EF6D71"/>
    <w:rsid w:val="00EF75C6"/>
    <w:rsid w:val="00EF78BE"/>
    <w:rsid w:val="00EF79F7"/>
    <w:rsid w:val="00F00185"/>
    <w:rsid w:val="00F00415"/>
    <w:rsid w:val="00F00D1A"/>
    <w:rsid w:val="00F013B2"/>
    <w:rsid w:val="00F015FA"/>
    <w:rsid w:val="00F01677"/>
    <w:rsid w:val="00F01A62"/>
    <w:rsid w:val="00F01C0B"/>
    <w:rsid w:val="00F01C99"/>
    <w:rsid w:val="00F01E3B"/>
    <w:rsid w:val="00F02213"/>
    <w:rsid w:val="00F024B2"/>
    <w:rsid w:val="00F02628"/>
    <w:rsid w:val="00F03751"/>
    <w:rsid w:val="00F04D89"/>
    <w:rsid w:val="00F056A1"/>
    <w:rsid w:val="00F068B2"/>
    <w:rsid w:val="00F06A97"/>
    <w:rsid w:val="00F072CB"/>
    <w:rsid w:val="00F07591"/>
    <w:rsid w:val="00F078ED"/>
    <w:rsid w:val="00F07DDC"/>
    <w:rsid w:val="00F1055C"/>
    <w:rsid w:val="00F10B5D"/>
    <w:rsid w:val="00F1100A"/>
    <w:rsid w:val="00F12551"/>
    <w:rsid w:val="00F128D9"/>
    <w:rsid w:val="00F1324D"/>
    <w:rsid w:val="00F13BCB"/>
    <w:rsid w:val="00F13F83"/>
    <w:rsid w:val="00F157FA"/>
    <w:rsid w:val="00F165FC"/>
    <w:rsid w:val="00F16B06"/>
    <w:rsid w:val="00F17B67"/>
    <w:rsid w:val="00F200DC"/>
    <w:rsid w:val="00F20A7B"/>
    <w:rsid w:val="00F22F19"/>
    <w:rsid w:val="00F23FBD"/>
    <w:rsid w:val="00F251DA"/>
    <w:rsid w:val="00F2525D"/>
    <w:rsid w:val="00F25578"/>
    <w:rsid w:val="00F25B57"/>
    <w:rsid w:val="00F25FB3"/>
    <w:rsid w:val="00F2626F"/>
    <w:rsid w:val="00F278B3"/>
    <w:rsid w:val="00F3017D"/>
    <w:rsid w:val="00F302D4"/>
    <w:rsid w:val="00F304EA"/>
    <w:rsid w:val="00F307C3"/>
    <w:rsid w:val="00F30FF5"/>
    <w:rsid w:val="00F3107C"/>
    <w:rsid w:val="00F32765"/>
    <w:rsid w:val="00F327B9"/>
    <w:rsid w:val="00F32B61"/>
    <w:rsid w:val="00F330FE"/>
    <w:rsid w:val="00F33DED"/>
    <w:rsid w:val="00F349FA"/>
    <w:rsid w:val="00F34A67"/>
    <w:rsid w:val="00F36E97"/>
    <w:rsid w:val="00F3780F"/>
    <w:rsid w:val="00F378CB"/>
    <w:rsid w:val="00F417DF"/>
    <w:rsid w:val="00F41C4D"/>
    <w:rsid w:val="00F42439"/>
    <w:rsid w:val="00F42629"/>
    <w:rsid w:val="00F42AF9"/>
    <w:rsid w:val="00F43291"/>
    <w:rsid w:val="00F435A3"/>
    <w:rsid w:val="00F447F7"/>
    <w:rsid w:val="00F45089"/>
    <w:rsid w:val="00F45357"/>
    <w:rsid w:val="00F45636"/>
    <w:rsid w:val="00F45812"/>
    <w:rsid w:val="00F45E4F"/>
    <w:rsid w:val="00F46156"/>
    <w:rsid w:val="00F461EA"/>
    <w:rsid w:val="00F46D40"/>
    <w:rsid w:val="00F47418"/>
    <w:rsid w:val="00F479A8"/>
    <w:rsid w:val="00F515EB"/>
    <w:rsid w:val="00F52162"/>
    <w:rsid w:val="00F523F1"/>
    <w:rsid w:val="00F52765"/>
    <w:rsid w:val="00F52D15"/>
    <w:rsid w:val="00F52EC3"/>
    <w:rsid w:val="00F54888"/>
    <w:rsid w:val="00F54D3B"/>
    <w:rsid w:val="00F5539E"/>
    <w:rsid w:val="00F55F05"/>
    <w:rsid w:val="00F565D2"/>
    <w:rsid w:val="00F56EF3"/>
    <w:rsid w:val="00F57334"/>
    <w:rsid w:val="00F5759E"/>
    <w:rsid w:val="00F57AE8"/>
    <w:rsid w:val="00F606BE"/>
    <w:rsid w:val="00F60802"/>
    <w:rsid w:val="00F60979"/>
    <w:rsid w:val="00F61B07"/>
    <w:rsid w:val="00F61E5E"/>
    <w:rsid w:val="00F634DA"/>
    <w:rsid w:val="00F64236"/>
    <w:rsid w:val="00F64FBE"/>
    <w:rsid w:val="00F64FED"/>
    <w:rsid w:val="00F652C8"/>
    <w:rsid w:val="00F65559"/>
    <w:rsid w:val="00F65F33"/>
    <w:rsid w:val="00F66B08"/>
    <w:rsid w:val="00F66E4B"/>
    <w:rsid w:val="00F66FB1"/>
    <w:rsid w:val="00F70259"/>
    <w:rsid w:val="00F70A80"/>
    <w:rsid w:val="00F70A84"/>
    <w:rsid w:val="00F70A99"/>
    <w:rsid w:val="00F70DE9"/>
    <w:rsid w:val="00F70F12"/>
    <w:rsid w:val="00F71298"/>
    <w:rsid w:val="00F723A7"/>
    <w:rsid w:val="00F731DA"/>
    <w:rsid w:val="00F767B3"/>
    <w:rsid w:val="00F76847"/>
    <w:rsid w:val="00F76CAC"/>
    <w:rsid w:val="00F76E2B"/>
    <w:rsid w:val="00F770ED"/>
    <w:rsid w:val="00F773F4"/>
    <w:rsid w:val="00F77966"/>
    <w:rsid w:val="00F80B1E"/>
    <w:rsid w:val="00F80CA6"/>
    <w:rsid w:val="00F81227"/>
    <w:rsid w:val="00F816BF"/>
    <w:rsid w:val="00F81BD7"/>
    <w:rsid w:val="00F82727"/>
    <w:rsid w:val="00F832D4"/>
    <w:rsid w:val="00F838BE"/>
    <w:rsid w:val="00F83F3A"/>
    <w:rsid w:val="00F850ED"/>
    <w:rsid w:val="00F8569F"/>
    <w:rsid w:val="00F8573F"/>
    <w:rsid w:val="00F873A7"/>
    <w:rsid w:val="00F8788C"/>
    <w:rsid w:val="00F87A93"/>
    <w:rsid w:val="00F87EAE"/>
    <w:rsid w:val="00F87FCA"/>
    <w:rsid w:val="00F90E42"/>
    <w:rsid w:val="00F922ED"/>
    <w:rsid w:val="00F92794"/>
    <w:rsid w:val="00F927B4"/>
    <w:rsid w:val="00F94F67"/>
    <w:rsid w:val="00F95100"/>
    <w:rsid w:val="00F9528A"/>
    <w:rsid w:val="00F9691A"/>
    <w:rsid w:val="00F96D2B"/>
    <w:rsid w:val="00F97986"/>
    <w:rsid w:val="00F97A3C"/>
    <w:rsid w:val="00F97A89"/>
    <w:rsid w:val="00FA0AE1"/>
    <w:rsid w:val="00FA0E76"/>
    <w:rsid w:val="00FA2BC0"/>
    <w:rsid w:val="00FA2C0F"/>
    <w:rsid w:val="00FA2CE9"/>
    <w:rsid w:val="00FA318D"/>
    <w:rsid w:val="00FA3B5A"/>
    <w:rsid w:val="00FA3CDD"/>
    <w:rsid w:val="00FA3E87"/>
    <w:rsid w:val="00FA4E66"/>
    <w:rsid w:val="00FA5521"/>
    <w:rsid w:val="00FA5683"/>
    <w:rsid w:val="00FA5B87"/>
    <w:rsid w:val="00FA5F66"/>
    <w:rsid w:val="00FA62EC"/>
    <w:rsid w:val="00FA6528"/>
    <w:rsid w:val="00FA7845"/>
    <w:rsid w:val="00FB0A1C"/>
    <w:rsid w:val="00FB189F"/>
    <w:rsid w:val="00FB1972"/>
    <w:rsid w:val="00FB1A4A"/>
    <w:rsid w:val="00FB1F1F"/>
    <w:rsid w:val="00FB242D"/>
    <w:rsid w:val="00FB2753"/>
    <w:rsid w:val="00FB2774"/>
    <w:rsid w:val="00FB31C5"/>
    <w:rsid w:val="00FB6381"/>
    <w:rsid w:val="00FB65E4"/>
    <w:rsid w:val="00FB7A1D"/>
    <w:rsid w:val="00FC024E"/>
    <w:rsid w:val="00FC1795"/>
    <w:rsid w:val="00FC1FC4"/>
    <w:rsid w:val="00FC2F83"/>
    <w:rsid w:val="00FC2FC2"/>
    <w:rsid w:val="00FC34C5"/>
    <w:rsid w:val="00FC3943"/>
    <w:rsid w:val="00FC4687"/>
    <w:rsid w:val="00FC4769"/>
    <w:rsid w:val="00FC4A53"/>
    <w:rsid w:val="00FC4EA9"/>
    <w:rsid w:val="00FC522B"/>
    <w:rsid w:val="00FC5478"/>
    <w:rsid w:val="00FC58BB"/>
    <w:rsid w:val="00FC7273"/>
    <w:rsid w:val="00FD0560"/>
    <w:rsid w:val="00FD227D"/>
    <w:rsid w:val="00FD4059"/>
    <w:rsid w:val="00FD43B1"/>
    <w:rsid w:val="00FD4691"/>
    <w:rsid w:val="00FD4AC8"/>
    <w:rsid w:val="00FD59E0"/>
    <w:rsid w:val="00FD5E63"/>
    <w:rsid w:val="00FD67F7"/>
    <w:rsid w:val="00FD6C6A"/>
    <w:rsid w:val="00FE1EE7"/>
    <w:rsid w:val="00FE302B"/>
    <w:rsid w:val="00FE3054"/>
    <w:rsid w:val="00FE361E"/>
    <w:rsid w:val="00FE3869"/>
    <w:rsid w:val="00FE3A5B"/>
    <w:rsid w:val="00FE3B08"/>
    <w:rsid w:val="00FE3B14"/>
    <w:rsid w:val="00FE3C75"/>
    <w:rsid w:val="00FE71DC"/>
    <w:rsid w:val="00FE7FA5"/>
    <w:rsid w:val="00FF183A"/>
    <w:rsid w:val="00FF1B11"/>
    <w:rsid w:val="00FF1F64"/>
    <w:rsid w:val="00FF22FC"/>
    <w:rsid w:val="00FF29E0"/>
    <w:rsid w:val="00FF3AEB"/>
    <w:rsid w:val="00FF48CE"/>
    <w:rsid w:val="00FF58B4"/>
    <w:rsid w:val="00FF5ADE"/>
    <w:rsid w:val="00FF66B5"/>
    <w:rsid w:val="00FF76B8"/>
    <w:rsid w:val="00FF7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qFormat="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qFormat="1"/>
    <w:lsdException w:name="annotation text" w:unhideWhenUsed="1"/>
    <w:lsdException w:name="header" w:uiPriority="99" w:unhideWhenUsed="1"/>
    <w:lsdException w:name="footer" w:uiPriority="99" w:unhideWhenUsed="1"/>
    <w:lsdException w:name="index heading" w:unhideWhenUsed="1"/>
    <w:lsdException w:name="caption" w:unhideWhenUsed="1" w:qFormat="1"/>
    <w:lsdException w:name="table of figures" w:uiPriority="99" w:unhideWhenUsed="1"/>
    <w:lsdException w:name="envelope address" w:unhideWhenUsed="1"/>
    <w:lsdException w:name="envelope return" w:unhideWhenUsed="1"/>
    <w:lsdException w:name="footnote reference" w:unhideWhenUsed="1" w:qFormat="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lsdException w:name="List Bullet" w:unhideWhenUsed="1"/>
    <w:lsdException w:name="List Number" w:unhideWhenUsed="1"/>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unhideWhenUsed="1"/>
    <w:lsdException w:name="Title" w:semiHidden="0" w:qFormat="1"/>
    <w:lsdException w:name="Closing" w:unhideWhenUsed="1"/>
    <w:lsdException w:name="Signature" w:unhideWhenUsed="1"/>
    <w:lsdException w:name="Default Paragraph Font" w:unhideWhenUsed="1"/>
    <w:lsdException w:name="Body Text" w:uiPriority="1" w:unhideWhenUsed="1" w:qFormat="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semiHidden="0"/>
    <w:lsdException w:name="Body Text Indent 2" w:semiHidden="0"/>
    <w:lsdException w:name="Body Text Indent 3" w:semiHidden="0"/>
    <w:lsdException w:name="Block Text" w:semiHidden="0"/>
    <w:lsdException w:name="Hyperlink" w:uiPriority="99" w:unhideWhenUsed="1" w:qFormat="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954CD5"/>
    <w:pPr>
      <w:adjustRightInd w:val="0"/>
      <w:spacing w:after="240" w:line="260" w:lineRule="atLeast"/>
      <w:textAlignment w:val="baseline"/>
    </w:pPr>
    <w:rPr>
      <w:rFonts w:ascii="Cambria" w:hAnsi="Cambria"/>
      <w:szCs w:val="22"/>
    </w:rPr>
  </w:style>
  <w:style w:type="paragraph" w:styleId="Heading1">
    <w:name w:val="heading 1"/>
    <w:basedOn w:val="Normal"/>
    <w:next w:val="Normal"/>
    <w:link w:val="Heading1Char"/>
    <w:autoRedefine/>
    <w:qFormat/>
    <w:rsid w:val="002F71DB"/>
    <w:pPr>
      <w:keepNext/>
      <w:keepLines/>
      <w:pageBreakBefore/>
      <w:numPr>
        <w:numId w:val="49"/>
      </w:numPr>
      <w:adjustRightInd/>
      <w:textAlignment w:val="auto"/>
      <w:outlineLvl w:val="0"/>
    </w:pPr>
    <w:rPr>
      <w:rFonts w:ascii="Calibri" w:hAnsi="Calibri"/>
      <w:b/>
      <w:bCs/>
      <w:color w:val="4F81BD" w:themeColor="accent1"/>
      <w:sz w:val="36"/>
      <w:szCs w:val="36"/>
    </w:rPr>
  </w:style>
  <w:style w:type="paragraph" w:styleId="Heading2">
    <w:name w:val="heading 2"/>
    <w:basedOn w:val="Normal"/>
    <w:next w:val="Normal"/>
    <w:link w:val="Heading2Char"/>
    <w:autoRedefine/>
    <w:qFormat/>
    <w:rsid w:val="0053379A"/>
    <w:pPr>
      <w:keepNext/>
      <w:keepLines/>
      <w:numPr>
        <w:ilvl w:val="1"/>
        <w:numId w:val="49"/>
      </w:numPr>
      <w:pBdr>
        <w:bottom w:val="single" w:sz="2" w:space="1" w:color="auto"/>
      </w:pBdr>
      <w:spacing w:after="120"/>
      <w:outlineLvl w:val="1"/>
    </w:pPr>
    <w:rPr>
      <w:rFonts w:ascii="Calibri" w:hAnsi="Calibri"/>
      <w:b/>
      <w:bCs/>
      <w:sz w:val="24"/>
      <w:szCs w:val="24"/>
    </w:rPr>
  </w:style>
  <w:style w:type="paragraph" w:styleId="Heading3">
    <w:name w:val="heading 3"/>
    <w:basedOn w:val="Normal"/>
    <w:next w:val="Normal"/>
    <w:link w:val="Heading3Char"/>
    <w:autoRedefine/>
    <w:qFormat/>
    <w:rsid w:val="00193782"/>
    <w:pPr>
      <w:keepNext/>
      <w:keepLines/>
      <w:numPr>
        <w:ilvl w:val="2"/>
        <w:numId w:val="49"/>
      </w:numPr>
      <w:spacing w:before="120" w:after="120" w:line="240" w:lineRule="auto"/>
      <w:outlineLvl w:val="2"/>
    </w:pPr>
    <w:rPr>
      <w:rFonts w:ascii="Calibri" w:hAnsi="Calibri"/>
      <w:b/>
      <w:iCs/>
      <w:color w:val="000000"/>
      <w:szCs w:val="18"/>
    </w:rPr>
  </w:style>
  <w:style w:type="paragraph" w:styleId="Heading4">
    <w:name w:val="heading 4"/>
    <w:basedOn w:val="Normal"/>
    <w:next w:val="Normal"/>
    <w:link w:val="Heading4Char"/>
    <w:autoRedefine/>
    <w:qFormat/>
    <w:rsid w:val="00001E14"/>
    <w:pPr>
      <w:keepNext/>
      <w:keepLines/>
      <w:numPr>
        <w:ilvl w:val="3"/>
        <w:numId w:val="49"/>
      </w:numPr>
      <w:spacing w:after="120"/>
      <w:outlineLvl w:val="3"/>
    </w:pPr>
    <w:rPr>
      <w:rFonts w:ascii="Calibri" w:hAnsi="Calibri"/>
      <w:bCs/>
      <w:i/>
      <w:szCs w:val="20"/>
    </w:rPr>
  </w:style>
  <w:style w:type="paragraph" w:styleId="Heading5">
    <w:name w:val="heading 5"/>
    <w:basedOn w:val="Normal"/>
    <w:next w:val="Normal"/>
    <w:qFormat/>
    <w:pPr>
      <w:keepNext/>
      <w:outlineLvl w:val="4"/>
    </w:pPr>
    <w:rPr>
      <w:b/>
      <w:bCs/>
    </w:rPr>
  </w:style>
  <w:style w:type="paragraph" w:styleId="Heading6">
    <w:name w:val="heading 6"/>
    <w:basedOn w:val="Normal"/>
    <w:next w:val="Normal"/>
    <w:qFormat/>
    <w:pPr>
      <w:keepNext/>
      <w:jc w:val="center"/>
      <w:outlineLvl w:val="5"/>
    </w:pPr>
    <w:rPr>
      <w:sz w:val="44"/>
    </w:rPr>
  </w:style>
  <w:style w:type="paragraph" w:styleId="Heading7">
    <w:name w:val="heading 7"/>
    <w:basedOn w:val="Normal"/>
    <w:next w:val="Normal"/>
    <w:qFormat/>
    <w:pPr>
      <w:keepNext/>
      <w:jc w:val="center"/>
      <w:outlineLvl w:val="6"/>
    </w:pPr>
    <w:rPr>
      <w:b/>
      <w:bCs/>
    </w:rPr>
  </w:style>
  <w:style w:type="paragraph" w:styleId="Heading8">
    <w:name w:val="heading 8"/>
    <w:basedOn w:val="Normal"/>
    <w:next w:val="Normal"/>
    <w:qFormat/>
    <w:pPr>
      <w:keepNext/>
      <w:jc w:val="center"/>
      <w:outlineLvl w:val="7"/>
    </w:pPr>
    <w:rPr>
      <w:b/>
      <w:bCs/>
    </w:rPr>
  </w:style>
  <w:style w:type="paragraph" w:styleId="Heading9">
    <w:name w:val="heading 9"/>
    <w:basedOn w:val="Normal"/>
    <w:next w:val="Normal"/>
    <w:qFormat/>
    <w:pPr>
      <w:keepNext/>
      <w:ind w:right="-147"/>
      <w:jc w:val="center"/>
      <w:outlineLvl w:val="8"/>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8ptLeftText">
    <w:name w:val="Table 8 pt Left Text"/>
    <w:basedOn w:val="Normal"/>
    <w:rPr>
      <w:rFonts w:ascii="Arial" w:hAnsi="Arial"/>
      <w:sz w:val="16"/>
    </w:rPr>
  </w:style>
  <w:style w:type="paragraph" w:styleId="Caption">
    <w:name w:val="caption"/>
    <w:basedOn w:val="Normal"/>
    <w:next w:val="Normal"/>
    <w:link w:val="CaptionChar"/>
    <w:qFormat/>
    <w:rsid w:val="00B46640"/>
    <w:pPr>
      <w:keepNext/>
      <w:keepLines/>
      <w:tabs>
        <w:tab w:val="left" w:pos="1260"/>
        <w:tab w:val="left" w:pos="9000"/>
      </w:tabs>
      <w:spacing w:after="120" w:line="240" w:lineRule="auto"/>
    </w:pPr>
    <w:rPr>
      <w:rFonts w:ascii="Calibri" w:hAnsi="Calibri"/>
      <w:b/>
      <w:bCs/>
      <w:szCs w:val="20"/>
    </w:rPr>
  </w:style>
  <w:style w:type="paragraph" w:styleId="Header">
    <w:name w:val="header"/>
    <w:basedOn w:val="Normal"/>
    <w:link w:val="HeaderChar"/>
    <w:uiPriority w:val="99"/>
    <w:pPr>
      <w:tabs>
        <w:tab w:val="center" w:pos="4320"/>
        <w:tab w:val="right" w:pos="8640"/>
      </w:tabs>
    </w:pPr>
  </w:style>
  <w:style w:type="paragraph" w:styleId="TableofFigures">
    <w:name w:val="table of figures"/>
    <w:basedOn w:val="Normal"/>
    <w:next w:val="Normal"/>
    <w:autoRedefine/>
    <w:uiPriority w:val="99"/>
    <w:rsid w:val="004124F0"/>
    <w:pPr>
      <w:tabs>
        <w:tab w:val="right" w:leader="dot" w:pos="8990"/>
      </w:tabs>
      <w:spacing w:after="120" w:line="240" w:lineRule="auto"/>
      <w:ind w:left="1260" w:hanging="1260"/>
    </w:pPr>
    <w:rPr>
      <w:rFonts w:ascii="Calibri" w:hAnsi="Calibri"/>
      <w:noProof/>
      <w:szCs w:val="20"/>
    </w:rPr>
  </w:style>
  <w:style w:type="paragraph" w:styleId="FootnoteText">
    <w:name w:val="footnote text"/>
    <w:aliases w:val="ft,Footnote Text Char1,Footnote Text Char Char,fn Char Char,Footnote Text Char1 Char1 Char,Footnote Text Char Char Char1 Char,Footnote Text Char1 Char Char Char,Footnote Text Char Char Char Char Char,Footnote Text Char Char1,fn,ft Char1,f"/>
    <w:basedOn w:val="Normal"/>
    <w:link w:val="FootnoteTextChar"/>
    <w:qFormat/>
    <w:rsid w:val="009C2B5B"/>
    <w:pPr>
      <w:keepLines/>
      <w:spacing w:after="80" w:line="240" w:lineRule="auto"/>
    </w:pPr>
    <w:rPr>
      <w:sz w:val="18"/>
      <w:szCs w:val="18"/>
    </w:rPr>
  </w:style>
  <w:style w:type="character" w:styleId="FootnoteReference">
    <w:name w:val="footnote reference"/>
    <w:aliases w:val="o,Style 17,fr,Style 13,Style 12,Style 15,Style 9,o1,fr1,o2,fr2,o3,fr3,Style 18,(NECG) Footnote Reference,Style 20,Style 7,Style 8,Style 19,Style 32,o + Times New Roman,Style 16"/>
    <w:autoRedefine/>
    <w:qFormat/>
    <w:rPr>
      <w:sz w:val="22"/>
      <w:szCs w:val="22"/>
      <w:vertAlign w:val="superscript"/>
    </w:r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C2">
    <w:name w:val="toc 2"/>
    <w:basedOn w:val="Normal"/>
    <w:next w:val="Normal"/>
    <w:autoRedefine/>
    <w:uiPriority w:val="39"/>
    <w:rsid w:val="00CD7DBD"/>
    <w:pPr>
      <w:keepNext/>
      <w:tabs>
        <w:tab w:val="right" w:leader="dot" w:pos="8990"/>
      </w:tabs>
      <w:spacing w:after="120" w:line="240" w:lineRule="auto"/>
      <w:ind w:left="331" w:hanging="331"/>
    </w:pPr>
    <w:rPr>
      <w:rFonts w:asciiTheme="minorHAnsi" w:hAnsiTheme="minorHAnsi"/>
      <w:bCs/>
      <w:noProof/>
      <w:szCs w:val="20"/>
    </w:rPr>
  </w:style>
  <w:style w:type="paragraph" w:styleId="TOC1">
    <w:name w:val="toc 1"/>
    <w:basedOn w:val="Normal"/>
    <w:next w:val="Normal"/>
    <w:autoRedefine/>
    <w:uiPriority w:val="39"/>
    <w:qFormat/>
    <w:rsid w:val="00E401C4"/>
    <w:pPr>
      <w:tabs>
        <w:tab w:val="right" w:leader="dot" w:pos="8990"/>
      </w:tabs>
      <w:spacing w:after="120" w:line="240" w:lineRule="auto"/>
    </w:pPr>
    <w:rPr>
      <w:rFonts w:asciiTheme="minorHAnsi" w:hAnsiTheme="minorHAnsi" w:cs="Arial"/>
      <w:b/>
      <w:bCs/>
      <w:noProof/>
      <w:szCs w:val="20"/>
    </w:rPr>
  </w:style>
  <w:style w:type="paragraph" w:styleId="TOC3">
    <w:name w:val="toc 3"/>
    <w:basedOn w:val="Normal"/>
    <w:next w:val="Normal"/>
    <w:uiPriority w:val="39"/>
    <w:pPr>
      <w:tabs>
        <w:tab w:val="right" w:leader="dot" w:pos="8990"/>
      </w:tabs>
      <w:ind w:left="216"/>
    </w:pPr>
    <w:rPr>
      <w:szCs w:val="20"/>
    </w:rPr>
  </w:style>
  <w:style w:type="paragraph" w:styleId="TOC4">
    <w:name w:val="toc 4"/>
    <w:basedOn w:val="Normal"/>
    <w:next w:val="Normal"/>
    <w:autoRedefine/>
    <w:semiHidden/>
    <w:pPr>
      <w:ind w:left="440"/>
    </w:pPr>
    <w:rPr>
      <w:szCs w:val="20"/>
    </w:rPr>
  </w:style>
  <w:style w:type="character" w:styleId="Hyperlink">
    <w:name w:val="Hyperlink"/>
    <w:uiPriority w:val="99"/>
    <w:qFormat/>
    <w:rPr>
      <w:color w:val="0000FF"/>
      <w:u w:val="single"/>
    </w:rPr>
  </w:style>
  <w:style w:type="paragraph" w:customStyle="1" w:styleId="Table-a-b-c">
    <w:name w:val="Table-a-b-c"/>
    <w:basedOn w:val="Normal"/>
    <w:pPr>
      <w:spacing w:after="80" w:line="240" w:lineRule="auto"/>
      <w:ind w:left="-720"/>
    </w:pPr>
    <w:rPr>
      <w:rFonts w:ascii="Arial" w:hAnsi="Arial" w:cs="Arial"/>
      <w:sz w:val="16"/>
      <w:szCs w:val="16"/>
    </w:rPr>
  </w:style>
  <w:style w:type="paragraph" w:styleId="TOC5">
    <w:name w:val="toc 5"/>
    <w:basedOn w:val="Normal"/>
    <w:next w:val="Normal"/>
    <w:autoRedefine/>
    <w:semiHidden/>
    <w:pPr>
      <w:ind w:left="660"/>
    </w:pPr>
    <w:rPr>
      <w:szCs w:val="20"/>
    </w:rPr>
  </w:style>
  <w:style w:type="paragraph" w:styleId="TOC6">
    <w:name w:val="toc 6"/>
    <w:basedOn w:val="Normal"/>
    <w:next w:val="Normal"/>
    <w:autoRedefine/>
    <w:semiHidden/>
    <w:pPr>
      <w:ind w:left="880"/>
    </w:pPr>
    <w:rPr>
      <w:szCs w:val="20"/>
    </w:rPr>
  </w:style>
  <w:style w:type="paragraph" w:styleId="TOC7">
    <w:name w:val="toc 7"/>
    <w:basedOn w:val="Normal"/>
    <w:next w:val="Normal"/>
    <w:autoRedefine/>
    <w:semiHidden/>
    <w:pPr>
      <w:ind w:left="1100"/>
    </w:pPr>
    <w:rPr>
      <w:szCs w:val="20"/>
    </w:rPr>
  </w:style>
  <w:style w:type="paragraph" w:styleId="TOC8">
    <w:name w:val="toc 8"/>
    <w:basedOn w:val="Normal"/>
    <w:next w:val="Normal"/>
    <w:autoRedefine/>
    <w:semiHidden/>
    <w:pPr>
      <w:ind w:left="1320"/>
    </w:pPr>
    <w:rPr>
      <w:szCs w:val="20"/>
    </w:rPr>
  </w:style>
  <w:style w:type="paragraph" w:styleId="TOC9">
    <w:name w:val="toc 9"/>
    <w:basedOn w:val="Normal"/>
    <w:next w:val="Normal"/>
    <w:autoRedefine/>
    <w:semiHidden/>
    <w:pPr>
      <w:ind w:left="1540"/>
    </w:pPr>
    <w:rPr>
      <w:szCs w:val="20"/>
    </w:rPr>
  </w:style>
  <w:style w:type="paragraph" w:customStyle="1" w:styleId="TableTextCentered">
    <w:name w:val="Table Text Centered"/>
    <w:basedOn w:val="Normal"/>
    <w:pPr>
      <w:tabs>
        <w:tab w:val="left" w:pos="-720"/>
      </w:tabs>
      <w:suppressAutoHyphens/>
      <w:spacing w:before="60" w:after="60" w:line="180" w:lineRule="exact"/>
      <w:jc w:val="center"/>
    </w:pPr>
    <w:rPr>
      <w:sz w:val="18"/>
    </w:rPr>
  </w:style>
  <w:style w:type="paragraph" w:styleId="Footer">
    <w:name w:val="footer"/>
    <w:basedOn w:val="Normal"/>
    <w:link w:val="FooterChar"/>
    <w:uiPriority w:val="99"/>
    <w:pPr>
      <w:tabs>
        <w:tab w:val="center" w:pos="4320"/>
        <w:tab w:val="right" w:pos="8640"/>
      </w:tabs>
    </w:pPr>
  </w:style>
  <w:style w:type="paragraph" w:styleId="Subtitle">
    <w:name w:val="Subtitle"/>
    <w:basedOn w:val="Normal"/>
    <w:qFormat/>
    <w:rPr>
      <w:b/>
      <w:bCs/>
    </w:rPr>
  </w:style>
  <w:style w:type="paragraph" w:customStyle="1" w:styleId="TableCaption">
    <w:name w:val="Table Caption"/>
    <w:basedOn w:val="Caption"/>
    <w:autoRedefine/>
    <w:rsid w:val="004315EE"/>
    <w:pPr>
      <w:tabs>
        <w:tab w:val="left" w:pos="7740"/>
      </w:tabs>
      <w:ind w:left="1267" w:right="1267"/>
    </w:pPr>
  </w:style>
  <w:style w:type="paragraph" w:customStyle="1" w:styleId="Table8ptTextCentered">
    <w:name w:val="Table 8 pt Text Centered"/>
    <w:basedOn w:val="Normal"/>
    <w:pPr>
      <w:adjustRightInd/>
      <w:spacing w:line="240" w:lineRule="auto"/>
      <w:jc w:val="center"/>
      <w:textAlignment w:val="auto"/>
    </w:pPr>
    <w:rPr>
      <w:rFonts w:ascii="Arial" w:hAnsi="Arial" w:cs="Arial"/>
      <w:sz w:val="16"/>
      <w:szCs w:val="16"/>
    </w:rPr>
  </w:style>
  <w:style w:type="paragraph" w:customStyle="1" w:styleId="Table8ptCtrBoldText">
    <w:name w:val="Table 8 pt Ctr Bold Text"/>
    <w:basedOn w:val="Normal"/>
    <w:autoRedefine/>
    <w:pPr>
      <w:keepNext/>
      <w:keepLines/>
      <w:adjustRightInd/>
      <w:spacing w:line="240" w:lineRule="auto"/>
      <w:jc w:val="center"/>
      <w:textAlignment w:val="auto"/>
    </w:pPr>
    <w:rPr>
      <w:rFonts w:ascii="Arial" w:hAnsi="Arial" w:cs="Arial"/>
      <w:b/>
      <w:bCs/>
      <w:sz w:val="16"/>
      <w:szCs w:val="16"/>
    </w:rPr>
  </w:style>
  <w:style w:type="character" w:styleId="FollowedHyperlink">
    <w:name w:val="FollowedHyperlink"/>
    <w:rPr>
      <w:color w:val="800080"/>
      <w:u w:val="single"/>
    </w:r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customStyle="1" w:styleId="Table8ptLeftBoldText">
    <w:name w:val="Table 8 pt Left Bold Text"/>
    <w:basedOn w:val="Normal"/>
    <w:pPr>
      <w:adjustRightInd/>
      <w:spacing w:line="240" w:lineRule="auto"/>
      <w:textAlignment w:val="auto"/>
    </w:pPr>
    <w:rPr>
      <w:rFonts w:ascii="Arial" w:hAnsi="Arial" w:cs="Arial"/>
      <w:b/>
      <w:bCs/>
      <w:sz w:val="16"/>
      <w:szCs w:val="16"/>
    </w:rPr>
  </w:style>
  <w:style w:type="paragraph" w:customStyle="1" w:styleId="Table9ptLeftText">
    <w:name w:val="Table 9 pt Left Text"/>
    <w:basedOn w:val="Normal"/>
    <w:pPr>
      <w:keepNext/>
      <w:keepLines/>
      <w:spacing w:line="240" w:lineRule="auto"/>
    </w:pPr>
    <w:rPr>
      <w:rFonts w:ascii="Arial" w:hAnsi="Arial" w:cs="Arial"/>
      <w:sz w:val="18"/>
      <w:szCs w:val="18"/>
    </w:rPr>
  </w:style>
  <w:style w:type="paragraph" w:customStyle="1" w:styleId="Table9ptCtrBoldText">
    <w:name w:val="Table 9 pt Ctr Bold Text"/>
    <w:basedOn w:val="Normal"/>
    <w:pPr>
      <w:jc w:val="center"/>
    </w:pPr>
    <w:rPr>
      <w:rFonts w:ascii="Arial" w:hAnsi="Arial"/>
      <w:b/>
      <w:sz w:val="18"/>
      <w:szCs w:val="18"/>
    </w:rPr>
  </w:style>
  <w:style w:type="paragraph" w:customStyle="1" w:styleId="StyleTable9ptCtrBoldText">
    <w:name w:val="Style Table 9 pt Ctr Bold Text"/>
    <w:basedOn w:val="Table9ptCtrBoldText"/>
    <w:rPr>
      <w:b w:val="0"/>
      <w:bCs/>
    </w:rPr>
  </w:style>
  <w:style w:type="paragraph" w:customStyle="1" w:styleId="Table9ptCtrText">
    <w:name w:val="Table 9 pt Ctr Text"/>
    <w:basedOn w:val="Table9ptCtrBoldText"/>
    <w:rPr>
      <w:b w:val="0"/>
    </w:rPr>
  </w:style>
  <w:style w:type="character" w:styleId="Strong">
    <w:name w:val="Strong"/>
    <w:qFormat/>
    <w:rPr>
      <w:b/>
      <w:bCs/>
    </w:rPr>
  </w:style>
  <w:style w:type="character" w:styleId="PageNumber">
    <w:name w:val="page number"/>
    <w:basedOn w:val="DefaultParagraphFont"/>
  </w:style>
  <w:style w:type="paragraph" w:customStyle="1" w:styleId="Table9ptLeftBoldText">
    <w:name w:val="Table 9 pt Left Bold Text"/>
    <w:basedOn w:val="Table9ptLeftText"/>
  </w:style>
  <w:style w:type="paragraph" w:customStyle="1" w:styleId="FigureCaption">
    <w:name w:val="Figure Caption"/>
    <w:basedOn w:val="Caption"/>
  </w:style>
  <w:style w:type="paragraph" w:customStyle="1" w:styleId="BulletedList">
    <w:name w:val="Bulleted List"/>
    <w:basedOn w:val="Normal"/>
    <w:pPr>
      <w:numPr>
        <w:ilvl w:val="2"/>
        <w:numId w:val="3"/>
      </w:numPr>
    </w:pPr>
  </w:style>
  <w:style w:type="paragraph" w:customStyle="1" w:styleId="StyleBulletedListBefore0ptAfter13pt">
    <w:name w:val="Style Bulleted List + Before:  0 pt After:  13 pt"/>
    <w:basedOn w:val="BulletedList"/>
    <w:autoRedefine/>
    <w:pPr>
      <w:numPr>
        <w:ilvl w:val="0"/>
        <w:numId w:val="0"/>
      </w:numPr>
    </w:pPr>
    <w:rPr>
      <w:szCs w:val="20"/>
    </w:rPr>
  </w:style>
  <w:style w:type="paragraph" w:styleId="BalloonText">
    <w:name w:val="Balloon Text"/>
    <w:basedOn w:val="Normal"/>
    <w:semiHidden/>
    <w:rPr>
      <w:rFonts w:ascii="Tahoma" w:hAnsi="Tahoma" w:cs="Tahoma"/>
      <w:sz w:val="16"/>
      <w:szCs w:val="16"/>
    </w:rPr>
  </w:style>
  <w:style w:type="paragraph" w:styleId="DocumentMap">
    <w:name w:val="Document Map"/>
    <w:basedOn w:val="Normal"/>
    <w:semiHidden/>
    <w:pPr>
      <w:shd w:val="clear" w:color="auto" w:fill="000080"/>
    </w:pPr>
    <w:rPr>
      <w:rFonts w:ascii="Tahoma" w:hAnsi="Tahoma" w:cs="Tahoma"/>
      <w:szCs w:val="20"/>
    </w:rPr>
  </w:style>
  <w:style w:type="paragraph" w:customStyle="1" w:styleId="StyleLeft">
    <w:name w:val="Style Left"/>
    <w:basedOn w:val="Normal"/>
    <w:autoRedefine/>
    <w:rPr>
      <w:rFonts w:ascii="Arial" w:hAnsi="Arial" w:cs="Arial"/>
      <w:b/>
      <w:sz w:val="36"/>
      <w:szCs w:val="36"/>
    </w:rPr>
  </w:style>
  <w:style w:type="character" w:customStyle="1" w:styleId="StyleLeftChar">
    <w:name w:val="Style Left Char"/>
    <w:rPr>
      <w:rFonts w:ascii="Arial" w:hAnsi="Arial" w:cs="Arial"/>
      <w:b/>
      <w:sz w:val="36"/>
      <w:szCs w:val="36"/>
      <w:lang w:val="en-US" w:eastAsia="en-US" w:bidi="ar-SA"/>
    </w:rPr>
  </w:style>
  <w:style w:type="paragraph" w:customStyle="1" w:styleId="StyleNormalBefore0pt">
    <w:name w:val="Style Normal + Before:  0 pt"/>
    <w:basedOn w:val="Normal"/>
    <w:pPr>
      <w:tabs>
        <w:tab w:val="num" w:pos="720"/>
      </w:tabs>
      <w:spacing w:after="120"/>
      <w:ind w:left="720" w:hanging="360"/>
    </w:pPr>
  </w:style>
  <w:style w:type="paragraph" w:styleId="ListBullet">
    <w:name w:val="List Bullet"/>
    <w:basedOn w:val="Normal"/>
    <w:pPr>
      <w:numPr>
        <w:numId w:val="1"/>
      </w:numPr>
    </w:pPr>
  </w:style>
  <w:style w:type="character" w:customStyle="1" w:styleId="StyleNormalBefore0ptChar">
    <w:name w:val="Style Normal + Before:  0 pt Char"/>
    <w:rPr>
      <w:sz w:val="22"/>
      <w:szCs w:val="22"/>
      <w:lang w:val="en-US" w:eastAsia="en-US" w:bidi="ar-SA"/>
    </w:rPr>
  </w:style>
  <w:style w:type="paragraph" w:styleId="CommentSubject">
    <w:name w:val="annotation subject"/>
    <w:basedOn w:val="CommentText"/>
    <w:next w:val="CommentText"/>
    <w:semiHidden/>
    <w:rPr>
      <w:b/>
      <w:bCs/>
      <w:szCs w:val="20"/>
    </w:rPr>
  </w:style>
  <w:style w:type="paragraph" w:customStyle="1" w:styleId="StyleAfter6pt">
    <w:name w:val="Style After:  6 pt"/>
    <w:basedOn w:val="StyleLeft"/>
    <w:pPr>
      <w:tabs>
        <w:tab w:val="num" w:pos="360"/>
      </w:tabs>
      <w:spacing w:after="120"/>
    </w:pPr>
    <w:rPr>
      <w:rFonts w:ascii="Times New Roman" w:hAnsi="Times New Roman"/>
      <w:b w:val="0"/>
      <w:sz w:val="22"/>
      <w:szCs w:val="20"/>
    </w:rPr>
  </w:style>
  <w:style w:type="character" w:customStyle="1" w:styleId="msoins0">
    <w:name w:val="msoins"/>
    <w:basedOn w:val="DefaultParagraphFont"/>
  </w:style>
  <w:style w:type="paragraph" w:customStyle="1" w:styleId="Default">
    <w:name w:val="Default"/>
    <w:pPr>
      <w:autoSpaceDE w:val="0"/>
      <w:autoSpaceDN w:val="0"/>
      <w:adjustRightInd w:val="0"/>
    </w:pPr>
    <w:rPr>
      <w:color w:val="000000"/>
      <w:sz w:val="24"/>
      <w:szCs w:val="24"/>
    </w:rPr>
  </w:style>
  <w:style w:type="paragraph" w:styleId="NormalWeb">
    <w:name w:val="Normal (Web)"/>
    <w:basedOn w:val="Normal"/>
    <w:uiPriority w:val="99"/>
    <w:pPr>
      <w:adjustRightInd/>
      <w:spacing w:before="100" w:beforeAutospacing="1" w:after="100" w:afterAutospacing="1" w:line="240" w:lineRule="auto"/>
      <w:textAlignment w:val="auto"/>
    </w:pPr>
    <w:rPr>
      <w:sz w:val="24"/>
      <w:szCs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Courier New" w:hAnsi="Courier New" w:cs="Courier New"/>
      <w:szCs w:val="20"/>
    </w:rPr>
  </w:style>
  <w:style w:type="paragraph" w:customStyle="1" w:styleId="FoonoteText">
    <w:name w:val="Foonote Text"/>
    <w:basedOn w:val="FootnoteText"/>
  </w:style>
  <w:style w:type="table" w:styleId="TableGrid">
    <w:name w:val="Table Grid"/>
    <w:basedOn w:val="TableNormal"/>
    <w:rsid w:val="005A5A02"/>
    <w:pPr>
      <w:widowControl w:val="0"/>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A53E17"/>
    <w:pPr>
      <w:widowControl w:val="0"/>
      <w:suppressAutoHyphens/>
      <w:autoSpaceDE w:val="0"/>
      <w:autoSpaceDN w:val="0"/>
      <w:spacing w:before="260"/>
      <w:textAlignment w:val="center"/>
    </w:pPr>
    <w:rPr>
      <w:rFonts w:ascii="Whitney-Book" w:hAnsi="Whitney-Book" w:cs="Whitney-Book"/>
      <w:color w:val="000000"/>
      <w:sz w:val="18"/>
      <w:szCs w:val="18"/>
    </w:rPr>
  </w:style>
  <w:style w:type="paragraph" w:styleId="ListParagraph">
    <w:name w:val="List Paragraph"/>
    <w:basedOn w:val="Normal"/>
    <w:uiPriority w:val="34"/>
    <w:qFormat/>
    <w:rsid w:val="008A5837"/>
    <w:pPr>
      <w:adjustRightInd/>
      <w:spacing w:after="120"/>
      <w:ind w:left="720"/>
      <w:textAlignment w:val="auto"/>
    </w:pPr>
  </w:style>
  <w:style w:type="character" w:customStyle="1" w:styleId="Heading1Char">
    <w:name w:val="Heading 1 Char"/>
    <w:link w:val="Heading1"/>
    <w:rsid w:val="002F71DB"/>
    <w:rPr>
      <w:rFonts w:ascii="Calibri" w:hAnsi="Calibri"/>
      <w:b/>
      <w:bCs/>
      <w:color w:val="4F81BD" w:themeColor="accent1"/>
      <w:sz w:val="36"/>
      <w:szCs w:val="36"/>
    </w:rPr>
  </w:style>
  <w:style w:type="character" w:customStyle="1" w:styleId="Heading2Char">
    <w:name w:val="Heading 2 Char"/>
    <w:link w:val="Heading2"/>
    <w:rsid w:val="0053379A"/>
    <w:rPr>
      <w:rFonts w:ascii="Calibri" w:hAnsi="Calibri"/>
      <w:b/>
      <w:bCs/>
      <w:sz w:val="24"/>
      <w:szCs w:val="24"/>
    </w:rPr>
  </w:style>
  <w:style w:type="paragraph" w:styleId="BodyText">
    <w:name w:val="Body Text"/>
    <w:basedOn w:val="Normal"/>
    <w:link w:val="BodyTextChar"/>
    <w:uiPriority w:val="1"/>
    <w:qFormat/>
    <w:rsid w:val="008E3011"/>
    <w:pPr>
      <w:widowControl w:val="0"/>
      <w:autoSpaceDE w:val="0"/>
      <w:autoSpaceDN w:val="0"/>
      <w:spacing w:before="232" w:after="0" w:line="240" w:lineRule="auto"/>
      <w:ind w:left="2123" w:hanging="540"/>
      <w:textAlignment w:val="auto"/>
    </w:pPr>
    <w:rPr>
      <w:rFonts w:ascii="Calibri" w:hAnsi="Calibri" w:cs="Calibri"/>
      <w:sz w:val="36"/>
      <w:szCs w:val="36"/>
    </w:rPr>
  </w:style>
  <w:style w:type="character" w:customStyle="1" w:styleId="BodyTextChar">
    <w:name w:val="Body Text Char"/>
    <w:link w:val="BodyText"/>
    <w:uiPriority w:val="1"/>
    <w:rsid w:val="008E3011"/>
    <w:rPr>
      <w:rFonts w:ascii="Calibri" w:hAnsi="Calibri" w:cs="Calibri"/>
      <w:sz w:val="36"/>
      <w:szCs w:val="36"/>
    </w:rPr>
  </w:style>
  <w:style w:type="character" w:customStyle="1" w:styleId="FootnoteTextChar">
    <w:name w:val="Footnote Text Char"/>
    <w:aliases w:val="ft Char,Footnote Text Char1 Char,Footnote Text Char Char Char,fn Char Char Char,Footnote Text Char1 Char1 Char Char,Footnote Text Char Char Char1 Char Char,Footnote Text Char1 Char Char Char Char,Footnote Text Char Char1 Char,fn Char"/>
    <w:link w:val="FootnoteText"/>
    <w:qFormat/>
    <w:rsid w:val="009C2B5B"/>
    <w:rPr>
      <w:rFonts w:ascii="Cambria" w:hAnsi="Cambria"/>
      <w:sz w:val="18"/>
      <w:szCs w:val="18"/>
    </w:rPr>
  </w:style>
  <w:style w:type="paragraph" w:customStyle="1" w:styleId="TableParagraph">
    <w:name w:val="Table Paragraph"/>
    <w:basedOn w:val="Normal"/>
    <w:uiPriority w:val="1"/>
    <w:qFormat/>
    <w:rsid w:val="00035C76"/>
    <w:pPr>
      <w:widowControl w:val="0"/>
      <w:adjustRightInd/>
      <w:spacing w:after="0" w:line="240" w:lineRule="auto"/>
      <w:textAlignment w:val="auto"/>
    </w:pPr>
    <w:rPr>
      <w:rFonts w:ascii="Calibri" w:eastAsia="Calibri" w:hAnsi="Calibri"/>
      <w:sz w:val="22"/>
    </w:rPr>
  </w:style>
  <w:style w:type="character" w:customStyle="1" w:styleId="Heading3Char">
    <w:name w:val="Heading 3 Char"/>
    <w:link w:val="Heading3"/>
    <w:rsid w:val="00193782"/>
    <w:rPr>
      <w:rFonts w:ascii="Calibri" w:hAnsi="Calibri"/>
      <w:b/>
      <w:iCs/>
      <w:color w:val="000000"/>
      <w:szCs w:val="18"/>
    </w:rPr>
  </w:style>
  <w:style w:type="paragraph" w:styleId="Revision">
    <w:name w:val="Revision"/>
    <w:hidden/>
    <w:uiPriority w:val="99"/>
    <w:semiHidden/>
    <w:rsid w:val="000F140B"/>
    <w:rPr>
      <w:rFonts w:ascii="Cambria" w:hAnsi="Cambria"/>
      <w:szCs w:val="22"/>
    </w:rPr>
  </w:style>
  <w:style w:type="character" w:customStyle="1" w:styleId="FooterChar">
    <w:name w:val="Footer Char"/>
    <w:basedOn w:val="DefaultParagraphFont"/>
    <w:link w:val="Footer"/>
    <w:uiPriority w:val="99"/>
    <w:rsid w:val="00C368EB"/>
    <w:rPr>
      <w:rFonts w:ascii="Cambria" w:hAnsi="Cambria"/>
      <w:szCs w:val="22"/>
    </w:rPr>
  </w:style>
  <w:style w:type="paragraph" w:styleId="EndnoteText">
    <w:name w:val="endnote text"/>
    <w:basedOn w:val="Normal"/>
    <w:link w:val="EndnoteTextChar"/>
    <w:rsid w:val="0028767E"/>
    <w:pPr>
      <w:spacing w:after="0" w:line="240" w:lineRule="auto"/>
    </w:pPr>
    <w:rPr>
      <w:szCs w:val="20"/>
    </w:rPr>
  </w:style>
  <w:style w:type="character" w:customStyle="1" w:styleId="EndnoteTextChar">
    <w:name w:val="Endnote Text Char"/>
    <w:basedOn w:val="DefaultParagraphFont"/>
    <w:link w:val="EndnoteText"/>
    <w:rsid w:val="0028767E"/>
    <w:rPr>
      <w:rFonts w:ascii="Cambria" w:hAnsi="Cambria"/>
    </w:rPr>
  </w:style>
  <w:style w:type="character" w:styleId="EndnoteReference">
    <w:name w:val="endnote reference"/>
    <w:basedOn w:val="DefaultParagraphFont"/>
    <w:rsid w:val="0028767E"/>
    <w:rPr>
      <w:vertAlign w:val="superscript"/>
    </w:rPr>
  </w:style>
  <w:style w:type="character" w:customStyle="1" w:styleId="HeaderChar">
    <w:name w:val="Header Char"/>
    <w:basedOn w:val="DefaultParagraphFont"/>
    <w:link w:val="Header"/>
    <w:uiPriority w:val="99"/>
    <w:rsid w:val="00A4310D"/>
    <w:rPr>
      <w:rFonts w:ascii="Cambria" w:hAnsi="Cambria"/>
      <w:szCs w:val="22"/>
    </w:rPr>
  </w:style>
  <w:style w:type="paragraph" w:styleId="NoSpacing">
    <w:name w:val="No Spacing"/>
    <w:uiPriority w:val="1"/>
    <w:qFormat/>
    <w:rsid w:val="00A4310D"/>
    <w:rPr>
      <w:rFonts w:asciiTheme="minorHAnsi" w:eastAsiaTheme="minorHAnsi" w:hAnsiTheme="minorHAnsi" w:cstheme="minorBidi"/>
      <w:sz w:val="22"/>
      <w:szCs w:val="22"/>
    </w:rPr>
  </w:style>
  <w:style w:type="character" w:customStyle="1" w:styleId="CommentTextChar">
    <w:name w:val="Comment Text Char"/>
    <w:basedOn w:val="DefaultParagraphFont"/>
    <w:link w:val="CommentText"/>
    <w:semiHidden/>
    <w:rsid w:val="007175D2"/>
    <w:rPr>
      <w:rFonts w:ascii="Cambria" w:hAnsi="Cambria"/>
      <w:szCs w:val="22"/>
    </w:rPr>
  </w:style>
  <w:style w:type="character" w:customStyle="1" w:styleId="Heading4Char">
    <w:name w:val="Heading 4 Char"/>
    <w:basedOn w:val="DefaultParagraphFont"/>
    <w:link w:val="Heading4"/>
    <w:rsid w:val="0084022F"/>
    <w:rPr>
      <w:rFonts w:ascii="Calibri" w:hAnsi="Calibri"/>
      <w:bCs/>
      <w:i/>
    </w:rPr>
  </w:style>
  <w:style w:type="paragraph" w:styleId="IntenseQuote">
    <w:name w:val="Intense Quote"/>
    <w:basedOn w:val="Normal"/>
    <w:next w:val="Normal"/>
    <w:link w:val="IntenseQuoteChar"/>
    <w:uiPriority w:val="30"/>
    <w:qFormat/>
    <w:rsid w:val="009C435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C435E"/>
    <w:rPr>
      <w:rFonts w:ascii="Cambria" w:hAnsi="Cambria"/>
      <w:b/>
      <w:bCs/>
      <w:i/>
      <w:iCs/>
      <w:color w:val="4F81BD" w:themeColor="accent1"/>
      <w:szCs w:val="22"/>
    </w:rPr>
  </w:style>
  <w:style w:type="character" w:customStyle="1" w:styleId="CaptionChar">
    <w:name w:val="Caption Char"/>
    <w:basedOn w:val="DefaultParagraphFont"/>
    <w:link w:val="Caption"/>
    <w:locked/>
    <w:rsid w:val="00B46640"/>
    <w:rPr>
      <w:rFonts w:ascii="Calibri" w:hAnsi="Calibri"/>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qFormat="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qFormat="1"/>
    <w:lsdException w:name="annotation text" w:unhideWhenUsed="1"/>
    <w:lsdException w:name="header" w:uiPriority="99" w:unhideWhenUsed="1"/>
    <w:lsdException w:name="footer" w:uiPriority="99" w:unhideWhenUsed="1"/>
    <w:lsdException w:name="index heading" w:unhideWhenUsed="1"/>
    <w:lsdException w:name="caption" w:unhideWhenUsed="1" w:qFormat="1"/>
    <w:lsdException w:name="table of figures" w:uiPriority="99" w:unhideWhenUsed="1"/>
    <w:lsdException w:name="envelope address" w:unhideWhenUsed="1"/>
    <w:lsdException w:name="envelope return" w:unhideWhenUsed="1"/>
    <w:lsdException w:name="footnote reference" w:unhideWhenUsed="1" w:qFormat="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lsdException w:name="List Bullet" w:unhideWhenUsed="1"/>
    <w:lsdException w:name="List Number" w:unhideWhenUsed="1"/>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unhideWhenUsed="1"/>
    <w:lsdException w:name="Title" w:semiHidden="0" w:qFormat="1"/>
    <w:lsdException w:name="Closing" w:unhideWhenUsed="1"/>
    <w:lsdException w:name="Signature" w:unhideWhenUsed="1"/>
    <w:lsdException w:name="Default Paragraph Font" w:unhideWhenUsed="1"/>
    <w:lsdException w:name="Body Text" w:uiPriority="1" w:unhideWhenUsed="1" w:qFormat="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semiHidden="0"/>
    <w:lsdException w:name="Body Text Indent 2" w:semiHidden="0"/>
    <w:lsdException w:name="Body Text Indent 3" w:semiHidden="0"/>
    <w:lsdException w:name="Block Text" w:semiHidden="0"/>
    <w:lsdException w:name="Hyperlink" w:uiPriority="99" w:unhideWhenUsed="1" w:qFormat="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954CD5"/>
    <w:pPr>
      <w:adjustRightInd w:val="0"/>
      <w:spacing w:after="240" w:line="260" w:lineRule="atLeast"/>
      <w:textAlignment w:val="baseline"/>
    </w:pPr>
    <w:rPr>
      <w:rFonts w:ascii="Cambria" w:hAnsi="Cambria"/>
      <w:szCs w:val="22"/>
    </w:rPr>
  </w:style>
  <w:style w:type="paragraph" w:styleId="Heading1">
    <w:name w:val="heading 1"/>
    <w:basedOn w:val="Normal"/>
    <w:next w:val="Normal"/>
    <w:link w:val="Heading1Char"/>
    <w:autoRedefine/>
    <w:qFormat/>
    <w:rsid w:val="002F71DB"/>
    <w:pPr>
      <w:keepNext/>
      <w:keepLines/>
      <w:pageBreakBefore/>
      <w:numPr>
        <w:numId w:val="49"/>
      </w:numPr>
      <w:adjustRightInd/>
      <w:textAlignment w:val="auto"/>
      <w:outlineLvl w:val="0"/>
    </w:pPr>
    <w:rPr>
      <w:rFonts w:ascii="Calibri" w:hAnsi="Calibri"/>
      <w:b/>
      <w:bCs/>
      <w:color w:val="4F81BD" w:themeColor="accent1"/>
      <w:sz w:val="36"/>
      <w:szCs w:val="36"/>
    </w:rPr>
  </w:style>
  <w:style w:type="paragraph" w:styleId="Heading2">
    <w:name w:val="heading 2"/>
    <w:basedOn w:val="Normal"/>
    <w:next w:val="Normal"/>
    <w:link w:val="Heading2Char"/>
    <w:autoRedefine/>
    <w:qFormat/>
    <w:rsid w:val="0053379A"/>
    <w:pPr>
      <w:keepNext/>
      <w:keepLines/>
      <w:numPr>
        <w:ilvl w:val="1"/>
        <w:numId w:val="49"/>
      </w:numPr>
      <w:pBdr>
        <w:bottom w:val="single" w:sz="2" w:space="1" w:color="auto"/>
      </w:pBdr>
      <w:spacing w:after="120"/>
      <w:outlineLvl w:val="1"/>
    </w:pPr>
    <w:rPr>
      <w:rFonts w:ascii="Calibri" w:hAnsi="Calibri"/>
      <w:b/>
      <w:bCs/>
      <w:sz w:val="24"/>
      <w:szCs w:val="24"/>
    </w:rPr>
  </w:style>
  <w:style w:type="paragraph" w:styleId="Heading3">
    <w:name w:val="heading 3"/>
    <w:basedOn w:val="Normal"/>
    <w:next w:val="Normal"/>
    <w:link w:val="Heading3Char"/>
    <w:autoRedefine/>
    <w:qFormat/>
    <w:rsid w:val="00193782"/>
    <w:pPr>
      <w:keepNext/>
      <w:keepLines/>
      <w:numPr>
        <w:ilvl w:val="2"/>
        <w:numId w:val="49"/>
      </w:numPr>
      <w:spacing w:before="120" w:after="120" w:line="240" w:lineRule="auto"/>
      <w:outlineLvl w:val="2"/>
    </w:pPr>
    <w:rPr>
      <w:rFonts w:ascii="Calibri" w:hAnsi="Calibri"/>
      <w:b/>
      <w:iCs/>
      <w:color w:val="000000"/>
      <w:szCs w:val="18"/>
    </w:rPr>
  </w:style>
  <w:style w:type="paragraph" w:styleId="Heading4">
    <w:name w:val="heading 4"/>
    <w:basedOn w:val="Normal"/>
    <w:next w:val="Normal"/>
    <w:link w:val="Heading4Char"/>
    <w:autoRedefine/>
    <w:qFormat/>
    <w:rsid w:val="00001E14"/>
    <w:pPr>
      <w:keepNext/>
      <w:keepLines/>
      <w:numPr>
        <w:ilvl w:val="3"/>
        <w:numId w:val="49"/>
      </w:numPr>
      <w:spacing w:after="120"/>
      <w:outlineLvl w:val="3"/>
    </w:pPr>
    <w:rPr>
      <w:rFonts w:ascii="Calibri" w:hAnsi="Calibri"/>
      <w:bCs/>
      <w:i/>
      <w:szCs w:val="20"/>
    </w:rPr>
  </w:style>
  <w:style w:type="paragraph" w:styleId="Heading5">
    <w:name w:val="heading 5"/>
    <w:basedOn w:val="Normal"/>
    <w:next w:val="Normal"/>
    <w:qFormat/>
    <w:pPr>
      <w:keepNext/>
      <w:outlineLvl w:val="4"/>
    </w:pPr>
    <w:rPr>
      <w:b/>
      <w:bCs/>
    </w:rPr>
  </w:style>
  <w:style w:type="paragraph" w:styleId="Heading6">
    <w:name w:val="heading 6"/>
    <w:basedOn w:val="Normal"/>
    <w:next w:val="Normal"/>
    <w:qFormat/>
    <w:pPr>
      <w:keepNext/>
      <w:jc w:val="center"/>
      <w:outlineLvl w:val="5"/>
    </w:pPr>
    <w:rPr>
      <w:sz w:val="44"/>
    </w:rPr>
  </w:style>
  <w:style w:type="paragraph" w:styleId="Heading7">
    <w:name w:val="heading 7"/>
    <w:basedOn w:val="Normal"/>
    <w:next w:val="Normal"/>
    <w:qFormat/>
    <w:pPr>
      <w:keepNext/>
      <w:jc w:val="center"/>
      <w:outlineLvl w:val="6"/>
    </w:pPr>
    <w:rPr>
      <w:b/>
      <w:bCs/>
    </w:rPr>
  </w:style>
  <w:style w:type="paragraph" w:styleId="Heading8">
    <w:name w:val="heading 8"/>
    <w:basedOn w:val="Normal"/>
    <w:next w:val="Normal"/>
    <w:qFormat/>
    <w:pPr>
      <w:keepNext/>
      <w:jc w:val="center"/>
      <w:outlineLvl w:val="7"/>
    </w:pPr>
    <w:rPr>
      <w:b/>
      <w:bCs/>
    </w:rPr>
  </w:style>
  <w:style w:type="paragraph" w:styleId="Heading9">
    <w:name w:val="heading 9"/>
    <w:basedOn w:val="Normal"/>
    <w:next w:val="Normal"/>
    <w:qFormat/>
    <w:pPr>
      <w:keepNext/>
      <w:ind w:right="-147"/>
      <w:jc w:val="center"/>
      <w:outlineLvl w:val="8"/>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8ptLeftText">
    <w:name w:val="Table 8 pt Left Text"/>
    <w:basedOn w:val="Normal"/>
    <w:rPr>
      <w:rFonts w:ascii="Arial" w:hAnsi="Arial"/>
      <w:sz w:val="16"/>
    </w:rPr>
  </w:style>
  <w:style w:type="paragraph" w:styleId="Caption">
    <w:name w:val="caption"/>
    <w:basedOn w:val="Normal"/>
    <w:next w:val="Normal"/>
    <w:link w:val="CaptionChar"/>
    <w:qFormat/>
    <w:rsid w:val="00B46640"/>
    <w:pPr>
      <w:keepNext/>
      <w:keepLines/>
      <w:tabs>
        <w:tab w:val="left" w:pos="1260"/>
        <w:tab w:val="left" w:pos="9000"/>
      </w:tabs>
      <w:spacing w:after="120" w:line="240" w:lineRule="auto"/>
    </w:pPr>
    <w:rPr>
      <w:rFonts w:ascii="Calibri" w:hAnsi="Calibri"/>
      <w:b/>
      <w:bCs/>
      <w:szCs w:val="20"/>
    </w:rPr>
  </w:style>
  <w:style w:type="paragraph" w:styleId="Header">
    <w:name w:val="header"/>
    <w:basedOn w:val="Normal"/>
    <w:link w:val="HeaderChar"/>
    <w:uiPriority w:val="99"/>
    <w:pPr>
      <w:tabs>
        <w:tab w:val="center" w:pos="4320"/>
        <w:tab w:val="right" w:pos="8640"/>
      </w:tabs>
    </w:pPr>
  </w:style>
  <w:style w:type="paragraph" w:styleId="TableofFigures">
    <w:name w:val="table of figures"/>
    <w:basedOn w:val="Normal"/>
    <w:next w:val="Normal"/>
    <w:autoRedefine/>
    <w:uiPriority w:val="99"/>
    <w:rsid w:val="004124F0"/>
    <w:pPr>
      <w:tabs>
        <w:tab w:val="right" w:leader="dot" w:pos="8990"/>
      </w:tabs>
      <w:spacing w:after="120" w:line="240" w:lineRule="auto"/>
      <w:ind w:left="1260" w:hanging="1260"/>
    </w:pPr>
    <w:rPr>
      <w:rFonts w:ascii="Calibri" w:hAnsi="Calibri"/>
      <w:noProof/>
      <w:szCs w:val="20"/>
    </w:rPr>
  </w:style>
  <w:style w:type="paragraph" w:styleId="FootnoteText">
    <w:name w:val="footnote text"/>
    <w:aliases w:val="ft,Footnote Text Char1,Footnote Text Char Char,fn Char Char,Footnote Text Char1 Char1 Char,Footnote Text Char Char Char1 Char,Footnote Text Char1 Char Char Char,Footnote Text Char Char Char Char Char,Footnote Text Char Char1,fn,ft Char1,f"/>
    <w:basedOn w:val="Normal"/>
    <w:link w:val="FootnoteTextChar"/>
    <w:qFormat/>
    <w:rsid w:val="009C2B5B"/>
    <w:pPr>
      <w:keepLines/>
      <w:spacing w:after="80" w:line="240" w:lineRule="auto"/>
    </w:pPr>
    <w:rPr>
      <w:sz w:val="18"/>
      <w:szCs w:val="18"/>
    </w:rPr>
  </w:style>
  <w:style w:type="character" w:styleId="FootnoteReference">
    <w:name w:val="footnote reference"/>
    <w:aliases w:val="o,Style 17,fr,Style 13,Style 12,Style 15,Style 9,o1,fr1,o2,fr2,o3,fr3,Style 18,(NECG) Footnote Reference,Style 20,Style 7,Style 8,Style 19,Style 32,o + Times New Roman,Style 16"/>
    <w:autoRedefine/>
    <w:qFormat/>
    <w:rPr>
      <w:sz w:val="22"/>
      <w:szCs w:val="22"/>
      <w:vertAlign w:val="superscript"/>
    </w:r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C2">
    <w:name w:val="toc 2"/>
    <w:basedOn w:val="Normal"/>
    <w:next w:val="Normal"/>
    <w:autoRedefine/>
    <w:uiPriority w:val="39"/>
    <w:rsid w:val="00CD7DBD"/>
    <w:pPr>
      <w:keepNext/>
      <w:tabs>
        <w:tab w:val="right" w:leader="dot" w:pos="8990"/>
      </w:tabs>
      <w:spacing w:after="120" w:line="240" w:lineRule="auto"/>
      <w:ind w:left="331" w:hanging="331"/>
    </w:pPr>
    <w:rPr>
      <w:rFonts w:asciiTheme="minorHAnsi" w:hAnsiTheme="minorHAnsi"/>
      <w:bCs/>
      <w:noProof/>
      <w:szCs w:val="20"/>
    </w:rPr>
  </w:style>
  <w:style w:type="paragraph" w:styleId="TOC1">
    <w:name w:val="toc 1"/>
    <w:basedOn w:val="Normal"/>
    <w:next w:val="Normal"/>
    <w:autoRedefine/>
    <w:uiPriority w:val="39"/>
    <w:qFormat/>
    <w:rsid w:val="00E401C4"/>
    <w:pPr>
      <w:tabs>
        <w:tab w:val="right" w:leader="dot" w:pos="8990"/>
      </w:tabs>
      <w:spacing w:after="120" w:line="240" w:lineRule="auto"/>
    </w:pPr>
    <w:rPr>
      <w:rFonts w:asciiTheme="minorHAnsi" w:hAnsiTheme="minorHAnsi" w:cs="Arial"/>
      <w:b/>
      <w:bCs/>
      <w:noProof/>
      <w:szCs w:val="20"/>
    </w:rPr>
  </w:style>
  <w:style w:type="paragraph" w:styleId="TOC3">
    <w:name w:val="toc 3"/>
    <w:basedOn w:val="Normal"/>
    <w:next w:val="Normal"/>
    <w:uiPriority w:val="39"/>
    <w:pPr>
      <w:tabs>
        <w:tab w:val="right" w:leader="dot" w:pos="8990"/>
      </w:tabs>
      <w:ind w:left="216"/>
    </w:pPr>
    <w:rPr>
      <w:szCs w:val="20"/>
    </w:rPr>
  </w:style>
  <w:style w:type="paragraph" w:styleId="TOC4">
    <w:name w:val="toc 4"/>
    <w:basedOn w:val="Normal"/>
    <w:next w:val="Normal"/>
    <w:autoRedefine/>
    <w:semiHidden/>
    <w:pPr>
      <w:ind w:left="440"/>
    </w:pPr>
    <w:rPr>
      <w:szCs w:val="20"/>
    </w:rPr>
  </w:style>
  <w:style w:type="character" w:styleId="Hyperlink">
    <w:name w:val="Hyperlink"/>
    <w:uiPriority w:val="99"/>
    <w:qFormat/>
    <w:rPr>
      <w:color w:val="0000FF"/>
      <w:u w:val="single"/>
    </w:rPr>
  </w:style>
  <w:style w:type="paragraph" w:customStyle="1" w:styleId="Table-a-b-c">
    <w:name w:val="Table-a-b-c"/>
    <w:basedOn w:val="Normal"/>
    <w:pPr>
      <w:spacing w:after="80" w:line="240" w:lineRule="auto"/>
      <w:ind w:left="-720"/>
    </w:pPr>
    <w:rPr>
      <w:rFonts w:ascii="Arial" w:hAnsi="Arial" w:cs="Arial"/>
      <w:sz w:val="16"/>
      <w:szCs w:val="16"/>
    </w:rPr>
  </w:style>
  <w:style w:type="paragraph" w:styleId="TOC5">
    <w:name w:val="toc 5"/>
    <w:basedOn w:val="Normal"/>
    <w:next w:val="Normal"/>
    <w:autoRedefine/>
    <w:semiHidden/>
    <w:pPr>
      <w:ind w:left="660"/>
    </w:pPr>
    <w:rPr>
      <w:szCs w:val="20"/>
    </w:rPr>
  </w:style>
  <w:style w:type="paragraph" w:styleId="TOC6">
    <w:name w:val="toc 6"/>
    <w:basedOn w:val="Normal"/>
    <w:next w:val="Normal"/>
    <w:autoRedefine/>
    <w:semiHidden/>
    <w:pPr>
      <w:ind w:left="880"/>
    </w:pPr>
    <w:rPr>
      <w:szCs w:val="20"/>
    </w:rPr>
  </w:style>
  <w:style w:type="paragraph" w:styleId="TOC7">
    <w:name w:val="toc 7"/>
    <w:basedOn w:val="Normal"/>
    <w:next w:val="Normal"/>
    <w:autoRedefine/>
    <w:semiHidden/>
    <w:pPr>
      <w:ind w:left="1100"/>
    </w:pPr>
    <w:rPr>
      <w:szCs w:val="20"/>
    </w:rPr>
  </w:style>
  <w:style w:type="paragraph" w:styleId="TOC8">
    <w:name w:val="toc 8"/>
    <w:basedOn w:val="Normal"/>
    <w:next w:val="Normal"/>
    <w:autoRedefine/>
    <w:semiHidden/>
    <w:pPr>
      <w:ind w:left="1320"/>
    </w:pPr>
    <w:rPr>
      <w:szCs w:val="20"/>
    </w:rPr>
  </w:style>
  <w:style w:type="paragraph" w:styleId="TOC9">
    <w:name w:val="toc 9"/>
    <w:basedOn w:val="Normal"/>
    <w:next w:val="Normal"/>
    <w:autoRedefine/>
    <w:semiHidden/>
    <w:pPr>
      <w:ind w:left="1540"/>
    </w:pPr>
    <w:rPr>
      <w:szCs w:val="20"/>
    </w:rPr>
  </w:style>
  <w:style w:type="paragraph" w:customStyle="1" w:styleId="TableTextCentered">
    <w:name w:val="Table Text Centered"/>
    <w:basedOn w:val="Normal"/>
    <w:pPr>
      <w:tabs>
        <w:tab w:val="left" w:pos="-720"/>
      </w:tabs>
      <w:suppressAutoHyphens/>
      <w:spacing w:before="60" w:after="60" w:line="180" w:lineRule="exact"/>
      <w:jc w:val="center"/>
    </w:pPr>
    <w:rPr>
      <w:sz w:val="18"/>
    </w:rPr>
  </w:style>
  <w:style w:type="paragraph" w:styleId="Footer">
    <w:name w:val="footer"/>
    <w:basedOn w:val="Normal"/>
    <w:link w:val="FooterChar"/>
    <w:uiPriority w:val="99"/>
    <w:pPr>
      <w:tabs>
        <w:tab w:val="center" w:pos="4320"/>
        <w:tab w:val="right" w:pos="8640"/>
      </w:tabs>
    </w:pPr>
  </w:style>
  <w:style w:type="paragraph" w:styleId="Subtitle">
    <w:name w:val="Subtitle"/>
    <w:basedOn w:val="Normal"/>
    <w:qFormat/>
    <w:rPr>
      <w:b/>
      <w:bCs/>
    </w:rPr>
  </w:style>
  <w:style w:type="paragraph" w:customStyle="1" w:styleId="TableCaption">
    <w:name w:val="Table Caption"/>
    <w:basedOn w:val="Caption"/>
    <w:autoRedefine/>
    <w:rsid w:val="004315EE"/>
    <w:pPr>
      <w:tabs>
        <w:tab w:val="left" w:pos="7740"/>
      </w:tabs>
      <w:ind w:left="1267" w:right="1267"/>
    </w:pPr>
  </w:style>
  <w:style w:type="paragraph" w:customStyle="1" w:styleId="Table8ptTextCentered">
    <w:name w:val="Table 8 pt Text Centered"/>
    <w:basedOn w:val="Normal"/>
    <w:pPr>
      <w:adjustRightInd/>
      <w:spacing w:line="240" w:lineRule="auto"/>
      <w:jc w:val="center"/>
      <w:textAlignment w:val="auto"/>
    </w:pPr>
    <w:rPr>
      <w:rFonts w:ascii="Arial" w:hAnsi="Arial" w:cs="Arial"/>
      <w:sz w:val="16"/>
      <w:szCs w:val="16"/>
    </w:rPr>
  </w:style>
  <w:style w:type="paragraph" w:customStyle="1" w:styleId="Table8ptCtrBoldText">
    <w:name w:val="Table 8 pt Ctr Bold Text"/>
    <w:basedOn w:val="Normal"/>
    <w:autoRedefine/>
    <w:pPr>
      <w:keepNext/>
      <w:keepLines/>
      <w:adjustRightInd/>
      <w:spacing w:line="240" w:lineRule="auto"/>
      <w:jc w:val="center"/>
      <w:textAlignment w:val="auto"/>
    </w:pPr>
    <w:rPr>
      <w:rFonts w:ascii="Arial" w:hAnsi="Arial" w:cs="Arial"/>
      <w:b/>
      <w:bCs/>
      <w:sz w:val="16"/>
      <w:szCs w:val="16"/>
    </w:rPr>
  </w:style>
  <w:style w:type="character" w:styleId="FollowedHyperlink">
    <w:name w:val="FollowedHyperlink"/>
    <w:rPr>
      <w:color w:val="800080"/>
      <w:u w:val="single"/>
    </w:r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customStyle="1" w:styleId="Table8ptLeftBoldText">
    <w:name w:val="Table 8 pt Left Bold Text"/>
    <w:basedOn w:val="Normal"/>
    <w:pPr>
      <w:adjustRightInd/>
      <w:spacing w:line="240" w:lineRule="auto"/>
      <w:textAlignment w:val="auto"/>
    </w:pPr>
    <w:rPr>
      <w:rFonts w:ascii="Arial" w:hAnsi="Arial" w:cs="Arial"/>
      <w:b/>
      <w:bCs/>
      <w:sz w:val="16"/>
      <w:szCs w:val="16"/>
    </w:rPr>
  </w:style>
  <w:style w:type="paragraph" w:customStyle="1" w:styleId="Table9ptLeftText">
    <w:name w:val="Table 9 pt Left Text"/>
    <w:basedOn w:val="Normal"/>
    <w:pPr>
      <w:keepNext/>
      <w:keepLines/>
      <w:spacing w:line="240" w:lineRule="auto"/>
    </w:pPr>
    <w:rPr>
      <w:rFonts w:ascii="Arial" w:hAnsi="Arial" w:cs="Arial"/>
      <w:sz w:val="18"/>
      <w:szCs w:val="18"/>
    </w:rPr>
  </w:style>
  <w:style w:type="paragraph" w:customStyle="1" w:styleId="Table9ptCtrBoldText">
    <w:name w:val="Table 9 pt Ctr Bold Text"/>
    <w:basedOn w:val="Normal"/>
    <w:pPr>
      <w:jc w:val="center"/>
    </w:pPr>
    <w:rPr>
      <w:rFonts w:ascii="Arial" w:hAnsi="Arial"/>
      <w:b/>
      <w:sz w:val="18"/>
      <w:szCs w:val="18"/>
    </w:rPr>
  </w:style>
  <w:style w:type="paragraph" w:customStyle="1" w:styleId="StyleTable9ptCtrBoldText">
    <w:name w:val="Style Table 9 pt Ctr Bold Text"/>
    <w:basedOn w:val="Table9ptCtrBoldText"/>
    <w:rPr>
      <w:b w:val="0"/>
      <w:bCs/>
    </w:rPr>
  </w:style>
  <w:style w:type="paragraph" w:customStyle="1" w:styleId="Table9ptCtrText">
    <w:name w:val="Table 9 pt Ctr Text"/>
    <w:basedOn w:val="Table9ptCtrBoldText"/>
    <w:rPr>
      <w:b w:val="0"/>
    </w:rPr>
  </w:style>
  <w:style w:type="character" w:styleId="Strong">
    <w:name w:val="Strong"/>
    <w:qFormat/>
    <w:rPr>
      <w:b/>
      <w:bCs/>
    </w:rPr>
  </w:style>
  <w:style w:type="character" w:styleId="PageNumber">
    <w:name w:val="page number"/>
    <w:basedOn w:val="DefaultParagraphFont"/>
  </w:style>
  <w:style w:type="paragraph" w:customStyle="1" w:styleId="Table9ptLeftBoldText">
    <w:name w:val="Table 9 pt Left Bold Text"/>
    <w:basedOn w:val="Table9ptLeftText"/>
  </w:style>
  <w:style w:type="paragraph" w:customStyle="1" w:styleId="FigureCaption">
    <w:name w:val="Figure Caption"/>
    <w:basedOn w:val="Caption"/>
  </w:style>
  <w:style w:type="paragraph" w:customStyle="1" w:styleId="BulletedList">
    <w:name w:val="Bulleted List"/>
    <w:basedOn w:val="Normal"/>
    <w:pPr>
      <w:numPr>
        <w:ilvl w:val="2"/>
        <w:numId w:val="3"/>
      </w:numPr>
    </w:pPr>
  </w:style>
  <w:style w:type="paragraph" w:customStyle="1" w:styleId="StyleBulletedListBefore0ptAfter13pt">
    <w:name w:val="Style Bulleted List + Before:  0 pt After:  13 pt"/>
    <w:basedOn w:val="BulletedList"/>
    <w:autoRedefine/>
    <w:pPr>
      <w:numPr>
        <w:ilvl w:val="0"/>
        <w:numId w:val="0"/>
      </w:numPr>
    </w:pPr>
    <w:rPr>
      <w:szCs w:val="20"/>
    </w:rPr>
  </w:style>
  <w:style w:type="paragraph" w:styleId="BalloonText">
    <w:name w:val="Balloon Text"/>
    <w:basedOn w:val="Normal"/>
    <w:semiHidden/>
    <w:rPr>
      <w:rFonts w:ascii="Tahoma" w:hAnsi="Tahoma" w:cs="Tahoma"/>
      <w:sz w:val="16"/>
      <w:szCs w:val="16"/>
    </w:rPr>
  </w:style>
  <w:style w:type="paragraph" w:styleId="DocumentMap">
    <w:name w:val="Document Map"/>
    <w:basedOn w:val="Normal"/>
    <w:semiHidden/>
    <w:pPr>
      <w:shd w:val="clear" w:color="auto" w:fill="000080"/>
    </w:pPr>
    <w:rPr>
      <w:rFonts w:ascii="Tahoma" w:hAnsi="Tahoma" w:cs="Tahoma"/>
      <w:szCs w:val="20"/>
    </w:rPr>
  </w:style>
  <w:style w:type="paragraph" w:customStyle="1" w:styleId="StyleLeft">
    <w:name w:val="Style Left"/>
    <w:basedOn w:val="Normal"/>
    <w:autoRedefine/>
    <w:rPr>
      <w:rFonts w:ascii="Arial" w:hAnsi="Arial" w:cs="Arial"/>
      <w:b/>
      <w:sz w:val="36"/>
      <w:szCs w:val="36"/>
    </w:rPr>
  </w:style>
  <w:style w:type="character" w:customStyle="1" w:styleId="StyleLeftChar">
    <w:name w:val="Style Left Char"/>
    <w:rPr>
      <w:rFonts w:ascii="Arial" w:hAnsi="Arial" w:cs="Arial"/>
      <w:b/>
      <w:sz w:val="36"/>
      <w:szCs w:val="36"/>
      <w:lang w:val="en-US" w:eastAsia="en-US" w:bidi="ar-SA"/>
    </w:rPr>
  </w:style>
  <w:style w:type="paragraph" w:customStyle="1" w:styleId="StyleNormalBefore0pt">
    <w:name w:val="Style Normal + Before:  0 pt"/>
    <w:basedOn w:val="Normal"/>
    <w:pPr>
      <w:tabs>
        <w:tab w:val="num" w:pos="720"/>
      </w:tabs>
      <w:spacing w:after="120"/>
      <w:ind w:left="720" w:hanging="360"/>
    </w:pPr>
  </w:style>
  <w:style w:type="paragraph" w:styleId="ListBullet">
    <w:name w:val="List Bullet"/>
    <w:basedOn w:val="Normal"/>
    <w:pPr>
      <w:numPr>
        <w:numId w:val="1"/>
      </w:numPr>
    </w:pPr>
  </w:style>
  <w:style w:type="character" w:customStyle="1" w:styleId="StyleNormalBefore0ptChar">
    <w:name w:val="Style Normal + Before:  0 pt Char"/>
    <w:rPr>
      <w:sz w:val="22"/>
      <w:szCs w:val="22"/>
      <w:lang w:val="en-US" w:eastAsia="en-US" w:bidi="ar-SA"/>
    </w:rPr>
  </w:style>
  <w:style w:type="paragraph" w:styleId="CommentSubject">
    <w:name w:val="annotation subject"/>
    <w:basedOn w:val="CommentText"/>
    <w:next w:val="CommentText"/>
    <w:semiHidden/>
    <w:rPr>
      <w:b/>
      <w:bCs/>
      <w:szCs w:val="20"/>
    </w:rPr>
  </w:style>
  <w:style w:type="paragraph" w:customStyle="1" w:styleId="StyleAfter6pt">
    <w:name w:val="Style After:  6 pt"/>
    <w:basedOn w:val="StyleLeft"/>
    <w:pPr>
      <w:tabs>
        <w:tab w:val="num" w:pos="360"/>
      </w:tabs>
      <w:spacing w:after="120"/>
    </w:pPr>
    <w:rPr>
      <w:rFonts w:ascii="Times New Roman" w:hAnsi="Times New Roman"/>
      <w:b w:val="0"/>
      <w:sz w:val="22"/>
      <w:szCs w:val="20"/>
    </w:rPr>
  </w:style>
  <w:style w:type="character" w:customStyle="1" w:styleId="msoins0">
    <w:name w:val="msoins"/>
    <w:basedOn w:val="DefaultParagraphFont"/>
  </w:style>
  <w:style w:type="paragraph" w:customStyle="1" w:styleId="Default">
    <w:name w:val="Default"/>
    <w:pPr>
      <w:autoSpaceDE w:val="0"/>
      <w:autoSpaceDN w:val="0"/>
      <w:adjustRightInd w:val="0"/>
    </w:pPr>
    <w:rPr>
      <w:color w:val="000000"/>
      <w:sz w:val="24"/>
      <w:szCs w:val="24"/>
    </w:rPr>
  </w:style>
  <w:style w:type="paragraph" w:styleId="NormalWeb">
    <w:name w:val="Normal (Web)"/>
    <w:basedOn w:val="Normal"/>
    <w:uiPriority w:val="99"/>
    <w:pPr>
      <w:adjustRightInd/>
      <w:spacing w:before="100" w:beforeAutospacing="1" w:after="100" w:afterAutospacing="1" w:line="240" w:lineRule="auto"/>
      <w:textAlignment w:val="auto"/>
    </w:pPr>
    <w:rPr>
      <w:sz w:val="24"/>
      <w:szCs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Courier New" w:hAnsi="Courier New" w:cs="Courier New"/>
      <w:szCs w:val="20"/>
    </w:rPr>
  </w:style>
  <w:style w:type="paragraph" w:customStyle="1" w:styleId="FoonoteText">
    <w:name w:val="Foonote Text"/>
    <w:basedOn w:val="FootnoteText"/>
  </w:style>
  <w:style w:type="table" w:styleId="TableGrid">
    <w:name w:val="Table Grid"/>
    <w:basedOn w:val="TableNormal"/>
    <w:rsid w:val="005A5A02"/>
    <w:pPr>
      <w:widowControl w:val="0"/>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A53E17"/>
    <w:pPr>
      <w:widowControl w:val="0"/>
      <w:suppressAutoHyphens/>
      <w:autoSpaceDE w:val="0"/>
      <w:autoSpaceDN w:val="0"/>
      <w:spacing w:before="260"/>
      <w:textAlignment w:val="center"/>
    </w:pPr>
    <w:rPr>
      <w:rFonts w:ascii="Whitney-Book" w:hAnsi="Whitney-Book" w:cs="Whitney-Book"/>
      <w:color w:val="000000"/>
      <w:sz w:val="18"/>
      <w:szCs w:val="18"/>
    </w:rPr>
  </w:style>
  <w:style w:type="paragraph" w:styleId="ListParagraph">
    <w:name w:val="List Paragraph"/>
    <w:basedOn w:val="Normal"/>
    <w:uiPriority w:val="34"/>
    <w:qFormat/>
    <w:rsid w:val="008A5837"/>
    <w:pPr>
      <w:adjustRightInd/>
      <w:spacing w:after="120"/>
      <w:ind w:left="720"/>
      <w:textAlignment w:val="auto"/>
    </w:pPr>
  </w:style>
  <w:style w:type="character" w:customStyle="1" w:styleId="Heading1Char">
    <w:name w:val="Heading 1 Char"/>
    <w:link w:val="Heading1"/>
    <w:rsid w:val="002F71DB"/>
    <w:rPr>
      <w:rFonts w:ascii="Calibri" w:hAnsi="Calibri"/>
      <w:b/>
      <w:bCs/>
      <w:color w:val="4F81BD" w:themeColor="accent1"/>
      <w:sz w:val="36"/>
      <w:szCs w:val="36"/>
    </w:rPr>
  </w:style>
  <w:style w:type="character" w:customStyle="1" w:styleId="Heading2Char">
    <w:name w:val="Heading 2 Char"/>
    <w:link w:val="Heading2"/>
    <w:rsid w:val="0053379A"/>
    <w:rPr>
      <w:rFonts w:ascii="Calibri" w:hAnsi="Calibri"/>
      <w:b/>
      <w:bCs/>
      <w:sz w:val="24"/>
      <w:szCs w:val="24"/>
    </w:rPr>
  </w:style>
  <w:style w:type="paragraph" w:styleId="BodyText">
    <w:name w:val="Body Text"/>
    <w:basedOn w:val="Normal"/>
    <w:link w:val="BodyTextChar"/>
    <w:uiPriority w:val="1"/>
    <w:qFormat/>
    <w:rsid w:val="008E3011"/>
    <w:pPr>
      <w:widowControl w:val="0"/>
      <w:autoSpaceDE w:val="0"/>
      <w:autoSpaceDN w:val="0"/>
      <w:spacing w:before="232" w:after="0" w:line="240" w:lineRule="auto"/>
      <w:ind w:left="2123" w:hanging="540"/>
      <w:textAlignment w:val="auto"/>
    </w:pPr>
    <w:rPr>
      <w:rFonts w:ascii="Calibri" w:hAnsi="Calibri" w:cs="Calibri"/>
      <w:sz w:val="36"/>
      <w:szCs w:val="36"/>
    </w:rPr>
  </w:style>
  <w:style w:type="character" w:customStyle="1" w:styleId="BodyTextChar">
    <w:name w:val="Body Text Char"/>
    <w:link w:val="BodyText"/>
    <w:uiPriority w:val="1"/>
    <w:rsid w:val="008E3011"/>
    <w:rPr>
      <w:rFonts w:ascii="Calibri" w:hAnsi="Calibri" w:cs="Calibri"/>
      <w:sz w:val="36"/>
      <w:szCs w:val="36"/>
    </w:rPr>
  </w:style>
  <w:style w:type="character" w:customStyle="1" w:styleId="FootnoteTextChar">
    <w:name w:val="Footnote Text Char"/>
    <w:aliases w:val="ft Char,Footnote Text Char1 Char,Footnote Text Char Char Char,fn Char Char Char,Footnote Text Char1 Char1 Char Char,Footnote Text Char Char Char1 Char Char,Footnote Text Char1 Char Char Char Char,Footnote Text Char Char1 Char,fn Char"/>
    <w:link w:val="FootnoteText"/>
    <w:qFormat/>
    <w:rsid w:val="009C2B5B"/>
    <w:rPr>
      <w:rFonts w:ascii="Cambria" w:hAnsi="Cambria"/>
      <w:sz w:val="18"/>
      <w:szCs w:val="18"/>
    </w:rPr>
  </w:style>
  <w:style w:type="paragraph" w:customStyle="1" w:styleId="TableParagraph">
    <w:name w:val="Table Paragraph"/>
    <w:basedOn w:val="Normal"/>
    <w:uiPriority w:val="1"/>
    <w:qFormat/>
    <w:rsid w:val="00035C76"/>
    <w:pPr>
      <w:widowControl w:val="0"/>
      <w:adjustRightInd/>
      <w:spacing w:after="0" w:line="240" w:lineRule="auto"/>
      <w:textAlignment w:val="auto"/>
    </w:pPr>
    <w:rPr>
      <w:rFonts w:ascii="Calibri" w:eastAsia="Calibri" w:hAnsi="Calibri"/>
      <w:sz w:val="22"/>
    </w:rPr>
  </w:style>
  <w:style w:type="character" w:customStyle="1" w:styleId="Heading3Char">
    <w:name w:val="Heading 3 Char"/>
    <w:link w:val="Heading3"/>
    <w:rsid w:val="00193782"/>
    <w:rPr>
      <w:rFonts w:ascii="Calibri" w:hAnsi="Calibri"/>
      <w:b/>
      <w:iCs/>
      <w:color w:val="000000"/>
      <w:szCs w:val="18"/>
    </w:rPr>
  </w:style>
  <w:style w:type="paragraph" w:styleId="Revision">
    <w:name w:val="Revision"/>
    <w:hidden/>
    <w:uiPriority w:val="99"/>
    <w:semiHidden/>
    <w:rsid w:val="000F140B"/>
    <w:rPr>
      <w:rFonts w:ascii="Cambria" w:hAnsi="Cambria"/>
      <w:szCs w:val="22"/>
    </w:rPr>
  </w:style>
  <w:style w:type="character" w:customStyle="1" w:styleId="FooterChar">
    <w:name w:val="Footer Char"/>
    <w:basedOn w:val="DefaultParagraphFont"/>
    <w:link w:val="Footer"/>
    <w:uiPriority w:val="99"/>
    <w:rsid w:val="00C368EB"/>
    <w:rPr>
      <w:rFonts w:ascii="Cambria" w:hAnsi="Cambria"/>
      <w:szCs w:val="22"/>
    </w:rPr>
  </w:style>
  <w:style w:type="paragraph" w:styleId="EndnoteText">
    <w:name w:val="endnote text"/>
    <w:basedOn w:val="Normal"/>
    <w:link w:val="EndnoteTextChar"/>
    <w:rsid w:val="0028767E"/>
    <w:pPr>
      <w:spacing w:after="0" w:line="240" w:lineRule="auto"/>
    </w:pPr>
    <w:rPr>
      <w:szCs w:val="20"/>
    </w:rPr>
  </w:style>
  <w:style w:type="character" w:customStyle="1" w:styleId="EndnoteTextChar">
    <w:name w:val="Endnote Text Char"/>
    <w:basedOn w:val="DefaultParagraphFont"/>
    <w:link w:val="EndnoteText"/>
    <w:rsid w:val="0028767E"/>
    <w:rPr>
      <w:rFonts w:ascii="Cambria" w:hAnsi="Cambria"/>
    </w:rPr>
  </w:style>
  <w:style w:type="character" w:styleId="EndnoteReference">
    <w:name w:val="endnote reference"/>
    <w:basedOn w:val="DefaultParagraphFont"/>
    <w:rsid w:val="0028767E"/>
    <w:rPr>
      <w:vertAlign w:val="superscript"/>
    </w:rPr>
  </w:style>
  <w:style w:type="character" w:customStyle="1" w:styleId="HeaderChar">
    <w:name w:val="Header Char"/>
    <w:basedOn w:val="DefaultParagraphFont"/>
    <w:link w:val="Header"/>
    <w:uiPriority w:val="99"/>
    <w:rsid w:val="00A4310D"/>
    <w:rPr>
      <w:rFonts w:ascii="Cambria" w:hAnsi="Cambria"/>
      <w:szCs w:val="22"/>
    </w:rPr>
  </w:style>
  <w:style w:type="paragraph" w:styleId="NoSpacing">
    <w:name w:val="No Spacing"/>
    <w:uiPriority w:val="1"/>
    <w:qFormat/>
    <w:rsid w:val="00A4310D"/>
    <w:rPr>
      <w:rFonts w:asciiTheme="minorHAnsi" w:eastAsiaTheme="minorHAnsi" w:hAnsiTheme="minorHAnsi" w:cstheme="minorBidi"/>
      <w:sz w:val="22"/>
      <w:szCs w:val="22"/>
    </w:rPr>
  </w:style>
  <w:style w:type="character" w:customStyle="1" w:styleId="CommentTextChar">
    <w:name w:val="Comment Text Char"/>
    <w:basedOn w:val="DefaultParagraphFont"/>
    <w:link w:val="CommentText"/>
    <w:semiHidden/>
    <w:rsid w:val="007175D2"/>
    <w:rPr>
      <w:rFonts w:ascii="Cambria" w:hAnsi="Cambria"/>
      <w:szCs w:val="22"/>
    </w:rPr>
  </w:style>
  <w:style w:type="character" w:customStyle="1" w:styleId="Heading4Char">
    <w:name w:val="Heading 4 Char"/>
    <w:basedOn w:val="DefaultParagraphFont"/>
    <w:link w:val="Heading4"/>
    <w:rsid w:val="0084022F"/>
    <w:rPr>
      <w:rFonts w:ascii="Calibri" w:hAnsi="Calibri"/>
      <w:bCs/>
      <w:i/>
    </w:rPr>
  </w:style>
  <w:style w:type="paragraph" w:styleId="IntenseQuote">
    <w:name w:val="Intense Quote"/>
    <w:basedOn w:val="Normal"/>
    <w:next w:val="Normal"/>
    <w:link w:val="IntenseQuoteChar"/>
    <w:uiPriority w:val="30"/>
    <w:qFormat/>
    <w:rsid w:val="009C435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C435E"/>
    <w:rPr>
      <w:rFonts w:ascii="Cambria" w:hAnsi="Cambria"/>
      <w:b/>
      <w:bCs/>
      <w:i/>
      <w:iCs/>
      <w:color w:val="4F81BD" w:themeColor="accent1"/>
      <w:szCs w:val="22"/>
    </w:rPr>
  </w:style>
  <w:style w:type="character" w:customStyle="1" w:styleId="CaptionChar">
    <w:name w:val="Caption Char"/>
    <w:basedOn w:val="DefaultParagraphFont"/>
    <w:link w:val="Caption"/>
    <w:locked/>
    <w:rsid w:val="00B46640"/>
    <w:rPr>
      <w:rFonts w:ascii="Calibri" w:hAnsi="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19494">
      <w:bodyDiv w:val="1"/>
      <w:marLeft w:val="0"/>
      <w:marRight w:val="0"/>
      <w:marTop w:val="0"/>
      <w:marBottom w:val="0"/>
      <w:divBdr>
        <w:top w:val="none" w:sz="0" w:space="0" w:color="auto"/>
        <w:left w:val="none" w:sz="0" w:space="0" w:color="auto"/>
        <w:bottom w:val="none" w:sz="0" w:space="0" w:color="auto"/>
        <w:right w:val="none" w:sz="0" w:space="0" w:color="auto"/>
      </w:divBdr>
      <w:divsChild>
        <w:div w:id="1537624538">
          <w:marLeft w:val="0"/>
          <w:marRight w:val="0"/>
          <w:marTop w:val="0"/>
          <w:marBottom w:val="0"/>
          <w:divBdr>
            <w:top w:val="none" w:sz="0" w:space="0" w:color="auto"/>
            <w:left w:val="none" w:sz="0" w:space="0" w:color="auto"/>
            <w:bottom w:val="none" w:sz="0" w:space="0" w:color="auto"/>
            <w:right w:val="none" w:sz="0" w:space="0" w:color="auto"/>
          </w:divBdr>
        </w:div>
        <w:div w:id="1564875504">
          <w:marLeft w:val="0"/>
          <w:marRight w:val="0"/>
          <w:marTop w:val="0"/>
          <w:marBottom w:val="0"/>
          <w:divBdr>
            <w:top w:val="none" w:sz="0" w:space="0" w:color="auto"/>
            <w:left w:val="none" w:sz="0" w:space="0" w:color="auto"/>
            <w:bottom w:val="none" w:sz="0" w:space="0" w:color="auto"/>
            <w:right w:val="none" w:sz="0" w:space="0" w:color="auto"/>
          </w:divBdr>
        </w:div>
      </w:divsChild>
    </w:div>
    <w:div w:id="91777577">
      <w:bodyDiv w:val="1"/>
      <w:marLeft w:val="0"/>
      <w:marRight w:val="0"/>
      <w:marTop w:val="0"/>
      <w:marBottom w:val="0"/>
      <w:divBdr>
        <w:top w:val="none" w:sz="0" w:space="0" w:color="auto"/>
        <w:left w:val="none" w:sz="0" w:space="0" w:color="auto"/>
        <w:bottom w:val="none" w:sz="0" w:space="0" w:color="auto"/>
        <w:right w:val="none" w:sz="0" w:space="0" w:color="auto"/>
      </w:divBdr>
    </w:div>
    <w:div w:id="110169592">
      <w:bodyDiv w:val="1"/>
      <w:marLeft w:val="0"/>
      <w:marRight w:val="0"/>
      <w:marTop w:val="0"/>
      <w:marBottom w:val="0"/>
      <w:divBdr>
        <w:top w:val="none" w:sz="0" w:space="0" w:color="auto"/>
        <w:left w:val="none" w:sz="0" w:space="0" w:color="auto"/>
        <w:bottom w:val="none" w:sz="0" w:space="0" w:color="auto"/>
        <w:right w:val="none" w:sz="0" w:space="0" w:color="auto"/>
      </w:divBdr>
    </w:div>
    <w:div w:id="206113332">
      <w:marLeft w:val="0"/>
      <w:marRight w:val="0"/>
      <w:marTop w:val="0"/>
      <w:marBottom w:val="0"/>
      <w:divBdr>
        <w:top w:val="none" w:sz="0" w:space="0" w:color="auto"/>
        <w:left w:val="none" w:sz="0" w:space="0" w:color="auto"/>
        <w:bottom w:val="none" w:sz="0" w:space="0" w:color="auto"/>
        <w:right w:val="none" w:sz="0" w:space="0" w:color="auto"/>
      </w:divBdr>
      <w:divsChild>
        <w:div w:id="860976510">
          <w:marLeft w:val="0"/>
          <w:marRight w:val="0"/>
          <w:marTop w:val="0"/>
          <w:marBottom w:val="0"/>
          <w:divBdr>
            <w:top w:val="none" w:sz="0" w:space="0" w:color="auto"/>
            <w:left w:val="none" w:sz="0" w:space="0" w:color="auto"/>
            <w:bottom w:val="none" w:sz="0" w:space="0" w:color="auto"/>
            <w:right w:val="none" w:sz="0" w:space="0" w:color="auto"/>
          </w:divBdr>
          <w:divsChild>
            <w:div w:id="941953810">
              <w:marLeft w:val="0"/>
              <w:marRight w:val="0"/>
              <w:marTop w:val="0"/>
              <w:marBottom w:val="0"/>
              <w:divBdr>
                <w:top w:val="none" w:sz="0" w:space="0" w:color="auto"/>
                <w:left w:val="none" w:sz="0" w:space="0" w:color="auto"/>
                <w:bottom w:val="none" w:sz="0" w:space="0" w:color="auto"/>
                <w:right w:val="none" w:sz="0" w:space="0" w:color="auto"/>
              </w:divBdr>
              <w:divsChild>
                <w:div w:id="2031293102">
                  <w:marLeft w:val="0"/>
                  <w:marRight w:val="-150"/>
                  <w:marTop w:val="0"/>
                  <w:marBottom w:val="0"/>
                  <w:divBdr>
                    <w:top w:val="none" w:sz="0" w:space="0" w:color="auto"/>
                    <w:left w:val="none" w:sz="0" w:space="0" w:color="auto"/>
                    <w:bottom w:val="none" w:sz="0" w:space="0" w:color="auto"/>
                    <w:right w:val="none" w:sz="0" w:space="0" w:color="auto"/>
                  </w:divBdr>
                  <w:divsChild>
                    <w:div w:id="195897184">
                      <w:marLeft w:val="0"/>
                      <w:marRight w:val="0"/>
                      <w:marTop w:val="0"/>
                      <w:marBottom w:val="0"/>
                      <w:divBdr>
                        <w:top w:val="none" w:sz="0" w:space="0" w:color="auto"/>
                        <w:left w:val="none" w:sz="0" w:space="0" w:color="auto"/>
                        <w:bottom w:val="none" w:sz="0" w:space="0" w:color="auto"/>
                        <w:right w:val="none" w:sz="0" w:space="0" w:color="auto"/>
                      </w:divBdr>
                      <w:divsChild>
                        <w:div w:id="31855064">
                          <w:marLeft w:val="0"/>
                          <w:marRight w:val="0"/>
                          <w:marTop w:val="0"/>
                          <w:marBottom w:val="0"/>
                          <w:divBdr>
                            <w:top w:val="none" w:sz="0" w:space="0" w:color="auto"/>
                            <w:left w:val="none" w:sz="0" w:space="0" w:color="auto"/>
                            <w:bottom w:val="none" w:sz="0" w:space="0" w:color="auto"/>
                            <w:right w:val="none" w:sz="0" w:space="0" w:color="auto"/>
                          </w:divBdr>
                          <w:divsChild>
                            <w:div w:id="172576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749715">
                      <w:marLeft w:val="0"/>
                      <w:marRight w:val="0"/>
                      <w:marTop w:val="0"/>
                      <w:marBottom w:val="0"/>
                      <w:divBdr>
                        <w:top w:val="none" w:sz="0" w:space="0" w:color="auto"/>
                        <w:left w:val="none" w:sz="0" w:space="0" w:color="auto"/>
                        <w:bottom w:val="none" w:sz="0" w:space="0" w:color="auto"/>
                        <w:right w:val="none" w:sz="0" w:space="0" w:color="auto"/>
                      </w:divBdr>
                      <w:divsChild>
                        <w:div w:id="545917044">
                          <w:marLeft w:val="0"/>
                          <w:marRight w:val="0"/>
                          <w:marTop w:val="0"/>
                          <w:marBottom w:val="0"/>
                          <w:divBdr>
                            <w:top w:val="none" w:sz="0" w:space="0" w:color="auto"/>
                            <w:left w:val="none" w:sz="0" w:space="0" w:color="auto"/>
                            <w:bottom w:val="none" w:sz="0" w:space="0" w:color="auto"/>
                            <w:right w:val="none" w:sz="0" w:space="0" w:color="auto"/>
                          </w:divBdr>
                        </w:div>
                        <w:div w:id="124271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460076">
      <w:marLeft w:val="0"/>
      <w:marRight w:val="0"/>
      <w:marTop w:val="0"/>
      <w:marBottom w:val="0"/>
      <w:divBdr>
        <w:top w:val="none" w:sz="0" w:space="0" w:color="auto"/>
        <w:left w:val="none" w:sz="0" w:space="0" w:color="auto"/>
        <w:bottom w:val="none" w:sz="0" w:space="0" w:color="auto"/>
        <w:right w:val="none" w:sz="0" w:space="0" w:color="auto"/>
      </w:divBdr>
      <w:divsChild>
        <w:div w:id="1157765509">
          <w:marLeft w:val="0"/>
          <w:marRight w:val="0"/>
          <w:marTop w:val="0"/>
          <w:marBottom w:val="0"/>
          <w:divBdr>
            <w:top w:val="none" w:sz="0" w:space="0" w:color="auto"/>
            <w:left w:val="none" w:sz="0" w:space="0" w:color="auto"/>
            <w:bottom w:val="none" w:sz="0" w:space="0" w:color="auto"/>
            <w:right w:val="none" w:sz="0" w:space="0" w:color="auto"/>
          </w:divBdr>
          <w:divsChild>
            <w:div w:id="161360822">
              <w:marLeft w:val="0"/>
              <w:marRight w:val="0"/>
              <w:marTop w:val="0"/>
              <w:marBottom w:val="0"/>
              <w:divBdr>
                <w:top w:val="none" w:sz="0" w:space="0" w:color="auto"/>
                <w:left w:val="none" w:sz="0" w:space="0" w:color="auto"/>
                <w:bottom w:val="none" w:sz="0" w:space="0" w:color="auto"/>
                <w:right w:val="none" w:sz="0" w:space="0" w:color="auto"/>
              </w:divBdr>
              <w:divsChild>
                <w:div w:id="1611544887">
                  <w:marLeft w:val="0"/>
                  <w:marRight w:val="0"/>
                  <w:marTop w:val="0"/>
                  <w:marBottom w:val="0"/>
                  <w:divBdr>
                    <w:top w:val="none" w:sz="0" w:space="0" w:color="auto"/>
                    <w:left w:val="none" w:sz="0" w:space="0" w:color="auto"/>
                    <w:bottom w:val="none" w:sz="0" w:space="0" w:color="auto"/>
                    <w:right w:val="none" w:sz="0" w:space="0" w:color="auto"/>
                  </w:divBdr>
                </w:div>
              </w:divsChild>
            </w:div>
            <w:div w:id="731274155">
              <w:marLeft w:val="0"/>
              <w:marRight w:val="0"/>
              <w:marTop w:val="0"/>
              <w:marBottom w:val="0"/>
              <w:divBdr>
                <w:top w:val="none" w:sz="0" w:space="0" w:color="auto"/>
                <w:left w:val="none" w:sz="0" w:space="0" w:color="auto"/>
                <w:bottom w:val="none" w:sz="0" w:space="0" w:color="auto"/>
                <w:right w:val="none" w:sz="0" w:space="0" w:color="auto"/>
              </w:divBdr>
            </w:div>
            <w:div w:id="953513975">
              <w:marLeft w:val="0"/>
              <w:marRight w:val="0"/>
              <w:marTop w:val="0"/>
              <w:marBottom w:val="0"/>
              <w:divBdr>
                <w:top w:val="none" w:sz="0" w:space="0" w:color="auto"/>
                <w:left w:val="none" w:sz="0" w:space="0" w:color="auto"/>
                <w:bottom w:val="none" w:sz="0" w:space="0" w:color="auto"/>
                <w:right w:val="none" w:sz="0" w:space="0" w:color="auto"/>
              </w:divBdr>
            </w:div>
            <w:div w:id="963772838">
              <w:marLeft w:val="0"/>
              <w:marRight w:val="0"/>
              <w:marTop w:val="0"/>
              <w:marBottom w:val="0"/>
              <w:divBdr>
                <w:top w:val="none" w:sz="0" w:space="0" w:color="auto"/>
                <w:left w:val="none" w:sz="0" w:space="0" w:color="auto"/>
                <w:bottom w:val="none" w:sz="0" w:space="0" w:color="auto"/>
                <w:right w:val="none" w:sz="0" w:space="0" w:color="auto"/>
              </w:divBdr>
            </w:div>
            <w:div w:id="1189753930">
              <w:marLeft w:val="0"/>
              <w:marRight w:val="0"/>
              <w:marTop w:val="0"/>
              <w:marBottom w:val="0"/>
              <w:divBdr>
                <w:top w:val="none" w:sz="0" w:space="0" w:color="auto"/>
                <w:left w:val="none" w:sz="0" w:space="0" w:color="auto"/>
                <w:bottom w:val="none" w:sz="0" w:space="0" w:color="auto"/>
                <w:right w:val="none" w:sz="0" w:space="0" w:color="auto"/>
              </w:divBdr>
            </w:div>
            <w:div w:id="1218935689">
              <w:marLeft w:val="0"/>
              <w:marRight w:val="0"/>
              <w:marTop w:val="0"/>
              <w:marBottom w:val="0"/>
              <w:divBdr>
                <w:top w:val="none" w:sz="0" w:space="0" w:color="auto"/>
                <w:left w:val="none" w:sz="0" w:space="0" w:color="auto"/>
                <w:bottom w:val="none" w:sz="0" w:space="0" w:color="auto"/>
                <w:right w:val="none" w:sz="0" w:space="0" w:color="auto"/>
              </w:divBdr>
            </w:div>
            <w:div w:id="1242301744">
              <w:marLeft w:val="0"/>
              <w:marRight w:val="0"/>
              <w:marTop w:val="0"/>
              <w:marBottom w:val="0"/>
              <w:divBdr>
                <w:top w:val="none" w:sz="0" w:space="0" w:color="auto"/>
                <w:left w:val="none" w:sz="0" w:space="0" w:color="auto"/>
                <w:bottom w:val="none" w:sz="0" w:space="0" w:color="auto"/>
                <w:right w:val="none" w:sz="0" w:space="0" w:color="auto"/>
              </w:divBdr>
            </w:div>
            <w:div w:id="1306853958">
              <w:marLeft w:val="0"/>
              <w:marRight w:val="0"/>
              <w:marTop w:val="0"/>
              <w:marBottom w:val="0"/>
              <w:divBdr>
                <w:top w:val="none" w:sz="0" w:space="0" w:color="auto"/>
                <w:left w:val="none" w:sz="0" w:space="0" w:color="auto"/>
                <w:bottom w:val="none" w:sz="0" w:space="0" w:color="auto"/>
                <w:right w:val="none" w:sz="0" w:space="0" w:color="auto"/>
              </w:divBdr>
            </w:div>
            <w:div w:id="1550141036">
              <w:marLeft w:val="0"/>
              <w:marRight w:val="0"/>
              <w:marTop w:val="0"/>
              <w:marBottom w:val="0"/>
              <w:divBdr>
                <w:top w:val="none" w:sz="0" w:space="0" w:color="auto"/>
                <w:left w:val="none" w:sz="0" w:space="0" w:color="auto"/>
                <w:bottom w:val="none" w:sz="0" w:space="0" w:color="auto"/>
                <w:right w:val="none" w:sz="0" w:space="0" w:color="auto"/>
              </w:divBdr>
            </w:div>
            <w:div w:id="1745756725">
              <w:marLeft w:val="0"/>
              <w:marRight w:val="0"/>
              <w:marTop w:val="0"/>
              <w:marBottom w:val="0"/>
              <w:divBdr>
                <w:top w:val="none" w:sz="0" w:space="0" w:color="auto"/>
                <w:left w:val="none" w:sz="0" w:space="0" w:color="auto"/>
                <w:bottom w:val="none" w:sz="0" w:space="0" w:color="auto"/>
                <w:right w:val="none" w:sz="0" w:space="0" w:color="auto"/>
              </w:divBdr>
            </w:div>
            <w:div w:id="1878815133">
              <w:marLeft w:val="0"/>
              <w:marRight w:val="0"/>
              <w:marTop w:val="0"/>
              <w:marBottom w:val="0"/>
              <w:divBdr>
                <w:top w:val="none" w:sz="0" w:space="0" w:color="auto"/>
                <w:left w:val="none" w:sz="0" w:space="0" w:color="auto"/>
                <w:bottom w:val="none" w:sz="0" w:space="0" w:color="auto"/>
                <w:right w:val="none" w:sz="0" w:space="0" w:color="auto"/>
              </w:divBdr>
            </w:div>
            <w:div w:id="2049524048">
              <w:marLeft w:val="0"/>
              <w:marRight w:val="0"/>
              <w:marTop w:val="0"/>
              <w:marBottom w:val="0"/>
              <w:divBdr>
                <w:top w:val="none" w:sz="0" w:space="0" w:color="auto"/>
                <w:left w:val="none" w:sz="0" w:space="0" w:color="auto"/>
                <w:bottom w:val="none" w:sz="0" w:space="0" w:color="auto"/>
                <w:right w:val="none" w:sz="0" w:space="0" w:color="auto"/>
              </w:divBdr>
              <w:divsChild>
                <w:div w:id="970137061">
                  <w:marLeft w:val="0"/>
                  <w:marRight w:val="0"/>
                  <w:marTop w:val="0"/>
                  <w:marBottom w:val="0"/>
                  <w:divBdr>
                    <w:top w:val="none" w:sz="0" w:space="0" w:color="auto"/>
                    <w:left w:val="none" w:sz="0" w:space="0" w:color="auto"/>
                    <w:bottom w:val="none" w:sz="0" w:space="0" w:color="auto"/>
                    <w:right w:val="none" w:sz="0" w:space="0" w:color="auto"/>
                  </w:divBdr>
                  <w:divsChild>
                    <w:div w:id="436563327">
                      <w:marLeft w:val="0"/>
                      <w:marRight w:val="0"/>
                      <w:marTop w:val="0"/>
                      <w:marBottom w:val="0"/>
                      <w:divBdr>
                        <w:top w:val="none" w:sz="0" w:space="0" w:color="auto"/>
                        <w:left w:val="none" w:sz="0" w:space="0" w:color="auto"/>
                        <w:bottom w:val="none" w:sz="0" w:space="0" w:color="auto"/>
                        <w:right w:val="none" w:sz="0" w:space="0" w:color="auto"/>
                      </w:divBdr>
                    </w:div>
                    <w:div w:id="577787273">
                      <w:marLeft w:val="0"/>
                      <w:marRight w:val="0"/>
                      <w:marTop w:val="0"/>
                      <w:marBottom w:val="0"/>
                      <w:divBdr>
                        <w:top w:val="none" w:sz="0" w:space="0" w:color="auto"/>
                        <w:left w:val="none" w:sz="0" w:space="0" w:color="auto"/>
                        <w:bottom w:val="none" w:sz="0" w:space="0" w:color="auto"/>
                        <w:right w:val="none" w:sz="0" w:space="0" w:color="auto"/>
                      </w:divBdr>
                    </w:div>
                  </w:divsChild>
                </w:div>
                <w:div w:id="1605990663">
                  <w:marLeft w:val="0"/>
                  <w:marRight w:val="0"/>
                  <w:marTop w:val="0"/>
                  <w:marBottom w:val="0"/>
                  <w:divBdr>
                    <w:top w:val="none" w:sz="0" w:space="0" w:color="auto"/>
                    <w:left w:val="none" w:sz="0" w:space="0" w:color="auto"/>
                    <w:bottom w:val="none" w:sz="0" w:space="0" w:color="auto"/>
                    <w:right w:val="none" w:sz="0" w:space="0" w:color="auto"/>
                  </w:divBdr>
                </w:div>
                <w:div w:id="202605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89143">
      <w:bodyDiv w:val="1"/>
      <w:marLeft w:val="0"/>
      <w:marRight w:val="0"/>
      <w:marTop w:val="0"/>
      <w:marBottom w:val="0"/>
      <w:divBdr>
        <w:top w:val="none" w:sz="0" w:space="0" w:color="auto"/>
        <w:left w:val="none" w:sz="0" w:space="0" w:color="auto"/>
        <w:bottom w:val="none" w:sz="0" w:space="0" w:color="auto"/>
        <w:right w:val="none" w:sz="0" w:space="0" w:color="auto"/>
      </w:divBdr>
      <w:divsChild>
        <w:div w:id="29451894">
          <w:marLeft w:val="0"/>
          <w:marRight w:val="0"/>
          <w:marTop w:val="0"/>
          <w:marBottom w:val="0"/>
          <w:divBdr>
            <w:top w:val="none" w:sz="0" w:space="0" w:color="auto"/>
            <w:left w:val="none" w:sz="0" w:space="0" w:color="auto"/>
            <w:bottom w:val="none" w:sz="0" w:space="0" w:color="auto"/>
            <w:right w:val="none" w:sz="0" w:space="0" w:color="auto"/>
          </w:divBdr>
        </w:div>
        <w:div w:id="31879472">
          <w:marLeft w:val="0"/>
          <w:marRight w:val="0"/>
          <w:marTop w:val="0"/>
          <w:marBottom w:val="0"/>
          <w:divBdr>
            <w:top w:val="none" w:sz="0" w:space="0" w:color="auto"/>
            <w:left w:val="none" w:sz="0" w:space="0" w:color="auto"/>
            <w:bottom w:val="none" w:sz="0" w:space="0" w:color="auto"/>
            <w:right w:val="none" w:sz="0" w:space="0" w:color="auto"/>
          </w:divBdr>
        </w:div>
        <w:div w:id="88697990">
          <w:marLeft w:val="0"/>
          <w:marRight w:val="0"/>
          <w:marTop w:val="0"/>
          <w:marBottom w:val="0"/>
          <w:divBdr>
            <w:top w:val="none" w:sz="0" w:space="0" w:color="auto"/>
            <w:left w:val="none" w:sz="0" w:space="0" w:color="auto"/>
            <w:bottom w:val="none" w:sz="0" w:space="0" w:color="auto"/>
            <w:right w:val="none" w:sz="0" w:space="0" w:color="auto"/>
          </w:divBdr>
        </w:div>
        <w:div w:id="207185679">
          <w:marLeft w:val="0"/>
          <w:marRight w:val="0"/>
          <w:marTop w:val="0"/>
          <w:marBottom w:val="0"/>
          <w:divBdr>
            <w:top w:val="none" w:sz="0" w:space="0" w:color="auto"/>
            <w:left w:val="none" w:sz="0" w:space="0" w:color="auto"/>
            <w:bottom w:val="none" w:sz="0" w:space="0" w:color="auto"/>
            <w:right w:val="none" w:sz="0" w:space="0" w:color="auto"/>
          </w:divBdr>
        </w:div>
        <w:div w:id="362488163">
          <w:marLeft w:val="0"/>
          <w:marRight w:val="0"/>
          <w:marTop w:val="0"/>
          <w:marBottom w:val="0"/>
          <w:divBdr>
            <w:top w:val="none" w:sz="0" w:space="0" w:color="auto"/>
            <w:left w:val="none" w:sz="0" w:space="0" w:color="auto"/>
            <w:bottom w:val="none" w:sz="0" w:space="0" w:color="auto"/>
            <w:right w:val="none" w:sz="0" w:space="0" w:color="auto"/>
          </w:divBdr>
        </w:div>
        <w:div w:id="385104547">
          <w:marLeft w:val="0"/>
          <w:marRight w:val="0"/>
          <w:marTop w:val="0"/>
          <w:marBottom w:val="0"/>
          <w:divBdr>
            <w:top w:val="none" w:sz="0" w:space="0" w:color="auto"/>
            <w:left w:val="none" w:sz="0" w:space="0" w:color="auto"/>
            <w:bottom w:val="none" w:sz="0" w:space="0" w:color="auto"/>
            <w:right w:val="none" w:sz="0" w:space="0" w:color="auto"/>
          </w:divBdr>
        </w:div>
        <w:div w:id="389035035">
          <w:marLeft w:val="0"/>
          <w:marRight w:val="0"/>
          <w:marTop w:val="0"/>
          <w:marBottom w:val="0"/>
          <w:divBdr>
            <w:top w:val="none" w:sz="0" w:space="0" w:color="auto"/>
            <w:left w:val="none" w:sz="0" w:space="0" w:color="auto"/>
            <w:bottom w:val="none" w:sz="0" w:space="0" w:color="auto"/>
            <w:right w:val="none" w:sz="0" w:space="0" w:color="auto"/>
          </w:divBdr>
        </w:div>
        <w:div w:id="425001163">
          <w:marLeft w:val="0"/>
          <w:marRight w:val="0"/>
          <w:marTop w:val="0"/>
          <w:marBottom w:val="0"/>
          <w:divBdr>
            <w:top w:val="none" w:sz="0" w:space="0" w:color="auto"/>
            <w:left w:val="none" w:sz="0" w:space="0" w:color="auto"/>
            <w:bottom w:val="none" w:sz="0" w:space="0" w:color="auto"/>
            <w:right w:val="none" w:sz="0" w:space="0" w:color="auto"/>
          </w:divBdr>
        </w:div>
        <w:div w:id="435832945">
          <w:marLeft w:val="0"/>
          <w:marRight w:val="0"/>
          <w:marTop w:val="0"/>
          <w:marBottom w:val="0"/>
          <w:divBdr>
            <w:top w:val="none" w:sz="0" w:space="0" w:color="auto"/>
            <w:left w:val="none" w:sz="0" w:space="0" w:color="auto"/>
            <w:bottom w:val="none" w:sz="0" w:space="0" w:color="auto"/>
            <w:right w:val="none" w:sz="0" w:space="0" w:color="auto"/>
          </w:divBdr>
        </w:div>
        <w:div w:id="475614214">
          <w:marLeft w:val="0"/>
          <w:marRight w:val="0"/>
          <w:marTop w:val="0"/>
          <w:marBottom w:val="0"/>
          <w:divBdr>
            <w:top w:val="none" w:sz="0" w:space="0" w:color="auto"/>
            <w:left w:val="none" w:sz="0" w:space="0" w:color="auto"/>
            <w:bottom w:val="none" w:sz="0" w:space="0" w:color="auto"/>
            <w:right w:val="none" w:sz="0" w:space="0" w:color="auto"/>
          </w:divBdr>
        </w:div>
        <w:div w:id="479886627">
          <w:marLeft w:val="0"/>
          <w:marRight w:val="0"/>
          <w:marTop w:val="0"/>
          <w:marBottom w:val="0"/>
          <w:divBdr>
            <w:top w:val="none" w:sz="0" w:space="0" w:color="auto"/>
            <w:left w:val="none" w:sz="0" w:space="0" w:color="auto"/>
            <w:bottom w:val="none" w:sz="0" w:space="0" w:color="auto"/>
            <w:right w:val="none" w:sz="0" w:space="0" w:color="auto"/>
          </w:divBdr>
        </w:div>
        <w:div w:id="490752644">
          <w:marLeft w:val="0"/>
          <w:marRight w:val="0"/>
          <w:marTop w:val="0"/>
          <w:marBottom w:val="0"/>
          <w:divBdr>
            <w:top w:val="none" w:sz="0" w:space="0" w:color="auto"/>
            <w:left w:val="none" w:sz="0" w:space="0" w:color="auto"/>
            <w:bottom w:val="none" w:sz="0" w:space="0" w:color="auto"/>
            <w:right w:val="none" w:sz="0" w:space="0" w:color="auto"/>
          </w:divBdr>
        </w:div>
        <w:div w:id="494881304">
          <w:marLeft w:val="0"/>
          <w:marRight w:val="0"/>
          <w:marTop w:val="0"/>
          <w:marBottom w:val="0"/>
          <w:divBdr>
            <w:top w:val="none" w:sz="0" w:space="0" w:color="auto"/>
            <w:left w:val="none" w:sz="0" w:space="0" w:color="auto"/>
            <w:bottom w:val="none" w:sz="0" w:space="0" w:color="auto"/>
            <w:right w:val="none" w:sz="0" w:space="0" w:color="auto"/>
          </w:divBdr>
        </w:div>
        <w:div w:id="510029531">
          <w:marLeft w:val="0"/>
          <w:marRight w:val="0"/>
          <w:marTop w:val="0"/>
          <w:marBottom w:val="0"/>
          <w:divBdr>
            <w:top w:val="none" w:sz="0" w:space="0" w:color="auto"/>
            <w:left w:val="none" w:sz="0" w:space="0" w:color="auto"/>
            <w:bottom w:val="none" w:sz="0" w:space="0" w:color="auto"/>
            <w:right w:val="none" w:sz="0" w:space="0" w:color="auto"/>
          </w:divBdr>
        </w:div>
        <w:div w:id="788281632">
          <w:marLeft w:val="0"/>
          <w:marRight w:val="0"/>
          <w:marTop w:val="0"/>
          <w:marBottom w:val="0"/>
          <w:divBdr>
            <w:top w:val="none" w:sz="0" w:space="0" w:color="auto"/>
            <w:left w:val="none" w:sz="0" w:space="0" w:color="auto"/>
            <w:bottom w:val="none" w:sz="0" w:space="0" w:color="auto"/>
            <w:right w:val="none" w:sz="0" w:space="0" w:color="auto"/>
          </w:divBdr>
        </w:div>
        <w:div w:id="828712255">
          <w:marLeft w:val="0"/>
          <w:marRight w:val="0"/>
          <w:marTop w:val="0"/>
          <w:marBottom w:val="0"/>
          <w:divBdr>
            <w:top w:val="none" w:sz="0" w:space="0" w:color="auto"/>
            <w:left w:val="none" w:sz="0" w:space="0" w:color="auto"/>
            <w:bottom w:val="none" w:sz="0" w:space="0" w:color="auto"/>
            <w:right w:val="none" w:sz="0" w:space="0" w:color="auto"/>
          </w:divBdr>
        </w:div>
        <w:div w:id="885609061">
          <w:marLeft w:val="0"/>
          <w:marRight w:val="0"/>
          <w:marTop w:val="0"/>
          <w:marBottom w:val="0"/>
          <w:divBdr>
            <w:top w:val="none" w:sz="0" w:space="0" w:color="auto"/>
            <w:left w:val="none" w:sz="0" w:space="0" w:color="auto"/>
            <w:bottom w:val="none" w:sz="0" w:space="0" w:color="auto"/>
            <w:right w:val="none" w:sz="0" w:space="0" w:color="auto"/>
          </w:divBdr>
        </w:div>
        <w:div w:id="902638496">
          <w:marLeft w:val="0"/>
          <w:marRight w:val="0"/>
          <w:marTop w:val="0"/>
          <w:marBottom w:val="0"/>
          <w:divBdr>
            <w:top w:val="none" w:sz="0" w:space="0" w:color="auto"/>
            <w:left w:val="none" w:sz="0" w:space="0" w:color="auto"/>
            <w:bottom w:val="none" w:sz="0" w:space="0" w:color="auto"/>
            <w:right w:val="none" w:sz="0" w:space="0" w:color="auto"/>
          </w:divBdr>
        </w:div>
        <w:div w:id="907299834">
          <w:marLeft w:val="0"/>
          <w:marRight w:val="0"/>
          <w:marTop w:val="0"/>
          <w:marBottom w:val="0"/>
          <w:divBdr>
            <w:top w:val="none" w:sz="0" w:space="0" w:color="auto"/>
            <w:left w:val="none" w:sz="0" w:space="0" w:color="auto"/>
            <w:bottom w:val="none" w:sz="0" w:space="0" w:color="auto"/>
            <w:right w:val="none" w:sz="0" w:space="0" w:color="auto"/>
          </w:divBdr>
        </w:div>
        <w:div w:id="1027366894">
          <w:marLeft w:val="0"/>
          <w:marRight w:val="0"/>
          <w:marTop w:val="0"/>
          <w:marBottom w:val="0"/>
          <w:divBdr>
            <w:top w:val="none" w:sz="0" w:space="0" w:color="auto"/>
            <w:left w:val="none" w:sz="0" w:space="0" w:color="auto"/>
            <w:bottom w:val="none" w:sz="0" w:space="0" w:color="auto"/>
            <w:right w:val="none" w:sz="0" w:space="0" w:color="auto"/>
          </w:divBdr>
        </w:div>
        <w:div w:id="1052458513">
          <w:marLeft w:val="0"/>
          <w:marRight w:val="0"/>
          <w:marTop w:val="0"/>
          <w:marBottom w:val="0"/>
          <w:divBdr>
            <w:top w:val="none" w:sz="0" w:space="0" w:color="auto"/>
            <w:left w:val="none" w:sz="0" w:space="0" w:color="auto"/>
            <w:bottom w:val="none" w:sz="0" w:space="0" w:color="auto"/>
            <w:right w:val="none" w:sz="0" w:space="0" w:color="auto"/>
          </w:divBdr>
        </w:div>
        <w:div w:id="1095981116">
          <w:marLeft w:val="0"/>
          <w:marRight w:val="0"/>
          <w:marTop w:val="0"/>
          <w:marBottom w:val="0"/>
          <w:divBdr>
            <w:top w:val="none" w:sz="0" w:space="0" w:color="auto"/>
            <w:left w:val="none" w:sz="0" w:space="0" w:color="auto"/>
            <w:bottom w:val="none" w:sz="0" w:space="0" w:color="auto"/>
            <w:right w:val="none" w:sz="0" w:space="0" w:color="auto"/>
          </w:divBdr>
        </w:div>
        <w:div w:id="1116292613">
          <w:marLeft w:val="0"/>
          <w:marRight w:val="0"/>
          <w:marTop w:val="0"/>
          <w:marBottom w:val="0"/>
          <w:divBdr>
            <w:top w:val="none" w:sz="0" w:space="0" w:color="auto"/>
            <w:left w:val="none" w:sz="0" w:space="0" w:color="auto"/>
            <w:bottom w:val="none" w:sz="0" w:space="0" w:color="auto"/>
            <w:right w:val="none" w:sz="0" w:space="0" w:color="auto"/>
          </w:divBdr>
        </w:div>
        <w:div w:id="1162115659">
          <w:marLeft w:val="0"/>
          <w:marRight w:val="0"/>
          <w:marTop w:val="0"/>
          <w:marBottom w:val="0"/>
          <w:divBdr>
            <w:top w:val="none" w:sz="0" w:space="0" w:color="auto"/>
            <w:left w:val="none" w:sz="0" w:space="0" w:color="auto"/>
            <w:bottom w:val="none" w:sz="0" w:space="0" w:color="auto"/>
            <w:right w:val="none" w:sz="0" w:space="0" w:color="auto"/>
          </w:divBdr>
        </w:div>
        <w:div w:id="1172180590">
          <w:marLeft w:val="0"/>
          <w:marRight w:val="0"/>
          <w:marTop w:val="0"/>
          <w:marBottom w:val="0"/>
          <w:divBdr>
            <w:top w:val="none" w:sz="0" w:space="0" w:color="auto"/>
            <w:left w:val="none" w:sz="0" w:space="0" w:color="auto"/>
            <w:bottom w:val="none" w:sz="0" w:space="0" w:color="auto"/>
            <w:right w:val="none" w:sz="0" w:space="0" w:color="auto"/>
          </w:divBdr>
        </w:div>
        <w:div w:id="1202326178">
          <w:marLeft w:val="0"/>
          <w:marRight w:val="0"/>
          <w:marTop w:val="0"/>
          <w:marBottom w:val="0"/>
          <w:divBdr>
            <w:top w:val="none" w:sz="0" w:space="0" w:color="auto"/>
            <w:left w:val="none" w:sz="0" w:space="0" w:color="auto"/>
            <w:bottom w:val="none" w:sz="0" w:space="0" w:color="auto"/>
            <w:right w:val="none" w:sz="0" w:space="0" w:color="auto"/>
          </w:divBdr>
        </w:div>
        <w:div w:id="1221987085">
          <w:marLeft w:val="0"/>
          <w:marRight w:val="0"/>
          <w:marTop w:val="0"/>
          <w:marBottom w:val="0"/>
          <w:divBdr>
            <w:top w:val="none" w:sz="0" w:space="0" w:color="auto"/>
            <w:left w:val="none" w:sz="0" w:space="0" w:color="auto"/>
            <w:bottom w:val="none" w:sz="0" w:space="0" w:color="auto"/>
            <w:right w:val="none" w:sz="0" w:space="0" w:color="auto"/>
          </w:divBdr>
        </w:div>
        <w:div w:id="1237089520">
          <w:marLeft w:val="0"/>
          <w:marRight w:val="0"/>
          <w:marTop w:val="0"/>
          <w:marBottom w:val="0"/>
          <w:divBdr>
            <w:top w:val="none" w:sz="0" w:space="0" w:color="auto"/>
            <w:left w:val="none" w:sz="0" w:space="0" w:color="auto"/>
            <w:bottom w:val="none" w:sz="0" w:space="0" w:color="auto"/>
            <w:right w:val="none" w:sz="0" w:space="0" w:color="auto"/>
          </w:divBdr>
        </w:div>
        <w:div w:id="1317419737">
          <w:marLeft w:val="0"/>
          <w:marRight w:val="0"/>
          <w:marTop w:val="0"/>
          <w:marBottom w:val="0"/>
          <w:divBdr>
            <w:top w:val="none" w:sz="0" w:space="0" w:color="auto"/>
            <w:left w:val="none" w:sz="0" w:space="0" w:color="auto"/>
            <w:bottom w:val="none" w:sz="0" w:space="0" w:color="auto"/>
            <w:right w:val="none" w:sz="0" w:space="0" w:color="auto"/>
          </w:divBdr>
        </w:div>
        <w:div w:id="1342077422">
          <w:marLeft w:val="0"/>
          <w:marRight w:val="0"/>
          <w:marTop w:val="0"/>
          <w:marBottom w:val="0"/>
          <w:divBdr>
            <w:top w:val="none" w:sz="0" w:space="0" w:color="auto"/>
            <w:left w:val="none" w:sz="0" w:space="0" w:color="auto"/>
            <w:bottom w:val="none" w:sz="0" w:space="0" w:color="auto"/>
            <w:right w:val="none" w:sz="0" w:space="0" w:color="auto"/>
          </w:divBdr>
        </w:div>
        <w:div w:id="1351565378">
          <w:marLeft w:val="0"/>
          <w:marRight w:val="0"/>
          <w:marTop w:val="0"/>
          <w:marBottom w:val="0"/>
          <w:divBdr>
            <w:top w:val="none" w:sz="0" w:space="0" w:color="auto"/>
            <w:left w:val="none" w:sz="0" w:space="0" w:color="auto"/>
            <w:bottom w:val="none" w:sz="0" w:space="0" w:color="auto"/>
            <w:right w:val="none" w:sz="0" w:space="0" w:color="auto"/>
          </w:divBdr>
        </w:div>
        <w:div w:id="1362903271">
          <w:marLeft w:val="0"/>
          <w:marRight w:val="0"/>
          <w:marTop w:val="0"/>
          <w:marBottom w:val="0"/>
          <w:divBdr>
            <w:top w:val="none" w:sz="0" w:space="0" w:color="auto"/>
            <w:left w:val="none" w:sz="0" w:space="0" w:color="auto"/>
            <w:bottom w:val="none" w:sz="0" w:space="0" w:color="auto"/>
            <w:right w:val="none" w:sz="0" w:space="0" w:color="auto"/>
          </w:divBdr>
        </w:div>
        <w:div w:id="1383286829">
          <w:marLeft w:val="0"/>
          <w:marRight w:val="0"/>
          <w:marTop w:val="0"/>
          <w:marBottom w:val="0"/>
          <w:divBdr>
            <w:top w:val="none" w:sz="0" w:space="0" w:color="auto"/>
            <w:left w:val="none" w:sz="0" w:space="0" w:color="auto"/>
            <w:bottom w:val="none" w:sz="0" w:space="0" w:color="auto"/>
            <w:right w:val="none" w:sz="0" w:space="0" w:color="auto"/>
          </w:divBdr>
        </w:div>
        <w:div w:id="1399867247">
          <w:marLeft w:val="0"/>
          <w:marRight w:val="0"/>
          <w:marTop w:val="0"/>
          <w:marBottom w:val="0"/>
          <w:divBdr>
            <w:top w:val="none" w:sz="0" w:space="0" w:color="auto"/>
            <w:left w:val="none" w:sz="0" w:space="0" w:color="auto"/>
            <w:bottom w:val="none" w:sz="0" w:space="0" w:color="auto"/>
            <w:right w:val="none" w:sz="0" w:space="0" w:color="auto"/>
          </w:divBdr>
        </w:div>
        <w:div w:id="1465392363">
          <w:marLeft w:val="0"/>
          <w:marRight w:val="0"/>
          <w:marTop w:val="0"/>
          <w:marBottom w:val="0"/>
          <w:divBdr>
            <w:top w:val="none" w:sz="0" w:space="0" w:color="auto"/>
            <w:left w:val="none" w:sz="0" w:space="0" w:color="auto"/>
            <w:bottom w:val="none" w:sz="0" w:space="0" w:color="auto"/>
            <w:right w:val="none" w:sz="0" w:space="0" w:color="auto"/>
          </w:divBdr>
        </w:div>
        <w:div w:id="1563558410">
          <w:marLeft w:val="0"/>
          <w:marRight w:val="0"/>
          <w:marTop w:val="0"/>
          <w:marBottom w:val="0"/>
          <w:divBdr>
            <w:top w:val="none" w:sz="0" w:space="0" w:color="auto"/>
            <w:left w:val="none" w:sz="0" w:space="0" w:color="auto"/>
            <w:bottom w:val="none" w:sz="0" w:space="0" w:color="auto"/>
            <w:right w:val="none" w:sz="0" w:space="0" w:color="auto"/>
          </w:divBdr>
        </w:div>
        <w:div w:id="1587499172">
          <w:marLeft w:val="0"/>
          <w:marRight w:val="0"/>
          <w:marTop w:val="0"/>
          <w:marBottom w:val="0"/>
          <w:divBdr>
            <w:top w:val="none" w:sz="0" w:space="0" w:color="auto"/>
            <w:left w:val="none" w:sz="0" w:space="0" w:color="auto"/>
            <w:bottom w:val="none" w:sz="0" w:space="0" w:color="auto"/>
            <w:right w:val="none" w:sz="0" w:space="0" w:color="auto"/>
          </w:divBdr>
        </w:div>
        <w:div w:id="1641302213">
          <w:marLeft w:val="0"/>
          <w:marRight w:val="0"/>
          <w:marTop w:val="0"/>
          <w:marBottom w:val="0"/>
          <w:divBdr>
            <w:top w:val="none" w:sz="0" w:space="0" w:color="auto"/>
            <w:left w:val="none" w:sz="0" w:space="0" w:color="auto"/>
            <w:bottom w:val="none" w:sz="0" w:space="0" w:color="auto"/>
            <w:right w:val="none" w:sz="0" w:space="0" w:color="auto"/>
          </w:divBdr>
        </w:div>
        <w:div w:id="1687054879">
          <w:marLeft w:val="0"/>
          <w:marRight w:val="0"/>
          <w:marTop w:val="0"/>
          <w:marBottom w:val="0"/>
          <w:divBdr>
            <w:top w:val="none" w:sz="0" w:space="0" w:color="auto"/>
            <w:left w:val="none" w:sz="0" w:space="0" w:color="auto"/>
            <w:bottom w:val="none" w:sz="0" w:space="0" w:color="auto"/>
            <w:right w:val="none" w:sz="0" w:space="0" w:color="auto"/>
          </w:divBdr>
        </w:div>
        <w:div w:id="1695494732">
          <w:marLeft w:val="0"/>
          <w:marRight w:val="0"/>
          <w:marTop w:val="0"/>
          <w:marBottom w:val="0"/>
          <w:divBdr>
            <w:top w:val="none" w:sz="0" w:space="0" w:color="auto"/>
            <w:left w:val="none" w:sz="0" w:space="0" w:color="auto"/>
            <w:bottom w:val="none" w:sz="0" w:space="0" w:color="auto"/>
            <w:right w:val="none" w:sz="0" w:space="0" w:color="auto"/>
          </w:divBdr>
        </w:div>
        <w:div w:id="1860966955">
          <w:marLeft w:val="0"/>
          <w:marRight w:val="0"/>
          <w:marTop w:val="0"/>
          <w:marBottom w:val="0"/>
          <w:divBdr>
            <w:top w:val="none" w:sz="0" w:space="0" w:color="auto"/>
            <w:left w:val="none" w:sz="0" w:space="0" w:color="auto"/>
            <w:bottom w:val="none" w:sz="0" w:space="0" w:color="auto"/>
            <w:right w:val="none" w:sz="0" w:space="0" w:color="auto"/>
          </w:divBdr>
        </w:div>
        <w:div w:id="1862742219">
          <w:marLeft w:val="0"/>
          <w:marRight w:val="0"/>
          <w:marTop w:val="0"/>
          <w:marBottom w:val="0"/>
          <w:divBdr>
            <w:top w:val="none" w:sz="0" w:space="0" w:color="auto"/>
            <w:left w:val="none" w:sz="0" w:space="0" w:color="auto"/>
            <w:bottom w:val="none" w:sz="0" w:space="0" w:color="auto"/>
            <w:right w:val="none" w:sz="0" w:space="0" w:color="auto"/>
          </w:divBdr>
        </w:div>
        <w:div w:id="1891332859">
          <w:marLeft w:val="0"/>
          <w:marRight w:val="0"/>
          <w:marTop w:val="0"/>
          <w:marBottom w:val="0"/>
          <w:divBdr>
            <w:top w:val="none" w:sz="0" w:space="0" w:color="auto"/>
            <w:left w:val="none" w:sz="0" w:space="0" w:color="auto"/>
            <w:bottom w:val="none" w:sz="0" w:space="0" w:color="auto"/>
            <w:right w:val="none" w:sz="0" w:space="0" w:color="auto"/>
          </w:divBdr>
        </w:div>
        <w:div w:id="1903367126">
          <w:marLeft w:val="0"/>
          <w:marRight w:val="0"/>
          <w:marTop w:val="0"/>
          <w:marBottom w:val="0"/>
          <w:divBdr>
            <w:top w:val="none" w:sz="0" w:space="0" w:color="auto"/>
            <w:left w:val="none" w:sz="0" w:space="0" w:color="auto"/>
            <w:bottom w:val="none" w:sz="0" w:space="0" w:color="auto"/>
            <w:right w:val="none" w:sz="0" w:space="0" w:color="auto"/>
          </w:divBdr>
        </w:div>
        <w:div w:id="1922713283">
          <w:marLeft w:val="0"/>
          <w:marRight w:val="0"/>
          <w:marTop w:val="0"/>
          <w:marBottom w:val="0"/>
          <w:divBdr>
            <w:top w:val="none" w:sz="0" w:space="0" w:color="auto"/>
            <w:left w:val="none" w:sz="0" w:space="0" w:color="auto"/>
            <w:bottom w:val="none" w:sz="0" w:space="0" w:color="auto"/>
            <w:right w:val="none" w:sz="0" w:space="0" w:color="auto"/>
          </w:divBdr>
        </w:div>
        <w:div w:id="1933736000">
          <w:marLeft w:val="0"/>
          <w:marRight w:val="0"/>
          <w:marTop w:val="0"/>
          <w:marBottom w:val="0"/>
          <w:divBdr>
            <w:top w:val="none" w:sz="0" w:space="0" w:color="auto"/>
            <w:left w:val="none" w:sz="0" w:space="0" w:color="auto"/>
            <w:bottom w:val="none" w:sz="0" w:space="0" w:color="auto"/>
            <w:right w:val="none" w:sz="0" w:space="0" w:color="auto"/>
          </w:divBdr>
        </w:div>
        <w:div w:id="1984115143">
          <w:marLeft w:val="0"/>
          <w:marRight w:val="0"/>
          <w:marTop w:val="0"/>
          <w:marBottom w:val="0"/>
          <w:divBdr>
            <w:top w:val="none" w:sz="0" w:space="0" w:color="auto"/>
            <w:left w:val="none" w:sz="0" w:space="0" w:color="auto"/>
            <w:bottom w:val="none" w:sz="0" w:space="0" w:color="auto"/>
            <w:right w:val="none" w:sz="0" w:space="0" w:color="auto"/>
          </w:divBdr>
        </w:div>
        <w:div w:id="2073498171">
          <w:marLeft w:val="0"/>
          <w:marRight w:val="0"/>
          <w:marTop w:val="0"/>
          <w:marBottom w:val="0"/>
          <w:divBdr>
            <w:top w:val="none" w:sz="0" w:space="0" w:color="auto"/>
            <w:left w:val="none" w:sz="0" w:space="0" w:color="auto"/>
            <w:bottom w:val="none" w:sz="0" w:space="0" w:color="auto"/>
            <w:right w:val="none" w:sz="0" w:space="0" w:color="auto"/>
          </w:divBdr>
        </w:div>
        <w:div w:id="2095936255">
          <w:marLeft w:val="0"/>
          <w:marRight w:val="0"/>
          <w:marTop w:val="0"/>
          <w:marBottom w:val="0"/>
          <w:divBdr>
            <w:top w:val="none" w:sz="0" w:space="0" w:color="auto"/>
            <w:left w:val="none" w:sz="0" w:space="0" w:color="auto"/>
            <w:bottom w:val="none" w:sz="0" w:space="0" w:color="auto"/>
            <w:right w:val="none" w:sz="0" w:space="0" w:color="auto"/>
          </w:divBdr>
        </w:div>
      </w:divsChild>
    </w:div>
    <w:div w:id="278222052">
      <w:bodyDiv w:val="1"/>
      <w:marLeft w:val="0"/>
      <w:marRight w:val="0"/>
      <w:marTop w:val="0"/>
      <w:marBottom w:val="0"/>
      <w:divBdr>
        <w:top w:val="none" w:sz="0" w:space="0" w:color="auto"/>
        <w:left w:val="none" w:sz="0" w:space="0" w:color="auto"/>
        <w:bottom w:val="none" w:sz="0" w:space="0" w:color="auto"/>
        <w:right w:val="none" w:sz="0" w:space="0" w:color="auto"/>
      </w:divBdr>
    </w:div>
    <w:div w:id="279383296">
      <w:bodyDiv w:val="1"/>
      <w:marLeft w:val="0"/>
      <w:marRight w:val="0"/>
      <w:marTop w:val="0"/>
      <w:marBottom w:val="0"/>
      <w:divBdr>
        <w:top w:val="none" w:sz="0" w:space="0" w:color="auto"/>
        <w:left w:val="none" w:sz="0" w:space="0" w:color="auto"/>
        <w:bottom w:val="none" w:sz="0" w:space="0" w:color="auto"/>
        <w:right w:val="none" w:sz="0" w:space="0" w:color="auto"/>
      </w:divBdr>
    </w:div>
    <w:div w:id="322587086">
      <w:bodyDiv w:val="1"/>
      <w:marLeft w:val="0"/>
      <w:marRight w:val="0"/>
      <w:marTop w:val="0"/>
      <w:marBottom w:val="0"/>
      <w:divBdr>
        <w:top w:val="none" w:sz="0" w:space="0" w:color="auto"/>
        <w:left w:val="none" w:sz="0" w:space="0" w:color="auto"/>
        <w:bottom w:val="none" w:sz="0" w:space="0" w:color="auto"/>
        <w:right w:val="none" w:sz="0" w:space="0" w:color="auto"/>
      </w:divBdr>
    </w:div>
    <w:div w:id="381833048">
      <w:bodyDiv w:val="1"/>
      <w:marLeft w:val="0"/>
      <w:marRight w:val="0"/>
      <w:marTop w:val="0"/>
      <w:marBottom w:val="0"/>
      <w:divBdr>
        <w:top w:val="none" w:sz="0" w:space="0" w:color="auto"/>
        <w:left w:val="none" w:sz="0" w:space="0" w:color="auto"/>
        <w:bottom w:val="none" w:sz="0" w:space="0" w:color="auto"/>
        <w:right w:val="none" w:sz="0" w:space="0" w:color="auto"/>
      </w:divBdr>
    </w:div>
    <w:div w:id="403265979">
      <w:bodyDiv w:val="1"/>
      <w:marLeft w:val="0"/>
      <w:marRight w:val="0"/>
      <w:marTop w:val="0"/>
      <w:marBottom w:val="0"/>
      <w:divBdr>
        <w:top w:val="none" w:sz="0" w:space="0" w:color="auto"/>
        <w:left w:val="none" w:sz="0" w:space="0" w:color="auto"/>
        <w:bottom w:val="none" w:sz="0" w:space="0" w:color="auto"/>
        <w:right w:val="none" w:sz="0" w:space="0" w:color="auto"/>
      </w:divBdr>
    </w:div>
    <w:div w:id="501551539">
      <w:marLeft w:val="0"/>
      <w:marRight w:val="0"/>
      <w:marTop w:val="0"/>
      <w:marBottom w:val="0"/>
      <w:divBdr>
        <w:top w:val="none" w:sz="0" w:space="0" w:color="auto"/>
        <w:left w:val="none" w:sz="0" w:space="0" w:color="auto"/>
        <w:bottom w:val="none" w:sz="0" w:space="0" w:color="auto"/>
        <w:right w:val="none" w:sz="0" w:space="0" w:color="auto"/>
      </w:divBdr>
      <w:divsChild>
        <w:div w:id="939681283">
          <w:marLeft w:val="0"/>
          <w:marRight w:val="0"/>
          <w:marTop w:val="0"/>
          <w:marBottom w:val="0"/>
          <w:divBdr>
            <w:top w:val="none" w:sz="0" w:space="0" w:color="auto"/>
            <w:left w:val="none" w:sz="0" w:space="0" w:color="auto"/>
            <w:bottom w:val="none" w:sz="0" w:space="0" w:color="auto"/>
            <w:right w:val="none" w:sz="0" w:space="0" w:color="auto"/>
          </w:divBdr>
          <w:divsChild>
            <w:div w:id="494343097">
              <w:marLeft w:val="0"/>
              <w:marRight w:val="0"/>
              <w:marTop w:val="0"/>
              <w:marBottom w:val="0"/>
              <w:divBdr>
                <w:top w:val="none" w:sz="0" w:space="0" w:color="auto"/>
                <w:left w:val="none" w:sz="0" w:space="0" w:color="auto"/>
                <w:bottom w:val="none" w:sz="0" w:space="0" w:color="auto"/>
                <w:right w:val="none" w:sz="0" w:space="0" w:color="auto"/>
              </w:divBdr>
              <w:divsChild>
                <w:div w:id="535851854">
                  <w:marLeft w:val="0"/>
                  <w:marRight w:val="0"/>
                  <w:marTop w:val="0"/>
                  <w:marBottom w:val="0"/>
                  <w:divBdr>
                    <w:top w:val="none" w:sz="0" w:space="0" w:color="auto"/>
                    <w:left w:val="none" w:sz="0" w:space="0" w:color="auto"/>
                    <w:bottom w:val="none" w:sz="0" w:space="0" w:color="auto"/>
                    <w:right w:val="none" w:sz="0" w:space="0" w:color="auto"/>
                  </w:divBdr>
                  <w:divsChild>
                    <w:div w:id="646595386">
                      <w:marLeft w:val="0"/>
                      <w:marRight w:val="0"/>
                      <w:marTop w:val="0"/>
                      <w:marBottom w:val="0"/>
                      <w:divBdr>
                        <w:top w:val="none" w:sz="0" w:space="0" w:color="auto"/>
                        <w:left w:val="none" w:sz="0" w:space="0" w:color="auto"/>
                        <w:bottom w:val="none" w:sz="0" w:space="0" w:color="auto"/>
                        <w:right w:val="none" w:sz="0" w:space="0" w:color="auto"/>
                      </w:divBdr>
                    </w:div>
                  </w:divsChild>
                </w:div>
                <w:div w:id="756558712">
                  <w:marLeft w:val="0"/>
                  <w:marRight w:val="0"/>
                  <w:marTop w:val="0"/>
                  <w:marBottom w:val="0"/>
                  <w:divBdr>
                    <w:top w:val="none" w:sz="0" w:space="0" w:color="auto"/>
                    <w:left w:val="none" w:sz="0" w:space="0" w:color="auto"/>
                    <w:bottom w:val="none" w:sz="0" w:space="0" w:color="auto"/>
                    <w:right w:val="none" w:sz="0" w:space="0" w:color="auto"/>
                  </w:divBdr>
                </w:div>
                <w:div w:id="965621721">
                  <w:marLeft w:val="0"/>
                  <w:marRight w:val="0"/>
                  <w:marTop w:val="0"/>
                  <w:marBottom w:val="0"/>
                  <w:divBdr>
                    <w:top w:val="none" w:sz="0" w:space="0" w:color="auto"/>
                    <w:left w:val="none" w:sz="0" w:space="0" w:color="auto"/>
                    <w:bottom w:val="none" w:sz="0" w:space="0" w:color="auto"/>
                    <w:right w:val="none" w:sz="0" w:space="0" w:color="auto"/>
                  </w:divBdr>
                </w:div>
              </w:divsChild>
            </w:div>
            <w:div w:id="1306279905">
              <w:marLeft w:val="0"/>
              <w:marRight w:val="0"/>
              <w:marTop w:val="0"/>
              <w:marBottom w:val="0"/>
              <w:divBdr>
                <w:top w:val="none" w:sz="0" w:space="0" w:color="auto"/>
                <w:left w:val="none" w:sz="0" w:space="0" w:color="auto"/>
                <w:bottom w:val="none" w:sz="0" w:space="0" w:color="auto"/>
                <w:right w:val="none" w:sz="0" w:space="0" w:color="auto"/>
              </w:divBdr>
              <w:divsChild>
                <w:div w:id="623388424">
                  <w:marLeft w:val="0"/>
                  <w:marRight w:val="0"/>
                  <w:marTop w:val="0"/>
                  <w:marBottom w:val="0"/>
                  <w:divBdr>
                    <w:top w:val="none" w:sz="0" w:space="0" w:color="auto"/>
                    <w:left w:val="none" w:sz="0" w:space="0" w:color="auto"/>
                    <w:bottom w:val="none" w:sz="0" w:space="0" w:color="auto"/>
                    <w:right w:val="none" w:sz="0" w:space="0" w:color="auto"/>
                  </w:divBdr>
                </w:div>
                <w:div w:id="1462386893">
                  <w:marLeft w:val="0"/>
                  <w:marRight w:val="0"/>
                  <w:marTop w:val="0"/>
                  <w:marBottom w:val="0"/>
                  <w:divBdr>
                    <w:top w:val="none" w:sz="0" w:space="0" w:color="auto"/>
                    <w:left w:val="none" w:sz="0" w:space="0" w:color="auto"/>
                    <w:bottom w:val="none" w:sz="0" w:space="0" w:color="auto"/>
                    <w:right w:val="none" w:sz="0" w:space="0" w:color="auto"/>
                  </w:divBdr>
                </w:div>
                <w:div w:id="2071146274">
                  <w:marLeft w:val="0"/>
                  <w:marRight w:val="0"/>
                  <w:marTop w:val="0"/>
                  <w:marBottom w:val="0"/>
                  <w:divBdr>
                    <w:top w:val="none" w:sz="0" w:space="0" w:color="auto"/>
                    <w:left w:val="none" w:sz="0" w:space="0" w:color="auto"/>
                    <w:bottom w:val="none" w:sz="0" w:space="0" w:color="auto"/>
                    <w:right w:val="none" w:sz="0" w:space="0" w:color="auto"/>
                  </w:divBdr>
                </w:div>
              </w:divsChild>
            </w:div>
            <w:div w:id="1549797279">
              <w:marLeft w:val="0"/>
              <w:marRight w:val="0"/>
              <w:marTop w:val="0"/>
              <w:marBottom w:val="0"/>
              <w:divBdr>
                <w:top w:val="none" w:sz="0" w:space="0" w:color="auto"/>
                <w:left w:val="none" w:sz="0" w:space="0" w:color="auto"/>
                <w:bottom w:val="none" w:sz="0" w:space="0" w:color="auto"/>
                <w:right w:val="none" w:sz="0" w:space="0" w:color="auto"/>
              </w:divBdr>
            </w:div>
          </w:divsChild>
        </w:div>
        <w:div w:id="1174882288">
          <w:marLeft w:val="0"/>
          <w:marRight w:val="0"/>
          <w:marTop w:val="0"/>
          <w:marBottom w:val="0"/>
          <w:divBdr>
            <w:top w:val="none" w:sz="0" w:space="0" w:color="auto"/>
            <w:left w:val="none" w:sz="0" w:space="0" w:color="auto"/>
            <w:bottom w:val="none" w:sz="0" w:space="0" w:color="auto"/>
            <w:right w:val="none" w:sz="0" w:space="0" w:color="auto"/>
          </w:divBdr>
          <w:divsChild>
            <w:div w:id="433477623">
              <w:marLeft w:val="0"/>
              <w:marRight w:val="0"/>
              <w:marTop w:val="0"/>
              <w:marBottom w:val="0"/>
              <w:divBdr>
                <w:top w:val="none" w:sz="0" w:space="0" w:color="auto"/>
                <w:left w:val="none" w:sz="0" w:space="0" w:color="auto"/>
                <w:bottom w:val="none" w:sz="0" w:space="0" w:color="auto"/>
                <w:right w:val="none" w:sz="0" w:space="0" w:color="auto"/>
              </w:divBdr>
              <w:divsChild>
                <w:div w:id="629938318">
                  <w:marLeft w:val="0"/>
                  <w:marRight w:val="0"/>
                  <w:marTop w:val="0"/>
                  <w:marBottom w:val="0"/>
                  <w:divBdr>
                    <w:top w:val="none" w:sz="0" w:space="0" w:color="auto"/>
                    <w:left w:val="none" w:sz="0" w:space="0" w:color="auto"/>
                    <w:bottom w:val="none" w:sz="0" w:space="0" w:color="auto"/>
                    <w:right w:val="none" w:sz="0" w:space="0" w:color="auto"/>
                  </w:divBdr>
                  <w:divsChild>
                    <w:div w:id="249315447">
                      <w:marLeft w:val="0"/>
                      <w:marRight w:val="0"/>
                      <w:marTop w:val="0"/>
                      <w:marBottom w:val="0"/>
                      <w:divBdr>
                        <w:top w:val="none" w:sz="0" w:space="0" w:color="auto"/>
                        <w:left w:val="none" w:sz="0" w:space="0" w:color="auto"/>
                        <w:bottom w:val="none" w:sz="0" w:space="0" w:color="auto"/>
                        <w:right w:val="none" w:sz="0" w:space="0" w:color="auto"/>
                      </w:divBdr>
                    </w:div>
                  </w:divsChild>
                </w:div>
                <w:div w:id="95829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357140">
      <w:bodyDiv w:val="1"/>
      <w:marLeft w:val="0"/>
      <w:marRight w:val="0"/>
      <w:marTop w:val="0"/>
      <w:marBottom w:val="0"/>
      <w:divBdr>
        <w:top w:val="none" w:sz="0" w:space="0" w:color="auto"/>
        <w:left w:val="none" w:sz="0" w:space="0" w:color="auto"/>
        <w:bottom w:val="none" w:sz="0" w:space="0" w:color="auto"/>
        <w:right w:val="none" w:sz="0" w:space="0" w:color="auto"/>
      </w:divBdr>
    </w:div>
    <w:div w:id="630408081">
      <w:bodyDiv w:val="1"/>
      <w:marLeft w:val="0"/>
      <w:marRight w:val="0"/>
      <w:marTop w:val="0"/>
      <w:marBottom w:val="0"/>
      <w:divBdr>
        <w:top w:val="none" w:sz="0" w:space="0" w:color="auto"/>
        <w:left w:val="none" w:sz="0" w:space="0" w:color="auto"/>
        <w:bottom w:val="none" w:sz="0" w:space="0" w:color="auto"/>
        <w:right w:val="none" w:sz="0" w:space="0" w:color="auto"/>
      </w:divBdr>
      <w:divsChild>
        <w:div w:id="43414458">
          <w:marLeft w:val="1800"/>
          <w:marRight w:val="0"/>
          <w:marTop w:val="0"/>
          <w:marBottom w:val="0"/>
          <w:divBdr>
            <w:top w:val="none" w:sz="0" w:space="0" w:color="auto"/>
            <w:left w:val="none" w:sz="0" w:space="0" w:color="auto"/>
            <w:bottom w:val="none" w:sz="0" w:space="0" w:color="auto"/>
            <w:right w:val="none" w:sz="0" w:space="0" w:color="auto"/>
          </w:divBdr>
        </w:div>
        <w:div w:id="310214434">
          <w:marLeft w:val="1800"/>
          <w:marRight w:val="0"/>
          <w:marTop w:val="0"/>
          <w:marBottom w:val="0"/>
          <w:divBdr>
            <w:top w:val="none" w:sz="0" w:space="0" w:color="auto"/>
            <w:left w:val="none" w:sz="0" w:space="0" w:color="auto"/>
            <w:bottom w:val="none" w:sz="0" w:space="0" w:color="auto"/>
            <w:right w:val="none" w:sz="0" w:space="0" w:color="auto"/>
          </w:divBdr>
        </w:div>
        <w:div w:id="457648307">
          <w:marLeft w:val="1800"/>
          <w:marRight w:val="0"/>
          <w:marTop w:val="0"/>
          <w:marBottom w:val="0"/>
          <w:divBdr>
            <w:top w:val="none" w:sz="0" w:space="0" w:color="auto"/>
            <w:left w:val="none" w:sz="0" w:space="0" w:color="auto"/>
            <w:bottom w:val="none" w:sz="0" w:space="0" w:color="auto"/>
            <w:right w:val="none" w:sz="0" w:space="0" w:color="auto"/>
          </w:divBdr>
        </w:div>
        <w:div w:id="660541685">
          <w:marLeft w:val="1166"/>
          <w:marRight w:val="0"/>
          <w:marTop w:val="0"/>
          <w:marBottom w:val="0"/>
          <w:divBdr>
            <w:top w:val="none" w:sz="0" w:space="0" w:color="auto"/>
            <w:left w:val="none" w:sz="0" w:space="0" w:color="auto"/>
            <w:bottom w:val="none" w:sz="0" w:space="0" w:color="auto"/>
            <w:right w:val="none" w:sz="0" w:space="0" w:color="auto"/>
          </w:divBdr>
        </w:div>
        <w:div w:id="713188988">
          <w:marLeft w:val="2520"/>
          <w:marRight w:val="0"/>
          <w:marTop w:val="0"/>
          <w:marBottom w:val="0"/>
          <w:divBdr>
            <w:top w:val="none" w:sz="0" w:space="0" w:color="auto"/>
            <w:left w:val="none" w:sz="0" w:space="0" w:color="auto"/>
            <w:bottom w:val="none" w:sz="0" w:space="0" w:color="auto"/>
            <w:right w:val="none" w:sz="0" w:space="0" w:color="auto"/>
          </w:divBdr>
        </w:div>
        <w:div w:id="725909437">
          <w:marLeft w:val="1800"/>
          <w:marRight w:val="0"/>
          <w:marTop w:val="0"/>
          <w:marBottom w:val="0"/>
          <w:divBdr>
            <w:top w:val="none" w:sz="0" w:space="0" w:color="auto"/>
            <w:left w:val="none" w:sz="0" w:space="0" w:color="auto"/>
            <w:bottom w:val="none" w:sz="0" w:space="0" w:color="auto"/>
            <w:right w:val="none" w:sz="0" w:space="0" w:color="auto"/>
          </w:divBdr>
        </w:div>
        <w:div w:id="1180510485">
          <w:marLeft w:val="2520"/>
          <w:marRight w:val="0"/>
          <w:marTop w:val="0"/>
          <w:marBottom w:val="0"/>
          <w:divBdr>
            <w:top w:val="none" w:sz="0" w:space="0" w:color="auto"/>
            <w:left w:val="none" w:sz="0" w:space="0" w:color="auto"/>
            <w:bottom w:val="none" w:sz="0" w:space="0" w:color="auto"/>
            <w:right w:val="none" w:sz="0" w:space="0" w:color="auto"/>
          </w:divBdr>
        </w:div>
        <w:div w:id="1306007329">
          <w:marLeft w:val="2520"/>
          <w:marRight w:val="0"/>
          <w:marTop w:val="0"/>
          <w:marBottom w:val="0"/>
          <w:divBdr>
            <w:top w:val="none" w:sz="0" w:space="0" w:color="auto"/>
            <w:left w:val="none" w:sz="0" w:space="0" w:color="auto"/>
            <w:bottom w:val="none" w:sz="0" w:space="0" w:color="auto"/>
            <w:right w:val="none" w:sz="0" w:space="0" w:color="auto"/>
          </w:divBdr>
        </w:div>
        <w:div w:id="1429035541">
          <w:marLeft w:val="2520"/>
          <w:marRight w:val="0"/>
          <w:marTop w:val="0"/>
          <w:marBottom w:val="0"/>
          <w:divBdr>
            <w:top w:val="none" w:sz="0" w:space="0" w:color="auto"/>
            <w:left w:val="none" w:sz="0" w:space="0" w:color="auto"/>
            <w:bottom w:val="none" w:sz="0" w:space="0" w:color="auto"/>
            <w:right w:val="none" w:sz="0" w:space="0" w:color="auto"/>
          </w:divBdr>
        </w:div>
        <w:div w:id="1461846052">
          <w:marLeft w:val="2520"/>
          <w:marRight w:val="0"/>
          <w:marTop w:val="0"/>
          <w:marBottom w:val="0"/>
          <w:divBdr>
            <w:top w:val="none" w:sz="0" w:space="0" w:color="auto"/>
            <w:left w:val="none" w:sz="0" w:space="0" w:color="auto"/>
            <w:bottom w:val="none" w:sz="0" w:space="0" w:color="auto"/>
            <w:right w:val="none" w:sz="0" w:space="0" w:color="auto"/>
          </w:divBdr>
        </w:div>
        <w:div w:id="1537503192">
          <w:marLeft w:val="1800"/>
          <w:marRight w:val="0"/>
          <w:marTop w:val="0"/>
          <w:marBottom w:val="0"/>
          <w:divBdr>
            <w:top w:val="none" w:sz="0" w:space="0" w:color="auto"/>
            <w:left w:val="none" w:sz="0" w:space="0" w:color="auto"/>
            <w:bottom w:val="none" w:sz="0" w:space="0" w:color="auto"/>
            <w:right w:val="none" w:sz="0" w:space="0" w:color="auto"/>
          </w:divBdr>
        </w:div>
        <w:div w:id="1682244552">
          <w:marLeft w:val="547"/>
          <w:marRight w:val="0"/>
          <w:marTop w:val="240"/>
          <w:marBottom w:val="0"/>
          <w:divBdr>
            <w:top w:val="none" w:sz="0" w:space="0" w:color="auto"/>
            <w:left w:val="none" w:sz="0" w:space="0" w:color="auto"/>
            <w:bottom w:val="none" w:sz="0" w:space="0" w:color="auto"/>
            <w:right w:val="none" w:sz="0" w:space="0" w:color="auto"/>
          </w:divBdr>
        </w:div>
        <w:div w:id="1732338969">
          <w:marLeft w:val="1800"/>
          <w:marRight w:val="0"/>
          <w:marTop w:val="0"/>
          <w:marBottom w:val="0"/>
          <w:divBdr>
            <w:top w:val="none" w:sz="0" w:space="0" w:color="auto"/>
            <w:left w:val="none" w:sz="0" w:space="0" w:color="auto"/>
            <w:bottom w:val="none" w:sz="0" w:space="0" w:color="auto"/>
            <w:right w:val="none" w:sz="0" w:space="0" w:color="auto"/>
          </w:divBdr>
        </w:div>
        <w:div w:id="2018388804">
          <w:marLeft w:val="1166"/>
          <w:marRight w:val="0"/>
          <w:marTop w:val="0"/>
          <w:marBottom w:val="0"/>
          <w:divBdr>
            <w:top w:val="none" w:sz="0" w:space="0" w:color="auto"/>
            <w:left w:val="none" w:sz="0" w:space="0" w:color="auto"/>
            <w:bottom w:val="none" w:sz="0" w:space="0" w:color="auto"/>
            <w:right w:val="none" w:sz="0" w:space="0" w:color="auto"/>
          </w:divBdr>
        </w:div>
        <w:div w:id="2089301575">
          <w:marLeft w:val="1800"/>
          <w:marRight w:val="0"/>
          <w:marTop w:val="0"/>
          <w:marBottom w:val="0"/>
          <w:divBdr>
            <w:top w:val="none" w:sz="0" w:space="0" w:color="auto"/>
            <w:left w:val="none" w:sz="0" w:space="0" w:color="auto"/>
            <w:bottom w:val="none" w:sz="0" w:space="0" w:color="auto"/>
            <w:right w:val="none" w:sz="0" w:space="0" w:color="auto"/>
          </w:divBdr>
        </w:div>
      </w:divsChild>
    </w:div>
    <w:div w:id="646325274">
      <w:bodyDiv w:val="1"/>
      <w:marLeft w:val="0"/>
      <w:marRight w:val="0"/>
      <w:marTop w:val="0"/>
      <w:marBottom w:val="0"/>
      <w:divBdr>
        <w:top w:val="none" w:sz="0" w:space="0" w:color="auto"/>
        <w:left w:val="none" w:sz="0" w:space="0" w:color="auto"/>
        <w:bottom w:val="none" w:sz="0" w:space="0" w:color="auto"/>
        <w:right w:val="none" w:sz="0" w:space="0" w:color="auto"/>
      </w:divBdr>
      <w:divsChild>
        <w:div w:id="306593083">
          <w:marLeft w:val="0"/>
          <w:marRight w:val="0"/>
          <w:marTop w:val="0"/>
          <w:marBottom w:val="0"/>
          <w:divBdr>
            <w:top w:val="none" w:sz="0" w:space="0" w:color="auto"/>
            <w:left w:val="none" w:sz="0" w:space="0" w:color="auto"/>
            <w:bottom w:val="none" w:sz="0" w:space="0" w:color="auto"/>
            <w:right w:val="none" w:sz="0" w:space="0" w:color="auto"/>
          </w:divBdr>
        </w:div>
      </w:divsChild>
    </w:div>
    <w:div w:id="676158831">
      <w:marLeft w:val="0"/>
      <w:marRight w:val="0"/>
      <w:marTop w:val="0"/>
      <w:marBottom w:val="0"/>
      <w:divBdr>
        <w:top w:val="none" w:sz="0" w:space="0" w:color="auto"/>
        <w:left w:val="none" w:sz="0" w:space="0" w:color="auto"/>
        <w:bottom w:val="none" w:sz="0" w:space="0" w:color="auto"/>
        <w:right w:val="none" w:sz="0" w:space="0" w:color="auto"/>
      </w:divBdr>
      <w:divsChild>
        <w:div w:id="99185883">
          <w:marLeft w:val="0"/>
          <w:marRight w:val="0"/>
          <w:marTop w:val="0"/>
          <w:marBottom w:val="0"/>
          <w:divBdr>
            <w:top w:val="none" w:sz="0" w:space="0" w:color="auto"/>
            <w:left w:val="none" w:sz="0" w:space="0" w:color="auto"/>
            <w:bottom w:val="none" w:sz="0" w:space="0" w:color="auto"/>
            <w:right w:val="none" w:sz="0" w:space="0" w:color="auto"/>
          </w:divBdr>
          <w:divsChild>
            <w:div w:id="1009525649">
              <w:marLeft w:val="0"/>
              <w:marRight w:val="0"/>
              <w:marTop w:val="0"/>
              <w:marBottom w:val="0"/>
              <w:divBdr>
                <w:top w:val="none" w:sz="0" w:space="0" w:color="auto"/>
                <w:left w:val="none" w:sz="0" w:space="0" w:color="auto"/>
                <w:bottom w:val="none" w:sz="0" w:space="0" w:color="auto"/>
                <w:right w:val="none" w:sz="0" w:space="0" w:color="auto"/>
              </w:divBdr>
              <w:divsChild>
                <w:div w:id="909655716">
                  <w:marLeft w:val="0"/>
                  <w:marRight w:val="0"/>
                  <w:marTop w:val="0"/>
                  <w:marBottom w:val="0"/>
                  <w:divBdr>
                    <w:top w:val="none" w:sz="0" w:space="0" w:color="auto"/>
                    <w:left w:val="none" w:sz="0" w:space="0" w:color="auto"/>
                    <w:bottom w:val="none" w:sz="0" w:space="0" w:color="auto"/>
                    <w:right w:val="none" w:sz="0" w:space="0" w:color="auto"/>
                  </w:divBdr>
                </w:div>
              </w:divsChild>
            </w:div>
            <w:div w:id="185279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502906">
      <w:bodyDiv w:val="1"/>
      <w:marLeft w:val="0"/>
      <w:marRight w:val="0"/>
      <w:marTop w:val="0"/>
      <w:marBottom w:val="0"/>
      <w:divBdr>
        <w:top w:val="none" w:sz="0" w:space="0" w:color="auto"/>
        <w:left w:val="none" w:sz="0" w:space="0" w:color="auto"/>
        <w:bottom w:val="none" w:sz="0" w:space="0" w:color="auto"/>
        <w:right w:val="none" w:sz="0" w:space="0" w:color="auto"/>
      </w:divBdr>
    </w:div>
    <w:div w:id="891305995">
      <w:marLeft w:val="0"/>
      <w:marRight w:val="0"/>
      <w:marTop w:val="0"/>
      <w:marBottom w:val="0"/>
      <w:divBdr>
        <w:top w:val="none" w:sz="0" w:space="0" w:color="auto"/>
        <w:left w:val="none" w:sz="0" w:space="0" w:color="auto"/>
        <w:bottom w:val="none" w:sz="0" w:space="0" w:color="auto"/>
        <w:right w:val="none" w:sz="0" w:space="0" w:color="auto"/>
      </w:divBdr>
      <w:divsChild>
        <w:div w:id="143014620">
          <w:marLeft w:val="0"/>
          <w:marRight w:val="0"/>
          <w:marTop w:val="0"/>
          <w:marBottom w:val="0"/>
          <w:divBdr>
            <w:top w:val="none" w:sz="0" w:space="0" w:color="auto"/>
            <w:left w:val="none" w:sz="0" w:space="0" w:color="auto"/>
            <w:bottom w:val="none" w:sz="0" w:space="0" w:color="auto"/>
            <w:right w:val="none" w:sz="0" w:space="0" w:color="auto"/>
          </w:divBdr>
          <w:divsChild>
            <w:div w:id="1054155254">
              <w:marLeft w:val="0"/>
              <w:marRight w:val="0"/>
              <w:marTop w:val="0"/>
              <w:marBottom w:val="0"/>
              <w:divBdr>
                <w:top w:val="none" w:sz="0" w:space="0" w:color="auto"/>
                <w:left w:val="none" w:sz="0" w:space="0" w:color="auto"/>
                <w:bottom w:val="none" w:sz="0" w:space="0" w:color="auto"/>
                <w:right w:val="none" w:sz="0" w:space="0" w:color="auto"/>
              </w:divBdr>
              <w:divsChild>
                <w:div w:id="1938711550">
                  <w:marLeft w:val="0"/>
                  <w:marRight w:val="0"/>
                  <w:marTop w:val="0"/>
                  <w:marBottom w:val="0"/>
                  <w:divBdr>
                    <w:top w:val="none" w:sz="0" w:space="0" w:color="auto"/>
                    <w:left w:val="none" w:sz="0" w:space="0" w:color="auto"/>
                    <w:bottom w:val="none" w:sz="0" w:space="0" w:color="auto"/>
                    <w:right w:val="none" w:sz="0" w:space="0" w:color="auto"/>
                  </w:divBdr>
                </w:div>
              </w:divsChild>
            </w:div>
            <w:div w:id="1538935582">
              <w:marLeft w:val="0"/>
              <w:marRight w:val="0"/>
              <w:marTop w:val="0"/>
              <w:marBottom w:val="0"/>
              <w:divBdr>
                <w:top w:val="none" w:sz="0" w:space="0" w:color="auto"/>
                <w:left w:val="none" w:sz="0" w:space="0" w:color="auto"/>
                <w:bottom w:val="none" w:sz="0" w:space="0" w:color="auto"/>
                <w:right w:val="none" w:sz="0" w:space="0" w:color="auto"/>
              </w:divBdr>
            </w:div>
            <w:div w:id="2064864629">
              <w:marLeft w:val="0"/>
              <w:marRight w:val="0"/>
              <w:marTop w:val="0"/>
              <w:marBottom w:val="0"/>
              <w:divBdr>
                <w:top w:val="none" w:sz="0" w:space="0" w:color="auto"/>
                <w:left w:val="none" w:sz="0" w:space="0" w:color="auto"/>
                <w:bottom w:val="none" w:sz="0" w:space="0" w:color="auto"/>
                <w:right w:val="none" w:sz="0" w:space="0" w:color="auto"/>
              </w:divBdr>
              <w:divsChild>
                <w:div w:id="369844667">
                  <w:marLeft w:val="0"/>
                  <w:marRight w:val="0"/>
                  <w:marTop w:val="0"/>
                  <w:marBottom w:val="0"/>
                  <w:divBdr>
                    <w:top w:val="none" w:sz="0" w:space="0" w:color="auto"/>
                    <w:left w:val="none" w:sz="0" w:space="0" w:color="auto"/>
                    <w:bottom w:val="none" w:sz="0" w:space="0" w:color="auto"/>
                    <w:right w:val="none" w:sz="0" w:space="0" w:color="auto"/>
                  </w:divBdr>
                  <w:divsChild>
                    <w:div w:id="1812018173">
                      <w:marLeft w:val="0"/>
                      <w:marRight w:val="0"/>
                      <w:marTop w:val="0"/>
                      <w:marBottom w:val="0"/>
                      <w:divBdr>
                        <w:top w:val="none" w:sz="0" w:space="0" w:color="auto"/>
                        <w:left w:val="none" w:sz="0" w:space="0" w:color="auto"/>
                        <w:bottom w:val="none" w:sz="0" w:space="0" w:color="auto"/>
                        <w:right w:val="none" w:sz="0" w:space="0" w:color="auto"/>
                      </w:divBdr>
                      <w:divsChild>
                        <w:div w:id="254167075">
                          <w:marLeft w:val="0"/>
                          <w:marRight w:val="0"/>
                          <w:marTop w:val="0"/>
                          <w:marBottom w:val="0"/>
                          <w:divBdr>
                            <w:top w:val="none" w:sz="0" w:space="0" w:color="auto"/>
                            <w:left w:val="none" w:sz="0" w:space="0" w:color="auto"/>
                            <w:bottom w:val="none" w:sz="0" w:space="0" w:color="auto"/>
                            <w:right w:val="none" w:sz="0" w:space="0" w:color="auto"/>
                          </w:divBdr>
                        </w:div>
                        <w:div w:id="1532307138">
                          <w:marLeft w:val="0"/>
                          <w:marRight w:val="0"/>
                          <w:marTop w:val="0"/>
                          <w:marBottom w:val="0"/>
                          <w:divBdr>
                            <w:top w:val="none" w:sz="0" w:space="0" w:color="auto"/>
                            <w:left w:val="none" w:sz="0" w:space="0" w:color="auto"/>
                            <w:bottom w:val="none" w:sz="0" w:space="0" w:color="auto"/>
                            <w:right w:val="none" w:sz="0" w:space="0" w:color="auto"/>
                          </w:divBdr>
                        </w:div>
                        <w:div w:id="1533107092">
                          <w:marLeft w:val="0"/>
                          <w:marRight w:val="0"/>
                          <w:marTop w:val="0"/>
                          <w:marBottom w:val="0"/>
                          <w:divBdr>
                            <w:top w:val="none" w:sz="0" w:space="0" w:color="auto"/>
                            <w:left w:val="none" w:sz="0" w:space="0" w:color="auto"/>
                            <w:bottom w:val="none" w:sz="0" w:space="0" w:color="auto"/>
                            <w:right w:val="none" w:sz="0" w:space="0" w:color="auto"/>
                          </w:divBdr>
                          <w:divsChild>
                            <w:div w:id="302929632">
                              <w:marLeft w:val="0"/>
                              <w:marRight w:val="0"/>
                              <w:marTop w:val="0"/>
                              <w:marBottom w:val="0"/>
                              <w:divBdr>
                                <w:top w:val="none" w:sz="0" w:space="0" w:color="auto"/>
                                <w:left w:val="none" w:sz="0" w:space="0" w:color="auto"/>
                                <w:bottom w:val="none" w:sz="0" w:space="0" w:color="auto"/>
                                <w:right w:val="none" w:sz="0" w:space="0" w:color="auto"/>
                              </w:divBdr>
                            </w:div>
                            <w:div w:id="1849442861">
                              <w:marLeft w:val="0"/>
                              <w:marRight w:val="0"/>
                              <w:marTop w:val="0"/>
                              <w:marBottom w:val="0"/>
                              <w:divBdr>
                                <w:top w:val="none" w:sz="0" w:space="0" w:color="auto"/>
                                <w:left w:val="none" w:sz="0" w:space="0" w:color="auto"/>
                                <w:bottom w:val="none" w:sz="0" w:space="0" w:color="auto"/>
                                <w:right w:val="none" w:sz="0" w:space="0" w:color="auto"/>
                              </w:divBdr>
                            </w:div>
                          </w:divsChild>
                        </w:div>
                        <w:div w:id="1586959151">
                          <w:marLeft w:val="0"/>
                          <w:marRight w:val="0"/>
                          <w:marTop w:val="0"/>
                          <w:marBottom w:val="0"/>
                          <w:divBdr>
                            <w:top w:val="none" w:sz="0" w:space="0" w:color="auto"/>
                            <w:left w:val="none" w:sz="0" w:space="0" w:color="auto"/>
                            <w:bottom w:val="none" w:sz="0" w:space="0" w:color="auto"/>
                            <w:right w:val="none" w:sz="0" w:space="0" w:color="auto"/>
                          </w:divBdr>
                        </w:div>
                      </w:divsChild>
                    </w:div>
                    <w:div w:id="1938560761">
                      <w:marLeft w:val="0"/>
                      <w:marRight w:val="0"/>
                      <w:marTop w:val="0"/>
                      <w:marBottom w:val="0"/>
                      <w:divBdr>
                        <w:top w:val="none" w:sz="0" w:space="0" w:color="auto"/>
                        <w:left w:val="none" w:sz="0" w:space="0" w:color="auto"/>
                        <w:bottom w:val="none" w:sz="0" w:space="0" w:color="auto"/>
                        <w:right w:val="none" w:sz="0" w:space="0" w:color="auto"/>
                      </w:divBdr>
                      <w:divsChild>
                        <w:div w:id="581765281">
                          <w:marLeft w:val="0"/>
                          <w:marRight w:val="0"/>
                          <w:marTop w:val="0"/>
                          <w:marBottom w:val="0"/>
                          <w:divBdr>
                            <w:top w:val="none" w:sz="0" w:space="0" w:color="auto"/>
                            <w:left w:val="none" w:sz="0" w:space="0" w:color="auto"/>
                            <w:bottom w:val="none" w:sz="0" w:space="0" w:color="auto"/>
                            <w:right w:val="none" w:sz="0" w:space="0" w:color="auto"/>
                          </w:divBdr>
                        </w:div>
                        <w:div w:id="1575160323">
                          <w:marLeft w:val="0"/>
                          <w:marRight w:val="0"/>
                          <w:marTop w:val="0"/>
                          <w:marBottom w:val="0"/>
                          <w:divBdr>
                            <w:top w:val="none" w:sz="0" w:space="0" w:color="auto"/>
                            <w:left w:val="none" w:sz="0" w:space="0" w:color="auto"/>
                            <w:bottom w:val="none" w:sz="0" w:space="0" w:color="auto"/>
                            <w:right w:val="none" w:sz="0" w:space="0" w:color="auto"/>
                          </w:divBdr>
                          <w:divsChild>
                            <w:div w:id="109670266">
                              <w:marLeft w:val="0"/>
                              <w:marRight w:val="0"/>
                              <w:marTop w:val="0"/>
                              <w:marBottom w:val="0"/>
                              <w:divBdr>
                                <w:top w:val="none" w:sz="0" w:space="0" w:color="auto"/>
                                <w:left w:val="none" w:sz="0" w:space="0" w:color="auto"/>
                                <w:bottom w:val="none" w:sz="0" w:space="0" w:color="auto"/>
                                <w:right w:val="none" w:sz="0" w:space="0" w:color="auto"/>
                              </w:divBdr>
                            </w:div>
                            <w:div w:id="911428329">
                              <w:marLeft w:val="0"/>
                              <w:marRight w:val="0"/>
                              <w:marTop w:val="0"/>
                              <w:marBottom w:val="0"/>
                              <w:divBdr>
                                <w:top w:val="none" w:sz="0" w:space="0" w:color="auto"/>
                                <w:left w:val="none" w:sz="0" w:space="0" w:color="auto"/>
                                <w:bottom w:val="none" w:sz="0" w:space="0" w:color="auto"/>
                                <w:right w:val="none" w:sz="0" w:space="0" w:color="auto"/>
                              </w:divBdr>
                            </w:div>
                            <w:div w:id="1616517010">
                              <w:marLeft w:val="0"/>
                              <w:marRight w:val="0"/>
                              <w:marTop w:val="0"/>
                              <w:marBottom w:val="0"/>
                              <w:divBdr>
                                <w:top w:val="none" w:sz="0" w:space="0" w:color="auto"/>
                                <w:left w:val="none" w:sz="0" w:space="0" w:color="auto"/>
                                <w:bottom w:val="none" w:sz="0" w:space="0" w:color="auto"/>
                                <w:right w:val="none" w:sz="0" w:space="0" w:color="auto"/>
                              </w:divBdr>
                            </w:div>
                          </w:divsChild>
                        </w:div>
                        <w:div w:id="1872380575">
                          <w:marLeft w:val="0"/>
                          <w:marRight w:val="0"/>
                          <w:marTop w:val="0"/>
                          <w:marBottom w:val="0"/>
                          <w:divBdr>
                            <w:top w:val="none" w:sz="0" w:space="0" w:color="auto"/>
                            <w:left w:val="none" w:sz="0" w:space="0" w:color="auto"/>
                            <w:bottom w:val="none" w:sz="0" w:space="0" w:color="auto"/>
                            <w:right w:val="none" w:sz="0" w:space="0" w:color="auto"/>
                          </w:divBdr>
                          <w:divsChild>
                            <w:div w:id="328873433">
                              <w:marLeft w:val="0"/>
                              <w:marRight w:val="0"/>
                              <w:marTop w:val="0"/>
                              <w:marBottom w:val="0"/>
                              <w:divBdr>
                                <w:top w:val="none" w:sz="0" w:space="0" w:color="auto"/>
                                <w:left w:val="none" w:sz="0" w:space="0" w:color="auto"/>
                                <w:bottom w:val="none" w:sz="0" w:space="0" w:color="auto"/>
                                <w:right w:val="none" w:sz="0" w:space="0" w:color="auto"/>
                              </w:divBdr>
                            </w:div>
                            <w:div w:id="64612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8821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30115875">
      <w:bodyDiv w:val="1"/>
      <w:marLeft w:val="0"/>
      <w:marRight w:val="0"/>
      <w:marTop w:val="0"/>
      <w:marBottom w:val="0"/>
      <w:divBdr>
        <w:top w:val="none" w:sz="0" w:space="0" w:color="auto"/>
        <w:left w:val="none" w:sz="0" w:space="0" w:color="auto"/>
        <w:bottom w:val="none" w:sz="0" w:space="0" w:color="auto"/>
        <w:right w:val="none" w:sz="0" w:space="0" w:color="auto"/>
      </w:divBdr>
      <w:divsChild>
        <w:div w:id="415171726">
          <w:marLeft w:val="1282"/>
          <w:marRight w:val="0"/>
          <w:marTop w:val="240"/>
          <w:marBottom w:val="0"/>
          <w:divBdr>
            <w:top w:val="none" w:sz="0" w:space="0" w:color="auto"/>
            <w:left w:val="none" w:sz="0" w:space="0" w:color="auto"/>
            <w:bottom w:val="none" w:sz="0" w:space="0" w:color="auto"/>
            <w:right w:val="none" w:sz="0" w:space="0" w:color="auto"/>
          </w:divBdr>
        </w:div>
        <w:div w:id="705520843">
          <w:marLeft w:val="1282"/>
          <w:marRight w:val="0"/>
          <w:marTop w:val="240"/>
          <w:marBottom w:val="0"/>
          <w:divBdr>
            <w:top w:val="none" w:sz="0" w:space="0" w:color="auto"/>
            <w:left w:val="none" w:sz="0" w:space="0" w:color="auto"/>
            <w:bottom w:val="none" w:sz="0" w:space="0" w:color="auto"/>
            <w:right w:val="none" w:sz="0" w:space="0" w:color="auto"/>
          </w:divBdr>
        </w:div>
        <w:div w:id="941768369">
          <w:marLeft w:val="562"/>
          <w:marRight w:val="576"/>
          <w:marTop w:val="240"/>
          <w:marBottom w:val="0"/>
          <w:divBdr>
            <w:top w:val="none" w:sz="0" w:space="0" w:color="auto"/>
            <w:left w:val="none" w:sz="0" w:space="0" w:color="auto"/>
            <w:bottom w:val="none" w:sz="0" w:space="0" w:color="auto"/>
            <w:right w:val="none" w:sz="0" w:space="0" w:color="auto"/>
          </w:divBdr>
        </w:div>
        <w:div w:id="1033841375">
          <w:marLeft w:val="1282"/>
          <w:marRight w:val="0"/>
          <w:marTop w:val="240"/>
          <w:marBottom w:val="0"/>
          <w:divBdr>
            <w:top w:val="none" w:sz="0" w:space="0" w:color="auto"/>
            <w:left w:val="none" w:sz="0" w:space="0" w:color="auto"/>
            <w:bottom w:val="none" w:sz="0" w:space="0" w:color="auto"/>
            <w:right w:val="none" w:sz="0" w:space="0" w:color="auto"/>
          </w:divBdr>
        </w:div>
        <w:div w:id="1264536603">
          <w:marLeft w:val="562"/>
          <w:marRight w:val="158"/>
          <w:marTop w:val="240"/>
          <w:marBottom w:val="0"/>
          <w:divBdr>
            <w:top w:val="none" w:sz="0" w:space="0" w:color="auto"/>
            <w:left w:val="none" w:sz="0" w:space="0" w:color="auto"/>
            <w:bottom w:val="none" w:sz="0" w:space="0" w:color="auto"/>
            <w:right w:val="none" w:sz="0" w:space="0" w:color="auto"/>
          </w:divBdr>
        </w:div>
        <w:div w:id="1754232972">
          <w:marLeft w:val="1282"/>
          <w:marRight w:val="0"/>
          <w:marTop w:val="240"/>
          <w:marBottom w:val="0"/>
          <w:divBdr>
            <w:top w:val="none" w:sz="0" w:space="0" w:color="auto"/>
            <w:left w:val="none" w:sz="0" w:space="0" w:color="auto"/>
            <w:bottom w:val="none" w:sz="0" w:space="0" w:color="auto"/>
            <w:right w:val="none" w:sz="0" w:space="0" w:color="auto"/>
          </w:divBdr>
        </w:div>
        <w:div w:id="1754667734">
          <w:marLeft w:val="1282"/>
          <w:marRight w:val="0"/>
          <w:marTop w:val="240"/>
          <w:marBottom w:val="0"/>
          <w:divBdr>
            <w:top w:val="none" w:sz="0" w:space="0" w:color="auto"/>
            <w:left w:val="none" w:sz="0" w:space="0" w:color="auto"/>
            <w:bottom w:val="none" w:sz="0" w:space="0" w:color="auto"/>
            <w:right w:val="none" w:sz="0" w:space="0" w:color="auto"/>
          </w:divBdr>
        </w:div>
        <w:div w:id="1991206912">
          <w:marLeft w:val="562"/>
          <w:marRight w:val="0"/>
          <w:marTop w:val="240"/>
          <w:marBottom w:val="0"/>
          <w:divBdr>
            <w:top w:val="none" w:sz="0" w:space="0" w:color="auto"/>
            <w:left w:val="none" w:sz="0" w:space="0" w:color="auto"/>
            <w:bottom w:val="none" w:sz="0" w:space="0" w:color="auto"/>
            <w:right w:val="none" w:sz="0" w:space="0" w:color="auto"/>
          </w:divBdr>
        </w:div>
        <w:div w:id="2049329068">
          <w:marLeft w:val="562"/>
          <w:marRight w:val="14"/>
          <w:marTop w:val="0"/>
          <w:marBottom w:val="0"/>
          <w:divBdr>
            <w:top w:val="none" w:sz="0" w:space="0" w:color="auto"/>
            <w:left w:val="none" w:sz="0" w:space="0" w:color="auto"/>
            <w:bottom w:val="none" w:sz="0" w:space="0" w:color="auto"/>
            <w:right w:val="none" w:sz="0" w:space="0" w:color="auto"/>
          </w:divBdr>
        </w:div>
      </w:divsChild>
    </w:div>
    <w:div w:id="977609214">
      <w:marLeft w:val="0"/>
      <w:marRight w:val="0"/>
      <w:marTop w:val="0"/>
      <w:marBottom w:val="0"/>
      <w:divBdr>
        <w:top w:val="none" w:sz="0" w:space="0" w:color="auto"/>
        <w:left w:val="none" w:sz="0" w:space="0" w:color="auto"/>
        <w:bottom w:val="none" w:sz="0" w:space="0" w:color="auto"/>
        <w:right w:val="none" w:sz="0" w:space="0" w:color="auto"/>
      </w:divBdr>
      <w:divsChild>
        <w:div w:id="589386621">
          <w:marLeft w:val="0"/>
          <w:marRight w:val="0"/>
          <w:marTop w:val="0"/>
          <w:marBottom w:val="0"/>
          <w:divBdr>
            <w:top w:val="none" w:sz="0" w:space="0" w:color="auto"/>
            <w:left w:val="none" w:sz="0" w:space="0" w:color="auto"/>
            <w:bottom w:val="none" w:sz="0" w:space="0" w:color="auto"/>
            <w:right w:val="none" w:sz="0" w:space="0" w:color="auto"/>
          </w:divBdr>
          <w:divsChild>
            <w:div w:id="1671640123">
              <w:marLeft w:val="0"/>
              <w:marRight w:val="0"/>
              <w:marTop w:val="0"/>
              <w:marBottom w:val="0"/>
              <w:divBdr>
                <w:top w:val="none" w:sz="0" w:space="0" w:color="auto"/>
                <w:left w:val="none" w:sz="0" w:space="0" w:color="auto"/>
                <w:bottom w:val="none" w:sz="0" w:space="0" w:color="auto"/>
                <w:right w:val="none" w:sz="0" w:space="0" w:color="auto"/>
              </w:divBdr>
            </w:div>
          </w:divsChild>
        </w:div>
        <w:div w:id="1928953026">
          <w:marLeft w:val="0"/>
          <w:marRight w:val="0"/>
          <w:marTop w:val="0"/>
          <w:marBottom w:val="0"/>
          <w:divBdr>
            <w:top w:val="none" w:sz="0" w:space="0" w:color="auto"/>
            <w:left w:val="none" w:sz="0" w:space="0" w:color="auto"/>
            <w:bottom w:val="none" w:sz="0" w:space="0" w:color="auto"/>
            <w:right w:val="none" w:sz="0" w:space="0" w:color="auto"/>
          </w:divBdr>
        </w:div>
      </w:divsChild>
    </w:div>
    <w:div w:id="993489338">
      <w:bodyDiv w:val="1"/>
      <w:marLeft w:val="0"/>
      <w:marRight w:val="0"/>
      <w:marTop w:val="0"/>
      <w:marBottom w:val="0"/>
      <w:divBdr>
        <w:top w:val="none" w:sz="0" w:space="0" w:color="auto"/>
        <w:left w:val="none" w:sz="0" w:space="0" w:color="auto"/>
        <w:bottom w:val="none" w:sz="0" w:space="0" w:color="auto"/>
        <w:right w:val="none" w:sz="0" w:space="0" w:color="auto"/>
      </w:divBdr>
    </w:div>
    <w:div w:id="1095781079">
      <w:marLeft w:val="0"/>
      <w:marRight w:val="0"/>
      <w:marTop w:val="0"/>
      <w:marBottom w:val="0"/>
      <w:divBdr>
        <w:top w:val="none" w:sz="0" w:space="0" w:color="auto"/>
        <w:left w:val="none" w:sz="0" w:space="0" w:color="auto"/>
        <w:bottom w:val="none" w:sz="0" w:space="0" w:color="auto"/>
        <w:right w:val="none" w:sz="0" w:space="0" w:color="auto"/>
      </w:divBdr>
    </w:div>
    <w:div w:id="1126656832">
      <w:bodyDiv w:val="1"/>
      <w:marLeft w:val="0"/>
      <w:marRight w:val="0"/>
      <w:marTop w:val="0"/>
      <w:marBottom w:val="0"/>
      <w:divBdr>
        <w:top w:val="none" w:sz="0" w:space="0" w:color="auto"/>
        <w:left w:val="none" w:sz="0" w:space="0" w:color="auto"/>
        <w:bottom w:val="none" w:sz="0" w:space="0" w:color="auto"/>
        <w:right w:val="none" w:sz="0" w:space="0" w:color="auto"/>
      </w:divBdr>
      <w:divsChild>
        <w:div w:id="261501445">
          <w:marLeft w:val="1282"/>
          <w:marRight w:val="0"/>
          <w:marTop w:val="132"/>
          <w:marBottom w:val="0"/>
          <w:divBdr>
            <w:top w:val="none" w:sz="0" w:space="0" w:color="auto"/>
            <w:left w:val="none" w:sz="0" w:space="0" w:color="auto"/>
            <w:bottom w:val="none" w:sz="0" w:space="0" w:color="auto"/>
            <w:right w:val="none" w:sz="0" w:space="0" w:color="auto"/>
          </w:divBdr>
        </w:div>
        <w:div w:id="825172215">
          <w:marLeft w:val="1282"/>
          <w:marRight w:val="0"/>
          <w:marTop w:val="132"/>
          <w:marBottom w:val="0"/>
          <w:divBdr>
            <w:top w:val="none" w:sz="0" w:space="0" w:color="auto"/>
            <w:left w:val="none" w:sz="0" w:space="0" w:color="auto"/>
            <w:bottom w:val="none" w:sz="0" w:space="0" w:color="auto"/>
            <w:right w:val="none" w:sz="0" w:space="0" w:color="auto"/>
          </w:divBdr>
        </w:div>
        <w:div w:id="2081057208">
          <w:marLeft w:val="1282"/>
          <w:marRight w:val="0"/>
          <w:marTop w:val="132"/>
          <w:marBottom w:val="0"/>
          <w:divBdr>
            <w:top w:val="none" w:sz="0" w:space="0" w:color="auto"/>
            <w:left w:val="none" w:sz="0" w:space="0" w:color="auto"/>
            <w:bottom w:val="none" w:sz="0" w:space="0" w:color="auto"/>
            <w:right w:val="none" w:sz="0" w:space="0" w:color="auto"/>
          </w:divBdr>
        </w:div>
        <w:div w:id="2106802581">
          <w:marLeft w:val="562"/>
          <w:marRight w:val="0"/>
          <w:marTop w:val="132"/>
          <w:marBottom w:val="0"/>
          <w:divBdr>
            <w:top w:val="none" w:sz="0" w:space="0" w:color="auto"/>
            <w:left w:val="none" w:sz="0" w:space="0" w:color="auto"/>
            <w:bottom w:val="none" w:sz="0" w:space="0" w:color="auto"/>
            <w:right w:val="none" w:sz="0" w:space="0" w:color="auto"/>
          </w:divBdr>
        </w:div>
      </w:divsChild>
    </w:div>
    <w:div w:id="1164934447">
      <w:marLeft w:val="0"/>
      <w:marRight w:val="0"/>
      <w:marTop w:val="0"/>
      <w:marBottom w:val="0"/>
      <w:divBdr>
        <w:top w:val="none" w:sz="0" w:space="0" w:color="auto"/>
        <w:left w:val="none" w:sz="0" w:space="0" w:color="auto"/>
        <w:bottom w:val="none" w:sz="0" w:space="0" w:color="auto"/>
        <w:right w:val="none" w:sz="0" w:space="0" w:color="auto"/>
      </w:divBdr>
      <w:divsChild>
        <w:div w:id="45106913">
          <w:marLeft w:val="0"/>
          <w:marRight w:val="0"/>
          <w:marTop w:val="0"/>
          <w:marBottom w:val="0"/>
          <w:divBdr>
            <w:top w:val="none" w:sz="0" w:space="0" w:color="auto"/>
            <w:left w:val="none" w:sz="0" w:space="0" w:color="auto"/>
            <w:bottom w:val="none" w:sz="0" w:space="0" w:color="auto"/>
            <w:right w:val="none" w:sz="0" w:space="0" w:color="auto"/>
          </w:divBdr>
          <w:divsChild>
            <w:div w:id="39867748">
              <w:marLeft w:val="0"/>
              <w:marRight w:val="0"/>
              <w:marTop w:val="0"/>
              <w:marBottom w:val="0"/>
              <w:divBdr>
                <w:top w:val="none" w:sz="0" w:space="0" w:color="auto"/>
                <w:left w:val="none" w:sz="0" w:space="0" w:color="auto"/>
                <w:bottom w:val="none" w:sz="0" w:space="0" w:color="auto"/>
                <w:right w:val="none" w:sz="0" w:space="0" w:color="auto"/>
              </w:divBdr>
              <w:divsChild>
                <w:div w:id="1530223756">
                  <w:marLeft w:val="0"/>
                  <w:marRight w:val="0"/>
                  <w:marTop w:val="0"/>
                  <w:marBottom w:val="0"/>
                  <w:divBdr>
                    <w:top w:val="none" w:sz="0" w:space="0" w:color="auto"/>
                    <w:left w:val="none" w:sz="0" w:space="0" w:color="auto"/>
                    <w:bottom w:val="none" w:sz="0" w:space="0" w:color="auto"/>
                    <w:right w:val="none" w:sz="0" w:space="0" w:color="auto"/>
                  </w:divBdr>
                </w:div>
              </w:divsChild>
            </w:div>
            <w:div w:id="1154486849">
              <w:marLeft w:val="0"/>
              <w:marRight w:val="0"/>
              <w:marTop w:val="0"/>
              <w:marBottom w:val="0"/>
              <w:divBdr>
                <w:top w:val="none" w:sz="0" w:space="0" w:color="auto"/>
                <w:left w:val="none" w:sz="0" w:space="0" w:color="auto"/>
                <w:bottom w:val="none" w:sz="0" w:space="0" w:color="auto"/>
                <w:right w:val="none" w:sz="0" w:space="0" w:color="auto"/>
              </w:divBdr>
              <w:divsChild>
                <w:div w:id="1632053656">
                  <w:marLeft w:val="0"/>
                  <w:marRight w:val="0"/>
                  <w:marTop w:val="0"/>
                  <w:marBottom w:val="0"/>
                  <w:divBdr>
                    <w:top w:val="none" w:sz="0" w:space="0" w:color="auto"/>
                    <w:left w:val="none" w:sz="0" w:space="0" w:color="auto"/>
                    <w:bottom w:val="none" w:sz="0" w:space="0" w:color="auto"/>
                    <w:right w:val="none" w:sz="0" w:space="0" w:color="auto"/>
                  </w:divBdr>
                  <w:divsChild>
                    <w:div w:id="122962627">
                      <w:marLeft w:val="0"/>
                      <w:marRight w:val="0"/>
                      <w:marTop w:val="0"/>
                      <w:marBottom w:val="0"/>
                      <w:divBdr>
                        <w:top w:val="none" w:sz="0" w:space="0" w:color="auto"/>
                        <w:left w:val="none" w:sz="0" w:space="0" w:color="auto"/>
                        <w:bottom w:val="none" w:sz="0" w:space="0" w:color="auto"/>
                        <w:right w:val="none" w:sz="0" w:space="0" w:color="auto"/>
                      </w:divBdr>
                    </w:div>
                    <w:div w:id="143039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477436">
      <w:marLeft w:val="0"/>
      <w:marRight w:val="0"/>
      <w:marTop w:val="0"/>
      <w:marBottom w:val="0"/>
      <w:divBdr>
        <w:top w:val="none" w:sz="0" w:space="0" w:color="auto"/>
        <w:left w:val="none" w:sz="0" w:space="0" w:color="auto"/>
        <w:bottom w:val="none" w:sz="0" w:space="0" w:color="auto"/>
        <w:right w:val="none" w:sz="0" w:space="0" w:color="auto"/>
      </w:divBdr>
      <w:divsChild>
        <w:div w:id="1751538880">
          <w:marLeft w:val="0"/>
          <w:marRight w:val="0"/>
          <w:marTop w:val="0"/>
          <w:marBottom w:val="0"/>
          <w:divBdr>
            <w:top w:val="none" w:sz="0" w:space="0" w:color="auto"/>
            <w:left w:val="none" w:sz="0" w:space="0" w:color="auto"/>
            <w:bottom w:val="none" w:sz="0" w:space="0" w:color="auto"/>
            <w:right w:val="none" w:sz="0" w:space="0" w:color="auto"/>
          </w:divBdr>
          <w:divsChild>
            <w:div w:id="689530593">
              <w:marLeft w:val="0"/>
              <w:marRight w:val="0"/>
              <w:marTop w:val="0"/>
              <w:marBottom w:val="0"/>
              <w:divBdr>
                <w:top w:val="none" w:sz="0" w:space="0" w:color="auto"/>
                <w:left w:val="none" w:sz="0" w:space="0" w:color="auto"/>
                <w:bottom w:val="none" w:sz="0" w:space="0" w:color="auto"/>
                <w:right w:val="none" w:sz="0" w:space="0" w:color="auto"/>
              </w:divBdr>
              <w:divsChild>
                <w:div w:id="121003175">
                  <w:marLeft w:val="0"/>
                  <w:marRight w:val="0"/>
                  <w:marTop w:val="0"/>
                  <w:marBottom w:val="0"/>
                  <w:divBdr>
                    <w:top w:val="none" w:sz="0" w:space="0" w:color="auto"/>
                    <w:left w:val="none" w:sz="0" w:space="0" w:color="auto"/>
                    <w:bottom w:val="none" w:sz="0" w:space="0" w:color="auto"/>
                    <w:right w:val="none" w:sz="0" w:space="0" w:color="auto"/>
                  </w:divBdr>
                </w:div>
                <w:div w:id="1702902121">
                  <w:marLeft w:val="0"/>
                  <w:marRight w:val="0"/>
                  <w:marTop w:val="0"/>
                  <w:marBottom w:val="0"/>
                  <w:divBdr>
                    <w:top w:val="none" w:sz="0" w:space="0" w:color="auto"/>
                    <w:left w:val="none" w:sz="0" w:space="0" w:color="auto"/>
                    <w:bottom w:val="none" w:sz="0" w:space="0" w:color="auto"/>
                    <w:right w:val="none" w:sz="0" w:space="0" w:color="auto"/>
                  </w:divBdr>
                  <w:divsChild>
                    <w:div w:id="10692657">
                      <w:marLeft w:val="0"/>
                      <w:marRight w:val="0"/>
                      <w:marTop w:val="0"/>
                      <w:marBottom w:val="0"/>
                      <w:divBdr>
                        <w:top w:val="none" w:sz="0" w:space="0" w:color="auto"/>
                        <w:left w:val="none" w:sz="0" w:space="0" w:color="auto"/>
                        <w:bottom w:val="none" w:sz="0" w:space="0" w:color="auto"/>
                        <w:right w:val="none" w:sz="0" w:space="0" w:color="auto"/>
                      </w:divBdr>
                    </w:div>
                    <w:div w:id="120609968">
                      <w:marLeft w:val="0"/>
                      <w:marRight w:val="0"/>
                      <w:marTop w:val="0"/>
                      <w:marBottom w:val="0"/>
                      <w:divBdr>
                        <w:top w:val="none" w:sz="0" w:space="0" w:color="auto"/>
                        <w:left w:val="none" w:sz="0" w:space="0" w:color="auto"/>
                        <w:bottom w:val="none" w:sz="0" w:space="0" w:color="auto"/>
                        <w:right w:val="none" w:sz="0" w:space="0" w:color="auto"/>
                      </w:divBdr>
                    </w:div>
                    <w:div w:id="158814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961001">
              <w:marLeft w:val="0"/>
              <w:marRight w:val="0"/>
              <w:marTop w:val="0"/>
              <w:marBottom w:val="0"/>
              <w:divBdr>
                <w:top w:val="none" w:sz="0" w:space="0" w:color="auto"/>
                <w:left w:val="none" w:sz="0" w:space="0" w:color="auto"/>
                <w:bottom w:val="none" w:sz="0" w:space="0" w:color="auto"/>
                <w:right w:val="none" w:sz="0" w:space="0" w:color="auto"/>
              </w:divBdr>
            </w:div>
            <w:div w:id="190764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940333">
      <w:bodyDiv w:val="1"/>
      <w:marLeft w:val="0"/>
      <w:marRight w:val="0"/>
      <w:marTop w:val="0"/>
      <w:marBottom w:val="0"/>
      <w:divBdr>
        <w:top w:val="none" w:sz="0" w:space="0" w:color="auto"/>
        <w:left w:val="none" w:sz="0" w:space="0" w:color="auto"/>
        <w:bottom w:val="none" w:sz="0" w:space="0" w:color="auto"/>
        <w:right w:val="none" w:sz="0" w:space="0" w:color="auto"/>
      </w:divBdr>
    </w:div>
    <w:div w:id="1231503118">
      <w:bodyDiv w:val="1"/>
      <w:marLeft w:val="0"/>
      <w:marRight w:val="0"/>
      <w:marTop w:val="0"/>
      <w:marBottom w:val="0"/>
      <w:divBdr>
        <w:top w:val="none" w:sz="0" w:space="0" w:color="auto"/>
        <w:left w:val="none" w:sz="0" w:space="0" w:color="auto"/>
        <w:bottom w:val="none" w:sz="0" w:space="0" w:color="auto"/>
        <w:right w:val="none" w:sz="0" w:space="0" w:color="auto"/>
      </w:divBdr>
    </w:div>
    <w:div w:id="1271398767">
      <w:bodyDiv w:val="1"/>
      <w:marLeft w:val="0"/>
      <w:marRight w:val="0"/>
      <w:marTop w:val="0"/>
      <w:marBottom w:val="0"/>
      <w:divBdr>
        <w:top w:val="none" w:sz="0" w:space="0" w:color="auto"/>
        <w:left w:val="none" w:sz="0" w:space="0" w:color="auto"/>
        <w:bottom w:val="none" w:sz="0" w:space="0" w:color="auto"/>
        <w:right w:val="none" w:sz="0" w:space="0" w:color="auto"/>
      </w:divBdr>
    </w:div>
    <w:div w:id="1278828545">
      <w:bodyDiv w:val="1"/>
      <w:marLeft w:val="0"/>
      <w:marRight w:val="0"/>
      <w:marTop w:val="0"/>
      <w:marBottom w:val="0"/>
      <w:divBdr>
        <w:top w:val="none" w:sz="0" w:space="0" w:color="auto"/>
        <w:left w:val="none" w:sz="0" w:space="0" w:color="auto"/>
        <w:bottom w:val="none" w:sz="0" w:space="0" w:color="auto"/>
        <w:right w:val="none" w:sz="0" w:space="0" w:color="auto"/>
      </w:divBdr>
    </w:div>
    <w:div w:id="1352683930">
      <w:bodyDiv w:val="1"/>
      <w:marLeft w:val="0"/>
      <w:marRight w:val="0"/>
      <w:marTop w:val="0"/>
      <w:marBottom w:val="0"/>
      <w:divBdr>
        <w:top w:val="none" w:sz="0" w:space="0" w:color="auto"/>
        <w:left w:val="none" w:sz="0" w:space="0" w:color="auto"/>
        <w:bottom w:val="none" w:sz="0" w:space="0" w:color="auto"/>
        <w:right w:val="none" w:sz="0" w:space="0" w:color="auto"/>
      </w:divBdr>
    </w:div>
    <w:div w:id="1395469440">
      <w:bodyDiv w:val="1"/>
      <w:marLeft w:val="0"/>
      <w:marRight w:val="0"/>
      <w:marTop w:val="0"/>
      <w:marBottom w:val="0"/>
      <w:divBdr>
        <w:top w:val="none" w:sz="0" w:space="0" w:color="auto"/>
        <w:left w:val="none" w:sz="0" w:space="0" w:color="auto"/>
        <w:bottom w:val="none" w:sz="0" w:space="0" w:color="auto"/>
        <w:right w:val="none" w:sz="0" w:space="0" w:color="auto"/>
      </w:divBdr>
      <w:divsChild>
        <w:div w:id="669795515">
          <w:marLeft w:val="0"/>
          <w:marRight w:val="0"/>
          <w:marTop w:val="0"/>
          <w:marBottom w:val="0"/>
          <w:divBdr>
            <w:top w:val="none" w:sz="0" w:space="0" w:color="auto"/>
            <w:left w:val="none" w:sz="0" w:space="0" w:color="auto"/>
            <w:bottom w:val="none" w:sz="0" w:space="0" w:color="auto"/>
            <w:right w:val="none" w:sz="0" w:space="0" w:color="auto"/>
          </w:divBdr>
          <w:divsChild>
            <w:div w:id="100957494">
              <w:marLeft w:val="0"/>
              <w:marRight w:val="0"/>
              <w:marTop w:val="0"/>
              <w:marBottom w:val="0"/>
              <w:divBdr>
                <w:top w:val="none" w:sz="0" w:space="0" w:color="auto"/>
                <w:left w:val="none" w:sz="0" w:space="0" w:color="auto"/>
                <w:bottom w:val="none" w:sz="0" w:space="0" w:color="auto"/>
                <w:right w:val="none" w:sz="0" w:space="0" w:color="auto"/>
              </w:divBdr>
            </w:div>
            <w:div w:id="1498614788">
              <w:marLeft w:val="0"/>
              <w:marRight w:val="0"/>
              <w:marTop w:val="0"/>
              <w:marBottom w:val="0"/>
              <w:divBdr>
                <w:top w:val="none" w:sz="0" w:space="0" w:color="auto"/>
                <w:left w:val="none" w:sz="0" w:space="0" w:color="auto"/>
                <w:bottom w:val="none" w:sz="0" w:space="0" w:color="auto"/>
                <w:right w:val="none" w:sz="0" w:space="0" w:color="auto"/>
              </w:divBdr>
            </w:div>
            <w:div w:id="1963535207">
              <w:marLeft w:val="0"/>
              <w:marRight w:val="0"/>
              <w:marTop w:val="0"/>
              <w:marBottom w:val="0"/>
              <w:divBdr>
                <w:top w:val="none" w:sz="0" w:space="0" w:color="auto"/>
                <w:left w:val="none" w:sz="0" w:space="0" w:color="auto"/>
                <w:bottom w:val="none" w:sz="0" w:space="0" w:color="auto"/>
                <w:right w:val="none" w:sz="0" w:space="0" w:color="auto"/>
              </w:divBdr>
              <w:divsChild>
                <w:div w:id="88679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954783">
          <w:marLeft w:val="0"/>
          <w:marRight w:val="0"/>
          <w:marTop w:val="0"/>
          <w:marBottom w:val="0"/>
          <w:divBdr>
            <w:top w:val="none" w:sz="0" w:space="0" w:color="auto"/>
            <w:left w:val="none" w:sz="0" w:space="0" w:color="auto"/>
            <w:bottom w:val="none" w:sz="0" w:space="0" w:color="auto"/>
            <w:right w:val="none" w:sz="0" w:space="0" w:color="auto"/>
          </w:divBdr>
          <w:divsChild>
            <w:div w:id="278411284">
              <w:marLeft w:val="0"/>
              <w:marRight w:val="0"/>
              <w:marTop w:val="0"/>
              <w:marBottom w:val="0"/>
              <w:divBdr>
                <w:top w:val="none" w:sz="0" w:space="0" w:color="auto"/>
                <w:left w:val="none" w:sz="0" w:space="0" w:color="auto"/>
                <w:bottom w:val="none" w:sz="0" w:space="0" w:color="auto"/>
                <w:right w:val="none" w:sz="0" w:space="0" w:color="auto"/>
              </w:divBdr>
              <w:divsChild>
                <w:div w:id="873928936">
                  <w:marLeft w:val="0"/>
                  <w:marRight w:val="0"/>
                  <w:marTop w:val="0"/>
                  <w:marBottom w:val="0"/>
                  <w:divBdr>
                    <w:top w:val="none" w:sz="0" w:space="0" w:color="auto"/>
                    <w:left w:val="none" w:sz="0" w:space="0" w:color="auto"/>
                    <w:bottom w:val="none" w:sz="0" w:space="0" w:color="auto"/>
                    <w:right w:val="none" w:sz="0" w:space="0" w:color="auto"/>
                  </w:divBdr>
                  <w:divsChild>
                    <w:div w:id="1476407821">
                      <w:marLeft w:val="0"/>
                      <w:marRight w:val="0"/>
                      <w:marTop w:val="0"/>
                      <w:marBottom w:val="0"/>
                      <w:divBdr>
                        <w:top w:val="none" w:sz="0" w:space="0" w:color="auto"/>
                        <w:left w:val="none" w:sz="0" w:space="0" w:color="auto"/>
                        <w:bottom w:val="none" w:sz="0" w:space="0" w:color="auto"/>
                        <w:right w:val="none" w:sz="0" w:space="0" w:color="auto"/>
                      </w:divBdr>
                      <w:divsChild>
                        <w:div w:id="185568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72403">
                  <w:marLeft w:val="0"/>
                  <w:marRight w:val="0"/>
                  <w:marTop w:val="0"/>
                  <w:marBottom w:val="0"/>
                  <w:divBdr>
                    <w:top w:val="none" w:sz="0" w:space="0" w:color="auto"/>
                    <w:left w:val="none" w:sz="0" w:space="0" w:color="auto"/>
                    <w:bottom w:val="none" w:sz="0" w:space="0" w:color="auto"/>
                    <w:right w:val="none" w:sz="0" w:space="0" w:color="auto"/>
                  </w:divBdr>
                </w:div>
              </w:divsChild>
            </w:div>
            <w:div w:id="486363114">
              <w:marLeft w:val="0"/>
              <w:marRight w:val="0"/>
              <w:marTop w:val="0"/>
              <w:marBottom w:val="0"/>
              <w:divBdr>
                <w:top w:val="none" w:sz="0" w:space="0" w:color="auto"/>
                <w:left w:val="none" w:sz="0" w:space="0" w:color="auto"/>
                <w:bottom w:val="none" w:sz="0" w:space="0" w:color="auto"/>
                <w:right w:val="none" w:sz="0" w:space="0" w:color="auto"/>
              </w:divBdr>
            </w:div>
            <w:div w:id="1017275653">
              <w:marLeft w:val="0"/>
              <w:marRight w:val="0"/>
              <w:marTop w:val="0"/>
              <w:marBottom w:val="0"/>
              <w:divBdr>
                <w:top w:val="none" w:sz="0" w:space="0" w:color="auto"/>
                <w:left w:val="none" w:sz="0" w:space="0" w:color="auto"/>
                <w:bottom w:val="none" w:sz="0" w:space="0" w:color="auto"/>
                <w:right w:val="none" w:sz="0" w:space="0" w:color="auto"/>
              </w:divBdr>
              <w:divsChild>
                <w:div w:id="209501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975845">
      <w:marLeft w:val="0"/>
      <w:marRight w:val="0"/>
      <w:marTop w:val="0"/>
      <w:marBottom w:val="0"/>
      <w:divBdr>
        <w:top w:val="none" w:sz="0" w:space="0" w:color="auto"/>
        <w:left w:val="none" w:sz="0" w:space="0" w:color="auto"/>
        <w:bottom w:val="none" w:sz="0" w:space="0" w:color="auto"/>
        <w:right w:val="none" w:sz="0" w:space="0" w:color="auto"/>
      </w:divBdr>
      <w:divsChild>
        <w:div w:id="185868462">
          <w:marLeft w:val="0"/>
          <w:marRight w:val="0"/>
          <w:marTop w:val="0"/>
          <w:marBottom w:val="0"/>
          <w:divBdr>
            <w:top w:val="none" w:sz="0" w:space="0" w:color="auto"/>
            <w:left w:val="none" w:sz="0" w:space="0" w:color="auto"/>
            <w:bottom w:val="none" w:sz="0" w:space="0" w:color="auto"/>
            <w:right w:val="none" w:sz="0" w:space="0" w:color="auto"/>
          </w:divBdr>
          <w:divsChild>
            <w:div w:id="1884126991">
              <w:marLeft w:val="0"/>
              <w:marRight w:val="0"/>
              <w:marTop w:val="0"/>
              <w:marBottom w:val="0"/>
              <w:divBdr>
                <w:top w:val="none" w:sz="0" w:space="0" w:color="auto"/>
                <w:left w:val="none" w:sz="0" w:space="0" w:color="auto"/>
                <w:bottom w:val="none" w:sz="0" w:space="0" w:color="auto"/>
                <w:right w:val="none" w:sz="0" w:space="0" w:color="auto"/>
              </w:divBdr>
              <w:divsChild>
                <w:div w:id="191042371">
                  <w:marLeft w:val="0"/>
                  <w:marRight w:val="0"/>
                  <w:marTop w:val="0"/>
                  <w:marBottom w:val="0"/>
                  <w:divBdr>
                    <w:top w:val="none" w:sz="0" w:space="0" w:color="auto"/>
                    <w:left w:val="none" w:sz="0" w:space="0" w:color="auto"/>
                    <w:bottom w:val="none" w:sz="0" w:space="0" w:color="auto"/>
                    <w:right w:val="none" w:sz="0" w:space="0" w:color="auto"/>
                  </w:divBdr>
                  <w:divsChild>
                    <w:div w:id="207377780">
                      <w:marLeft w:val="0"/>
                      <w:marRight w:val="0"/>
                      <w:marTop w:val="0"/>
                      <w:marBottom w:val="0"/>
                      <w:divBdr>
                        <w:top w:val="none" w:sz="0" w:space="0" w:color="auto"/>
                        <w:left w:val="none" w:sz="0" w:space="0" w:color="auto"/>
                        <w:bottom w:val="none" w:sz="0" w:space="0" w:color="auto"/>
                        <w:right w:val="none" w:sz="0" w:space="0" w:color="auto"/>
                      </w:divBdr>
                      <w:divsChild>
                        <w:div w:id="784235546">
                          <w:marLeft w:val="0"/>
                          <w:marRight w:val="0"/>
                          <w:marTop w:val="0"/>
                          <w:marBottom w:val="0"/>
                          <w:divBdr>
                            <w:top w:val="none" w:sz="0" w:space="0" w:color="auto"/>
                            <w:left w:val="none" w:sz="0" w:space="0" w:color="auto"/>
                            <w:bottom w:val="none" w:sz="0" w:space="0" w:color="auto"/>
                            <w:right w:val="none" w:sz="0" w:space="0" w:color="auto"/>
                          </w:divBdr>
                          <w:divsChild>
                            <w:div w:id="39941530">
                              <w:marLeft w:val="0"/>
                              <w:marRight w:val="-150"/>
                              <w:marTop w:val="0"/>
                              <w:marBottom w:val="0"/>
                              <w:divBdr>
                                <w:top w:val="none" w:sz="0" w:space="0" w:color="auto"/>
                                <w:left w:val="none" w:sz="0" w:space="0" w:color="auto"/>
                                <w:bottom w:val="none" w:sz="0" w:space="0" w:color="auto"/>
                                <w:right w:val="none" w:sz="0" w:space="0" w:color="auto"/>
                              </w:divBdr>
                              <w:divsChild>
                                <w:div w:id="1760323243">
                                  <w:marLeft w:val="0"/>
                                  <w:marRight w:val="0"/>
                                  <w:marTop w:val="0"/>
                                  <w:marBottom w:val="0"/>
                                  <w:divBdr>
                                    <w:top w:val="none" w:sz="0" w:space="0" w:color="auto"/>
                                    <w:left w:val="none" w:sz="0" w:space="0" w:color="auto"/>
                                    <w:bottom w:val="none" w:sz="0" w:space="0" w:color="auto"/>
                                    <w:right w:val="none" w:sz="0" w:space="0" w:color="auto"/>
                                  </w:divBdr>
                                  <w:divsChild>
                                    <w:div w:id="496308688">
                                      <w:marLeft w:val="0"/>
                                      <w:marRight w:val="0"/>
                                      <w:marTop w:val="0"/>
                                      <w:marBottom w:val="0"/>
                                      <w:divBdr>
                                        <w:top w:val="none" w:sz="0" w:space="0" w:color="auto"/>
                                        <w:left w:val="none" w:sz="0" w:space="0" w:color="auto"/>
                                        <w:bottom w:val="none" w:sz="0" w:space="0" w:color="auto"/>
                                        <w:right w:val="none" w:sz="0" w:space="0" w:color="auto"/>
                                      </w:divBdr>
                                      <w:divsChild>
                                        <w:div w:id="30022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781827">
                                  <w:marLeft w:val="0"/>
                                  <w:marRight w:val="0"/>
                                  <w:marTop w:val="0"/>
                                  <w:marBottom w:val="0"/>
                                  <w:divBdr>
                                    <w:top w:val="none" w:sz="0" w:space="0" w:color="auto"/>
                                    <w:left w:val="none" w:sz="0" w:space="0" w:color="auto"/>
                                    <w:bottom w:val="none" w:sz="0" w:space="0" w:color="auto"/>
                                    <w:right w:val="none" w:sz="0" w:space="0" w:color="auto"/>
                                  </w:divBdr>
                                  <w:divsChild>
                                    <w:div w:id="386032244">
                                      <w:marLeft w:val="0"/>
                                      <w:marRight w:val="0"/>
                                      <w:marTop w:val="0"/>
                                      <w:marBottom w:val="0"/>
                                      <w:divBdr>
                                        <w:top w:val="none" w:sz="0" w:space="0" w:color="auto"/>
                                        <w:left w:val="none" w:sz="0" w:space="0" w:color="auto"/>
                                        <w:bottom w:val="none" w:sz="0" w:space="0" w:color="auto"/>
                                        <w:right w:val="none" w:sz="0" w:space="0" w:color="auto"/>
                                      </w:divBdr>
                                    </w:div>
                                    <w:div w:id="623116304">
                                      <w:marLeft w:val="0"/>
                                      <w:marRight w:val="0"/>
                                      <w:marTop w:val="0"/>
                                      <w:marBottom w:val="0"/>
                                      <w:divBdr>
                                        <w:top w:val="none" w:sz="0" w:space="0" w:color="auto"/>
                                        <w:left w:val="none" w:sz="0" w:space="0" w:color="auto"/>
                                        <w:bottom w:val="none" w:sz="0" w:space="0" w:color="auto"/>
                                        <w:right w:val="none" w:sz="0" w:space="0" w:color="auto"/>
                                      </w:divBdr>
                                    </w:div>
                                    <w:div w:id="813303373">
                                      <w:marLeft w:val="0"/>
                                      <w:marRight w:val="0"/>
                                      <w:marTop w:val="0"/>
                                      <w:marBottom w:val="0"/>
                                      <w:divBdr>
                                        <w:top w:val="none" w:sz="0" w:space="0" w:color="auto"/>
                                        <w:left w:val="none" w:sz="0" w:space="0" w:color="auto"/>
                                        <w:bottom w:val="none" w:sz="0" w:space="0" w:color="auto"/>
                                        <w:right w:val="none" w:sz="0" w:space="0" w:color="auto"/>
                                      </w:divBdr>
                                      <w:divsChild>
                                        <w:div w:id="1200388159">
                                          <w:marLeft w:val="0"/>
                                          <w:marRight w:val="0"/>
                                          <w:marTop w:val="0"/>
                                          <w:marBottom w:val="0"/>
                                          <w:divBdr>
                                            <w:top w:val="none" w:sz="0" w:space="0" w:color="auto"/>
                                            <w:left w:val="none" w:sz="0" w:space="0" w:color="auto"/>
                                            <w:bottom w:val="none" w:sz="0" w:space="0" w:color="auto"/>
                                            <w:right w:val="none" w:sz="0" w:space="0" w:color="auto"/>
                                          </w:divBdr>
                                        </w:div>
                                      </w:divsChild>
                                    </w:div>
                                    <w:div w:id="99183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052282">
                      <w:marLeft w:val="0"/>
                      <w:marRight w:val="0"/>
                      <w:marTop w:val="0"/>
                      <w:marBottom w:val="0"/>
                      <w:divBdr>
                        <w:top w:val="none" w:sz="0" w:space="0" w:color="auto"/>
                        <w:left w:val="none" w:sz="0" w:space="0" w:color="auto"/>
                        <w:bottom w:val="none" w:sz="0" w:space="0" w:color="auto"/>
                        <w:right w:val="none" w:sz="0" w:space="0" w:color="auto"/>
                      </w:divBdr>
                      <w:divsChild>
                        <w:div w:id="2035614797">
                          <w:marLeft w:val="0"/>
                          <w:marRight w:val="0"/>
                          <w:marTop w:val="0"/>
                          <w:marBottom w:val="0"/>
                          <w:divBdr>
                            <w:top w:val="none" w:sz="0" w:space="0" w:color="auto"/>
                            <w:left w:val="none" w:sz="0" w:space="0" w:color="auto"/>
                            <w:bottom w:val="none" w:sz="0" w:space="0" w:color="auto"/>
                            <w:right w:val="none" w:sz="0" w:space="0" w:color="auto"/>
                          </w:divBdr>
                          <w:divsChild>
                            <w:div w:id="1526094981">
                              <w:marLeft w:val="0"/>
                              <w:marRight w:val="-150"/>
                              <w:marTop w:val="0"/>
                              <w:marBottom w:val="0"/>
                              <w:divBdr>
                                <w:top w:val="none" w:sz="0" w:space="0" w:color="auto"/>
                                <w:left w:val="none" w:sz="0" w:space="0" w:color="auto"/>
                                <w:bottom w:val="none" w:sz="0" w:space="0" w:color="auto"/>
                                <w:right w:val="none" w:sz="0" w:space="0" w:color="auto"/>
                              </w:divBdr>
                              <w:divsChild>
                                <w:div w:id="176698534">
                                  <w:marLeft w:val="0"/>
                                  <w:marRight w:val="0"/>
                                  <w:marTop w:val="0"/>
                                  <w:marBottom w:val="0"/>
                                  <w:divBdr>
                                    <w:top w:val="none" w:sz="0" w:space="0" w:color="auto"/>
                                    <w:left w:val="none" w:sz="0" w:space="0" w:color="auto"/>
                                    <w:bottom w:val="none" w:sz="0" w:space="0" w:color="auto"/>
                                    <w:right w:val="none" w:sz="0" w:space="0" w:color="auto"/>
                                  </w:divBdr>
                                  <w:divsChild>
                                    <w:div w:id="842207259">
                                      <w:marLeft w:val="0"/>
                                      <w:marRight w:val="0"/>
                                      <w:marTop w:val="0"/>
                                      <w:marBottom w:val="0"/>
                                      <w:divBdr>
                                        <w:top w:val="none" w:sz="0" w:space="0" w:color="auto"/>
                                        <w:left w:val="none" w:sz="0" w:space="0" w:color="auto"/>
                                        <w:bottom w:val="none" w:sz="0" w:space="0" w:color="auto"/>
                                        <w:right w:val="none" w:sz="0" w:space="0" w:color="auto"/>
                                      </w:divBdr>
                                    </w:div>
                                    <w:div w:id="1284312028">
                                      <w:marLeft w:val="0"/>
                                      <w:marRight w:val="0"/>
                                      <w:marTop w:val="0"/>
                                      <w:marBottom w:val="0"/>
                                      <w:divBdr>
                                        <w:top w:val="none" w:sz="0" w:space="0" w:color="auto"/>
                                        <w:left w:val="none" w:sz="0" w:space="0" w:color="auto"/>
                                        <w:bottom w:val="none" w:sz="0" w:space="0" w:color="auto"/>
                                        <w:right w:val="none" w:sz="0" w:space="0" w:color="auto"/>
                                      </w:divBdr>
                                    </w:div>
                                    <w:div w:id="1878467555">
                                      <w:marLeft w:val="0"/>
                                      <w:marRight w:val="0"/>
                                      <w:marTop w:val="0"/>
                                      <w:marBottom w:val="0"/>
                                      <w:divBdr>
                                        <w:top w:val="none" w:sz="0" w:space="0" w:color="auto"/>
                                        <w:left w:val="none" w:sz="0" w:space="0" w:color="auto"/>
                                        <w:bottom w:val="none" w:sz="0" w:space="0" w:color="auto"/>
                                        <w:right w:val="none" w:sz="0" w:space="0" w:color="auto"/>
                                      </w:divBdr>
                                    </w:div>
                                  </w:divsChild>
                                </w:div>
                                <w:div w:id="1728842177">
                                  <w:marLeft w:val="0"/>
                                  <w:marRight w:val="0"/>
                                  <w:marTop w:val="0"/>
                                  <w:marBottom w:val="0"/>
                                  <w:divBdr>
                                    <w:top w:val="none" w:sz="0" w:space="0" w:color="auto"/>
                                    <w:left w:val="none" w:sz="0" w:space="0" w:color="auto"/>
                                    <w:bottom w:val="none" w:sz="0" w:space="0" w:color="auto"/>
                                    <w:right w:val="none" w:sz="0" w:space="0" w:color="auto"/>
                                  </w:divBdr>
                                  <w:divsChild>
                                    <w:div w:id="350225457">
                                      <w:marLeft w:val="0"/>
                                      <w:marRight w:val="0"/>
                                      <w:marTop w:val="0"/>
                                      <w:marBottom w:val="0"/>
                                      <w:divBdr>
                                        <w:top w:val="none" w:sz="0" w:space="0" w:color="auto"/>
                                        <w:left w:val="none" w:sz="0" w:space="0" w:color="auto"/>
                                        <w:bottom w:val="none" w:sz="0" w:space="0" w:color="auto"/>
                                        <w:right w:val="none" w:sz="0" w:space="0" w:color="auto"/>
                                      </w:divBdr>
                                      <w:divsChild>
                                        <w:div w:id="18722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126393">
                      <w:marLeft w:val="0"/>
                      <w:marRight w:val="0"/>
                      <w:marTop w:val="0"/>
                      <w:marBottom w:val="0"/>
                      <w:divBdr>
                        <w:top w:val="none" w:sz="0" w:space="0" w:color="auto"/>
                        <w:left w:val="none" w:sz="0" w:space="0" w:color="auto"/>
                        <w:bottom w:val="none" w:sz="0" w:space="0" w:color="auto"/>
                        <w:right w:val="none" w:sz="0" w:space="0" w:color="auto"/>
                      </w:divBdr>
                    </w:div>
                    <w:div w:id="1887059055">
                      <w:marLeft w:val="0"/>
                      <w:marRight w:val="0"/>
                      <w:marTop w:val="0"/>
                      <w:marBottom w:val="0"/>
                      <w:divBdr>
                        <w:top w:val="none" w:sz="0" w:space="0" w:color="auto"/>
                        <w:left w:val="none" w:sz="0" w:space="0" w:color="auto"/>
                        <w:bottom w:val="none" w:sz="0" w:space="0" w:color="auto"/>
                        <w:right w:val="none" w:sz="0" w:space="0" w:color="auto"/>
                      </w:divBdr>
                      <w:divsChild>
                        <w:div w:id="512232355">
                          <w:marLeft w:val="0"/>
                          <w:marRight w:val="0"/>
                          <w:marTop w:val="0"/>
                          <w:marBottom w:val="0"/>
                          <w:divBdr>
                            <w:top w:val="none" w:sz="0" w:space="0" w:color="auto"/>
                            <w:left w:val="none" w:sz="0" w:space="0" w:color="auto"/>
                            <w:bottom w:val="none" w:sz="0" w:space="0" w:color="auto"/>
                            <w:right w:val="none" w:sz="0" w:space="0" w:color="auto"/>
                          </w:divBdr>
                          <w:divsChild>
                            <w:div w:id="303775432">
                              <w:marLeft w:val="0"/>
                              <w:marRight w:val="-150"/>
                              <w:marTop w:val="0"/>
                              <w:marBottom w:val="0"/>
                              <w:divBdr>
                                <w:top w:val="none" w:sz="0" w:space="0" w:color="auto"/>
                                <w:left w:val="none" w:sz="0" w:space="0" w:color="auto"/>
                                <w:bottom w:val="none" w:sz="0" w:space="0" w:color="auto"/>
                                <w:right w:val="none" w:sz="0" w:space="0" w:color="auto"/>
                              </w:divBdr>
                              <w:divsChild>
                                <w:div w:id="265239294">
                                  <w:marLeft w:val="0"/>
                                  <w:marRight w:val="0"/>
                                  <w:marTop w:val="0"/>
                                  <w:marBottom w:val="0"/>
                                  <w:divBdr>
                                    <w:top w:val="none" w:sz="0" w:space="0" w:color="auto"/>
                                    <w:left w:val="none" w:sz="0" w:space="0" w:color="auto"/>
                                    <w:bottom w:val="none" w:sz="0" w:space="0" w:color="auto"/>
                                    <w:right w:val="none" w:sz="0" w:space="0" w:color="auto"/>
                                  </w:divBdr>
                                  <w:divsChild>
                                    <w:div w:id="166792266">
                                      <w:marLeft w:val="0"/>
                                      <w:marRight w:val="0"/>
                                      <w:marTop w:val="0"/>
                                      <w:marBottom w:val="0"/>
                                      <w:divBdr>
                                        <w:top w:val="none" w:sz="0" w:space="0" w:color="auto"/>
                                        <w:left w:val="none" w:sz="0" w:space="0" w:color="auto"/>
                                        <w:bottom w:val="none" w:sz="0" w:space="0" w:color="auto"/>
                                        <w:right w:val="none" w:sz="0" w:space="0" w:color="auto"/>
                                      </w:divBdr>
                                      <w:divsChild>
                                        <w:div w:id="67372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15018">
                                  <w:marLeft w:val="0"/>
                                  <w:marRight w:val="0"/>
                                  <w:marTop w:val="0"/>
                                  <w:marBottom w:val="0"/>
                                  <w:divBdr>
                                    <w:top w:val="none" w:sz="0" w:space="0" w:color="auto"/>
                                    <w:left w:val="none" w:sz="0" w:space="0" w:color="auto"/>
                                    <w:bottom w:val="none" w:sz="0" w:space="0" w:color="auto"/>
                                    <w:right w:val="none" w:sz="0" w:space="0" w:color="auto"/>
                                  </w:divBdr>
                                  <w:divsChild>
                                    <w:div w:id="1171720378">
                                      <w:marLeft w:val="0"/>
                                      <w:marRight w:val="0"/>
                                      <w:marTop w:val="0"/>
                                      <w:marBottom w:val="0"/>
                                      <w:divBdr>
                                        <w:top w:val="none" w:sz="0" w:space="0" w:color="auto"/>
                                        <w:left w:val="none" w:sz="0" w:space="0" w:color="auto"/>
                                        <w:bottom w:val="none" w:sz="0" w:space="0" w:color="auto"/>
                                        <w:right w:val="none" w:sz="0" w:space="0" w:color="auto"/>
                                      </w:divBdr>
                                    </w:div>
                                    <w:div w:id="1604806402">
                                      <w:marLeft w:val="0"/>
                                      <w:marRight w:val="0"/>
                                      <w:marTop w:val="0"/>
                                      <w:marBottom w:val="0"/>
                                      <w:divBdr>
                                        <w:top w:val="none" w:sz="0" w:space="0" w:color="auto"/>
                                        <w:left w:val="none" w:sz="0" w:space="0" w:color="auto"/>
                                        <w:bottom w:val="none" w:sz="0" w:space="0" w:color="auto"/>
                                        <w:right w:val="none" w:sz="0" w:space="0" w:color="auto"/>
                                      </w:divBdr>
                                    </w:div>
                                    <w:div w:id="187900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4535129">
      <w:marLeft w:val="0"/>
      <w:marRight w:val="0"/>
      <w:marTop w:val="0"/>
      <w:marBottom w:val="0"/>
      <w:divBdr>
        <w:top w:val="none" w:sz="0" w:space="0" w:color="auto"/>
        <w:left w:val="none" w:sz="0" w:space="0" w:color="auto"/>
        <w:bottom w:val="none" w:sz="0" w:space="0" w:color="auto"/>
        <w:right w:val="none" w:sz="0" w:space="0" w:color="auto"/>
      </w:divBdr>
      <w:divsChild>
        <w:div w:id="1116214422">
          <w:marLeft w:val="0"/>
          <w:marRight w:val="0"/>
          <w:marTop w:val="0"/>
          <w:marBottom w:val="0"/>
          <w:divBdr>
            <w:top w:val="none" w:sz="0" w:space="0" w:color="auto"/>
            <w:left w:val="none" w:sz="0" w:space="0" w:color="auto"/>
            <w:bottom w:val="none" w:sz="0" w:space="0" w:color="auto"/>
            <w:right w:val="none" w:sz="0" w:space="0" w:color="auto"/>
          </w:divBdr>
          <w:divsChild>
            <w:div w:id="395128987">
              <w:marLeft w:val="0"/>
              <w:marRight w:val="0"/>
              <w:marTop w:val="0"/>
              <w:marBottom w:val="0"/>
              <w:divBdr>
                <w:top w:val="none" w:sz="0" w:space="0" w:color="auto"/>
                <w:left w:val="none" w:sz="0" w:space="0" w:color="auto"/>
                <w:bottom w:val="none" w:sz="0" w:space="0" w:color="auto"/>
                <w:right w:val="none" w:sz="0" w:space="0" w:color="auto"/>
              </w:divBdr>
              <w:divsChild>
                <w:div w:id="1464077030">
                  <w:marLeft w:val="0"/>
                  <w:marRight w:val="0"/>
                  <w:marTop w:val="0"/>
                  <w:marBottom w:val="0"/>
                  <w:divBdr>
                    <w:top w:val="none" w:sz="0" w:space="0" w:color="auto"/>
                    <w:left w:val="none" w:sz="0" w:space="0" w:color="auto"/>
                    <w:bottom w:val="none" w:sz="0" w:space="0" w:color="auto"/>
                    <w:right w:val="none" w:sz="0" w:space="0" w:color="auto"/>
                  </w:divBdr>
                  <w:divsChild>
                    <w:div w:id="287008661">
                      <w:marLeft w:val="0"/>
                      <w:marRight w:val="0"/>
                      <w:marTop w:val="0"/>
                      <w:marBottom w:val="0"/>
                      <w:divBdr>
                        <w:top w:val="none" w:sz="0" w:space="0" w:color="auto"/>
                        <w:left w:val="none" w:sz="0" w:space="0" w:color="auto"/>
                        <w:bottom w:val="none" w:sz="0" w:space="0" w:color="auto"/>
                        <w:right w:val="none" w:sz="0" w:space="0" w:color="auto"/>
                      </w:divBdr>
                      <w:divsChild>
                        <w:div w:id="1351223731">
                          <w:marLeft w:val="0"/>
                          <w:marRight w:val="0"/>
                          <w:marTop w:val="0"/>
                          <w:marBottom w:val="0"/>
                          <w:divBdr>
                            <w:top w:val="none" w:sz="0" w:space="0" w:color="auto"/>
                            <w:left w:val="none" w:sz="0" w:space="0" w:color="auto"/>
                            <w:bottom w:val="none" w:sz="0" w:space="0" w:color="auto"/>
                            <w:right w:val="none" w:sz="0" w:space="0" w:color="auto"/>
                          </w:divBdr>
                          <w:divsChild>
                            <w:div w:id="1356884895">
                              <w:marLeft w:val="0"/>
                              <w:marRight w:val="0"/>
                              <w:marTop w:val="0"/>
                              <w:marBottom w:val="0"/>
                              <w:divBdr>
                                <w:top w:val="none" w:sz="0" w:space="0" w:color="auto"/>
                                <w:left w:val="none" w:sz="0" w:space="0" w:color="auto"/>
                                <w:bottom w:val="none" w:sz="0" w:space="0" w:color="auto"/>
                                <w:right w:val="none" w:sz="0" w:space="0" w:color="auto"/>
                              </w:divBdr>
                              <w:divsChild>
                                <w:div w:id="107959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79841">
                          <w:marLeft w:val="0"/>
                          <w:marRight w:val="0"/>
                          <w:marTop w:val="0"/>
                          <w:marBottom w:val="0"/>
                          <w:divBdr>
                            <w:top w:val="none" w:sz="0" w:space="0" w:color="auto"/>
                            <w:left w:val="none" w:sz="0" w:space="0" w:color="auto"/>
                            <w:bottom w:val="none" w:sz="0" w:space="0" w:color="auto"/>
                            <w:right w:val="none" w:sz="0" w:space="0" w:color="auto"/>
                          </w:divBdr>
                          <w:divsChild>
                            <w:div w:id="57404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05517">
                      <w:marLeft w:val="0"/>
                      <w:marRight w:val="0"/>
                      <w:marTop w:val="0"/>
                      <w:marBottom w:val="0"/>
                      <w:divBdr>
                        <w:top w:val="none" w:sz="0" w:space="0" w:color="auto"/>
                        <w:left w:val="none" w:sz="0" w:space="0" w:color="auto"/>
                        <w:bottom w:val="none" w:sz="0" w:space="0" w:color="auto"/>
                        <w:right w:val="none" w:sz="0" w:space="0" w:color="auto"/>
                      </w:divBdr>
                      <w:divsChild>
                        <w:div w:id="1521892087">
                          <w:marLeft w:val="0"/>
                          <w:marRight w:val="0"/>
                          <w:marTop w:val="0"/>
                          <w:marBottom w:val="0"/>
                          <w:divBdr>
                            <w:top w:val="none" w:sz="0" w:space="0" w:color="auto"/>
                            <w:left w:val="none" w:sz="0" w:space="0" w:color="auto"/>
                            <w:bottom w:val="none" w:sz="0" w:space="0" w:color="auto"/>
                            <w:right w:val="none" w:sz="0" w:space="0" w:color="auto"/>
                          </w:divBdr>
                          <w:divsChild>
                            <w:div w:id="445076928">
                              <w:marLeft w:val="0"/>
                              <w:marRight w:val="0"/>
                              <w:marTop w:val="0"/>
                              <w:marBottom w:val="0"/>
                              <w:divBdr>
                                <w:top w:val="none" w:sz="0" w:space="0" w:color="auto"/>
                                <w:left w:val="none" w:sz="0" w:space="0" w:color="auto"/>
                                <w:bottom w:val="none" w:sz="0" w:space="0" w:color="auto"/>
                                <w:right w:val="none" w:sz="0" w:space="0" w:color="auto"/>
                              </w:divBdr>
                            </w:div>
                            <w:div w:id="184551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68500">
                      <w:marLeft w:val="0"/>
                      <w:marRight w:val="0"/>
                      <w:marTop w:val="0"/>
                      <w:marBottom w:val="0"/>
                      <w:divBdr>
                        <w:top w:val="none" w:sz="0" w:space="0" w:color="auto"/>
                        <w:left w:val="none" w:sz="0" w:space="0" w:color="auto"/>
                        <w:bottom w:val="none" w:sz="0" w:space="0" w:color="auto"/>
                        <w:right w:val="none" w:sz="0" w:space="0" w:color="auto"/>
                      </w:divBdr>
                      <w:divsChild>
                        <w:div w:id="1908489973">
                          <w:marLeft w:val="0"/>
                          <w:marRight w:val="0"/>
                          <w:marTop w:val="0"/>
                          <w:marBottom w:val="0"/>
                          <w:divBdr>
                            <w:top w:val="none" w:sz="0" w:space="0" w:color="auto"/>
                            <w:left w:val="none" w:sz="0" w:space="0" w:color="auto"/>
                            <w:bottom w:val="none" w:sz="0" w:space="0" w:color="auto"/>
                            <w:right w:val="none" w:sz="0" w:space="0" w:color="auto"/>
                          </w:divBdr>
                          <w:divsChild>
                            <w:div w:id="1609435296">
                              <w:marLeft w:val="0"/>
                              <w:marRight w:val="0"/>
                              <w:marTop w:val="0"/>
                              <w:marBottom w:val="0"/>
                              <w:divBdr>
                                <w:top w:val="none" w:sz="0" w:space="0" w:color="auto"/>
                                <w:left w:val="none" w:sz="0" w:space="0" w:color="auto"/>
                                <w:bottom w:val="none" w:sz="0" w:space="0" w:color="auto"/>
                                <w:right w:val="none" w:sz="0" w:space="0" w:color="auto"/>
                              </w:divBdr>
                              <w:divsChild>
                                <w:div w:id="407659423">
                                  <w:marLeft w:val="0"/>
                                  <w:marRight w:val="0"/>
                                  <w:marTop w:val="0"/>
                                  <w:marBottom w:val="0"/>
                                  <w:divBdr>
                                    <w:top w:val="none" w:sz="0" w:space="0" w:color="auto"/>
                                    <w:left w:val="none" w:sz="0" w:space="0" w:color="auto"/>
                                    <w:bottom w:val="none" w:sz="0" w:space="0" w:color="auto"/>
                                    <w:right w:val="none" w:sz="0" w:space="0" w:color="auto"/>
                                  </w:divBdr>
                                  <w:divsChild>
                                    <w:div w:id="724571542">
                                      <w:marLeft w:val="0"/>
                                      <w:marRight w:val="0"/>
                                      <w:marTop w:val="0"/>
                                      <w:marBottom w:val="0"/>
                                      <w:divBdr>
                                        <w:top w:val="none" w:sz="0" w:space="0" w:color="auto"/>
                                        <w:left w:val="none" w:sz="0" w:space="0" w:color="auto"/>
                                        <w:bottom w:val="none" w:sz="0" w:space="0" w:color="auto"/>
                                        <w:right w:val="none" w:sz="0" w:space="0" w:color="auto"/>
                                      </w:divBdr>
                                      <w:divsChild>
                                        <w:div w:id="819888121">
                                          <w:marLeft w:val="0"/>
                                          <w:marRight w:val="0"/>
                                          <w:marTop w:val="0"/>
                                          <w:marBottom w:val="0"/>
                                          <w:divBdr>
                                            <w:top w:val="none" w:sz="0" w:space="0" w:color="auto"/>
                                            <w:left w:val="none" w:sz="0" w:space="0" w:color="auto"/>
                                            <w:bottom w:val="none" w:sz="0" w:space="0" w:color="auto"/>
                                            <w:right w:val="none" w:sz="0" w:space="0" w:color="auto"/>
                                          </w:divBdr>
                                        </w:div>
                                        <w:div w:id="191897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612244">
                      <w:marLeft w:val="0"/>
                      <w:marRight w:val="0"/>
                      <w:marTop w:val="0"/>
                      <w:marBottom w:val="0"/>
                      <w:divBdr>
                        <w:top w:val="none" w:sz="0" w:space="0" w:color="auto"/>
                        <w:left w:val="none" w:sz="0" w:space="0" w:color="auto"/>
                        <w:bottom w:val="none" w:sz="0" w:space="0" w:color="auto"/>
                        <w:right w:val="none" w:sz="0" w:space="0" w:color="auto"/>
                      </w:divBdr>
                      <w:divsChild>
                        <w:div w:id="20471012">
                          <w:marLeft w:val="0"/>
                          <w:marRight w:val="0"/>
                          <w:marTop w:val="0"/>
                          <w:marBottom w:val="0"/>
                          <w:divBdr>
                            <w:top w:val="none" w:sz="0" w:space="0" w:color="auto"/>
                            <w:left w:val="none" w:sz="0" w:space="0" w:color="auto"/>
                            <w:bottom w:val="none" w:sz="0" w:space="0" w:color="auto"/>
                            <w:right w:val="none" w:sz="0" w:space="0" w:color="auto"/>
                          </w:divBdr>
                        </w:div>
                        <w:div w:id="58215471">
                          <w:marLeft w:val="0"/>
                          <w:marRight w:val="0"/>
                          <w:marTop w:val="0"/>
                          <w:marBottom w:val="0"/>
                          <w:divBdr>
                            <w:top w:val="none" w:sz="0" w:space="0" w:color="auto"/>
                            <w:left w:val="none" w:sz="0" w:space="0" w:color="auto"/>
                            <w:bottom w:val="none" w:sz="0" w:space="0" w:color="auto"/>
                            <w:right w:val="none" w:sz="0" w:space="0" w:color="auto"/>
                          </w:divBdr>
                          <w:divsChild>
                            <w:div w:id="1057053058">
                              <w:marLeft w:val="0"/>
                              <w:marRight w:val="0"/>
                              <w:marTop w:val="0"/>
                              <w:marBottom w:val="0"/>
                              <w:divBdr>
                                <w:top w:val="none" w:sz="0" w:space="0" w:color="auto"/>
                                <w:left w:val="none" w:sz="0" w:space="0" w:color="auto"/>
                                <w:bottom w:val="none" w:sz="0" w:space="0" w:color="auto"/>
                                <w:right w:val="none" w:sz="0" w:space="0" w:color="auto"/>
                              </w:divBdr>
                            </w:div>
                          </w:divsChild>
                        </w:div>
                        <w:div w:id="74669379">
                          <w:marLeft w:val="0"/>
                          <w:marRight w:val="0"/>
                          <w:marTop w:val="0"/>
                          <w:marBottom w:val="0"/>
                          <w:divBdr>
                            <w:top w:val="none" w:sz="0" w:space="0" w:color="auto"/>
                            <w:left w:val="none" w:sz="0" w:space="0" w:color="auto"/>
                            <w:bottom w:val="none" w:sz="0" w:space="0" w:color="auto"/>
                            <w:right w:val="none" w:sz="0" w:space="0" w:color="auto"/>
                          </w:divBdr>
                        </w:div>
                        <w:div w:id="156000913">
                          <w:marLeft w:val="0"/>
                          <w:marRight w:val="0"/>
                          <w:marTop w:val="0"/>
                          <w:marBottom w:val="0"/>
                          <w:divBdr>
                            <w:top w:val="none" w:sz="0" w:space="0" w:color="auto"/>
                            <w:left w:val="none" w:sz="0" w:space="0" w:color="auto"/>
                            <w:bottom w:val="none" w:sz="0" w:space="0" w:color="auto"/>
                            <w:right w:val="none" w:sz="0" w:space="0" w:color="auto"/>
                          </w:divBdr>
                        </w:div>
                        <w:div w:id="274942064">
                          <w:marLeft w:val="0"/>
                          <w:marRight w:val="0"/>
                          <w:marTop w:val="0"/>
                          <w:marBottom w:val="0"/>
                          <w:divBdr>
                            <w:top w:val="none" w:sz="0" w:space="0" w:color="auto"/>
                            <w:left w:val="none" w:sz="0" w:space="0" w:color="auto"/>
                            <w:bottom w:val="none" w:sz="0" w:space="0" w:color="auto"/>
                            <w:right w:val="none" w:sz="0" w:space="0" w:color="auto"/>
                          </w:divBdr>
                          <w:divsChild>
                            <w:div w:id="753085909">
                              <w:marLeft w:val="0"/>
                              <w:marRight w:val="0"/>
                              <w:marTop w:val="0"/>
                              <w:marBottom w:val="0"/>
                              <w:divBdr>
                                <w:top w:val="none" w:sz="0" w:space="0" w:color="auto"/>
                                <w:left w:val="none" w:sz="0" w:space="0" w:color="auto"/>
                                <w:bottom w:val="none" w:sz="0" w:space="0" w:color="auto"/>
                                <w:right w:val="none" w:sz="0" w:space="0" w:color="auto"/>
                              </w:divBdr>
                            </w:div>
                            <w:div w:id="964505281">
                              <w:marLeft w:val="0"/>
                              <w:marRight w:val="0"/>
                              <w:marTop w:val="0"/>
                              <w:marBottom w:val="0"/>
                              <w:divBdr>
                                <w:top w:val="none" w:sz="0" w:space="0" w:color="auto"/>
                                <w:left w:val="none" w:sz="0" w:space="0" w:color="auto"/>
                                <w:bottom w:val="none" w:sz="0" w:space="0" w:color="auto"/>
                                <w:right w:val="none" w:sz="0" w:space="0" w:color="auto"/>
                              </w:divBdr>
                            </w:div>
                            <w:div w:id="1688677580">
                              <w:marLeft w:val="0"/>
                              <w:marRight w:val="0"/>
                              <w:marTop w:val="0"/>
                              <w:marBottom w:val="0"/>
                              <w:divBdr>
                                <w:top w:val="none" w:sz="0" w:space="0" w:color="auto"/>
                                <w:left w:val="none" w:sz="0" w:space="0" w:color="auto"/>
                                <w:bottom w:val="none" w:sz="0" w:space="0" w:color="auto"/>
                                <w:right w:val="none" w:sz="0" w:space="0" w:color="auto"/>
                              </w:divBdr>
                            </w:div>
                          </w:divsChild>
                        </w:div>
                        <w:div w:id="620846190">
                          <w:marLeft w:val="0"/>
                          <w:marRight w:val="0"/>
                          <w:marTop w:val="0"/>
                          <w:marBottom w:val="0"/>
                          <w:divBdr>
                            <w:top w:val="none" w:sz="0" w:space="0" w:color="auto"/>
                            <w:left w:val="none" w:sz="0" w:space="0" w:color="auto"/>
                            <w:bottom w:val="none" w:sz="0" w:space="0" w:color="auto"/>
                            <w:right w:val="none" w:sz="0" w:space="0" w:color="auto"/>
                          </w:divBdr>
                        </w:div>
                        <w:div w:id="883372615">
                          <w:marLeft w:val="0"/>
                          <w:marRight w:val="0"/>
                          <w:marTop w:val="0"/>
                          <w:marBottom w:val="0"/>
                          <w:divBdr>
                            <w:top w:val="none" w:sz="0" w:space="0" w:color="auto"/>
                            <w:left w:val="none" w:sz="0" w:space="0" w:color="auto"/>
                            <w:bottom w:val="none" w:sz="0" w:space="0" w:color="auto"/>
                            <w:right w:val="none" w:sz="0" w:space="0" w:color="auto"/>
                          </w:divBdr>
                        </w:div>
                        <w:div w:id="890308907">
                          <w:marLeft w:val="0"/>
                          <w:marRight w:val="0"/>
                          <w:marTop w:val="0"/>
                          <w:marBottom w:val="0"/>
                          <w:divBdr>
                            <w:top w:val="none" w:sz="0" w:space="0" w:color="auto"/>
                            <w:left w:val="none" w:sz="0" w:space="0" w:color="auto"/>
                            <w:bottom w:val="none" w:sz="0" w:space="0" w:color="auto"/>
                            <w:right w:val="none" w:sz="0" w:space="0" w:color="auto"/>
                          </w:divBdr>
                          <w:divsChild>
                            <w:div w:id="1501699629">
                              <w:marLeft w:val="0"/>
                              <w:marRight w:val="0"/>
                              <w:marTop w:val="0"/>
                              <w:marBottom w:val="0"/>
                              <w:divBdr>
                                <w:top w:val="none" w:sz="0" w:space="0" w:color="auto"/>
                                <w:left w:val="none" w:sz="0" w:space="0" w:color="auto"/>
                                <w:bottom w:val="none" w:sz="0" w:space="0" w:color="auto"/>
                                <w:right w:val="none" w:sz="0" w:space="0" w:color="auto"/>
                              </w:divBdr>
                            </w:div>
                          </w:divsChild>
                        </w:div>
                        <w:div w:id="1437559834">
                          <w:marLeft w:val="0"/>
                          <w:marRight w:val="0"/>
                          <w:marTop w:val="0"/>
                          <w:marBottom w:val="0"/>
                          <w:divBdr>
                            <w:top w:val="none" w:sz="0" w:space="0" w:color="auto"/>
                            <w:left w:val="none" w:sz="0" w:space="0" w:color="auto"/>
                            <w:bottom w:val="none" w:sz="0" w:space="0" w:color="auto"/>
                            <w:right w:val="none" w:sz="0" w:space="0" w:color="auto"/>
                          </w:divBdr>
                        </w:div>
                        <w:div w:id="1440904339">
                          <w:marLeft w:val="0"/>
                          <w:marRight w:val="0"/>
                          <w:marTop w:val="0"/>
                          <w:marBottom w:val="0"/>
                          <w:divBdr>
                            <w:top w:val="none" w:sz="0" w:space="0" w:color="auto"/>
                            <w:left w:val="none" w:sz="0" w:space="0" w:color="auto"/>
                            <w:bottom w:val="none" w:sz="0" w:space="0" w:color="auto"/>
                            <w:right w:val="none" w:sz="0" w:space="0" w:color="auto"/>
                          </w:divBdr>
                        </w:div>
                        <w:div w:id="1560751403">
                          <w:marLeft w:val="0"/>
                          <w:marRight w:val="0"/>
                          <w:marTop w:val="0"/>
                          <w:marBottom w:val="0"/>
                          <w:divBdr>
                            <w:top w:val="none" w:sz="0" w:space="0" w:color="auto"/>
                            <w:left w:val="none" w:sz="0" w:space="0" w:color="auto"/>
                            <w:bottom w:val="none" w:sz="0" w:space="0" w:color="auto"/>
                            <w:right w:val="none" w:sz="0" w:space="0" w:color="auto"/>
                          </w:divBdr>
                        </w:div>
                        <w:div w:id="1833058878">
                          <w:marLeft w:val="0"/>
                          <w:marRight w:val="0"/>
                          <w:marTop w:val="0"/>
                          <w:marBottom w:val="0"/>
                          <w:divBdr>
                            <w:top w:val="none" w:sz="0" w:space="0" w:color="auto"/>
                            <w:left w:val="none" w:sz="0" w:space="0" w:color="auto"/>
                            <w:bottom w:val="none" w:sz="0" w:space="0" w:color="auto"/>
                            <w:right w:val="none" w:sz="0" w:space="0" w:color="auto"/>
                          </w:divBdr>
                          <w:divsChild>
                            <w:div w:id="303896540">
                              <w:marLeft w:val="0"/>
                              <w:marRight w:val="0"/>
                              <w:marTop w:val="0"/>
                              <w:marBottom w:val="0"/>
                              <w:divBdr>
                                <w:top w:val="none" w:sz="0" w:space="0" w:color="auto"/>
                                <w:left w:val="none" w:sz="0" w:space="0" w:color="auto"/>
                                <w:bottom w:val="none" w:sz="0" w:space="0" w:color="auto"/>
                                <w:right w:val="none" w:sz="0" w:space="0" w:color="auto"/>
                              </w:divBdr>
                            </w:div>
                          </w:divsChild>
                        </w:div>
                        <w:div w:id="1885213906">
                          <w:marLeft w:val="0"/>
                          <w:marRight w:val="0"/>
                          <w:marTop w:val="0"/>
                          <w:marBottom w:val="0"/>
                          <w:divBdr>
                            <w:top w:val="none" w:sz="0" w:space="0" w:color="auto"/>
                            <w:left w:val="none" w:sz="0" w:space="0" w:color="auto"/>
                            <w:bottom w:val="none" w:sz="0" w:space="0" w:color="auto"/>
                            <w:right w:val="none" w:sz="0" w:space="0" w:color="auto"/>
                          </w:divBdr>
                        </w:div>
                        <w:div w:id="209547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82182">
              <w:marLeft w:val="0"/>
              <w:marRight w:val="0"/>
              <w:marTop w:val="0"/>
              <w:marBottom w:val="0"/>
              <w:divBdr>
                <w:top w:val="none" w:sz="0" w:space="0" w:color="auto"/>
                <w:left w:val="none" w:sz="0" w:space="0" w:color="auto"/>
                <w:bottom w:val="none" w:sz="0" w:space="0" w:color="auto"/>
                <w:right w:val="none" w:sz="0" w:space="0" w:color="auto"/>
              </w:divBdr>
              <w:divsChild>
                <w:div w:id="567108475">
                  <w:marLeft w:val="0"/>
                  <w:marRight w:val="0"/>
                  <w:marTop w:val="0"/>
                  <w:marBottom w:val="0"/>
                  <w:divBdr>
                    <w:top w:val="none" w:sz="0" w:space="0" w:color="auto"/>
                    <w:left w:val="none" w:sz="0" w:space="0" w:color="auto"/>
                    <w:bottom w:val="none" w:sz="0" w:space="0" w:color="auto"/>
                    <w:right w:val="none" w:sz="0" w:space="0" w:color="auto"/>
                  </w:divBdr>
                </w:div>
                <w:div w:id="202921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941028">
      <w:bodyDiv w:val="1"/>
      <w:marLeft w:val="0"/>
      <w:marRight w:val="0"/>
      <w:marTop w:val="0"/>
      <w:marBottom w:val="0"/>
      <w:divBdr>
        <w:top w:val="none" w:sz="0" w:space="0" w:color="auto"/>
        <w:left w:val="none" w:sz="0" w:space="0" w:color="auto"/>
        <w:bottom w:val="none" w:sz="0" w:space="0" w:color="auto"/>
        <w:right w:val="none" w:sz="0" w:space="0" w:color="auto"/>
      </w:divBdr>
    </w:div>
    <w:div w:id="1646163347">
      <w:bodyDiv w:val="1"/>
      <w:marLeft w:val="0"/>
      <w:marRight w:val="0"/>
      <w:marTop w:val="0"/>
      <w:marBottom w:val="0"/>
      <w:divBdr>
        <w:top w:val="none" w:sz="0" w:space="0" w:color="auto"/>
        <w:left w:val="none" w:sz="0" w:space="0" w:color="auto"/>
        <w:bottom w:val="none" w:sz="0" w:space="0" w:color="auto"/>
        <w:right w:val="none" w:sz="0" w:space="0" w:color="auto"/>
      </w:divBdr>
    </w:div>
    <w:div w:id="1653673798">
      <w:marLeft w:val="0"/>
      <w:marRight w:val="0"/>
      <w:marTop w:val="0"/>
      <w:marBottom w:val="0"/>
      <w:divBdr>
        <w:top w:val="none" w:sz="0" w:space="0" w:color="auto"/>
        <w:left w:val="none" w:sz="0" w:space="0" w:color="auto"/>
        <w:bottom w:val="none" w:sz="0" w:space="0" w:color="auto"/>
        <w:right w:val="none" w:sz="0" w:space="0" w:color="auto"/>
      </w:divBdr>
      <w:divsChild>
        <w:div w:id="1303584886">
          <w:marLeft w:val="0"/>
          <w:marRight w:val="0"/>
          <w:marTop w:val="0"/>
          <w:marBottom w:val="0"/>
          <w:divBdr>
            <w:top w:val="none" w:sz="0" w:space="0" w:color="auto"/>
            <w:left w:val="none" w:sz="0" w:space="0" w:color="auto"/>
            <w:bottom w:val="none" w:sz="0" w:space="0" w:color="auto"/>
            <w:right w:val="none" w:sz="0" w:space="0" w:color="auto"/>
          </w:divBdr>
          <w:divsChild>
            <w:div w:id="127476574">
              <w:marLeft w:val="0"/>
              <w:marRight w:val="0"/>
              <w:marTop w:val="0"/>
              <w:marBottom w:val="0"/>
              <w:divBdr>
                <w:top w:val="none" w:sz="0" w:space="0" w:color="auto"/>
                <w:left w:val="none" w:sz="0" w:space="0" w:color="auto"/>
                <w:bottom w:val="none" w:sz="0" w:space="0" w:color="auto"/>
                <w:right w:val="none" w:sz="0" w:space="0" w:color="auto"/>
              </w:divBdr>
              <w:divsChild>
                <w:div w:id="313265750">
                  <w:marLeft w:val="0"/>
                  <w:marRight w:val="0"/>
                  <w:marTop w:val="0"/>
                  <w:marBottom w:val="0"/>
                  <w:divBdr>
                    <w:top w:val="none" w:sz="0" w:space="0" w:color="auto"/>
                    <w:left w:val="none" w:sz="0" w:space="0" w:color="auto"/>
                    <w:bottom w:val="none" w:sz="0" w:space="0" w:color="auto"/>
                    <w:right w:val="none" w:sz="0" w:space="0" w:color="auto"/>
                  </w:divBdr>
                  <w:divsChild>
                    <w:div w:id="838082268">
                      <w:marLeft w:val="0"/>
                      <w:marRight w:val="0"/>
                      <w:marTop w:val="0"/>
                      <w:marBottom w:val="0"/>
                      <w:divBdr>
                        <w:top w:val="none" w:sz="0" w:space="0" w:color="auto"/>
                        <w:left w:val="none" w:sz="0" w:space="0" w:color="auto"/>
                        <w:bottom w:val="none" w:sz="0" w:space="0" w:color="auto"/>
                        <w:right w:val="none" w:sz="0" w:space="0" w:color="auto"/>
                      </w:divBdr>
                    </w:div>
                    <w:div w:id="1662811375">
                      <w:marLeft w:val="0"/>
                      <w:marRight w:val="0"/>
                      <w:marTop w:val="0"/>
                      <w:marBottom w:val="0"/>
                      <w:divBdr>
                        <w:top w:val="none" w:sz="0" w:space="0" w:color="auto"/>
                        <w:left w:val="none" w:sz="0" w:space="0" w:color="auto"/>
                        <w:bottom w:val="none" w:sz="0" w:space="0" w:color="auto"/>
                        <w:right w:val="none" w:sz="0" w:space="0" w:color="auto"/>
                      </w:divBdr>
                      <w:divsChild>
                        <w:div w:id="594745955">
                          <w:marLeft w:val="0"/>
                          <w:marRight w:val="0"/>
                          <w:marTop w:val="0"/>
                          <w:marBottom w:val="0"/>
                          <w:divBdr>
                            <w:top w:val="none" w:sz="0" w:space="0" w:color="auto"/>
                            <w:left w:val="none" w:sz="0" w:space="0" w:color="auto"/>
                            <w:bottom w:val="none" w:sz="0" w:space="0" w:color="auto"/>
                            <w:right w:val="none" w:sz="0" w:space="0" w:color="auto"/>
                          </w:divBdr>
                        </w:div>
                        <w:div w:id="1394503940">
                          <w:marLeft w:val="0"/>
                          <w:marRight w:val="0"/>
                          <w:marTop w:val="0"/>
                          <w:marBottom w:val="0"/>
                          <w:divBdr>
                            <w:top w:val="none" w:sz="0" w:space="0" w:color="auto"/>
                            <w:left w:val="none" w:sz="0" w:space="0" w:color="auto"/>
                            <w:bottom w:val="none" w:sz="0" w:space="0" w:color="auto"/>
                            <w:right w:val="none" w:sz="0" w:space="0" w:color="auto"/>
                          </w:divBdr>
                        </w:div>
                      </w:divsChild>
                    </w:div>
                    <w:div w:id="1820488943">
                      <w:marLeft w:val="0"/>
                      <w:marRight w:val="0"/>
                      <w:marTop w:val="0"/>
                      <w:marBottom w:val="0"/>
                      <w:divBdr>
                        <w:top w:val="none" w:sz="0" w:space="0" w:color="auto"/>
                        <w:left w:val="none" w:sz="0" w:space="0" w:color="auto"/>
                        <w:bottom w:val="none" w:sz="0" w:space="0" w:color="auto"/>
                        <w:right w:val="none" w:sz="0" w:space="0" w:color="auto"/>
                      </w:divBdr>
                      <w:divsChild>
                        <w:div w:id="107815354">
                          <w:marLeft w:val="0"/>
                          <w:marRight w:val="0"/>
                          <w:marTop w:val="0"/>
                          <w:marBottom w:val="0"/>
                          <w:divBdr>
                            <w:top w:val="none" w:sz="0" w:space="0" w:color="auto"/>
                            <w:left w:val="none" w:sz="0" w:space="0" w:color="auto"/>
                            <w:bottom w:val="none" w:sz="0" w:space="0" w:color="auto"/>
                            <w:right w:val="none" w:sz="0" w:space="0" w:color="auto"/>
                          </w:divBdr>
                        </w:div>
                        <w:div w:id="737896862">
                          <w:marLeft w:val="0"/>
                          <w:marRight w:val="0"/>
                          <w:marTop w:val="0"/>
                          <w:marBottom w:val="0"/>
                          <w:divBdr>
                            <w:top w:val="none" w:sz="0" w:space="0" w:color="auto"/>
                            <w:left w:val="none" w:sz="0" w:space="0" w:color="auto"/>
                            <w:bottom w:val="none" w:sz="0" w:space="0" w:color="auto"/>
                            <w:right w:val="none" w:sz="0" w:space="0" w:color="auto"/>
                          </w:divBdr>
                        </w:div>
                        <w:div w:id="178908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82074">
                  <w:marLeft w:val="0"/>
                  <w:marRight w:val="0"/>
                  <w:marTop w:val="0"/>
                  <w:marBottom w:val="0"/>
                  <w:divBdr>
                    <w:top w:val="none" w:sz="0" w:space="0" w:color="auto"/>
                    <w:left w:val="none" w:sz="0" w:space="0" w:color="auto"/>
                    <w:bottom w:val="none" w:sz="0" w:space="0" w:color="auto"/>
                    <w:right w:val="none" w:sz="0" w:space="0" w:color="auto"/>
                  </w:divBdr>
                  <w:divsChild>
                    <w:div w:id="240607378">
                      <w:marLeft w:val="0"/>
                      <w:marRight w:val="0"/>
                      <w:marTop w:val="0"/>
                      <w:marBottom w:val="0"/>
                      <w:divBdr>
                        <w:top w:val="none" w:sz="0" w:space="0" w:color="auto"/>
                        <w:left w:val="none" w:sz="0" w:space="0" w:color="auto"/>
                        <w:bottom w:val="none" w:sz="0" w:space="0" w:color="auto"/>
                        <w:right w:val="none" w:sz="0" w:space="0" w:color="auto"/>
                      </w:divBdr>
                    </w:div>
                    <w:div w:id="766313420">
                      <w:marLeft w:val="0"/>
                      <w:marRight w:val="0"/>
                      <w:marTop w:val="0"/>
                      <w:marBottom w:val="0"/>
                      <w:divBdr>
                        <w:top w:val="none" w:sz="0" w:space="0" w:color="auto"/>
                        <w:left w:val="none" w:sz="0" w:space="0" w:color="auto"/>
                        <w:bottom w:val="none" w:sz="0" w:space="0" w:color="auto"/>
                        <w:right w:val="none" w:sz="0" w:space="0" w:color="auto"/>
                      </w:divBdr>
                    </w:div>
                    <w:div w:id="1490289875">
                      <w:marLeft w:val="0"/>
                      <w:marRight w:val="0"/>
                      <w:marTop w:val="0"/>
                      <w:marBottom w:val="0"/>
                      <w:divBdr>
                        <w:top w:val="none" w:sz="0" w:space="0" w:color="auto"/>
                        <w:left w:val="none" w:sz="0" w:space="0" w:color="auto"/>
                        <w:bottom w:val="none" w:sz="0" w:space="0" w:color="auto"/>
                        <w:right w:val="none" w:sz="0" w:space="0" w:color="auto"/>
                      </w:divBdr>
                      <w:divsChild>
                        <w:div w:id="164899445">
                          <w:marLeft w:val="0"/>
                          <w:marRight w:val="0"/>
                          <w:marTop w:val="0"/>
                          <w:marBottom w:val="0"/>
                          <w:divBdr>
                            <w:top w:val="none" w:sz="0" w:space="0" w:color="auto"/>
                            <w:left w:val="none" w:sz="0" w:space="0" w:color="auto"/>
                            <w:bottom w:val="none" w:sz="0" w:space="0" w:color="auto"/>
                            <w:right w:val="none" w:sz="0" w:space="0" w:color="auto"/>
                          </w:divBdr>
                        </w:div>
                        <w:div w:id="1693990939">
                          <w:marLeft w:val="0"/>
                          <w:marRight w:val="0"/>
                          <w:marTop w:val="0"/>
                          <w:marBottom w:val="0"/>
                          <w:divBdr>
                            <w:top w:val="none" w:sz="0" w:space="0" w:color="auto"/>
                            <w:left w:val="none" w:sz="0" w:space="0" w:color="auto"/>
                            <w:bottom w:val="none" w:sz="0" w:space="0" w:color="auto"/>
                            <w:right w:val="none" w:sz="0" w:space="0" w:color="auto"/>
                          </w:divBdr>
                        </w:div>
                      </w:divsChild>
                    </w:div>
                    <w:div w:id="151213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300841">
      <w:bodyDiv w:val="1"/>
      <w:marLeft w:val="0"/>
      <w:marRight w:val="0"/>
      <w:marTop w:val="0"/>
      <w:marBottom w:val="0"/>
      <w:divBdr>
        <w:top w:val="none" w:sz="0" w:space="0" w:color="auto"/>
        <w:left w:val="none" w:sz="0" w:space="0" w:color="auto"/>
        <w:bottom w:val="none" w:sz="0" w:space="0" w:color="auto"/>
        <w:right w:val="none" w:sz="0" w:space="0" w:color="auto"/>
      </w:divBdr>
    </w:div>
    <w:div w:id="1800417076">
      <w:marLeft w:val="0"/>
      <w:marRight w:val="0"/>
      <w:marTop w:val="0"/>
      <w:marBottom w:val="0"/>
      <w:divBdr>
        <w:top w:val="none" w:sz="0" w:space="0" w:color="auto"/>
        <w:left w:val="none" w:sz="0" w:space="0" w:color="auto"/>
        <w:bottom w:val="none" w:sz="0" w:space="0" w:color="auto"/>
        <w:right w:val="none" w:sz="0" w:space="0" w:color="auto"/>
      </w:divBdr>
      <w:divsChild>
        <w:div w:id="69500515">
          <w:marLeft w:val="0"/>
          <w:marRight w:val="0"/>
          <w:marTop w:val="0"/>
          <w:marBottom w:val="0"/>
          <w:divBdr>
            <w:top w:val="none" w:sz="0" w:space="0" w:color="auto"/>
            <w:left w:val="none" w:sz="0" w:space="0" w:color="auto"/>
            <w:bottom w:val="none" w:sz="0" w:space="0" w:color="auto"/>
            <w:right w:val="none" w:sz="0" w:space="0" w:color="auto"/>
          </w:divBdr>
        </w:div>
        <w:div w:id="674529145">
          <w:marLeft w:val="0"/>
          <w:marRight w:val="0"/>
          <w:marTop w:val="0"/>
          <w:marBottom w:val="0"/>
          <w:divBdr>
            <w:top w:val="none" w:sz="0" w:space="0" w:color="auto"/>
            <w:left w:val="none" w:sz="0" w:space="0" w:color="auto"/>
            <w:bottom w:val="none" w:sz="0" w:space="0" w:color="auto"/>
            <w:right w:val="none" w:sz="0" w:space="0" w:color="auto"/>
          </w:divBdr>
          <w:divsChild>
            <w:div w:id="153109033">
              <w:marLeft w:val="0"/>
              <w:marRight w:val="0"/>
              <w:marTop w:val="0"/>
              <w:marBottom w:val="0"/>
              <w:divBdr>
                <w:top w:val="none" w:sz="0" w:space="0" w:color="auto"/>
                <w:left w:val="none" w:sz="0" w:space="0" w:color="auto"/>
                <w:bottom w:val="none" w:sz="0" w:space="0" w:color="auto"/>
                <w:right w:val="none" w:sz="0" w:space="0" w:color="auto"/>
              </w:divBdr>
            </w:div>
            <w:div w:id="870454737">
              <w:marLeft w:val="0"/>
              <w:marRight w:val="0"/>
              <w:marTop w:val="0"/>
              <w:marBottom w:val="0"/>
              <w:divBdr>
                <w:top w:val="none" w:sz="0" w:space="0" w:color="auto"/>
                <w:left w:val="none" w:sz="0" w:space="0" w:color="auto"/>
                <w:bottom w:val="none" w:sz="0" w:space="0" w:color="auto"/>
                <w:right w:val="none" w:sz="0" w:space="0" w:color="auto"/>
              </w:divBdr>
            </w:div>
            <w:div w:id="1778333174">
              <w:marLeft w:val="0"/>
              <w:marRight w:val="0"/>
              <w:marTop w:val="0"/>
              <w:marBottom w:val="0"/>
              <w:divBdr>
                <w:top w:val="none" w:sz="0" w:space="0" w:color="auto"/>
                <w:left w:val="none" w:sz="0" w:space="0" w:color="auto"/>
                <w:bottom w:val="none" w:sz="0" w:space="0" w:color="auto"/>
                <w:right w:val="none" w:sz="0" w:space="0" w:color="auto"/>
              </w:divBdr>
              <w:divsChild>
                <w:div w:id="108896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39913">
          <w:marLeft w:val="0"/>
          <w:marRight w:val="0"/>
          <w:marTop w:val="0"/>
          <w:marBottom w:val="0"/>
          <w:divBdr>
            <w:top w:val="none" w:sz="0" w:space="0" w:color="auto"/>
            <w:left w:val="none" w:sz="0" w:space="0" w:color="auto"/>
            <w:bottom w:val="none" w:sz="0" w:space="0" w:color="auto"/>
            <w:right w:val="none" w:sz="0" w:space="0" w:color="auto"/>
          </w:divBdr>
          <w:divsChild>
            <w:div w:id="958605517">
              <w:marLeft w:val="0"/>
              <w:marRight w:val="0"/>
              <w:marTop w:val="0"/>
              <w:marBottom w:val="0"/>
              <w:divBdr>
                <w:top w:val="none" w:sz="0" w:space="0" w:color="auto"/>
                <w:left w:val="none" w:sz="0" w:space="0" w:color="auto"/>
                <w:bottom w:val="none" w:sz="0" w:space="0" w:color="auto"/>
                <w:right w:val="none" w:sz="0" w:space="0" w:color="auto"/>
              </w:divBdr>
            </w:div>
            <w:div w:id="1520238594">
              <w:marLeft w:val="0"/>
              <w:marRight w:val="0"/>
              <w:marTop w:val="0"/>
              <w:marBottom w:val="0"/>
              <w:divBdr>
                <w:top w:val="none" w:sz="0" w:space="0" w:color="auto"/>
                <w:left w:val="none" w:sz="0" w:space="0" w:color="auto"/>
                <w:bottom w:val="none" w:sz="0" w:space="0" w:color="auto"/>
                <w:right w:val="none" w:sz="0" w:space="0" w:color="auto"/>
              </w:divBdr>
            </w:div>
            <w:div w:id="152786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21881">
      <w:bodyDiv w:val="1"/>
      <w:marLeft w:val="0"/>
      <w:marRight w:val="0"/>
      <w:marTop w:val="0"/>
      <w:marBottom w:val="0"/>
      <w:divBdr>
        <w:top w:val="none" w:sz="0" w:space="0" w:color="auto"/>
        <w:left w:val="none" w:sz="0" w:space="0" w:color="auto"/>
        <w:bottom w:val="none" w:sz="0" w:space="0" w:color="auto"/>
        <w:right w:val="none" w:sz="0" w:space="0" w:color="auto"/>
      </w:divBdr>
    </w:div>
    <w:div w:id="1859342953">
      <w:bodyDiv w:val="1"/>
      <w:marLeft w:val="0"/>
      <w:marRight w:val="0"/>
      <w:marTop w:val="0"/>
      <w:marBottom w:val="0"/>
      <w:divBdr>
        <w:top w:val="none" w:sz="0" w:space="0" w:color="auto"/>
        <w:left w:val="none" w:sz="0" w:space="0" w:color="auto"/>
        <w:bottom w:val="none" w:sz="0" w:space="0" w:color="auto"/>
        <w:right w:val="none" w:sz="0" w:space="0" w:color="auto"/>
      </w:divBdr>
    </w:div>
    <w:div w:id="1865626995">
      <w:bodyDiv w:val="1"/>
      <w:marLeft w:val="0"/>
      <w:marRight w:val="0"/>
      <w:marTop w:val="0"/>
      <w:marBottom w:val="0"/>
      <w:divBdr>
        <w:top w:val="none" w:sz="0" w:space="0" w:color="auto"/>
        <w:left w:val="none" w:sz="0" w:space="0" w:color="auto"/>
        <w:bottom w:val="none" w:sz="0" w:space="0" w:color="auto"/>
        <w:right w:val="none" w:sz="0" w:space="0" w:color="auto"/>
      </w:divBdr>
    </w:div>
    <w:div w:id="1896893760">
      <w:marLeft w:val="0"/>
      <w:marRight w:val="0"/>
      <w:marTop w:val="0"/>
      <w:marBottom w:val="0"/>
      <w:divBdr>
        <w:top w:val="none" w:sz="0" w:space="0" w:color="auto"/>
        <w:left w:val="none" w:sz="0" w:space="0" w:color="auto"/>
        <w:bottom w:val="none" w:sz="0" w:space="0" w:color="auto"/>
        <w:right w:val="none" w:sz="0" w:space="0" w:color="auto"/>
      </w:divBdr>
    </w:div>
    <w:div w:id="1956329809">
      <w:marLeft w:val="0"/>
      <w:marRight w:val="0"/>
      <w:marTop w:val="0"/>
      <w:marBottom w:val="0"/>
      <w:divBdr>
        <w:top w:val="none" w:sz="0" w:space="0" w:color="auto"/>
        <w:left w:val="none" w:sz="0" w:space="0" w:color="auto"/>
        <w:bottom w:val="none" w:sz="0" w:space="0" w:color="auto"/>
        <w:right w:val="none" w:sz="0" w:space="0" w:color="auto"/>
      </w:divBdr>
      <w:divsChild>
        <w:div w:id="1783841532">
          <w:marLeft w:val="0"/>
          <w:marRight w:val="0"/>
          <w:marTop w:val="0"/>
          <w:marBottom w:val="0"/>
          <w:divBdr>
            <w:top w:val="none" w:sz="0" w:space="0" w:color="auto"/>
            <w:left w:val="none" w:sz="0" w:space="0" w:color="auto"/>
            <w:bottom w:val="none" w:sz="0" w:space="0" w:color="auto"/>
            <w:right w:val="none" w:sz="0" w:space="0" w:color="auto"/>
          </w:divBdr>
          <w:divsChild>
            <w:div w:id="1854805466">
              <w:marLeft w:val="0"/>
              <w:marRight w:val="0"/>
              <w:marTop w:val="0"/>
              <w:marBottom w:val="0"/>
              <w:divBdr>
                <w:top w:val="none" w:sz="0" w:space="0" w:color="auto"/>
                <w:left w:val="none" w:sz="0" w:space="0" w:color="auto"/>
                <w:bottom w:val="none" w:sz="0" w:space="0" w:color="auto"/>
                <w:right w:val="none" w:sz="0" w:space="0" w:color="auto"/>
              </w:divBdr>
              <w:divsChild>
                <w:div w:id="801264491">
                  <w:marLeft w:val="0"/>
                  <w:marRight w:val="0"/>
                  <w:marTop w:val="0"/>
                  <w:marBottom w:val="0"/>
                  <w:divBdr>
                    <w:top w:val="none" w:sz="0" w:space="0" w:color="auto"/>
                    <w:left w:val="none" w:sz="0" w:space="0" w:color="auto"/>
                    <w:bottom w:val="none" w:sz="0" w:space="0" w:color="auto"/>
                    <w:right w:val="none" w:sz="0" w:space="0" w:color="auto"/>
                  </w:divBdr>
                </w:div>
                <w:div w:id="1030303835">
                  <w:marLeft w:val="0"/>
                  <w:marRight w:val="0"/>
                  <w:marTop w:val="0"/>
                  <w:marBottom w:val="0"/>
                  <w:divBdr>
                    <w:top w:val="none" w:sz="0" w:space="0" w:color="auto"/>
                    <w:left w:val="none" w:sz="0" w:space="0" w:color="auto"/>
                    <w:bottom w:val="none" w:sz="0" w:space="0" w:color="auto"/>
                    <w:right w:val="none" w:sz="0" w:space="0" w:color="auto"/>
                  </w:divBdr>
                </w:div>
                <w:div w:id="1107651554">
                  <w:marLeft w:val="0"/>
                  <w:marRight w:val="0"/>
                  <w:marTop w:val="0"/>
                  <w:marBottom w:val="0"/>
                  <w:divBdr>
                    <w:top w:val="none" w:sz="0" w:space="0" w:color="auto"/>
                    <w:left w:val="none" w:sz="0" w:space="0" w:color="auto"/>
                    <w:bottom w:val="none" w:sz="0" w:space="0" w:color="auto"/>
                    <w:right w:val="none" w:sz="0" w:space="0" w:color="auto"/>
                  </w:divBdr>
                </w:div>
                <w:div w:id="1238321136">
                  <w:marLeft w:val="0"/>
                  <w:marRight w:val="0"/>
                  <w:marTop w:val="0"/>
                  <w:marBottom w:val="0"/>
                  <w:divBdr>
                    <w:top w:val="none" w:sz="0" w:space="0" w:color="auto"/>
                    <w:left w:val="none" w:sz="0" w:space="0" w:color="auto"/>
                    <w:bottom w:val="none" w:sz="0" w:space="0" w:color="auto"/>
                    <w:right w:val="none" w:sz="0" w:space="0" w:color="auto"/>
                  </w:divBdr>
                </w:div>
                <w:div w:id="1317759343">
                  <w:marLeft w:val="0"/>
                  <w:marRight w:val="0"/>
                  <w:marTop w:val="0"/>
                  <w:marBottom w:val="0"/>
                  <w:divBdr>
                    <w:top w:val="none" w:sz="0" w:space="0" w:color="auto"/>
                    <w:left w:val="none" w:sz="0" w:space="0" w:color="auto"/>
                    <w:bottom w:val="none" w:sz="0" w:space="0" w:color="auto"/>
                    <w:right w:val="none" w:sz="0" w:space="0" w:color="auto"/>
                  </w:divBdr>
                </w:div>
                <w:div w:id="1637024000">
                  <w:marLeft w:val="0"/>
                  <w:marRight w:val="0"/>
                  <w:marTop w:val="0"/>
                  <w:marBottom w:val="0"/>
                  <w:divBdr>
                    <w:top w:val="none" w:sz="0" w:space="0" w:color="auto"/>
                    <w:left w:val="none" w:sz="0" w:space="0" w:color="auto"/>
                    <w:bottom w:val="none" w:sz="0" w:space="0" w:color="auto"/>
                    <w:right w:val="none" w:sz="0" w:space="0" w:color="auto"/>
                  </w:divBdr>
                </w:div>
                <w:div w:id="193550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237354">
          <w:marLeft w:val="0"/>
          <w:marRight w:val="0"/>
          <w:marTop w:val="0"/>
          <w:marBottom w:val="0"/>
          <w:divBdr>
            <w:top w:val="none" w:sz="0" w:space="0" w:color="auto"/>
            <w:left w:val="none" w:sz="0" w:space="0" w:color="auto"/>
            <w:bottom w:val="none" w:sz="0" w:space="0" w:color="auto"/>
            <w:right w:val="none" w:sz="0" w:space="0" w:color="auto"/>
          </w:divBdr>
          <w:divsChild>
            <w:div w:id="1250042715">
              <w:marLeft w:val="0"/>
              <w:marRight w:val="0"/>
              <w:marTop w:val="0"/>
              <w:marBottom w:val="0"/>
              <w:divBdr>
                <w:top w:val="none" w:sz="0" w:space="0" w:color="auto"/>
                <w:left w:val="none" w:sz="0" w:space="0" w:color="auto"/>
                <w:bottom w:val="none" w:sz="0" w:space="0" w:color="auto"/>
                <w:right w:val="none" w:sz="0" w:space="0" w:color="auto"/>
              </w:divBdr>
              <w:divsChild>
                <w:div w:id="1795631012">
                  <w:marLeft w:val="0"/>
                  <w:marRight w:val="0"/>
                  <w:marTop w:val="0"/>
                  <w:marBottom w:val="0"/>
                  <w:divBdr>
                    <w:top w:val="none" w:sz="0" w:space="0" w:color="auto"/>
                    <w:left w:val="none" w:sz="0" w:space="0" w:color="auto"/>
                    <w:bottom w:val="none" w:sz="0" w:space="0" w:color="auto"/>
                    <w:right w:val="none" w:sz="0" w:space="0" w:color="auto"/>
                  </w:divBdr>
                  <w:divsChild>
                    <w:div w:id="253977773">
                      <w:marLeft w:val="0"/>
                      <w:marRight w:val="0"/>
                      <w:marTop w:val="0"/>
                      <w:marBottom w:val="0"/>
                      <w:divBdr>
                        <w:top w:val="none" w:sz="0" w:space="0" w:color="auto"/>
                        <w:left w:val="none" w:sz="0" w:space="0" w:color="auto"/>
                        <w:bottom w:val="none" w:sz="0" w:space="0" w:color="auto"/>
                        <w:right w:val="none" w:sz="0" w:space="0" w:color="auto"/>
                      </w:divBdr>
                    </w:div>
                    <w:div w:id="517085595">
                      <w:marLeft w:val="0"/>
                      <w:marRight w:val="0"/>
                      <w:marTop w:val="0"/>
                      <w:marBottom w:val="0"/>
                      <w:divBdr>
                        <w:top w:val="none" w:sz="0" w:space="0" w:color="auto"/>
                        <w:left w:val="none" w:sz="0" w:space="0" w:color="auto"/>
                        <w:bottom w:val="none" w:sz="0" w:space="0" w:color="auto"/>
                        <w:right w:val="none" w:sz="0" w:space="0" w:color="auto"/>
                      </w:divBdr>
                    </w:div>
                    <w:div w:id="123470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104554">
      <w:bodyDiv w:val="1"/>
      <w:marLeft w:val="0"/>
      <w:marRight w:val="0"/>
      <w:marTop w:val="0"/>
      <w:marBottom w:val="0"/>
      <w:divBdr>
        <w:top w:val="none" w:sz="0" w:space="0" w:color="auto"/>
        <w:left w:val="none" w:sz="0" w:space="0" w:color="auto"/>
        <w:bottom w:val="none" w:sz="0" w:space="0" w:color="auto"/>
        <w:right w:val="none" w:sz="0" w:space="0" w:color="auto"/>
      </w:divBdr>
    </w:div>
    <w:div w:id="2008291738">
      <w:marLeft w:val="0"/>
      <w:marRight w:val="0"/>
      <w:marTop w:val="0"/>
      <w:marBottom w:val="0"/>
      <w:divBdr>
        <w:top w:val="none" w:sz="0" w:space="0" w:color="auto"/>
        <w:left w:val="none" w:sz="0" w:space="0" w:color="auto"/>
        <w:bottom w:val="none" w:sz="0" w:space="0" w:color="auto"/>
        <w:right w:val="none" w:sz="0" w:space="0" w:color="auto"/>
      </w:divBdr>
    </w:div>
    <w:div w:id="2047293219">
      <w:bodyDiv w:val="1"/>
      <w:marLeft w:val="0"/>
      <w:marRight w:val="0"/>
      <w:marTop w:val="0"/>
      <w:marBottom w:val="0"/>
      <w:divBdr>
        <w:top w:val="none" w:sz="0" w:space="0" w:color="auto"/>
        <w:left w:val="none" w:sz="0" w:space="0" w:color="auto"/>
        <w:bottom w:val="none" w:sz="0" w:space="0" w:color="auto"/>
        <w:right w:val="none" w:sz="0" w:space="0" w:color="auto"/>
      </w:divBdr>
    </w:div>
    <w:div w:id="2107262778">
      <w:marLeft w:val="0"/>
      <w:marRight w:val="0"/>
      <w:marTop w:val="0"/>
      <w:marBottom w:val="0"/>
      <w:divBdr>
        <w:top w:val="none" w:sz="0" w:space="0" w:color="auto"/>
        <w:left w:val="none" w:sz="0" w:space="0" w:color="auto"/>
        <w:bottom w:val="none" w:sz="0" w:space="0" w:color="auto"/>
        <w:right w:val="none" w:sz="0" w:space="0" w:color="auto"/>
      </w:divBdr>
      <w:divsChild>
        <w:div w:id="661854386">
          <w:marLeft w:val="0"/>
          <w:marRight w:val="0"/>
          <w:marTop w:val="0"/>
          <w:marBottom w:val="0"/>
          <w:divBdr>
            <w:top w:val="none" w:sz="0" w:space="0" w:color="auto"/>
            <w:left w:val="none" w:sz="0" w:space="0" w:color="auto"/>
            <w:bottom w:val="none" w:sz="0" w:space="0" w:color="auto"/>
            <w:right w:val="none" w:sz="0" w:space="0" w:color="auto"/>
          </w:divBdr>
          <w:divsChild>
            <w:div w:id="1359699682">
              <w:marLeft w:val="0"/>
              <w:marRight w:val="0"/>
              <w:marTop w:val="0"/>
              <w:marBottom w:val="0"/>
              <w:divBdr>
                <w:top w:val="none" w:sz="0" w:space="0" w:color="auto"/>
                <w:left w:val="none" w:sz="0" w:space="0" w:color="auto"/>
                <w:bottom w:val="none" w:sz="0" w:space="0" w:color="auto"/>
                <w:right w:val="none" w:sz="0" w:space="0" w:color="auto"/>
              </w:divBdr>
              <w:divsChild>
                <w:div w:id="630400188">
                  <w:marLeft w:val="0"/>
                  <w:marRight w:val="0"/>
                  <w:marTop w:val="0"/>
                  <w:marBottom w:val="0"/>
                  <w:divBdr>
                    <w:top w:val="none" w:sz="0" w:space="0" w:color="auto"/>
                    <w:left w:val="none" w:sz="0" w:space="0" w:color="auto"/>
                    <w:bottom w:val="none" w:sz="0" w:space="0" w:color="auto"/>
                    <w:right w:val="none" w:sz="0" w:space="0" w:color="auto"/>
                  </w:divBdr>
                  <w:divsChild>
                    <w:div w:id="173961738">
                      <w:marLeft w:val="0"/>
                      <w:marRight w:val="0"/>
                      <w:marTop w:val="0"/>
                      <w:marBottom w:val="0"/>
                      <w:divBdr>
                        <w:top w:val="none" w:sz="0" w:space="0" w:color="auto"/>
                        <w:left w:val="none" w:sz="0" w:space="0" w:color="auto"/>
                        <w:bottom w:val="none" w:sz="0" w:space="0" w:color="auto"/>
                        <w:right w:val="none" w:sz="0" w:space="0" w:color="auto"/>
                      </w:divBdr>
                      <w:divsChild>
                        <w:div w:id="1894610586">
                          <w:marLeft w:val="0"/>
                          <w:marRight w:val="0"/>
                          <w:marTop w:val="0"/>
                          <w:marBottom w:val="0"/>
                          <w:divBdr>
                            <w:top w:val="none" w:sz="0" w:space="0" w:color="auto"/>
                            <w:left w:val="none" w:sz="0" w:space="0" w:color="auto"/>
                            <w:bottom w:val="none" w:sz="0" w:space="0" w:color="auto"/>
                            <w:right w:val="none" w:sz="0" w:space="0" w:color="auto"/>
                          </w:divBdr>
                        </w:div>
                      </w:divsChild>
                    </w:div>
                    <w:div w:id="284847720">
                      <w:marLeft w:val="0"/>
                      <w:marRight w:val="0"/>
                      <w:marTop w:val="0"/>
                      <w:marBottom w:val="0"/>
                      <w:divBdr>
                        <w:top w:val="none" w:sz="0" w:space="0" w:color="auto"/>
                        <w:left w:val="none" w:sz="0" w:space="0" w:color="auto"/>
                        <w:bottom w:val="none" w:sz="0" w:space="0" w:color="auto"/>
                        <w:right w:val="none" w:sz="0" w:space="0" w:color="auto"/>
                      </w:divBdr>
                    </w:div>
                  </w:divsChild>
                </w:div>
                <w:div w:id="1340431576">
                  <w:marLeft w:val="0"/>
                  <w:marRight w:val="0"/>
                  <w:marTop w:val="0"/>
                  <w:marBottom w:val="0"/>
                  <w:divBdr>
                    <w:top w:val="none" w:sz="0" w:space="0" w:color="auto"/>
                    <w:left w:val="none" w:sz="0" w:space="0" w:color="auto"/>
                    <w:bottom w:val="none" w:sz="0" w:space="0" w:color="auto"/>
                    <w:right w:val="none" w:sz="0" w:space="0" w:color="auto"/>
                  </w:divBdr>
                  <w:divsChild>
                    <w:div w:id="1278949502">
                      <w:marLeft w:val="0"/>
                      <w:marRight w:val="0"/>
                      <w:marTop w:val="0"/>
                      <w:marBottom w:val="0"/>
                      <w:divBdr>
                        <w:top w:val="none" w:sz="0" w:space="0" w:color="auto"/>
                        <w:left w:val="none" w:sz="0" w:space="0" w:color="auto"/>
                        <w:bottom w:val="none" w:sz="0" w:space="0" w:color="auto"/>
                        <w:right w:val="none" w:sz="0" w:space="0" w:color="auto"/>
                      </w:divBdr>
                    </w:div>
                  </w:divsChild>
                </w:div>
                <w:div w:id="19061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7.emf"/><Relationship Id="rId39" Type="http://schemas.openxmlformats.org/officeDocument/2006/relationships/hyperlink" Target="https://smd.iso-ne.com/operations-services/ceii/pac/2016/06/a3_transmission_transfer_capabilities_update.pdf" TargetMode="External"/><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4.emf"/><Relationship Id="rId47" Type="http://schemas.openxmlformats.org/officeDocument/2006/relationships/footer" Target="footer11.xml"/><Relationship Id="rId50" Type="http://schemas.openxmlformats.org/officeDocument/2006/relationships/image" Target="media/image19.emf"/><Relationship Id="rId55" Type="http://schemas.openxmlformats.org/officeDocument/2006/relationships/image" Target="media/image24.emf"/><Relationship Id="rId63" Type="http://schemas.openxmlformats.org/officeDocument/2006/relationships/image" Target="media/image32.emf"/><Relationship Id="rId68" Type="http://schemas.openxmlformats.org/officeDocument/2006/relationships/image" Target="media/image37.emf"/><Relationship Id="rId76" Type="http://schemas.microsoft.com/office/2011/relationships/people" Target="people.xml"/><Relationship Id="rId7" Type="http://schemas.openxmlformats.org/officeDocument/2006/relationships/footnotes" Target="footnotes.xml"/><Relationship Id="rId71"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8.emf"/><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footer" Target="footer9.xml"/><Relationship Id="rId37" Type="http://schemas.openxmlformats.org/officeDocument/2006/relationships/hyperlink" Target="https://smd.iso-ne.com/operations-services/ceii/pac/2016/06/a3_transmission_transfer_capabilities_update.pdf" TargetMode="External"/><Relationship Id="rId40" Type="http://schemas.openxmlformats.org/officeDocument/2006/relationships/image" Target="media/image12.emf"/><Relationship Id="rId45" Type="http://schemas.openxmlformats.org/officeDocument/2006/relationships/image" Target="media/image17.png"/><Relationship Id="rId53" Type="http://schemas.openxmlformats.org/officeDocument/2006/relationships/image" Target="media/image22.emf"/><Relationship Id="rId58" Type="http://schemas.openxmlformats.org/officeDocument/2006/relationships/image" Target="media/image27.emf"/><Relationship Id="rId66" Type="http://schemas.openxmlformats.org/officeDocument/2006/relationships/image" Target="media/image35.emf"/><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emf"/><Relationship Id="rId28" Type="http://schemas.openxmlformats.org/officeDocument/2006/relationships/footer" Target="footer8.xml"/><Relationship Id="rId36" Type="http://schemas.openxmlformats.org/officeDocument/2006/relationships/hyperlink" Target="https://smd.iso-ne.com/operations-services/ceii/pac/2016/06/a3_transmission_transfer_capabilities_update.pdf" TargetMode="External"/><Relationship Id="rId49" Type="http://schemas.openxmlformats.org/officeDocument/2006/relationships/footer" Target="footer13.xml"/><Relationship Id="rId57" Type="http://schemas.openxmlformats.org/officeDocument/2006/relationships/image" Target="media/image26.emf"/><Relationship Id="rId61" Type="http://schemas.openxmlformats.org/officeDocument/2006/relationships/image" Target="media/image30.emf"/><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image" Target="media/image10.emf"/><Relationship Id="rId44" Type="http://schemas.openxmlformats.org/officeDocument/2006/relationships/image" Target="media/image16.emf"/><Relationship Id="rId52" Type="http://schemas.openxmlformats.org/officeDocument/2006/relationships/image" Target="media/image21.emf"/><Relationship Id="rId60" Type="http://schemas.openxmlformats.org/officeDocument/2006/relationships/image" Target="media/image29.emf"/><Relationship Id="rId65" Type="http://schemas.openxmlformats.org/officeDocument/2006/relationships/image" Target="media/image34.emf"/><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5.emf"/><Relationship Id="rId27" Type="http://schemas.openxmlformats.org/officeDocument/2006/relationships/footer" Target="footer7.xml"/><Relationship Id="rId30" Type="http://schemas.openxmlformats.org/officeDocument/2006/relationships/image" Target="media/image9.emf"/><Relationship Id="rId35" Type="http://schemas.openxmlformats.org/officeDocument/2006/relationships/hyperlink" Target="https://smd.iso-ne.com/operations-services/ceii/pac/2016/06/a3_transmission_transfer_capabilities_update.pdf" TargetMode="External"/><Relationship Id="rId43" Type="http://schemas.openxmlformats.org/officeDocument/2006/relationships/image" Target="media/image15.emf"/><Relationship Id="rId48" Type="http://schemas.openxmlformats.org/officeDocument/2006/relationships/footer" Target="footer12.xml"/><Relationship Id="rId56" Type="http://schemas.openxmlformats.org/officeDocument/2006/relationships/image" Target="media/image25.emf"/><Relationship Id="rId64" Type="http://schemas.openxmlformats.org/officeDocument/2006/relationships/image" Target="media/image33.emf"/><Relationship Id="rId69" Type="http://schemas.openxmlformats.org/officeDocument/2006/relationships/image" Target="media/image38.emf"/><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footer" Target="footer1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hyperlink" Target="https://smd.iso-ne.com/operations-services/ceii/pac/2016/06/a3_transmission_transfer_capabilities_update.pdf" TargetMode="External"/><Relationship Id="rId46" Type="http://schemas.openxmlformats.org/officeDocument/2006/relationships/image" Target="media/image18.emf"/><Relationship Id="rId59" Type="http://schemas.openxmlformats.org/officeDocument/2006/relationships/image" Target="media/image28.emf"/><Relationship Id="rId67" Type="http://schemas.openxmlformats.org/officeDocument/2006/relationships/image" Target="media/image36.emf"/><Relationship Id="rId20" Type="http://schemas.openxmlformats.org/officeDocument/2006/relationships/image" Target="media/image3.emf"/><Relationship Id="rId41" Type="http://schemas.openxmlformats.org/officeDocument/2006/relationships/image" Target="media/image13.emf"/><Relationship Id="rId54" Type="http://schemas.openxmlformats.org/officeDocument/2006/relationships/image" Target="media/image23.emf"/><Relationship Id="rId62" Type="http://schemas.openxmlformats.org/officeDocument/2006/relationships/image" Target="media/image31.emf"/><Relationship Id="rId70" Type="http://schemas.openxmlformats.org/officeDocument/2006/relationships/header" Target="header6.xml"/><Relationship Id="rId75"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3" Type="http://schemas.openxmlformats.org/officeDocument/2006/relationships/hyperlink" Target="https://www.iso-ne.com/static-assets/documents/2016/06/a9_2016_economic_study_assumptions.pdf" TargetMode="External"/><Relationship Id="rId18" Type="http://schemas.openxmlformats.org/officeDocument/2006/relationships/hyperlink" Target="https://www.iso-ne.com/static-assets/documents/2016/08/a5_generic_and_region_specific_costs_of_new_generating_technologies.pdf" TargetMode="External"/><Relationship Id="rId26" Type="http://schemas.openxmlformats.org/officeDocument/2006/relationships/hyperlink" Target="http://www.iso-ne.com/static-assets/documents/2016/07/a6_2016_economic_study_update.pdf" TargetMode="External"/><Relationship Id="rId39" Type="http://schemas.openxmlformats.org/officeDocument/2006/relationships/hyperlink" Target="https://smd.iso-ne.com/operations-services/ceii/pac/2016/09/a3_maine_resource_integration_study.pdf%20" TargetMode="External"/><Relationship Id="rId3" Type="http://schemas.openxmlformats.org/officeDocument/2006/relationships/hyperlink" Target="http://www.iso-ne.com/static-assets/documents/2016/04/nepool_economic_study_request_scenario_analysis.docx" TargetMode="External"/><Relationship Id="rId21" Type="http://schemas.openxmlformats.org/officeDocument/2006/relationships/hyperlink" Target="http://www.iso-ne.com/static-assets/documents/2016/05/a3_2016_economic_study_scope_of_work_rps_spreadsheet.xlsx" TargetMode="External"/><Relationship Id="rId34" Type="http://schemas.openxmlformats.org/officeDocument/2006/relationships/hyperlink" Target="https://www.iso-ne.com/static-assets/documents/2016/09/2015_economic_study_offshore_wind_development_final.docx" TargetMode="External"/><Relationship Id="rId42" Type="http://schemas.openxmlformats.org/officeDocument/2006/relationships/hyperlink" Target="https://www.iso-ne.com/static-assets/documents/2016/08/a6_2016_economic_study_draft_results.pdf" TargetMode="External"/><Relationship Id="rId47" Type="http://schemas.openxmlformats.org/officeDocument/2006/relationships/hyperlink" Target="https://www.iso-ne.com/static-assets/documents/2016/10/2016_economic_studies_high_level_transmission_costs_rev1.pdf" TargetMode="External"/><Relationship Id="rId50" Type="http://schemas.openxmlformats.org/officeDocument/2006/relationships/hyperlink" Target="https://www.iso-ne.com/static-assets/documents/2016/08/a6_2016_economic_study_draft_results_appendix.pdf" TargetMode="External"/><Relationship Id="rId7" Type="http://schemas.openxmlformats.org/officeDocument/2006/relationships/hyperlink" Target="https://www.iso-ne.com/static-assets/documents/2016/08/a5_generic_and_region_specific_costs_of_new_generating_technologies.pdf" TargetMode="External"/><Relationship Id="rId12" Type="http://schemas.openxmlformats.org/officeDocument/2006/relationships/hyperlink" Target="https://www.iso-ne.com/static-assets/documents/2015/11/rsp15_final_110515.docx%20" TargetMode="External"/><Relationship Id="rId17" Type="http://schemas.openxmlformats.org/officeDocument/2006/relationships/hyperlink" Target="http://www.iso-ne.com/static-assets/documents/2016/07/a6_2016_economic_study_update.pdf" TargetMode="External"/><Relationship Id="rId25" Type="http://schemas.openxmlformats.org/officeDocument/2006/relationships/hyperlink" Target="http://www.iso-ne.com/static-assets/documents/2016/06/a9_2016_economic_study_assumptions.pdf" TargetMode="External"/><Relationship Id="rId33" Type="http://schemas.openxmlformats.org/officeDocument/2006/relationships/hyperlink" Target="https://www.iso-ne.com/static-assets/documents/2016/09/2015_economic_study_keene_road_increased_export_limits_fina.docx" TargetMode="External"/><Relationship Id="rId38" Type="http://schemas.openxmlformats.org/officeDocument/2006/relationships/hyperlink" Target="https://smd.iso-ne.com/operations-services/ceii/pac/2017/02/a6_maine_resource_integration_study.pdf" TargetMode="External"/><Relationship Id="rId46" Type="http://schemas.openxmlformats.org/officeDocument/2006/relationships/hyperlink" Target="https://www.iso-ne.com/static-assets/documents/2016/12/a9_1_2016_economic_study_executive_summary_and_metrics_update.pdf" TargetMode="External"/><Relationship Id="rId2" Type="http://schemas.openxmlformats.org/officeDocument/2006/relationships/hyperlink" Target="https://www.iso-ne.com/static-assets/documents/2016/02/a2_stakeholder_process_for_submission_of_2016_economic_study_requests.pdf" TargetMode="External"/><Relationship Id="rId16" Type="http://schemas.openxmlformats.org/officeDocument/2006/relationships/hyperlink" Target="http://www.iso-ne.com/static-assets/documents/2016/06/a9_2016_economic_study_assumptions.pdf" TargetMode="External"/><Relationship Id="rId20" Type="http://schemas.openxmlformats.org/officeDocument/2006/relationships/hyperlink" Target="https://www.iso-ne.com/static-assets/documents/2016/05/2016_celt_report.xls" TargetMode="External"/><Relationship Id="rId29" Type="http://schemas.openxmlformats.org/officeDocument/2006/relationships/hyperlink" Target="https://www.iso-ne.com/system-planning/system-plans-studies/rsp" TargetMode="External"/><Relationship Id="rId41" Type="http://schemas.openxmlformats.org/officeDocument/2006/relationships/hyperlink" Target="https://iso-ne.com/static-assets/documents/2016/09/a7_2016_economic_study_part_2_appendix.pdf" TargetMode="External"/><Relationship Id="rId1" Type="http://schemas.openxmlformats.org/officeDocument/2006/relationships/hyperlink" Target="https://www.iso-ne.com/static-assets/documents/regulatory/tariff/sect_2/oatt/sect_ii.pdf" TargetMode="External"/><Relationship Id="rId6" Type="http://schemas.openxmlformats.org/officeDocument/2006/relationships/hyperlink" Target="http://www.iso-ne.com/static-assets/documents/2016/07/a6_2016_economic_study_update.pdf" TargetMode="External"/><Relationship Id="rId11" Type="http://schemas.openxmlformats.org/officeDocument/2006/relationships/hyperlink" Target="https://www.eia.gov/outlooks/archive/aeo16/" TargetMode="External"/><Relationship Id="rId24" Type="http://schemas.openxmlformats.org/officeDocument/2006/relationships/hyperlink" Target="https://iso-ne.com/static-assets/documents/2016/05/a3_2016_economic_study_scope_of_work_assumptions.pdf" TargetMode="External"/><Relationship Id="rId32" Type="http://schemas.openxmlformats.org/officeDocument/2006/relationships/hyperlink" Target="http://www.iso-ne.com/static-assets/documents/2016/05/a3_2016_economic_study_scope_of_work_rps_spreadsheet.xlsx" TargetMode="External"/><Relationship Id="rId37" Type="http://schemas.openxmlformats.org/officeDocument/2006/relationships/hyperlink" Target="https://view.officeapps.live.com/op/view.aspx?src=https%3A%2F%2Fwww.iso-ne.com%2Fstatic-assets%2Fdocuments%2F2016%2F09%2Fa7_cone_ortp_concentric_energy_advisors.pptx" TargetMode="External"/><Relationship Id="rId40" Type="http://schemas.openxmlformats.org/officeDocument/2006/relationships/hyperlink" Target="https://iso-ne.com/static-assets/documents/2016/09/a6_2016_economic_study_draft_results_part_2.pdf" TargetMode="External"/><Relationship Id="rId45" Type="http://schemas.openxmlformats.org/officeDocument/2006/relationships/hyperlink" Target="https://www.iso-ne.com/static-assets/documents/2016/09/a6_2016_economic_study_draft_results_part_2.pdf" TargetMode="External"/><Relationship Id="rId5" Type="http://schemas.openxmlformats.org/officeDocument/2006/relationships/hyperlink" Target="http://www.iso-ne.com/static-assets/documents/2016/06/a9_2016_economic_study_assumptions.pdf" TargetMode="External"/><Relationship Id="rId15" Type="http://schemas.openxmlformats.org/officeDocument/2006/relationships/hyperlink" Target="http://www.iso-ne.com/static-assets/documents/2016/04/nepool_economic_study_request_scenario_analysis.docx" TargetMode="External"/><Relationship Id="rId23" Type="http://schemas.openxmlformats.org/officeDocument/2006/relationships/hyperlink" Target="https://www.iso-ne.com/system-planning/transmission-planning/interconnection-request-queue%20" TargetMode="External"/><Relationship Id="rId28" Type="http://schemas.openxmlformats.org/officeDocument/2006/relationships/hyperlink" Target="https://www.nrel.gov/grid/solar-power-data.html" TargetMode="External"/><Relationship Id="rId36" Type="http://schemas.openxmlformats.org/officeDocument/2006/relationships/hyperlink" Target="http://www.nyiso.com/public/webdocs/markets_operations/services/planning/Planning_Studies/Economic_Planning_Studies_(CARIS)/CARIS_Input_Assumptions/2016%20CARIS%202%20Input%20Data%20Summary.xls" TargetMode="External"/><Relationship Id="rId49" Type="http://schemas.openxmlformats.org/officeDocument/2006/relationships/hyperlink" Target="https://www.iso-ne.com/system-planning/key-study-areas/maine" TargetMode="External"/><Relationship Id="rId10" Type="http://schemas.openxmlformats.org/officeDocument/2006/relationships/hyperlink" Target="https://smd.iso-ne.com/operations-services/ceii/pac/2016/06/a3_transmission_transfer_capabilities_update.pdf" TargetMode="External"/><Relationship Id="rId19" Type="http://schemas.openxmlformats.org/officeDocument/2006/relationships/hyperlink" Target="https://www.iso-ne.com/static-assets/documents/2016/10/2016_economic_studies_high_level_transmission_costs_rev1.pdf" TargetMode="External"/><Relationship Id="rId31" Type="http://schemas.openxmlformats.org/officeDocument/2006/relationships/hyperlink" Target="https://www.iso-ne.com/static-assets/documents/2016/09/2015_economic_study_offshore_wind_development_final.docx" TargetMode="External"/><Relationship Id="rId44" Type="http://schemas.openxmlformats.org/officeDocument/2006/relationships/hyperlink" Target="https://www.iso-ne.com/committees/planning/planning-advisory/?document-type=Economic%20Studies" TargetMode="External"/><Relationship Id="rId4" Type="http://schemas.openxmlformats.org/officeDocument/2006/relationships/hyperlink" Target="file:///C:\Users\Carol\AppData\Local\Temp\),%20https:\www.iso-ne.com\system-planning\transmission-planning\interconnection-request-queue" TargetMode="External"/><Relationship Id="rId9" Type="http://schemas.openxmlformats.org/officeDocument/2006/relationships/hyperlink" Target="https://www.iso-ne.com/static-assets/documents/2016/05/2016_celt_report.xls" TargetMode="External"/><Relationship Id="rId14" Type="http://schemas.openxmlformats.org/officeDocument/2006/relationships/hyperlink" Target="https://iso-ne.com/static-assets/documents/regulatory/tariff/sect_2/oatt/sect_ii.pdf" TargetMode="External"/><Relationship Id="rId22" Type="http://schemas.openxmlformats.org/officeDocument/2006/relationships/hyperlink" Target="https://www.iso-ne.com/system-planning/transmission-planning/interconnection-request-queue" TargetMode="External"/><Relationship Id="rId27" Type="http://schemas.openxmlformats.org/officeDocument/2006/relationships/hyperlink" Target="https://www.iso-ne.com/committees/planning/energy-efficiency-forecast" TargetMode="External"/><Relationship Id="rId30" Type="http://schemas.openxmlformats.org/officeDocument/2006/relationships/hyperlink" Target="https://www.iso-ne.com/static-assets/documents/rules_proceds/operating/isone/op8/op8_rto_final.pdf" TargetMode="External"/><Relationship Id="rId35" Type="http://schemas.openxmlformats.org/officeDocument/2006/relationships/hyperlink" Target="http://www.eia.gov/forecasts/aeo/index.cfm" TargetMode="External"/><Relationship Id="rId43" Type="http://schemas.openxmlformats.org/officeDocument/2006/relationships/hyperlink" Target="https://www.iso-ne.com/static-assets/documents/2016/08/a6_2016_economic_study_draft_results_appendix.pdf" TargetMode="External"/><Relationship Id="rId48" Type="http://schemas.openxmlformats.org/officeDocument/2006/relationships/hyperlink" Target="https://www.iso-ne.com/static-assets/documents/2017/01/a6_2016_economic_studies_preliminary_high_level_order_of_magnitude_transmission_development_costs_scenario_6_update.pdf" TargetMode="External"/><Relationship Id="rId8" Type="http://schemas.openxmlformats.org/officeDocument/2006/relationships/hyperlink" Target="https://www.iso-ne.com/static-assets/documents/2016/10/2016_economic_studies_high_level_transmission_costs_rev1.pdf" TargetMode="External"/><Relationship Id="rId51" Type="http://schemas.openxmlformats.org/officeDocument/2006/relationships/hyperlink" Target="http://www.iso-ne.com/static-%20assets/documents/2016/03/a2_maine_resource_integration_study_scope_of_%20%20work.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CCC0D-E940-4022-AB5F-CBA298AB7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28268</Words>
  <Characters>161134</Characters>
  <Application>Microsoft Office Word</Application>
  <DocSecurity>0</DocSecurity>
  <Lines>1342</Lines>
  <Paragraphs>378</Paragraphs>
  <ScaleCrop>false</ScaleCrop>
  <Company/>
  <LinksUpToDate>false</LinksUpToDate>
  <CharactersWithSpaces>189024</CharactersWithSpaces>
  <SharedDoc>false</SharedDoc>
  <HLinks>
    <vt:vector size="180" baseType="variant">
      <vt:variant>
        <vt:i4>5832765</vt:i4>
      </vt:variant>
      <vt:variant>
        <vt:i4>312</vt:i4>
      </vt:variant>
      <vt:variant>
        <vt:i4>0</vt:i4>
      </vt:variant>
      <vt:variant>
        <vt:i4>5</vt:i4>
      </vt:variant>
      <vt:variant>
        <vt:lpwstr>../../../AppData/Local/Microsoft/AppData/Local/Microsoft/Windows/Temporary Internet Files/Content.Outlook/L3G0JW5V/),  https:/iso-ne.com/static-assets/documents/2016/08/a5_generic_and_region_specific_costs_of_new_generating_technologies.pdf</vt:lpwstr>
      </vt:variant>
      <vt:variant>
        <vt:lpwstr/>
      </vt:variant>
      <vt:variant>
        <vt:i4>3932270</vt:i4>
      </vt:variant>
      <vt:variant>
        <vt:i4>273</vt:i4>
      </vt:variant>
      <vt:variant>
        <vt:i4>0</vt:i4>
      </vt:variant>
      <vt:variant>
        <vt:i4>5</vt:i4>
      </vt:variant>
      <vt:variant>
        <vt:lpwstr>http://www.eia.gov/forecasts/aeo/index.cfm</vt:lpwstr>
      </vt:variant>
      <vt:variant>
        <vt:lpwstr/>
      </vt:variant>
      <vt:variant>
        <vt:i4>6619234</vt:i4>
      </vt:variant>
      <vt:variant>
        <vt:i4>240</vt:i4>
      </vt:variant>
      <vt:variant>
        <vt:i4>0</vt:i4>
      </vt:variant>
      <vt:variant>
        <vt:i4>5</vt:i4>
      </vt:variant>
      <vt:variant>
        <vt:lpwstr>http://www.iso-ne.com/static-assets/documents/2016/03/a2_fca11_zonal_boundary_determinations.pdf</vt:lpwstr>
      </vt:variant>
      <vt:variant>
        <vt:lpwstr/>
      </vt:variant>
      <vt:variant>
        <vt:i4>6619234</vt:i4>
      </vt:variant>
      <vt:variant>
        <vt:i4>237</vt:i4>
      </vt:variant>
      <vt:variant>
        <vt:i4>0</vt:i4>
      </vt:variant>
      <vt:variant>
        <vt:i4>5</vt:i4>
      </vt:variant>
      <vt:variant>
        <vt:lpwstr>http://www.iso-ne.com/static-assets/documents/2016/03/a2_fca11_zonal_boundary_determinations.pdf</vt:lpwstr>
      </vt:variant>
      <vt:variant>
        <vt:lpwstr/>
      </vt:variant>
      <vt:variant>
        <vt:i4>6619234</vt:i4>
      </vt:variant>
      <vt:variant>
        <vt:i4>234</vt:i4>
      </vt:variant>
      <vt:variant>
        <vt:i4>0</vt:i4>
      </vt:variant>
      <vt:variant>
        <vt:i4>5</vt:i4>
      </vt:variant>
      <vt:variant>
        <vt:lpwstr>http://www.iso-ne.com/static-assets/documents/2016/03/a2_fca11_zonal_boundary_determinations.pdf</vt:lpwstr>
      </vt:variant>
      <vt:variant>
        <vt:lpwstr/>
      </vt:variant>
      <vt:variant>
        <vt:i4>6619234</vt:i4>
      </vt:variant>
      <vt:variant>
        <vt:i4>231</vt:i4>
      </vt:variant>
      <vt:variant>
        <vt:i4>0</vt:i4>
      </vt:variant>
      <vt:variant>
        <vt:i4>5</vt:i4>
      </vt:variant>
      <vt:variant>
        <vt:lpwstr>http://www.iso-ne.com/static-assets/documents/2016/03/a2_fca11_zonal_boundary_determinations.pdf</vt:lpwstr>
      </vt:variant>
      <vt:variant>
        <vt:lpwstr/>
      </vt:variant>
      <vt:variant>
        <vt:i4>6619234</vt:i4>
      </vt:variant>
      <vt:variant>
        <vt:i4>228</vt:i4>
      </vt:variant>
      <vt:variant>
        <vt:i4>0</vt:i4>
      </vt:variant>
      <vt:variant>
        <vt:i4>5</vt:i4>
      </vt:variant>
      <vt:variant>
        <vt:lpwstr>http://www.iso-ne.com/static-assets/documents/2016/03/a2_fca11_zonal_boundary_determinations.pdf</vt:lpwstr>
      </vt:variant>
      <vt:variant>
        <vt:lpwstr/>
      </vt:variant>
      <vt:variant>
        <vt:i4>6619234</vt:i4>
      </vt:variant>
      <vt:variant>
        <vt:i4>225</vt:i4>
      </vt:variant>
      <vt:variant>
        <vt:i4>0</vt:i4>
      </vt:variant>
      <vt:variant>
        <vt:i4>5</vt:i4>
      </vt:variant>
      <vt:variant>
        <vt:lpwstr>http://www.iso-ne.com/static-assets/documents/2016/03/a2_fca11_zonal_boundary_determinations.pdf</vt:lpwstr>
      </vt:variant>
      <vt:variant>
        <vt:lpwstr/>
      </vt:variant>
      <vt:variant>
        <vt:i4>1114190</vt:i4>
      </vt:variant>
      <vt:variant>
        <vt:i4>216</vt:i4>
      </vt:variant>
      <vt:variant>
        <vt:i4>0</vt:i4>
      </vt:variant>
      <vt:variant>
        <vt:i4>5</vt:i4>
      </vt:variant>
      <vt:variant>
        <vt:lpwstr>https://smd.iso-ne.com/operations-services/ceii/pac/2016/06/a3_transmission_transfer_capabilities_update.pdf</vt:lpwstr>
      </vt:variant>
      <vt:variant>
        <vt:lpwstr/>
      </vt:variant>
      <vt:variant>
        <vt:i4>1114190</vt:i4>
      </vt:variant>
      <vt:variant>
        <vt:i4>213</vt:i4>
      </vt:variant>
      <vt:variant>
        <vt:i4>0</vt:i4>
      </vt:variant>
      <vt:variant>
        <vt:i4>5</vt:i4>
      </vt:variant>
      <vt:variant>
        <vt:lpwstr>https://smd.iso-ne.com/operations-services/ceii/pac/2016/06/a3_transmission_transfer_capabilities_update.pdf</vt:lpwstr>
      </vt:variant>
      <vt:variant>
        <vt:lpwstr/>
      </vt:variant>
      <vt:variant>
        <vt:i4>1114190</vt:i4>
      </vt:variant>
      <vt:variant>
        <vt:i4>210</vt:i4>
      </vt:variant>
      <vt:variant>
        <vt:i4>0</vt:i4>
      </vt:variant>
      <vt:variant>
        <vt:i4>5</vt:i4>
      </vt:variant>
      <vt:variant>
        <vt:lpwstr>https://smd.iso-ne.com/operations-services/ceii/pac/2016/06/a3_transmission_transfer_capabilities_update.pdf</vt:lpwstr>
      </vt:variant>
      <vt:variant>
        <vt:lpwstr/>
      </vt:variant>
      <vt:variant>
        <vt:i4>1114190</vt:i4>
      </vt:variant>
      <vt:variant>
        <vt:i4>207</vt:i4>
      </vt:variant>
      <vt:variant>
        <vt:i4>0</vt:i4>
      </vt:variant>
      <vt:variant>
        <vt:i4>5</vt:i4>
      </vt:variant>
      <vt:variant>
        <vt:lpwstr>https://smd.iso-ne.com/operations-services/ceii/pac/2016/06/a3_transmission_transfer_capabilities_update.pdf</vt:lpwstr>
      </vt:variant>
      <vt:variant>
        <vt:lpwstr/>
      </vt:variant>
      <vt:variant>
        <vt:i4>1114190</vt:i4>
      </vt:variant>
      <vt:variant>
        <vt:i4>204</vt:i4>
      </vt:variant>
      <vt:variant>
        <vt:i4>0</vt:i4>
      </vt:variant>
      <vt:variant>
        <vt:i4>5</vt:i4>
      </vt:variant>
      <vt:variant>
        <vt:lpwstr>https://smd.iso-ne.com/operations-services/ceii/pac/2016/06/a3_transmission_transfer_capabilities_update.pdf</vt:lpwstr>
      </vt:variant>
      <vt:variant>
        <vt:lpwstr/>
      </vt:variant>
      <vt:variant>
        <vt:i4>524395</vt:i4>
      </vt:variant>
      <vt:variant>
        <vt:i4>48</vt:i4>
      </vt:variant>
      <vt:variant>
        <vt:i4>0</vt:i4>
      </vt:variant>
      <vt:variant>
        <vt:i4>5</vt:i4>
      </vt:variant>
      <vt:variant>
        <vt:lpwstr>http://www.iso-ne.com/static- assets/documents/2016/03/a2_maine_resource_integration_study_scope_of_  work.pdf</vt:lpwstr>
      </vt:variant>
      <vt:variant>
        <vt:lpwstr/>
      </vt:variant>
      <vt:variant>
        <vt:i4>6684788</vt:i4>
      </vt:variant>
      <vt:variant>
        <vt:i4>45</vt:i4>
      </vt:variant>
      <vt:variant>
        <vt:i4>0</vt:i4>
      </vt:variant>
      <vt:variant>
        <vt:i4>5</vt:i4>
      </vt:variant>
      <vt:variant>
        <vt:lpwstr>https://www.iso-ne.com/static-assets/documents/2016/08/a6_2016_economic_study_draft_results_appendix.pdf</vt:lpwstr>
      </vt:variant>
      <vt:variant>
        <vt:lpwstr/>
      </vt:variant>
      <vt:variant>
        <vt:i4>7077976</vt:i4>
      </vt:variant>
      <vt:variant>
        <vt:i4>42</vt:i4>
      </vt:variant>
      <vt:variant>
        <vt:i4>0</vt:i4>
      </vt:variant>
      <vt:variant>
        <vt:i4>5</vt:i4>
      </vt:variant>
      <vt:variant>
        <vt:lpwstr>https://www.iso-ne.com/static-assets/documents/2016/08/a6_2016_economic_study_draft_results.pdf</vt:lpwstr>
      </vt:variant>
      <vt:variant>
        <vt:lpwstr/>
      </vt:variant>
      <vt:variant>
        <vt:i4>2752573</vt:i4>
      </vt:variant>
      <vt:variant>
        <vt:i4>39</vt:i4>
      </vt:variant>
      <vt:variant>
        <vt:i4>0</vt:i4>
      </vt:variant>
      <vt:variant>
        <vt:i4>5</vt:i4>
      </vt:variant>
      <vt:variant>
        <vt:lpwstr>https://iso-ne.com/static-assets/documents/2016/09/a7_2016_economic_study_part_2_appendix.pdf</vt:lpwstr>
      </vt:variant>
      <vt:variant>
        <vt:lpwstr/>
      </vt:variant>
      <vt:variant>
        <vt:i4>1048639</vt:i4>
      </vt:variant>
      <vt:variant>
        <vt:i4>36</vt:i4>
      </vt:variant>
      <vt:variant>
        <vt:i4>0</vt:i4>
      </vt:variant>
      <vt:variant>
        <vt:i4>5</vt:i4>
      </vt:variant>
      <vt:variant>
        <vt:lpwstr>https://iso-ne.com/static-assets/documents/2016/09/a6_2016_economic_study_draft_results_part_2.pdf</vt:lpwstr>
      </vt:variant>
      <vt:variant>
        <vt:lpwstr/>
      </vt:variant>
      <vt:variant>
        <vt:i4>3932270</vt:i4>
      </vt:variant>
      <vt:variant>
        <vt:i4>33</vt:i4>
      </vt:variant>
      <vt:variant>
        <vt:i4>0</vt:i4>
      </vt:variant>
      <vt:variant>
        <vt:i4>5</vt:i4>
      </vt:variant>
      <vt:variant>
        <vt:lpwstr>http://www.eia.gov/forecasts/aeo/index.cfm</vt:lpwstr>
      </vt:variant>
      <vt:variant>
        <vt:lpwstr/>
      </vt:variant>
      <vt:variant>
        <vt:i4>7078013</vt:i4>
      </vt:variant>
      <vt:variant>
        <vt:i4>30</vt:i4>
      </vt:variant>
      <vt:variant>
        <vt:i4>0</vt:i4>
      </vt:variant>
      <vt:variant>
        <vt:i4>5</vt:i4>
      </vt:variant>
      <vt:variant>
        <vt:lpwstr>http://www.iso-ne.com/static-assets/documents/2016/05/a3_2016_economic_study_scope_of_work_rps_spreadsheet.xlsx</vt:lpwstr>
      </vt:variant>
      <vt:variant>
        <vt:lpwstr/>
      </vt:variant>
      <vt:variant>
        <vt:i4>196634</vt:i4>
      </vt:variant>
      <vt:variant>
        <vt:i4>27</vt:i4>
      </vt:variant>
      <vt:variant>
        <vt:i4>0</vt:i4>
      </vt:variant>
      <vt:variant>
        <vt:i4>5</vt:i4>
      </vt:variant>
      <vt:variant>
        <vt:lpwstr>http://www.iso-ne.com/static-assets/documents/2016/07/a6_2016_economic_study_update.pdf</vt:lpwstr>
      </vt:variant>
      <vt:variant>
        <vt:lpwstr/>
      </vt:variant>
      <vt:variant>
        <vt:i4>2228260</vt:i4>
      </vt:variant>
      <vt:variant>
        <vt:i4>24</vt:i4>
      </vt:variant>
      <vt:variant>
        <vt:i4>0</vt:i4>
      </vt:variant>
      <vt:variant>
        <vt:i4>5</vt:i4>
      </vt:variant>
      <vt:variant>
        <vt:lpwstr>http://www.iso-ne.com/static-assets/documents/2016/06/a9_2016_economic_study_assumptions.pdf</vt:lpwstr>
      </vt:variant>
      <vt:variant>
        <vt:lpwstr/>
      </vt:variant>
      <vt:variant>
        <vt:i4>1441896</vt:i4>
      </vt:variant>
      <vt:variant>
        <vt:i4>21</vt:i4>
      </vt:variant>
      <vt:variant>
        <vt:i4>0</vt:i4>
      </vt:variant>
      <vt:variant>
        <vt:i4>5</vt:i4>
      </vt:variant>
      <vt:variant>
        <vt:lpwstr>https://iso-ne.com/static-assets/documents/2016/05/a3_2016_economic_study_scope_of_work_assumptions.pdf</vt:lpwstr>
      </vt:variant>
      <vt:variant>
        <vt:lpwstr/>
      </vt:variant>
      <vt:variant>
        <vt:i4>7078013</vt:i4>
      </vt:variant>
      <vt:variant>
        <vt:i4>18</vt:i4>
      </vt:variant>
      <vt:variant>
        <vt:i4>0</vt:i4>
      </vt:variant>
      <vt:variant>
        <vt:i4>5</vt:i4>
      </vt:variant>
      <vt:variant>
        <vt:lpwstr>http://www.iso-ne.com/static-assets/documents/2016/05/a3_2016_economic_study_scope_of_work_rps_spreadsheet.xlsx</vt:lpwstr>
      </vt:variant>
      <vt:variant>
        <vt:lpwstr/>
      </vt:variant>
      <vt:variant>
        <vt:i4>196634</vt:i4>
      </vt:variant>
      <vt:variant>
        <vt:i4>15</vt:i4>
      </vt:variant>
      <vt:variant>
        <vt:i4>0</vt:i4>
      </vt:variant>
      <vt:variant>
        <vt:i4>5</vt:i4>
      </vt:variant>
      <vt:variant>
        <vt:lpwstr>http://www.iso-ne.com/static-assets/documents/2016/07/a6_2016_economic_study_update.pdf</vt:lpwstr>
      </vt:variant>
      <vt:variant>
        <vt:lpwstr/>
      </vt:variant>
      <vt:variant>
        <vt:i4>2228260</vt:i4>
      </vt:variant>
      <vt:variant>
        <vt:i4>12</vt:i4>
      </vt:variant>
      <vt:variant>
        <vt:i4>0</vt:i4>
      </vt:variant>
      <vt:variant>
        <vt:i4>5</vt:i4>
      </vt:variant>
      <vt:variant>
        <vt:lpwstr>http://www.iso-ne.com/static-assets/documents/2016/06/a9_2016_economic_study_assumptions.pdf</vt:lpwstr>
      </vt:variant>
      <vt:variant>
        <vt:lpwstr/>
      </vt:variant>
      <vt:variant>
        <vt:i4>1769541</vt:i4>
      </vt:variant>
      <vt:variant>
        <vt:i4>9</vt:i4>
      </vt:variant>
      <vt:variant>
        <vt:i4>0</vt:i4>
      </vt:variant>
      <vt:variant>
        <vt:i4>5</vt:i4>
      </vt:variant>
      <vt:variant>
        <vt:lpwstr>https://iso-ne.com/static-assets/documents/regulatory/tariff/sect_2/oatt/sect_ii.pdf</vt:lpwstr>
      </vt:variant>
      <vt:variant>
        <vt:lpwstr/>
      </vt:variant>
      <vt:variant>
        <vt:i4>196634</vt:i4>
      </vt:variant>
      <vt:variant>
        <vt:i4>6</vt:i4>
      </vt:variant>
      <vt:variant>
        <vt:i4>0</vt:i4>
      </vt:variant>
      <vt:variant>
        <vt:i4>5</vt:i4>
      </vt:variant>
      <vt:variant>
        <vt:lpwstr>http://www.iso-ne.com/static-assets/documents/2016/07/a6_2016_economic_study_update.pdf</vt:lpwstr>
      </vt:variant>
      <vt:variant>
        <vt:lpwstr/>
      </vt:variant>
      <vt:variant>
        <vt:i4>2228260</vt:i4>
      </vt:variant>
      <vt:variant>
        <vt:i4>3</vt:i4>
      </vt:variant>
      <vt:variant>
        <vt:i4>0</vt:i4>
      </vt:variant>
      <vt:variant>
        <vt:i4>5</vt:i4>
      </vt:variant>
      <vt:variant>
        <vt:lpwstr>http://www.iso-ne.com/static-assets/documents/2016/06/a9_2016_economic_study_assumptions.pdf</vt:lpwstr>
      </vt:variant>
      <vt:variant>
        <vt:lpwstr/>
      </vt:variant>
      <vt:variant>
        <vt:i4>2097272</vt:i4>
      </vt:variant>
      <vt:variant>
        <vt:i4>0</vt:i4>
      </vt:variant>
      <vt:variant>
        <vt:i4>0</vt:i4>
      </vt:variant>
      <vt:variant>
        <vt:i4>5</vt:i4>
      </vt:variant>
      <vt:variant>
        <vt:lpwstr>http://www.iso-ne.com/regulatory/tariff/sect_2/oatt/sect_ii.pdf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2017-07-25T15:46:00Z</dcterms:created>
  <dcterms:modified xsi:type="dcterms:W3CDTF">2017-07-25T15:47:00Z</dcterms:modified>
</cp:coreProperties>
</file>